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body>
    <w:p w14:paraId="77D04999">
      <w:pPr>
        <w:rPr>
          <w:rFonts w:hint="eastAsia" w:eastAsia="仿宋_GB2312"/>
          <w:b/>
          <w:color w:val="000000"/>
          <w:sz w:val="28"/>
          <w:szCs w:val="28"/>
        </w:rPr>
      </w:pPr>
    </w:p>
    <w:p w14:paraId="25964960">
      <w:pPr>
        <w:rPr>
          <w:rFonts w:hint="eastAsia" w:eastAsia="仿宋_GB2312"/>
          <w:b/>
          <w:color w:val="000000"/>
          <w:sz w:val="28"/>
          <w:szCs w:val="28"/>
        </w:rPr>
      </w:pPr>
      <w:r>
        <w:rPr>
          <w:rFonts w:eastAsia="仿宋_GB2312"/>
          <w:b/>
          <w:color w:val="000000"/>
          <w:sz w:val="28"/>
          <w:szCs w:val="28"/>
        </w:rPr>
        <w:drawing>
          <wp:inline distT="0" distB="0" distL="0" distR="0">
            <wp:extent cx="5502910" cy="7943850"/>
            <wp:effectExtent l="0" t="0" r="0" b="0"/>
            <wp:docPr id="1" name="_x0000_i1362"/>
            <wp:cNvGraphicFramePr/>
            <a:graphic xmlns:a="http://schemas.openxmlformats.org/drawingml/2006/main">
              <a:graphicData uri="http://schemas.openxmlformats.org/drawingml/2006/picture">
                <pic:pic xmlns:pic="http://schemas.openxmlformats.org/drawingml/2006/picture">
                  <pic:nvPicPr>
                    <pic:cNvPr id="1" name="_x0000_i1362"/>
                    <pic:cNvPicPr/>
                  </pic:nvPicPr>
                  <pic:blipFill>
                    <a:blip r:embed="rId16"/>
                    <a:stretch>
                      <a:fillRect/>
                    </a:stretch>
                  </pic:blipFill>
                  <pic:spPr>
                    <a:xfrm>
                      <a:off x="0" y="0"/>
                      <a:ext cx="5502910" cy="7943850"/>
                    </a:xfrm>
                    <a:prstGeom prst="rect">
                      <a:avLst/>
                    </a:prstGeom>
                    <a:noFill/>
                    <a:ln>
                      <a:noFill/>
                    </a:ln>
                  </pic:spPr>
                </pic:pic>
              </a:graphicData>
            </a:graphic>
          </wp:inline>
        </w:drawing>
      </w:r>
    </w:p>
    <w:p w14:paraId="656D523A">
      <w:pPr>
        <w:rPr>
          <w:rFonts w:hint="eastAsia" w:eastAsia="仿宋_GB2312"/>
          <w:b/>
          <w:color w:val="000000"/>
          <w:sz w:val="28"/>
          <w:szCs w:val="28"/>
        </w:rPr>
      </w:pPr>
    </w:p>
    <w:p w14:paraId="73AEE3FD">
      <w:pPr>
        <w:rPr>
          <w:rFonts w:hint="eastAsia" w:eastAsia="仿宋_GB2312"/>
          <w:b/>
          <w:color w:val="000000"/>
          <w:sz w:val="28"/>
          <w:szCs w:val="28"/>
        </w:rPr>
      </w:pPr>
      <w:r>
        <w:rPr>
          <w:rFonts w:hint="eastAsia" w:eastAsia="仿宋_GB2312"/>
          <w:b/>
          <w:color w:val="000000"/>
          <w:sz w:val="28"/>
          <w:szCs w:val="28"/>
        </w:rPr>
        <w:drawing>
          <wp:inline distT="0" distB="0" distL="0" distR="0">
            <wp:extent cx="5260975" cy="7278370"/>
            <wp:effectExtent l="0" t="0" r="0" b="0"/>
            <wp:docPr id="2" name="_x0000_i1363"/>
            <wp:cNvGraphicFramePr/>
            <a:graphic xmlns:a="http://schemas.openxmlformats.org/drawingml/2006/main">
              <a:graphicData uri="http://schemas.openxmlformats.org/drawingml/2006/picture">
                <pic:pic xmlns:pic="http://schemas.openxmlformats.org/drawingml/2006/picture">
                  <pic:nvPicPr>
                    <pic:cNvPr id="2" name="_x0000_i1363"/>
                    <pic:cNvPicPr/>
                  </pic:nvPicPr>
                  <pic:blipFill>
                    <a:blip r:embed="rId17"/>
                    <a:stretch>
                      <a:fillRect/>
                    </a:stretch>
                  </pic:blipFill>
                  <pic:spPr>
                    <a:xfrm>
                      <a:off x="0" y="0"/>
                      <a:ext cx="5261585" cy="7278370"/>
                    </a:xfrm>
                    <a:prstGeom prst="rect">
                      <a:avLst/>
                    </a:prstGeom>
                    <a:noFill/>
                    <a:ln>
                      <a:noFill/>
                    </a:ln>
                  </pic:spPr>
                </pic:pic>
              </a:graphicData>
            </a:graphic>
          </wp:inline>
        </w:drawing>
      </w:r>
    </w:p>
    <w:p w14:paraId="25BB108E">
      <w:pPr>
        <w:rPr>
          <w:rFonts w:hint="eastAsia" w:eastAsia="仿宋_GB2312"/>
          <w:b/>
          <w:color w:val="000000"/>
          <w:sz w:val="28"/>
          <w:szCs w:val="28"/>
        </w:rPr>
      </w:pPr>
      <w:r>
        <w:rPr>
          <w:rFonts w:hint="eastAsia" w:eastAsia="仿宋_GB2312"/>
          <w:b/>
          <w:color w:val="000000"/>
          <w:sz w:val="28"/>
          <w:szCs w:val="28"/>
        </w:rPr>
        <w:drawing>
          <wp:inline distT="0" distB="0" distL="0" distR="0">
            <wp:extent cx="5268595" cy="7231380"/>
            <wp:effectExtent l="0" t="0" r="0" b="0"/>
            <wp:docPr id="3" name="_x0000_i1364"/>
            <wp:cNvGraphicFramePr/>
            <a:graphic xmlns:a="http://schemas.openxmlformats.org/drawingml/2006/main">
              <a:graphicData uri="http://schemas.openxmlformats.org/drawingml/2006/picture">
                <pic:pic xmlns:pic="http://schemas.openxmlformats.org/drawingml/2006/picture">
                  <pic:nvPicPr>
                    <pic:cNvPr id="3" name="_x0000_i1364"/>
                    <pic:cNvPicPr/>
                  </pic:nvPicPr>
                  <pic:blipFill>
                    <a:blip r:embed="rId18"/>
                    <a:stretch>
                      <a:fillRect/>
                    </a:stretch>
                  </pic:blipFill>
                  <pic:spPr>
                    <a:xfrm>
                      <a:off x="0" y="0"/>
                      <a:ext cx="5268595" cy="7231380"/>
                    </a:xfrm>
                    <a:prstGeom prst="rect">
                      <a:avLst/>
                    </a:prstGeom>
                    <a:noFill/>
                    <a:ln>
                      <a:noFill/>
                    </a:ln>
                  </pic:spPr>
                </pic:pic>
              </a:graphicData>
            </a:graphic>
          </wp:inline>
        </w:drawing>
      </w:r>
    </w:p>
    <w:p w14:paraId="5D71983C">
      <w:pPr>
        <w:rPr>
          <w:rFonts w:hint="eastAsia" w:eastAsia="仿宋_GB2312"/>
          <w:b/>
          <w:color w:val="000000"/>
          <w:sz w:val="28"/>
          <w:szCs w:val="28"/>
        </w:rPr>
      </w:pPr>
      <w:r>
        <w:rPr>
          <w:rFonts w:hint="eastAsia" w:eastAsia="仿宋_GB2312"/>
          <w:b/>
          <w:color w:val="000000"/>
          <w:sz w:val="28"/>
          <w:szCs w:val="28"/>
        </w:rPr>
        <w:drawing>
          <wp:inline distT="0" distB="0" distL="0" distR="0">
            <wp:extent cx="5272405" cy="7571105"/>
            <wp:effectExtent l="0" t="0" r="0" b="0"/>
            <wp:docPr id="4" name="_x0000_i1365"/>
            <wp:cNvGraphicFramePr/>
            <a:graphic xmlns:a="http://schemas.openxmlformats.org/drawingml/2006/main">
              <a:graphicData uri="http://schemas.openxmlformats.org/drawingml/2006/picture">
                <pic:pic xmlns:pic="http://schemas.openxmlformats.org/drawingml/2006/picture">
                  <pic:nvPicPr>
                    <pic:cNvPr id="4" name="_x0000_i1365"/>
                    <pic:cNvPicPr/>
                  </pic:nvPicPr>
                  <pic:blipFill>
                    <a:blip r:embed="rId19"/>
                    <a:stretch>
                      <a:fillRect/>
                    </a:stretch>
                  </pic:blipFill>
                  <pic:spPr>
                    <a:xfrm>
                      <a:off x="0" y="0"/>
                      <a:ext cx="5272519" cy="7571232"/>
                    </a:xfrm>
                    <a:prstGeom prst="rect">
                      <a:avLst/>
                    </a:prstGeom>
                    <a:noFill/>
                    <a:ln>
                      <a:noFill/>
                    </a:ln>
                  </pic:spPr>
                </pic:pic>
              </a:graphicData>
            </a:graphic>
          </wp:inline>
        </w:drawing>
      </w:r>
    </w:p>
    <w:p w14:paraId="0F8B4C9B">
      <w:pPr>
        <w:ind w:firstLine="3486"/>
        <w:rPr>
          <w:rFonts w:hint="eastAsia" w:eastAsia="仿宋_GB2312"/>
          <w:b/>
          <w:color w:val="000000"/>
          <w:sz w:val="28"/>
          <w:szCs w:val="28"/>
        </w:rPr>
      </w:pPr>
    </w:p>
    <w:p w14:paraId="5642C5C4">
      <w:pPr>
        <w:ind w:firstLine="3486"/>
        <w:rPr>
          <w:rFonts w:hint="eastAsia" w:eastAsia="仿宋_GB2312"/>
          <w:b/>
          <w:color w:val="000000"/>
          <w:sz w:val="28"/>
          <w:szCs w:val="28"/>
        </w:rPr>
      </w:pPr>
    </w:p>
    <w:p w14:paraId="236FB5EA">
      <w:pPr>
        <w:ind w:firstLine="3486"/>
        <w:rPr>
          <w:rFonts w:hint="eastAsia" w:eastAsia="仿宋_GB2312"/>
          <w:b/>
          <w:color w:val="000000"/>
          <w:sz w:val="28"/>
          <w:szCs w:val="28"/>
        </w:rPr>
      </w:pPr>
    </w:p>
    <w:p w14:paraId="4FC63C49">
      <w:pPr>
        <w:ind w:firstLine="3486"/>
        <w:rPr>
          <w:rFonts w:hint="eastAsia" w:eastAsia="仿宋_GB2312"/>
          <w:b/>
          <w:color w:val="000000"/>
          <w:sz w:val="28"/>
          <w:szCs w:val="28"/>
        </w:rPr>
      </w:pPr>
    </w:p>
    <w:p w14:paraId="4D76D829">
      <w:pPr>
        <w:ind w:firstLine="3486"/>
        <w:rPr>
          <w:rFonts w:hint="eastAsia" w:eastAsia="仿宋_GB2312"/>
          <w:b/>
          <w:color w:val="000000"/>
          <w:sz w:val="28"/>
          <w:szCs w:val="28"/>
        </w:rPr>
      </w:pPr>
    </w:p>
    <w:p w14:paraId="65DB8A3D">
      <w:pPr>
        <w:rPr>
          <w:rFonts w:hint="eastAsia" w:eastAsia="仿宋_GB2312"/>
          <w:b/>
          <w:color w:val="000000"/>
          <w:sz w:val="28"/>
          <w:szCs w:val="28"/>
        </w:rPr>
      </w:pPr>
    </w:p>
    <w:p w14:paraId="745CA2E6">
      <w:pPr>
        <w:ind w:firstLine="3486"/>
        <w:rPr>
          <w:rFonts w:hint="eastAsia" w:eastAsia="仿宋_GB2312"/>
          <w:b/>
          <w:color w:val="000000"/>
          <w:sz w:val="28"/>
          <w:szCs w:val="28"/>
        </w:rPr>
      </w:pPr>
    </w:p>
    <w:p w14:paraId="425DCE67">
      <w:pPr>
        <w:ind w:firstLine="3486"/>
        <w:rPr>
          <w:rFonts w:eastAsia="仿宋_GB2312"/>
          <w:b/>
          <w:color w:val="000000"/>
          <w:sz w:val="28"/>
          <w:szCs w:val="28"/>
        </w:rPr>
      </w:pPr>
      <w:r>
        <w:rPr>
          <w:rFonts w:eastAsia="仿宋_GB2312"/>
          <w:b/>
          <w:color w:val="000000"/>
          <w:sz w:val="28"/>
          <w:szCs w:val="28"/>
        </w:rPr>
        <w:t>目    录</w:t>
      </w:r>
    </w:p>
    <w:p w14:paraId="50F83297">
      <w:pPr>
        <w:pStyle w:val="208"/>
        <w:tabs>
          <w:tab w:val="right" w:leader="dot" w:pos="8296"/>
        </w:tabs>
        <w:rPr>
          <w:b w:val="0"/>
          <w:caps w:val="0"/>
          <w:color w:val="000000"/>
          <w:sz w:val="21"/>
          <w:szCs w:val="24"/>
        </w:rPr>
      </w:pPr>
      <w:r>
        <w:rPr>
          <w:b w:val="0"/>
          <w:caps w:val="0"/>
          <w:color w:val="000000"/>
          <w:sz w:val="21"/>
          <w:szCs w:val="24"/>
        </w:rPr>
        <w:fldChar w:fldCharType="begin"/>
      </w:r>
      <w:r>
        <w:rPr>
          <w:b w:val="0"/>
          <w:caps w:val="0"/>
          <w:color w:val="000000"/>
          <w:sz w:val="21"/>
          <w:szCs w:val="24"/>
        </w:rPr>
        <w:instrText xml:space="preserve"> TOC \o </w:instrText>
      </w:r>
      <w:r>
        <w:rPr>
          <w:b w:val="0"/>
          <w:caps w:val="0"/>
          <w:color w:val="000000"/>
          <w:sz w:val="21"/>
          <w:szCs w:val="24"/>
        </w:rPr>
        <w:fldChar w:fldCharType="separate"/>
      </w:r>
      <w:bookmarkStart w:id="0" w:name="_Toc217800755"/>
      <w:bookmarkEnd w:id="0"/>
      <w:r>
        <w:rPr>
          <w:rFonts w:hint="eastAsia" w:cs="宋体"/>
          <w:color w:val="000000"/>
        </w:rPr>
        <w:t>前</w:t>
      </w:r>
      <w:r>
        <w:rPr>
          <w:rFonts w:cs="宋体"/>
          <w:color w:val="000000"/>
        </w:rPr>
        <w:t xml:space="preserve"> </w:t>
      </w:r>
      <w:r>
        <w:rPr>
          <w:rFonts w:hint="eastAsia" w:cs="宋体"/>
          <w:color w:val="000000"/>
        </w:rPr>
        <w:t>言</w:t>
      </w:r>
      <w:r>
        <w:rPr>
          <w:color w:val="000000"/>
        </w:rPr>
        <w:tab/>
      </w:r>
      <w:r>
        <w:rPr>
          <w:color w:val="000000"/>
        </w:rPr>
        <w:fldChar w:fldCharType="begin"/>
      </w:r>
      <w:r>
        <w:rPr>
          <w:color w:val="000000"/>
        </w:rPr>
        <w:instrText xml:space="preserve"> PAGEREF _Toc495500015 \h </w:instrText>
      </w:r>
      <w:r>
        <w:rPr>
          <w:color w:val="000000"/>
        </w:rPr>
        <w:fldChar w:fldCharType="separate"/>
      </w:r>
      <w:r>
        <w:rPr>
          <w:color w:val="000000"/>
        </w:rPr>
        <w:t>1</w:t>
      </w:r>
      <w:r>
        <w:rPr>
          <w:color w:val="000000"/>
        </w:rPr>
        <w:fldChar w:fldCharType="end"/>
      </w:r>
    </w:p>
    <w:p w14:paraId="47AD3D15">
      <w:pPr>
        <w:pStyle w:val="208"/>
        <w:tabs>
          <w:tab w:val="right" w:leader="dot" w:pos="8296"/>
        </w:tabs>
        <w:rPr>
          <w:b w:val="0"/>
          <w:caps w:val="0"/>
          <w:color w:val="000000"/>
          <w:sz w:val="21"/>
          <w:szCs w:val="24"/>
        </w:rPr>
      </w:pPr>
      <w:r>
        <w:rPr>
          <w:rFonts w:cs="宋体"/>
          <w:color w:val="000000"/>
        </w:rPr>
        <w:t>1</w:t>
      </w:r>
      <w:r>
        <w:rPr>
          <w:rFonts w:hint="eastAsia" w:cs="宋体"/>
          <w:color w:val="000000"/>
        </w:rPr>
        <w:t>、总论</w:t>
      </w:r>
      <w:r>
        <w:rPr>
          <w:color w:val="000000"/>
        </w:rPr>
        <w:tab/>
      </w:r>
      <w:r>
        <w:rPr>
          <w:color w:val="000000"/>
        </w:rPr>
        <w:fldChar w:fldCharType="begin"/>
      </w:r>
      <w:r>
        <w:rPr>
          <w:color w:val="000000"/>
        </w:rPr>
        <w:instrText xml:space="preserve"> PAGEREF _Toc495500016 \h </w:instrText>
      </w:r>
      <w:r>
        <w:rPr>
          <w:color w:val="000000"/>
        </w:rPr>
        <w:fldChar w:fldCharType="separate"/>
      </w:r>
      <w:r>
        <w:rPr>
          <w:color w:val="000000"/>
        </w:rPr>
        <w:t>3</w:t>
      </w:r>
      <w:r>
        <w:rPr>
          <w:color w:val="000000"/>
        </w:rPr>
        <w:fldChar w:fldCharType="end"/>
      </w:r>
    </w:p>
    <w:p w14:paraId="5203F800">
      <w:pPr>
        <w:pStyle w:val="214"/>
        <w:tabs>
          <w:tab w:val="right" w:leader="dot" w:pos="8296"/>
        </w:tabs>
        <w:rPr>
          <w:smallCaps w:val="0"/>
          <w:color w:val="000000"/>
          <w:sz w:val="21"/>
          <w:szCs w:val="24"/>
        </w:rPr>
      </w:pPr>
      <w:r>
        <w:rPr>
          <w:rFonts w:eastAsia="仿宋_GB2312"/>
          <w:color w:val="000000"/>
        </w:rPr>
        <w:t>1.1</w:t>
      </w:r>
      <w:r>
        <w:rPr>
          <w:rFonts w:hint="eastAsia" w:eastAsia="仿宋_GB2312"/>
          <w:color w:val="000000"/>
        </w:rPr>
        <w:t>评价目的</w:t>
      </w:r>
      <w:r>
        <w:rPr>
          <w:color w:val="000000"/>
        </w:rPr>
        <w:tab/>
      </w:r>
      <w:r>
        <w:rPr>
          <w:color w:val="000000"/>
        </w:rPr>
        <w:fldChar w:fldCharType="begin"/>
      </w:r>
      <w:r>
        <w:rPr>
          <w:color w:val="000000"/>
        </w:rPr>
        <w:instrText xml:space="preserve"> PAGEREF _Toc495500017 \h </w:instrText>
      </w:r>
      <w:r>
        <w:rPr>
          <w:color w:val="000000"/>
        </w:rPr>
        <w:fldChar w:fldCharType="separate"/>
      </w:r>
      <w:r>
        <w:rPr>
          <w:color w:val="000000"/>
        </w:rPr>
        <w:t>3</w:t>
      </w:r>
      <w:r>
        <w:rPr>
          <w:color w:val="000000"/>
        </w:rPr>
        <w:fldChar w:fldCharType="end"/>
      </w:r>
    </w:p>
    <w:p w14:paraId="776CA673">
      <w:pPr>
        <w:pStyle w:val="214"/>
        <w:tabs>
          <w:tab w:val="right" w:leader="dot" w:pos="8296"/>
        </w:tabs>
        <w:rPr>
          <w:smallCaps w:val="0"/>
          <w:color w:val="000000"/>
          <w:sz w:val="21"/>
          <w:szCs w:val="24"/>
        </w:rPr>
      </w:pPr>
      <w:r>
        <w:rPr>
          <w:rFonts w:eastAsia="仿宋_GB2312"/>
          <w:color w:val="000000"/>
        </w:rPr>
        <w:t>1.2</w:t>
      </w:r>
      <w:r>
        <w:rPr>
          <w:rFonts w:hint="eastAsia" w:eastAsia="仿宋_GB2312"/>
          <w:color w:val="000000"/>
        </w:rPr>
        <w:t>指导思想</w:t>
      </w:r>
      <w:r>
        <w:rPr>
          <w:color w:val="000000"/>
        </w:rPr>
        <w:tab/>
      </w:r>
      <w:r>
        <w:rPr>
          <w:color w:val="000000"/>
        </w:rPr>
        <w:fldChar w:fldCharType="begin"/>
      </w:r>
      <w:r>
        <w:rPr>
          <w:color w:val="000000"/>
        </w:rPr>
        <w:instrText xml:space="preserve"> PAGEREF _Toc495500018 \h </w:instrText>
      </w:r>
      <w:r>
        <w:rPr>
          <w:color w:val="000000"/>
        </w:rPr>
        <w:fldChar w:fldCharType="separate"/>
      </w:r>
      <w:r>
        <w:rPr>
          <w:color w:val="000000"/>
        </w:rPr>
        <w:t>3</w:t>
      </w:r>
      <w:r>
        <w:rPr>
          <w:color w:val="000000"/>
        </w:rPr>
        <w:fldChar w:fldCharType="end"/>
      </w:r>
    </w:p>
    <w:p w14:paraId="3858548B">
      <w:pPr>
        <w:pStyle w:val="214"/>
        <w:tabs>
          <w:tab w:val="right" w:leader="dot" w:pos="8296"/>
        </w:tabs>
        <w:rPr>
          <w:smallCaps w:val="0"/>
          <w:color w:val="000000"/>
          <w:sz w:val="21"/>
          <w:szCs w:val="24"/>
        </w:rPr>
      </w:pPr>
      <w:r>
        <w:rPr>
          <w:rFonts w:eastAsia="仿宋_GB2312"/>
          <w:color w:val="000000"/>
        </w:rPr>
        <w:t>1.3</w:t>
      </w:r>
      <w:r>
        <w:rPr>
          <w:rFonts w:hint="eastAsia" w:eastAsia="仿宋_GB2312"/>
          <w:color w:val="000000"/>
        </w:rPr>
        <w:t>编制依据</w:t>
      </w:r>
      <w:r>
        <w:rPr>
          <w:color w:val="000000"/>
        </w:rPr>
        <w:tab/>
      </w:r>
      <w:r>
        <w:rPr>
          <w:color w:val="000000"/>
        </w:rPr>
        <w:fldChar w:fldCharType="begin"/>
      </w:r>
      <w:r>
        <w:rPr>
          <w:color w:val="000000"/>
        </w:rPr>
        <w:instrText xml:space="preserve"> PAGEREF _Toc495500019 \h </w:instrText>
      </w:r>
      <w:r>
        <w:rPr>
          <w:color w:val="000000"/>
        </w:rPr>
        <w:fldChar w:fldCharType="separate"/>
      </w:r>
      <w:r>
        <w:rPr>
          <w:color w:val="000000"/>
        </w:rPr>
        <w:t>4</w:t>
      </w:r>
      <w:r>
        <w:rPr>
          <w:color w:val="000000"/>
        </w:rPr>
        <w:fldChar w:fldCharType="end"/>
      </w:r>
    </w:p>
    <w:p w14:paraId="6231B3EE">
      <w:pPr>
        <w:pStyle w:val="200"/>
        <w:tabs>
          <w:tab w:val="right" w:leader="dot" w:pos="8296"/>
        </w:tabs>
        <w:rPr>
          <w:i w:val="0"/>
          <w:color w:val="000000"/>
          <w:sz w:val="21"/>
          <w:szCs w:val="24"/>
        </w:rPr>
      </w:pPr>
      <w:r>
        <w:rPr>
          <w:rFonts w:eastAsia="仿宋_GB2312"/>
          <w:color w:val="000000"/>
        </w:rPr>
        <w:t>1.3.1</w:t>
      </w:r>
      <w:r>
        <w:rPr>
          <w:rFonts w:hint="eastAsia" w:eastAsia="仿宋_GB2312"/>
          <w:color w:val="000000"/>
        </w:rPr>
        <w:t>国家环境保护法律、法规及政策</w:t>
      </w:r>
      <w:r>
        <w:rPr>
          <w:color w:val="000000"/>
        </w:rPr>
        <w:tab/>
      </w:r>
      <w:r>
        <w:rPr>
          <w:color w:val="000000"/>
        </w:rPr>
        <w:fldChar w:fldCharType="begin"/>
      </w:r>
      <w:r>
        <w:rPr>
          <w:color w:val="000000"/>
        </w:rPr>
        <w:instrText xml:space="preserve"> PAGEREF _Toc495500020 \h </w:instrText>
      </w:r>
      <w:r>
        <w:rPr>
          <w:color w:val="000000"/>
        </w:rPr>
        <w:fldChar w:fldCharType="separate"/>
      </w:r>
      <w:r>
        <w:rPr>
          <w:color w:val="000000"/>
        </w:rPr>
        <w:t>4</w:t>
      </w:r>
      <w:r>
        <w:rPr>
          <w:color w:val="000000"/>
        </w:rPr>
        <w:fldChar w:fldCharType="end"/>
      </w:r>
    </w:p>
    <w:p w14:paraId="63B211FE">
      <w:pPr>
        <w:pStyle w:val="200"/>
        <w:tabs>
          <w:tab w:val="right" w:leader="dot" w:pos="8296"/>
        </w:tabs>
        <w:rPr>
          <w:i w:val="0"/>
          <w:color w:val="000000"/>
          <w:sz w:val="21"/>
          <w:szCs w:val="24"/>
        </w:rPr>
      </w:pPr>
      <w:r>
        <w:rPr>
          <w:rFonts w:eastAsia="仿宋_GB2312"/>
          <w:color w:val="000000"/>
        </w:rPr>
        <w:t>1.3.2</w:t>
      </w:r>
      <w:r>
        <w:rPr>
          <w:rFonts w:hint="eastAsia" w:eastAsia="仿宋_GB2312"/>
          <w:color w:val="000000"/>
        </w:rPr>
        <w:t>地方环境保护法规及政策</w:t>
      </w:r>
      <w:r>
        <w:rPr>
          <w:color w:val="000000"/>
        </w:rPr>
        <w:tab/>
      </w:r>
      <w:r>
        <w:rPr>
          <w:color w:val="000000"/>
        </w:rPr>
        <w:fldChar w:fldCharType="begin"/>
      </w:r>
      <w:r>
        <w:rPr>
          <w:color w:val="000000"/>
        </w:rPr>
        <w:instrText xml:space="preserve"> PAGEREF _Toc495500021 \h </w:instrText>
      </w:r>
      <w:r>
        <w:rPr>
          <w:color w:val="000000"/>
        </w:rPr>
        <w:fldChar w:fldCharType="separate"/>
      </w:r>
      <w:r>
        <w:rPr>
          <w:color w:val="000000"/>
        </w:rPr>
        <w:t>5</w:t>
      </w:r>
      <w:r>
        <w:rPr>
          <w:color w:val="000000"/>
        </w:rPr>
        <w:fldChar w:fldCharType="end"/>
      </w:r>
    </w:p>
    <w:p w14:paraId="690826F1">
      <w:pPr>
        <w:pStyle w:val="200"/>
        <w:tabs>
          <w:tab w:val="right" w:leader="dot" w:pos="8296"/>
        </w:tabs>
        <w:rPr>
          <w:i w:val="0"/>
          <w:color w:val="000000"/>
          <w:sz w:val="21"/>
          <w:szCs w:val="24"/>
        </w:rPr>
      </w:pPr>
      <w:r>
        <w:rPr>
          <w:rFonts w:eastAsia="仿宋_GB2312"/>
          <w:color w:val="000000"/>
        </w:rPr>
        <w:t>1.3.3</w:t>
      </w:r>
      <w:r>
        <w:rPr>
          <w:rFonts w:hint="eastAsia" w:eastAsia="仿宋_GB2312"/>
          <w:color w:val="000000"/>
        </w:rPr>
        <w:t>其他技术规范</w:t>
      </w:r>
      <w:r>
        <w:rPr>
          <w:color w:val="000000"/>
        </w:rPr>
        <w:tab/>
      </w:r>
      <w:r>
        <w:rPr>
          <w:color w:val="000000"/>
        </w:rPr>
        <w:fldChar w:fldCharType="begin"/>
      </w:r>
      <w:r>
        <w:rPr>
          <w:color w:val="000000"/>
        </w:rPr>
        <w:instrText xml:space="preserve"> PAGEREF _Toc495500022 \h </w:instrText>
      </w:r>
      <w:r>
        <w:rPr>
          <w:color w:val="000000"/>
        </w:rPr>
        <w:fldChar w:fldCharType="separate"/>
      </w:r>
      <w:r>
        <w:rPr>
          <w:color w:val="000000"/>
        </w:rPr>
        <w:t>5</w:t>
      </w:r>
      <w:r>
        <w:rPr>
          <w:color w:val="000000"/>
        </w:rPr>
        <w:fldChar w:fldCharType="end"/>
      </w:r>
    </w:p>
    <w:p w14:paraId="408FACCE">
      <w:pPr>
        <w:pStyle w:val="200"/>
        <w:tabs>
          <w:tab w:val="right" w:leader="dot" w:pos="8296"/>
        </w:tabs>
        <w:rPr>
          <w:i w:val="0"/>
          <w:color w:val="000000"/>
          <w:sz w:val="21"/>
          <w:szCs w:val="24"/>
        </w:rPr>
      </w:pPr>
      <w:r>
        <w:rPr>
          <w:rFonts w:eastAsia="仿宋_GB2312"/>
          <w:color w:val="000000"/>
        </w:rPr>
        <w:t>1.3.4</w:t>
      </w:r>
      <w:r>
        <w:rPr>
          <w:rFonts w:hint="eastAsia" w:eastAsia="仿宋_GB2312"/>
          <w:color w:val="000000"/>
        </w:rPr>
        <w:t>其他相关资料及文件</w:t>
      </w:r>
      <w:r>
        <w:rPr>
          <w:color w:val="000000"/>
        </w:rPr>
        <w:tab/>
      </w:r>
      <w:r>
        <w:rPr>
          <w:color w:val="000000"/>
        </w:rPr>
        <w:fldChar w:fldCharType="begin"/>
      </w:r>
      <w:r>
        <w:rPr>
          <w:color w:val="000000"/>
        </w:rPr>
        <w:instrText xml:space="preserve"> PAGEREF _Toc495500023 \h </w:instrText>
      </w:r>
      <w:r>
        <w:rPr>
          <w:color w:val="000000"/>
        </w:rPr>
        <w:fldChar w:fldCharType="separate"/>
      </w:r>
      <w:r>
        <w:rPr>
          <w:color w:val="000000"/>
        </w:rPr>
        <w:t>6</w:t>
      </w:r>
      <w:r>
        <w:rPr>
          <w:color w:val="000000"/>
        </w:rPr>
        <w:fldChar w:fldCharType="end"/>
      </w:r>
    </w:p>
    <w:p w14:paraId="5B297256">
      <w:pPr>
        <w:pStyle w:val="214"/>
        <w:tabs>
          <w:tab w:val="right" w:leader="dot" w:pos="8296"/>
        </w:tabs>
        <w:rPr>
          <w:smallCaps w:val="0"/>
          <w:color w:val="000000"/>
          <w:sz w:val="21"/>
          <w:szCs w:val="24"/>
        </w:rPr>
      </w:pPr>
      <w:r>
        <w:rPr>
          <w:rFonts w:eastAsia="仿宋_GB2312"/>
          <w:color w:val="000000"/>
        </w:rPr>
        <w:t>1.4</w:t>
      </w:r>
      <w:r>
        <w:rPr>
          <w:rFonts w:hint="eastAsia" w:eastAsia="仿宋_GB2312"/>
          <w:color w:val="000000"/>
        </w:rPr>
        <w:t>评价标准</w:t>
      </w:r>
      <w:r>
        <w:rPr>
          <w:color w:val="000000"/>
        </w:rPr>
        <w:tab/>
      </w:r>
      <w:r>
        <w:rPr>
          <w:color w:val="000000"/>
        </w:rPr>
        <w:fldChar w:fldCharType="begin"/>
      </w:r>
      <w:r>
        <w:rPr>
          <w:color w:val="000000"/>
        </w:rPr>
        <w:instrText xml:space="preserve"> PAGEREF _Toc495500024 \h </w:instrText>
      </w:r>
      <w:r>
        <w:rPr>
          <w:color w:val="000000"/>
        </w:rPr>
        <w:fldChar w:fldCharType="separate"/>
      </w:r>
      <w:r>
        <w:rPr>
          <w:color w:val="000000"/>
        </w:rPr>
        <w:t>7</w:t>
      </w:r>
      <w:r>
        <w:rPr>
          <w:color w:val="000000"/>
        </w:rPr>
        <w:fldChar w:fldCharType="end"/>
      </w:r>
    </w:p>
    <w:p w14:paraId="41182222">
      <w:pPr>
        <w:pStyle w:val="200"/>
        <w:tabs>
          <w:tab w:val="right" w:leader="dot" w:pos="8296"/>
        </w:tabs>
        <w:rPr>
          <w:i w:val="0"/>
          <w:color w:val="000000"/>
          <w:sz w:val="21"/>
          <w:szCs w:val="24"/>
        </w:rPr>
      </w:pPr>
      <w:r>
        <w:rPr>
          <w:rFonts w:eastAsia="仿宋_GB2312"/>
          <w:color w:val="000000"/>
        </w:rPr>
        <w:t>1.4.1</w:t>
      </w:r>
      <w:r>
        <w:rPr>
          <w:rFonts w:hint="eastAsia" w:eastAsia="仿宋_GB2312"/>
          <w:color w:val="000000"/>
        </w:rPr>
        <w:t>环境质量标准</w:t>
      </w:r>
      <w:r>
        <w:rPr>
          <w:color w:val="000000"/>
        </w:rPr>
        <w:tab/>
      </w:r>
      <w:r>
        <w:rPr>
          <w:color w:val="000000"/>
        </w:rPr>
        <w:fldChar w:fldCharType="begin"/>
      </w:r>
      <w:r>
        <w:rPr>
          <w:color w:val="000000"/>
        </w:rPr>
        <w:instrText xml:space="preserve"> PAGEREF _Toc495500025 \h </w:instrText>
      </w:r>
      <w:r>
        <w:rPr>
          <w:color w:val="000000"/>
        </w:rPr>
        <w:fldChar w:fldCharType="separate"/>
      </w:r>
      <w:r>
        <w:rPr>
          <w:color w:val="000000"/>
        </w:rPr>
        <w:t>7</w:t>
      </w:r>
      <w:r>
        <w:rPr>
          <w:color w:val="000000"/>
        </w:rPr>
        <w:fldChar w:fldCharType="end"/>
      </w:r>
    </w:p>
    <w:p w14:paraId="14E34C4C">
      <w:pPr>
        <w:pStyle w:val="200"/>
        <w:tabs>
          <w:tab w:val="right" w:leader="dot" w:pos="8296"/>
        </w:tabs>
        <w:rPr>
          <w:i w:val="0"/>
          <w:color w:val="000000"/>
          <w:sz w:val="21"/>
          <w:szCs w:val="24"/>
        </w:rPr>
      </w:pPr>
      <w:r>
        <w:rPr>
          <w:rFonts w:eastAsia="仿宋_GB2312"/>
          <w:color w:val="000000"/>
        </w:rPr>
        <w:t>1.4.2</w:t>
      </w:r>
      <w:r>
        <w:rPr>
          <w:rFonts w:hint="eastAsia" w:eastAsia="仿宋_GB2312"/>
          <w:color w:val="000000"/>
        </w:rPr>
        <w:t>污染物排放标准</w:t>
      </w:r>
      <w:r>
        <w:rPr>
          <w:color w:val="000000"/>
        </w:rPr>
        <w:tab/>
      </w:r>
      <w:r>
        <w:rPr>
          <w:color w:val="000000"/>
        </w:rPr>
        <w:fldChar w:fldCharType="begin"/>
      </w:r>
      <w:r>
        <w:rPr>
          <w:color w:val="000000"/>
        </w:rPr>
        <w:instrText xml:space="preserve"> PAGEREF _Toc495500026 \h </w:instrText>
      </w:r>
      <w:r>
        <w:rPr>
          <w:color w:val="000000"/>
        </w:rPr>
        <w:fldChar w:fldCharType="separate"/>
      </w:r>
      <w:r>
        <w:rPr>
          <w:color w:val="000000"/>
        </w:rPr>
        <w:t>9</w:t>
      </w:r>
      <w:r>
        <w:rPr>
          <w:color w:val="000000"/>
        </w:rPr>
        <w:fldChar w:fldCharType="end"/>
      </w:r>
    </w:p>
    <w:p w14:paraId="5240032F">
      <w:pPr>
        <w:pStyle w:val="214"/>
        <w:tabs>
          <w:tab w:val="right" w:leader="dot" w:pos="8296"/>
        </w:tabs>
        <w:rPr>
          <w:smallCaps w:val="0"/>
          <w:color w:val="000000"/>
          <w:sz w:val="21"/>
          <w:szCs w:val="24"/>
        </w:rPr>
      </w:pPr>
      <w:r>
        <w:rPr>
          <w:rFonts w:eastAsia="仿宋_GB2312"/>
          <w:color w:val="000000"/>
        </w:rPr>
        <w:t>1.5</w:t>
      </w:r>
      <w:r>
        <w:rPr>
          <w:rFonts w:hint="eastAsia" w:eastAsia="仿宋_GB2312"/>
          <w:color w:val="000000"/>
        </w:rPr>
        <w:t>评价等级及评价范围</w:t>
      </w:r>
      <w:r>
        <w:rPr>
          <w:color w:val="000000"/>
        </w:rPr>
        <w:tab/>
      </w:r>
      <w:r>
        <w:rPr>
          <w:color w:val="000000"/>
        </w:rPr>
        <w:fldChar w:fldCharType="begin"/>
      </w:r>
      <w:r>
        <w:rPr>
          <w:color w:val="000000"/>
        </w:rPr>
        <w:instrText xml:space="preserve"> PAGEREF _Toc495500027 \h </w:instrText>
      </w:r>
      <w:r>
        <w:rPr>
          <w:color w:val="000000"/>
        </w:rPr>
        <w:fldChar w:fldCharType="separate"/>
      </w:r>
      <w:r>
        <w:rPr>
          <w:color w:val="000000"/>
        </w:rPr>
        <w:t>11</w:t>
      </w:r>
      <w:r>
        <w:rPr>
          <w:color w:val="000000"/>
        </w:rPr>
        <w:fldChar w:fldCharType="end"/>
      </w:r>
    </w:p>
    <w:p w14:paraId="710DD453">
      <w:pPr>
        <w:pStyle w:val="200"/>
        <w:tabs>
          <w:tab w:val="right" w:leader="dot" w:pos="8296"/>
        </w:tabs>
        <w:rPr>
          <w:i w:val="0"/>
          <w:color w:val="000000"/>
          <w:sz w:val="21"/>
          <w:szCs w:val="24"/>
        </w:rPr>
      </w:pPr>
      <w:r>
        <w:rPr>
          <w:rFonts w:eastAsia="仿宋_GB2312"/>
          <w:color w:val="000000"/>
        </w:rPr>
        <w:t>1.5.1</w:t>
      </w:r>
      <w:r>
        <w:rPr>
          <w:rFonts w:hint="eastAsia" w:eastAsia="仿宋_GB2312"/>
          <w:color w:val="000000"/>
        </w:rPr>
        <w:t>评价等级</w:t>
      </w:r>
      <w:r>
        <w:rPr>
          <w:color w:val="000000"/>
        </w:rPr>
        <w:tab/>
      </w:r>
      <w:r>
        <w:rPr>
          <w:color w:val="000000"/>
        </w:rPr>
        <w:fldChar w:fldCharType="begin"/>
      </w:r>
      <w:r>
        <w:rPr>
          <w:color w:val="000000"/>
        </w:rPr>
        <w:instrText xml:space="preserve"> PAGEREF _Toc495500028 \h </w:instrText>
      </w:r>
      <w:r>
        <w:rPr>
          <w:color w:val="000000"/>
        </w:rPr>
        <w:fldChar w:fldCharType="separate"/>
      </w:r>
      <w:r>
        <w:rPr>
          <w:color w:val="000000"/>
        </w:rPr>
        <w:t>11</w:t>
      </w:r>
      <w:r>
        <w:rPr>
          <w:color w:val="000000"/>
        </w:rPr>
        <w:fldChar w:fldCharType="end"/>
      </w:r>
    </w:p>
    <w:p w14:paraId="4DEB51D4">
      <w:pPr>
        <w:pStyle w:val="200"/>
        <w:tabs>
          <w:tab w:val="right" w:leader="dot" w:pos="8296"/>
        </w:tabs>
        <w:rPr>
          <w:i w:val="0"/>
          <w:color w:val="000000"/>
          <w:sz w:val="21"/>
          <w:szCs w:val="24"/>
        </w:rPr>
      </w:pPr>
      <w:r>
        <w:rPr>
          <w:rFonts w:eastAsia="仿宋_GB2312"/>
          <w:color w:val="000000"/>
        </w:rPr>
        <w:t>1.5.2</w:t>
      </w:r>
      <w:r>
        <w:rPr>
          <w:rFonts w:hint="eastAsia" w:eastAsia="仿宋_GB2312"/>
          <w:color w:val="000000"/>
        </w:rPr>
        <w:t>评价范围</w:t>
      </w:r>
      <w:r>
        <w:rPr>
          <w:color w:val="000000"/>
        </w:rPr>
        <w:tab/>
      </w:r>
      <w:r>
        <w:rPr>
          <w:color w:val="000000"/>
        </w:rPr>
        <w:fldChar w:fldCharType="begin"/>
      </w:r>
      <w:r>
        <w:rPr>
          <w:color w:val="000000"/>
        </w:rPr>
        <w:instrText xml:space="preserve"> PAGEREF _Toc495500029 \h </w:instrText>
      </w:r>
      <w:r>
        <w:rPr>
          <w:color w:val="000000"/>
        </w:rPr>
        <w:fldChar w:fldCharType="separate"/>
      </w:r>
      <w:r>
        <w:rPr>
          <w:color w:val="000000"/>
        </w:rPr>
        <w:t>13</w:t>
      </w:r>
      <w:r>
        <w:rPr>
          <w:color w:val="000000"/>
        </w:rPr>
        <w:fldChar w:fldCharType="end"/>
      </w:r>
    </w:p>
    <w:p w14:paraId="32049257">
      <w:pPr>
        <w:pStyle w:val="214"/>
        <w:tabs>
          <w:tab w:val="right" w:leader="dot" w:pos="8296"/>
        </w:tabs>
        <w:rPr>
          <w:smallCaps w:val="0"/>
          <w:color w:val="000000"/>
          <w:sz w:val="21"/>
          <w:szCs w:val="24"/>
        </w:rPr>
      </w:pPr>
      <w:r>
        <w:rPr>
          <w:rFonts w:eastAsia="仿宋_GB2312"/>
          <w:color w:val="000000"/>
        </w:rPr>
        <w:t>1.6</w:t>
      </w:r>
      <w:r>
        <w:rPr>
          <w:rFonts w:hint="eastAsia" w:eastAsia="仿宋_GB2312"/>
          <w:color w:val="000000"/>
        </w:rPr>
        <w:t>环境保护目标</w:t>
      </w:r>
      <w:r>
        <w:rPr>
          <w:color w:val="000000"/>
        </w:rPr>
        <w:tab/>
      </w:r>
      <w:r>
        <w:rPr>
          <w:color w:val="000000"/>
        </w:rPr>
        <w:fldChar w:fldCharType="begin"/>
      </w:r>
      <w:r>
        <w:rPr>
          <w:color w:val="000000"/>
        </w:rPr>
        <w:instrText xml:space="preserve"> PAGEREF _Toc495500030 \h </w:instrText>
      </w:r>
      <w:r>
        <w:rPr>
          <w:color w:val="000000"/>
        </w:rPr>
        <w:fldChar w:fldCharType="separate"/>
      </w:r>
      <w:r>
        <w:rPr>
          <w:color w:val="000000"/>
        </w:rPr>
        <w:t>14</w:t>
      </w:r>
      <w:r>
        <w:rPr>
          <w:color w:val="000000"/>
        </w:rPr>
        <w:fldChar w:fldCharType="end"/>
      </w:r>
    </w:p>
    <w:p w14:paraId="1144B7B4">
      <w:pPr>
        <w:pStyle w:val="214"/>
        <w:tabs>
          <w:tab w:val="right" w:leader="dot" w:pos="8296"/>
        </w:tabs>
        <w:rPr>
          <w:smallCaps w:val="0"/>
          <w:color w:val="000000"/>
          <w:sz w:val="21"/>
          <w:szCs w:val="24"/>
        </w:rPr>
      </w:pPr>
      <w:r>
        <w:rPr>
          <w:rFonts w:eastAsia="仿宋_GB2312"/>
          <w:color w:val="000000"/>
        </w:rPr>
        <w:t>1.7</w:t>
      </w:r>
      <w:r>
        <w:rPr>
          <w:rFonts w:hint="eastAsia" w:eastAsia="仿宋_GB2312"/>
          <w:color w:val="000000"/>
        </w:rPr>
        <w:t>评价内容、评价重点及主要评价因子</w:t>
      </w:r>
      <w:r>
        <w:rPr>
          <w:color w:val="000000"/>
        </w:rPr>
        <w:tab/>
      </w:r>
      <w:r>
        <w:rPr>
          <w:color w:val="000000"/>
        </w:rPr>
        <w:fldChar w:fldCharType="begin"/>
      </w:r>
      <w:r>
        <w:rPr>
          <w:color w:val="000000"/>
        </w:rPr>
        <w:instrText xml:space="preserve"> PAGEREF _Toc495500031 \h </w:instrText>
      </w:r>
      <w:r>
        <w:rPr>
          <w:color w:val="000000"/>
        </w:rPr>
        <w:fldChar w:fldCharType="separate"/>
      </w:r>
      <w:r>
        <w:rPr>
          <w:color w:val="000000"/>
        </w:rPr>
        <w:t>14</w:t>
      </w:r>
      <w:r>
        <w:rPr>
          <w:color w:val="000000"/>
        </w:rPr>
        <w:fldChar w:fldCharType="end"/>
      </w:r>
    </w:p>
    <w:p w14:paraId="53D3EE16">
      <w:pPr>
        <w:pStyle w:val="200"/>
        <w:tabs>
          <w:tab w:val="right" w:leader="dot" w:pos="8296"/>
        </w:tabs>
        <w:rPr>
          <w:i w:val="0"/>
          <w:color w:val="000000"/>
          <w:sz w:val="21"/>
          <w:szCs w:val="24"/>
        </w:rPr>
      </w:pPr>
      <w:r>
        <w:rPr>
          <w:rFonts w:eastAsia="仿宋_GB2312"/>
          <w:color w:val="000000"/>
        </w:rPr>
        <w:t>1.7.1</w:t>
      </w:r>
      <w:r>
        <w:rPr>
          <w:rFonts w:hint="eastAsia" w:eastAsia="仿宋_GB2312"/>
          <w:color w:val="000000"/>
        </w:rPr>
        <w:t>评价内容</w:t>
      </w:r>
      <w:r>
        <w:rPr>
          <w:color w:val="000000"/>
        </w:rPr>
        <w:tab/>
      </w:r>
      <w:r>
        <w:rPr>
          <w:color w:val="000000"/>
        </w:rPr>
        <w:fldChar w:fldCharType="begin"/>
      </w:r>
      <w:r>
        <w:rPr>
          <w:color w:val="000000"/>
        </w:rPr>
        <w:instrText xml:space="preserve"> PAGEREF _Toc495500032 \h </w:instrText>
      </w:r>
      <w:r>
        <w:rPr>
          <w:color w:val="000000"/>
        </w:rPr>
        <w:fldChar w:fldCharType="separate"/>
      </w:r>
      <w:r>
        <w:rPr>
          <w:color w:val="000000"/>
        </w:rPr>
        <w:t>14</w:t>
      </w:r>
      <w:r>
        <w:rPr>
          <w:color w:val="000000"/>
        </w:rPr>
        <w:fldChar w:fldCharType="end"/>
      </w:r>
    </w:p>
    <w:p w14:paraId="5807B937">
      <w:pPr>
        <w:pStyle w:val="200"/>
        <w:tabs>
          <w:tab w:val="right" w:leader="dot" w:pos="8296"/>
        </w:tabs>
        <w:rPr>
          <w:i w:val="0"/>
          <w:color w:val="000000"/>
          <w:sz w:val="21"/>
          <w:szCs w:val="24"/>
        </w:rPr>
      </w:pPr>
      <w:r>
        <w:rPr>
          <w:rFonts w:eastAsia="仿宋_GB2312"/>
          <w:color w:val="000000"/>
        </w:rPr>
        <w:t>1.7.2</w:t>
      </w:r>
      <w:r>
        <w:rPr>
          <w:rFonts w:hint="eastAsia" w:eastAsia="仿宋_GB2312"/>
          <w:color w:val="000000"/>
        </w:rPr>
        <w:t>评价重点及评价时段</w:t>
      </w:r>
      <w:r>
        <w:rPr>
          <w:color w:val="000000"/>
        </w:rPr>
        <w:tab/>
      </w:r>
      <w:r>
        <w:rPr>
          <w:color w:val="000000"/>
        </w:rPr>
        <w:fldChar w:fldCharType="begin"/>
      </w:r>
      <w:r>
        <w:rPr>
          <w:color w:val="000000"/>
        </w:rPr>
        <w:instrText xml:space="preserve"> PAGEREF _Toc495500033 \h </w:instrText>
      </w:r>
      <w:r>
        <w:rPr>
          <w:color w:val="000000"/>
        </w:rPr>
        <w:fldChar w:fldCharType="separate"/>
      </w:r>
      <w:r>
        <w:rPr>
          <w:color w:val="000000"/>
        </w:rPr>
        <w:t>15</w:t>
      </w:r>
      <w:r>
        <w:rPr>
          <w:color w:val="000000"/>
        </w:rPr>
        <w:fldChar w:fldCharType="end"/>
      </w:r>
    </w:p>
    <w:p w14:paraId="6680B4CB">
      <w:pPr>
        <w:pStyle w:val="200"/>
        <w:tabs>
          <w:tab w:val="right" w:leader="dot" w:pos="8296"/>
        </w:tabs>
        <w:rPr>
          <w:i w:val="0"/>
          <w:color w:val="000000"/>
          <w:sz w:val="21"/>
          <w:szCs w:val="24"/>
        </w:rPr>
      </w:pPr>
      <w:r>
        <w:rPr>
          <w:rFonts w:eastAsia="仿宋_GB2312"/>
          <w:color w:val="000000"/>
        </w:rPr>
        <w:t>1.7.3</w:t>
      </w:r>
      <w:r>
        <w:rPr>
          <w:rFonts w:hint="eastAsia" w:eastAsia="仿宋_GB2312"/>
          <w:color w:val="000000"/>
        </w:rPr>
        <w:t>评价因子</w:t>
      </w:r>
      <w:r>
        <w:rPr>
          <w:color w:val="000000"/>
        </w:rPr>
        <w:tab/>
      </w:r>
      <w:r>
        <w:rPr>
          <w:color w:val="000000"/>
        </w:rPr>
        <w:fldChar w:fldCharType="begin"/>
      </w:r>
      <w:r>
        <w:rPr>
          <w:color w:val="000000"/>
        </w:rPr>
        <w:instrText xml:space="preserve"> PAGEREF _Toc495500034 \h </w:instrText>
      </w:r>
      <w:r>
        <w:rPr>
          <w:color w:val="000000"/>
        </w:rPr>
        <w:fldChar w:fldCharType="separate"/>
      </w:r>
      <w:r>
        <w:rPr>
          <w:color w:val="000000"/>
        </w:rPr>
        <w:t>15</w:t>
      </w:r>
      <w:r>
        <w:rPr>
          <w:color w:val="000000"/>
        </w:rPr>
        <w:fldChar w:fldCharType="end"/>
      </w:r>
    </w:p>
    <w:p w14:paraId="75A08A57">
      <w:pPr>
        <w:pStyle w:val="214"/>
        <w:tabs>
          <w:tab w:val="right" w:leader="dot" w:pos="8296"/>
        </w:tabs>
        <w:rPr>
          <w:smallCaps w:val="0"/>
          <w:color w:val="000000"/>
          <w:sz w:val="21"/>
          <w:szCs w:val="24"/>
        </w:rPr>
      </w:pPr>
      <w:r>
        <w:rPr>
          <w:color w:val="000000"/>
        </w:rPr>
        <w:t>1.8</w:t>
      </w:r>
      <w:r>
        <w:rPr>
          <w:rFonts w:hint="eastAsia"/>
          <w:color w:val="000000"/>
        </w:rPr>
        <w:t>评价工作程序</w:t>
      </w:r>
      <w:r>
        <w:rPr>
          <w:color w:val="000000"/>
        </w:rPr>
        <w:tab/>
      </w:r>
      <w:r>
        <w:rPr>
          <w:color w:val="000000"/>
        </w:rPr>
        <w:fldChar w:fldCharType="begin"/>
      </w:r>
      <w:r>
        <w:rPr>
          <w:color w:val="000000"/>
        </w:rPr>
        <w:instrText xml:space="preserve"> PAGEREF _Toc495500035 \h </w:instrText>
      </w:r>
      <w:r>
        <w:rPr>
          <w:color w:val="000000"/>
        </w:rPr>
        <w:fldChar w:fldCharType="separate"/>
      </w:r>
      <w:r>
        <w:rPr>
          <w:color w:val="000000"/>
        </w:rPr>
        <w:t>15</w:t>
      </w:r>
      <w:r>
        <w:rPr>
          <w:color w:val="000000"/>
        </w:rPr>
        <w:fldChar w:fldCharType="end"/>
      </w:r>
    </w:p>
    <w:p w14:paraId="517CE33E">
      <w:pPr>
        <w:pStyle w:val="208"/>
        <w:tabs>
          <w:tab w:val="right" w:leader="dot" w:pos="8296"/>
        </w:tabs>
        <w:rPr>
          <w:b w:val="0"/>
          <w:caps w:val="0"/>
          <w:color w:val="000000"/>
          <w:sz w:val="21"/>
          <w:szCs w:val="24"/>
        </w:rPr>
      </w:pPr>
      <w:r>
        <w:rPr>
          <w:rFonts w:eastAsia="仿宋_GB2312"/>
          <w:color w:val="000000"/>
        </w:rPr>
        <w:t>2</w:t>
      </w:r>
      <w:r>
        <w:rPr>
          <w:rFonts w:hint="eastAsia" w:eastAsia="仿宋_GB2312"/>
          <w:color w:val="000000"/>
        </w:rPr>
        <w:t>、建设项目概况</w:t>
      </w:r>
      <w:r>
        <w:rPr>
          <w:color w:val="000000"/>
        </w:rPr>
        <w:tab/>
      </w:r>
      <w:r>
        <w:rPr>
          <w:color w:val="000000"/>
        </w:rPr>
        <w:fldChar w:fldCharType="begin"/>
      </w:r>
      <w:r>
        <w:rPr>
          <w:color w:val="000000"/>
        </w:rPr>
        <w:instrText xml:space="preserve"> PAGEREF _Toc495500036 \h </w:instrText>
      </w:r>
      <w:r>
        <w:rPr>
          <w:color w:val="000000"/>
        </w:rPr>
        <w:fldChar w:fldCharType="separate"/>
      </w:r>
      <w:r>
        <w:rPr>
          <w:color w:val="000000"/>
        </w:rPr>
        <w:t>17</w:t>
      </w:r>
      <w:r>
        <w:rPr>
          <w:color w:val="000000"/>
        </w:rPr>
        <w:fldChar w:fldCharType="end"/>
      </w:r>
    </w:p>
    <w:p w14:paraId="5D7706EC">
      <w:pPr>
        <w:pStyle w:val="214"/>
        <w:tabs>
          <w:tab w:val="right" w:leader="dot" w:pos="8296"/>
        </w:tabs>
        <w:rPr>
          <w:smallCaps w:val="0"/>
          <w:color w:val="000000"/>
          <w:sz w:val="21"/>
          <w:szCs w:val="24"/>
        </w:rPr>
      </w:pPr>
      <w:r>
        <w:rPr>
          <w:rFonts w:eastAsia="仿宋_GB2312"/>
          <w:color w:val="000000"/>
        </w:rPr>
        <w:t>2.1</w:t>
      </w:r>
      <w:r>
        <w:rPr>
          <w:rFonts w:hint="eastAsia" w:eastAsia="仿宋_GB2312"/>
          <w:color w:val="000000"/>
        </w:rPr>
        <w:t>建设项目概况</w:t>
      </w:r>
      <w:r>
        <w:rPr>
          <w:color w:val="000000"/>
        </w:rPr>
        <w:tab/>
      </w:r>
      <w:r>
        <w:rPr>
          <w:color w:val="000000"/>
        </w:rPr>
        <w:fldChar w:fldCharType="begin"/>
      </w:r>
      <w:r>
        <w:rPr>
          <w:color w:val="000000"/>
        </w:rPr>
        <w:instrText xml:space="preserve"> PAGEREF _Toc495500037 \h </w:instrText>
      </w:r>
      <w:r>
        <w:rPr>
          <w:color w:val="000000"/>
        </w:rPr>
        <w:fldChar w:fldCharType="separate"/>
      </w:r>
      <w:r>
        <w:rPr>
          <w:color w:val="000000"/>
        </w:rPr>
        <w:t>17</w:t>
      </w:r>
      <w:r>
        <w:rPr>
          <w:color w:val="000000"/>
        </w:rPr>
        <w:fldChar w:fldCharType="end"/>
      </w:r>
    </w:p>
    <w:p w14:paraId="5F1058BC">
      <w:pPr>
        <w:pStyle w:val="200"/>
        <w:tabs>
          <w:tab w:val="right" w:leader="dot" w:pos="8296"/>
        </w:tabs>
        <w:rPr>
          <w:i w:val="0"/>
          <w:color w:val="000000"/>
          <w:sz w:val="21"/>
          <w:szCs w:val="24"/>
        </w:rPr>
      </w:pPr>
      <w:r>
        <w:rPr>
          <w:rFonts w:eastAsia="仿宋_GB2312"/>
          <w:color w:val="000000"/>
        </w:rPr>
        <w:t>2.1.1</w:t>
      </w:r>
      <w:r>
        <w:rPr>
          <w:rFonts w:hint="eastAsia" w:eastAsia="仿宋_GB2312"/>
          <w:color w:val="000000"/>
        </w:rPr>
        <w:t>原有项目概况</w:t>
      </w:r>
      <w:r>
        <w:rPr>
          <w:color w:val="000000"/>
        </w:rPr>
        <w:tab/>
      </w:r>
      <w:r>
        <w:rPr>
          <w:color w:val="000000"/>
        </w:rPr>
        <w:fldChar w:fldCharType="begin"/>
      </w:r>
      <w:r>
        <w:rPr>
          <w:color w:val="000000"/>
        </w:rPr>
        <w:instrText xml:space="preserve"> PAGEREF _Toc495500038 \h </w:instrText>
      </w:r>
      <w:r>
        <w:rPr>
          <w:color w:val="000000"/>
        </w:rPr>
        <w:fldChar w:fldCharType="separate"/>
      </w:r>
      <w:r>
        <w:rPr>
          <w:color w:val="000000"/>
        </w:rPr>
        <w:t>17</w:t>
      </w:r>
      <w:r>
        <w:rPr>
          <w:color w:val="000000"/>
        </w:rPr>
        <w:fldChar w:fldCharType="end"/>
      </w:r>
    </w:p>
    <w:p w14:paraId="2649C702">
      <w:pPr>
        <w:pStyle w:val="200"/>
        <w:tabs>
          <w:tab w:val="right" w:leader="dot" w:pos="8296"/>
        </w:tabs>
        <w:rPr>
          <w:i w:val="0"/>
          <w:color w:val="000000"/>
          <w:sz w:val="21"/>
          <w:szCs w:val="24"/>
        </w:rPr>
      </w:pPr>
      <w:r>
        <w:rPr>
          <w:rFonts w:eastAsia="仿宋_GB2312"/>
          <w:color w:val="000000"/>
        </w:rPr>
        <w:t>2.1.2</w:t>
      </w:r>
      <w:r>
        <w:rPr>
          <w:rFonts w:hint="eastAsia" w:eastAsia="仿宋_GB2312"/>
          <w:color w:val="000000"/>
        </w:rPr>
        <w:t>医院主要医疗设备</w:t>
      </w:r>
      <w:r>
        <w:rPr>
          <w:color w:val="000000"/>
        </w:rPr>
        <w:tab/>
      </w:r>
      <w:r>
        <w:rPr>
          <w:color w:val="000000"/>
        </w:rPr>
        <w:fldChar w:fldCharType="begin"/>
      </w:r>
      <w:r>
        <w:rPr>
          <w:color w:val="000000"/>
        </w:rPr>
        <w:instrText xml:space="preserve"> PAGEREF _Toc495500039 \h </w:instrText>
      </w:r>
      <w:r>
        <w:rPr>
          <w:color w:val="000000"/>
        </w:rPr>
        <w:fldChar w:fldCharType="separate"/>
      </w:r>
      <w:r>
        <w:rPr>
          <w:color w:val="000000"/>
        </w:rPr>
        <w:t>17</w:t>
      </w:r>
      <w:r>
        <w:rPr>
          <w:color w:val="000000"/>
        </w:rPr>
        <w:fldChar w:fldCharType="end"/>
      </w:r>
    </w:p>
    <w:p w14:paraId="2BA84225">
      <w:pPr>
        <w:pStyle w:val="200"/>
        <w:tabs>
          <w:tab w:val="right" w:leader="dot" w:pos="8296"/>
        </w:tabs>
        <w:rPr>
          <w:i w:val="0"/>
          <w:color w:val="000000"/>
          <w:sz w:val="21"/>
          <w:szCs w:val="24"/>
        </w:rPr>
      </w:pPr>
      <w:r>
        <w:rPr>
          <w:rFonts w:eastAsia="仿宋_GB2312"/>
          <w:color w:val="000000"/>
        </w:rPr>
        <w:t>2.1.3</w:t>
      </w:r>
      <w:r>
        <w:rPr>
          <w:rFonts w:hint="eastAsia" w:eastAsia="仿宋_GB2312"/>
          <w:color w:val="000000"/>
        </w:rPr>
        <w:t>生活设施</w:t>
      </w:r>
      <w:r>
        <w:rPr>
          <w:color w:val="000000"/>
        </w:rPr>
        <w:tab/>
      </w:r>
      <w:r>
        <w:rPr>
          <w:color w:val="000000"/>
        </w:rPr>
        <w:fldChar w:fldCharType="begin"/>
      </w:r>
      <w:r>
        <w:rPr>
          <w:color w:val="000000"/>
        </w:rPr>
        <w:instrText xml:space="preserve"> PAGEREF _Toc495500040 \h </w:instrText>
      </w:r>
      <w:r>
        <w:rPr>
          <w:color w:val="000000"/>
        </w:rPr>
        <w:fldChar w:fldCharType="separate"/>
      </w:r>
      <w:r>
        <w:rPr>
          <w:color w:val="000000"/>
        </w:rPr>
        <w:t>19</w:t>
      </w:r>
      <w:r>
        <w:rPr>
          <w:color w:val="000000"/>
        </w:rPr>
        <w:fldChar w:fldCharType="end"/>
      </w:r>
    </w:p>
    <w:p w14:paraId="2A69F5AB">
      <w:pPr>
        <w:pStyle w:val="200"/>
        <w:tabs>
          <w:tab w:val="right" w:leader="dot" w:pos="8296"/>
        </w:tabs>
        <w:rPr>
          <w:i w:val="0"/>
          <w:color w:val="000000"/>
          <w:sz w:val="21"/>
          <w:szCs w:val="24"/>
        </w:rPr>
      </w:pPr>
      <w:r>
        <w:rPr>
          <w:rFonts w:eastAsia="仿宋_GB2312"/>
          <w:color w:val="000000"/>
        </w:rPr>
        <w:t>2.1.4</w:t>
      </w:r>
      <w:r>
        <w:rPr>
          <w:rFonts w:hint="eastAsia" w:eastAsia="仿宋_GB2312"/>
          <w:color w:val="000000"/>
        </w:rPr>
        <w:t>项目区存在的污染情况及主要环境问题</w:t>
      </w:r>
      <w:r>
        <w:rPr>
          <w:color w:val="000000"/>
        </w:rPr>
        <w:tab/>
      </w:r>
      <w:r>
        <w:rPr>
          <w:color w:val="000000"/>
        </w:rPr>
        <w:fldChar w:fldCharType="begin"/>
      </w:r>
      <w:r>
        <w:rPr>
          <w:color w:val="000000"/>
        </w:rPr>
        <w:instrText xml:space="preserve"> PAGEREF _Toc495500041 \h </w:instrText>
      </w:r>
      <w:r>
        <w:rPr>
          <w:color w:val="000000"/>
        </w:rPr>
        <w:fldChar w:fldCharType="separate"/>
      </w:r>
      <w:r>
        <w:rPr>
          <w:color w:val="000000"/>
        </w:rPr>
        <w:t>19</w:t>
      </w:r>
      <w:r>
        <w:rPr>
          <w:color w:val="000000"/>
        </w:rPr>
        <w:fldChar w:fldCharType="end"/>
      </w:r>
    </w:p>
    <w:p w14:paraId="5F115736">
      <w:pPr>
        <w:pStyle w:val="200"/>
        <w:tabs>
          <w:tab w:val="right" w:leader="dot" w:pos="8296"/>
        </w:tabs>
        <w:rPr>
          <w:i w:val="0"/>
          <w:color w:val="000000"/>
          <w:sz w:val="21"/>
          <w:szCs w:val="24"/>
        </w:rPr>
      </w:pPr>
      <w:r>
        <w:rPr>
          <w:rFonts w:eastAsia="仿宋_GB2312"/>
          <w:color w:val="000000"/>
        </w:rPr>
        <w:t>2.2.1</w:t>
      </w:r>
      <w:r>
        <w:rPr>
          <w:rFonts w:hint="eastAsia" w:eastAsia="仿宋_GB2312"/>
          <w:color w:val="000000"/>
        </w:rPr>
        <w:t>迁建项目名称、性质和地点</w:t>
      </w:r>
      <w:r>
        <w:rPr>
          <w:color w:val="000000"/>
        </w:rPr>
        <w:tab/>
      </w:r>
      <w:r>
        <w:rPr>
          <w:color w:val="000000"/>
        </w:rPr>
        <w:fldChar w:fldCharType="begin"/>
      </w:r>
      <w:r>
        <w:rPr>
          <w:color w:val="000000"/>
        </w:rPr>
        <w:instrText xml:space="preserve"> PAGEREF _Toc495500042 \h </w:instrText>
      </w:r>
      <w:r>
        <w:rPr>
          <w:color w:val="000000"/>
        </w:rPr>
        <w:fldChar w:fldCharType="separate"/>
      </w:r>
      <w:r>
        <w:rPr>
          <w:color w:val="000000"/>
        </w:rPr>
        <w:t>23</w:t>
      </w:r>
      <w:r>
        <w:rPr>
          <w:color w:val="000000"/>
        </w:rPr>
        <w:fldChar w:fldCharType="end"/>
      </w:r>
    </w:p>
    <w:p w14:paraId="694AE0FB">
      <w:pPr>
        <w:pStyle w:val="200"/>
        <w:tabs>
          <w:tab w:val="right" w:leader="dot" w:pos="8296"/>
        </w:tabs>
        <w:rPr>
          <w:i w:val="0"/>
          <w:color w:val="000000"/>
          <w:sz w:val="21"/>
          <w:szCs w:val="24"/>
        </w:rPr>
      </w:pPr>
      <w:r>
        <w:rPr>
          <w:rFonts w:eastAsia="仿宋_GB2312"/>
          <w:color w:val="000000"/>
        </w:rPr>
        <w:t>2.2.2</w:t>
      </w:r>
      <w:r>
        <w:rPr>
          <w:rFonts w:hint="eastAsia" w:eastAsia="仿宋_GB2312"/>
          <w:color w:val="000000"/>
        </w:rPr>
        <w:t>建设规模、内容及工程投资</w:t>
      </w:r>
      <w:r>
        <w:rPr>
          <w:color w:val="000000"/>
        </w:rPr>
        <w:tab/>
      </w:r>
      <w:r>
        <w:rPr>
          <w:color w:val="000000"/>
        </w:rPr>
        <w:fldChar w:fldCharType="begin"/>
      </w:r>
      <w:r>
        <w:rPr>
          <w:color w:val="000000"/>
        </w:rPr>
        <w:instrText xml:space="preserve"> PAGEREF _Toc495500043 \h </w:instrText>
      </w:r>
      <w:r>
        <w:rPr>
          <w:color w:val="000000"/>
        </w:rPr>
        <w:fldChar w:fldCharType="separate"/>
      </w:r>
      <w:r>
        <w:rPr>
          <w:color w:val="000000"/>
        </w:rPr>
        <w:t>23</w:t>
      </w:r>
      <w:r>
        <w:rPr>
          <w:color w:val="000000"/>
        </w:rPr>
        <w:fldChar w:fldCharType="end"/>
      </w:r>
    </w:p>
    <w:p w14:paraId="6BFEB483">
      <w:pPr>
        <w:pStyle w:val="200"/>
        <w:tabs>
          <w:tab w:val="right" w:leader="dot" w:pos="8296"/>
        </w:tabs>
        <w:rPr>
          <w:i w:val="0"/>
          <w:color w:val="000000"/>
          <w:sz w:val="21"/>
          <w:szCs w:val="24"/>
        </w:rPr>
      </w:pPr>
      <w:r>
        <w:rPr>
          <w:rFonts w:eastAsia="仿宋_GB2312"/>
          <w:color w:val="000000"/>
        </w:rPr>
        <w:t>2.2.3</w:t>
      </w:r>
      <w:r>
        <w:rPr>
          <w:rFonts w:hint="eastAsia" w:eastAsia="仿宋_GB2312"/>
          <w:color w:val="000000"/>
        </w:rPr>
        <w:t>公辅设施</w:t>
      </w:r>
      <w:r>
        <w:rPr>
          <w:color w:val="000000"/>
        </w:rPr>
        <w:tab/>
      </w:r>
      <w:r>
        <w:rPr>
          <w:color w:val="000000"/>
        </w:rPr>
        <w:fldChar w:fldCharType="begin"/>
      </w:r>
      <w:r>
        <w:rPr>
          <w:color w:val="000000"/>
        </w:rPr>
        <w:instrText xml:space="preserve"> PAGEREF _Toc495500044 \h </w:instrText>
      </w:r>
      <w:r>
        <w:rPr>
          <w:color w:val="000000"/>
        </w:rPr>
        <w:fldChar w:fldCharType="separate"/>
      </w:r>
      <w:r>
        <w:rPr>
          <w:color w:val="000000"/>
        </w:rPr>
        <w:t>26</w:t>
      </w:r>
      <w:r>
        <w:rPr>
          <w:color w:val="000000"/>
        </w:rPr>
        <w:fldChar w:fldCharType="end"/>
      </w:r>
    </w:p>
    <w:p w14:paraId="12399678">
      <w:pPr>
        <w:pStyle w:val="200"/>
        <w:tabs>
          <w:tab w:val="right" w:leader="dot" w:pos="8296"/>
        </w:tabs>
        <w:rPr>
          <w:i w:val="0"/>
          <w:color w:val="000000"/>
          <w:sz w:val="21"/>
          <w:szCs w:val="24"/>
        </w:rPr>
      </w:pPr>
      <w:r>
        <w:rPr>
          <w:rFonts w:eastAsia="仿宋_GB2312"/>
          <w:color w:val="000000"/>
        </w:rPr>
        <w:t>2.2.4</w:t>
      </w:r>
      <w:r>
        <w:rPr>
          <w:rFonts w:hint="eastAsia" w:eastAsia="仿宋_GB2312"/>
          <w:color w:val="000000"/>
        </w:rPr>
        <w:t>工程定员和劳动制度</w:t>
      </w:r>
      <w:r>
        <w:rPr>
          <w:color w:val="000000"/>
        </w:rPr>
        <w:tab/>
      </w:r>
      <w:r>
        <w:rPr>
          <w:color w:val="000000"/>
        </w:rPr>
        <w:fldChar w:fldCharType="begin"/>
      </w:r>
      <w:r>
        <w:rPr>
          <w:color w:val="000000"/>
        </w:rPr>
        <w:instrText xml:space="preserve"> PAGEREF _Toc495500045 \h </w:instrText>
      </w:r>
      <w:r>
        <w:rPr>
          <w:color w:val="000000"/>
        </w:rPr>
        <w:fldChar w:fldCharType="separate"/>
      </w:r>
      <w:r>
        <w:rPr>
          <w:color w:val="000000"/>
        </w:rPr>
        <w:t>28</w:t>
      </w:r>
      <w:r>
        <w:rPr>
          <w:color w:val="000000"/>
        </w:rPr>
        <w:fldChar w:fldCharType="end"/>
      </w:r>
    </w:p>
    <w:p w14:paraId="7E9441B7">
      <w:pPr>
        <w:pStyle w:val="200"/>
        <w:tabs>
          <w:tab w:val="right" w:leader="dot" w:pos="8296"/>
        </w:tabs>
        <w:rPr>
          <w:i w:val="0"/>
          <w:color w:val="000000"/>
          <w:sz w:val="21"/>
          <w:szCs w:val="24"/>
        </w:rPr>
      </w:pPr>
      <w:r>
        <w:rPr>
          <w:rFonts w:eastAsia="仿宋_GB2312"/>
          <w:color w:val="000000"/>
        </w:rPr>
        <w:t>2.2.5</w:t>
      </w:r>
      <w:r>
        <w:rPr>
          <w:rFonts w:hint="eastAsia" w:eastAsia="仿宋_GB2312"/>
          <w:color w:val="000000"/>
        </w:rPr>
        <w:t>主要生产设备配置</w:t>
      </w:r>
      <w:r>
        <w:rPr>
          <w:color w:val="000000"/>
        </w:rPr>
        <w:tab/>
      </w:r>
      <w:r>
        <w:rPr>
          <w:color w:val="000000"/>
        </w:rPr>
        <w:fldChar w:fldCharType="begin"/>
      </w:r>
      <w:r>
        <w:rPr>
          <w:color w:val="000000"/>
        </w:rPr>
        <w:instrText xml:space="preserve"> PAGEREF _Toc495500046 \h </w:instrText>
      </w:r>
      <w:r>
        <w:rPr>
          <w:color w:val="000000"/>
        </w:rPr>
        <w:fldChar w:fldCharType="separate"/>
      </w:r>
      <w:r>
        <w:rPr>
          <w:color w:val="000000"/>
        </w:rPr>
        <w:t>28</w:t>
      </w:r>
      <w:r>
        <w:rPr>
          <w:color w:val="000000"/>
        </w:rPr>
        <w:fldChar w:fldCharType="end"/>
      </w:r>
    </w:p>
    <w:p w14:paraId="7982A4AE">
      <w:pPr>
        <w:pStyle w:val="200"/>
        <w:tabs>
          <w:tab w:val="right" w:leader="dot" w:pos="8296"/>
        </w:tabs>
        <w:rPr>
          <w:i w:val="0"/>
          <w:color w:val="000000"/>
          <w:sz w:val="21"/>
          <w:szCs w:val="24"/>
        </w:rPr>
      </w:pPr>
      <w:r>
        <w:rPr>
          <w:rFonts w:eastAsia="仿宋_GB2312"/>
          <w:color w:val="000000"/>
        </w:rPr>
        <w:t>2.2.6</w:t>
      </w:r>
      <w:r>
        <w:rPr>
          <w:rFonts w:hint="eastAsia" w:eastAsia="仿宋_GB2312"/>
          <w:color w:val="000000"/>
        </w:rPr>
        <w:t>平面布置及环保设施布局情况</w:t>
      </w:r>
      <w:r>
        <w:rPr>
          <w:color w:val="000000"/>
        </w:rPr>
        <w:tab/>
      </w:r>
      <w:r>
        <w:rPr>
          <w:color w:val="000000"/>
        </w:rPr>
        <w:fldChar w:fldCharType="begin"/>
      </w:r>
      <w:r>
        <w:rPr>
          <w:color w:val="000000"/>
        </w:rPr>
        <w:instrText xml:space="preserve"> PAGEREF _Toc495500047 \h </w:instrText>
      </w:r>
      <w:r>
        <w:rPr>
          <w:color w:val="000000"/>
        </w:rPr>
        <w:fldChar w:fldCharType="separate"/>
      </w:r>
      <w:r>
        <w:rPr>
          <w:color w:val="000000"/>
        </w:rPr>
        <w:t>31</w:t>
      </w:r>
      <w:r>
        <w:rPr>
          <w:color w:val="000000"/>
        </w:rPr>
        <w:fldChar w:fldCharType="end"/>
      </w:r>
    </w:p>
    <w:p w14:paraId="2EBB9AE8">
      <w:pPr>
        <w:pStyle w:val="200"/>
        <w:tabs>
          <w:tab w:val="right" w:leader="dot" w:pos="8296"/>
        </w:tabs>
        <w:rPr>
          <w:i w:val="0"/>
          <w:color w:val="000000"/>
          <w:sz w:val="21"/>
          <w:szCs w:val="24"/>
        </w:rPr>
      </w:pPr>
      <w:r>
        <w:rPr>
          <w:rFonts w:eastAsia="仿宋_GB2312"/>
          <w:color w:val="000000"/>
        </w:rPr>
        <w:t>2.2.7</w:t>
      </w:r>
      <w:r>
        <w:rPr>
          <w:rFonts w:hint="eastAsia" w:eastAsia="仿宋_GB2312"/>
          <w:color w:val="000000"/>
        </w:rPr>
        <w:t>项目建设用地现状</w:t>
      </w:r>
      <w:r>
        <w:rPr>
          <w:color w:val="000000"/>
        </w:rPr>
        <w:tab/>
      </w:r>
      <w:r>
        <w:rPr>
          <w:color w:val="000000"/>
        </w:rPr>
        <w:fldChar w:fldCharType="begin"/>
      </w:r>
      <w:r>
        <w:rPr>
          <w:color w:val="000000"/>
        </w:rPr>
        <w:instrText xml:space="preserve"> PAGEREF _Toc495500048 \h </w:instrText>
      </w:r>
      <w:r>
        <w:rPr>
          <w:color w:val="000000"/>
        </w:rPr>
        <w:fldChar w:fldCharType="separate"/>
      </w:r>
      <w:r>
        <w:rPr>
          <w:color w:val="000000"/>
        </w:rPr>
        <w:t>32</w:t>
      </w:r>
      <w:r>
        <w:rPr>
          <w:color w:val="000000"/>
        </w:rPr>
        <w:fldChar w:fldCharType="end"/>
      </w:r>
    </w:p>
    <w:p w14:paraId="30098B10">
      <w:pPr>
        <w:pStyle w:val="200"/>
        <w:tabs>
          <w:tab w:val="right" w:leader="dot" w:pos="8296"/>
        </w:tabs>
        <w:rPr>
          <w:i w:val="0"/>
          <w:color w:val="000000"/>
          <w:sz w:val="21"/>
          <w:szCs w:val="24"/>
        </w:rPr>
      </w:pPr>
      <w:r>
        <w:rPr>
          <w:rFonts w:eastAsia="仿宋_GB2312"/>
          <w:color w:val="000000"/>
        </w:rPr>
        <w:t>2.2.8</w:t>
      </w:r>
      <w:r>
        <w:rPr>
          <w:rFonts w:hint="eastAsia" w:eastAsia="仿宋_GB2312"/>
          <w:color w:val="000000"/>
        </w:rPr>
        <w:t>项目施工布置</w:t>
      </w:r>
      <w:r>
        <w:rPr>
          <w:color w:val="000000"/>
        </w:rPr>
        <w:tab/>
      </w:r>
      <w:r>
        <w:rPr>
          <w:color w:val="000000"/>
        </w:rPr>
        <w:fldChar w:fldCharType="begin"/>
      </w:r>
      <w:r>
        <w:rPr>
          <w:color w:val="000000"/>
        </w:rPr>
        <w:instrText xml:space="preserve"> PAGEREF _Toc495500049 \h </w:instrText>
      </w:r>
      <w:r>
        <w:rPr>
          <w:color w:val="000000"/>
        </w:rPr>
        <w:fldChar w:fldCharType="separate"/>
      </w:r>
      <w:r>
        <w:rPr>
          <w:color w:val="000000"/>
        </w:rPr>
        <w:t>32</w:t>
      </w:r>
      <w:r>
        <w:rPr>
          <w:color w:val="000000"/>
        </w:rPr>
        <w:fldChar w:fldCharType="end"/>
      </w:r>
    </w:p>
    <w:p w14:paraId="7F9CEB40">
      <w:pPr>
        <w:pStyle w:val="208"/>
        <w:tabs>
          <w:tab w:val="right" w:leader="dot" w:pos="8296"/>
        </w:tabs>
        <w:rPr>
          <w:b w:val="0"/>
          <w:caps w:val="0"/>
          <w:color w:val="000000"/>
          <w:sz w:val="21"/>
          <w:szCs w:val="24"/>
        </w:rPr>
      </w:pPr>
      <w:r>
        <w:rPr>
          <w:rFonts w:eastAsia="仿宋_GB2312"/>
          <w:color w:val="000000"/>
        </w:rPr>
        <w:t>3</w:t>
      </w:r>
      <w:r>
        <w:rPr>
          <w:rFonts w:hint="eastAsia" w:eastAsia="仿宋_GB2312"/>
          <w:color w:val="000000"/>
        </w:rPr>
        <w:t>、工程分析</w:t>
      </w:r>
      <w:r>
        <w:rPr>
          <w:color w:val="000000"/>
        </w:rPr>
        <w:tab/>
      </w:r>
      <w:r>
        <w:rPr>
          <w:color w:val="000000"/>
        </w:rPr>
        <w:fldChar w:fldCharType="begin"/>
      </w:r>
      <w:r>
        <w:rPr>
          <w:color w:val="000000"/>
        </w:rPr>
        <w:instrText xml:space="preserve"> PAGEREF _Toc495500050 \h </w:instrText>
      </w:r>
      <w:r>
        <w:rPr>
          <w:color w:val="000000"/>
        </w:rPr>
        <w:fldChar w:fldCharType="separate"/>
      </w:r>
      <w:r>
        <w:rPr>
          <w:color w:val="000000"/>
        </w:rPr>
        <w:t>34</w:t>
      </w:r>
      <w:r>
        <w:rPr>
          <w:color w:val="000000"/>
        </w:rPr>
        <w:fldChar w:fldCharType="end"/>
      </w:r>
    </w:p>
    <w:p w14:paraId="17B961B2">
      <w:pPr>
        <w:pStyle w:val="214"/>
        <w:tabs>
          <w:tab w:val="right" w:leader="dot" w:pos="8296"/>
        </w:tabs>
        <w:rPr>
          <w:smallCaps w:val="0"/>
          <w:color w:val="000000"/>
          <w:sz w:val="21"/>
          <w:szCs w:val="24"/>
        </w:rPr>
      </w:pPr>
      <w:r>
        <w:rPr>
          <w:rFonts w:eastAsia="仿宋_GB2312"/>
          <w:color w:val="000000"/>
        </w:rPr>
        <w:t>3.1</w:t>
      </w:r>
      <w:r>
        <w:rPr>
          <w:rFonts w:hint="eastAsia" w:eastAsia="仿宋_GB2312"/>
          <w:color w:val="000000"/>
        </w:rPr>
        <w:t>产业政策符合性分析</w:t>
      </w:r>
      <w:r>
        <w:rPr>
          <w:color w:val="000000"/>
        </w:rPr>
        <w:tab/>
      </w:r>
      <w:r>
        <w:rPr>
          <w:color w:val="000000"/>
        </w:rPr>
        <w:fldChar w:fldCharType="begin"/>
      </w:r>
      <w:r>
        <w:rPr>
          <w:color w:val="000000"/>
        </w:rPr>
        <w:instrText xml:space="preserve"> PAGEREF _Toc495500051 \h </w:instrText>
      </w:r>
      <w:r>
        <w:rPr>
          <w:color w:val="000000"/>
        </w:rPr>
        <w:fldChar w:fldCharType="separate"/>
      </w:r>
      <w:r>
        <w:rPr>
          <w:color w:val="000000"/>
        </w:rPr>
        <w:t>34</w:t>
      </w:r>
      <w:r>
        <w:rPr>
          <w:color w:val="000000"/>
        </w:rPr>
        <w:fldChar w:fldCharType="end"/>
      </w:r>
    </w:p>
    <w:p w14:paraId="5E1B2849">
      <w:pPr>
        <w:pStyle w:val="214"/>
        <w:tabs>
          <w:tab w:val="right" w:leader="dot" w:pos="8296"/>
        </w:tabs>
        <w:rPr>
          <w:smallCaps w:val="0"/>
          <w:color w:val="000000"/>
          <w:sz w:val="21"/>
          <w:szCs w:val="24"/>
        </w:rPr>
      </w:pPr>
      <w:r>
        <w:rPr>
          <w:rFonts w:eastAsia="仿宋_GB2312"/>
          <w:color w:val="000000"/>
        </w:rPr>
        <w:t>3.2</w:t>
      </w:r>
      <w:r>
        <w:rPr>
          <w:rFonts w:hint="eastAsia" w:eastAsia="仿宋_GB2312"/>
          <w:color w:val="000000"/>
        </w:rPr>
        <w:t>与相关规划相符性分析</w:t>
      </w:r>
      <w:r>
        <w:rPr>
          <w:color w:val="000000"/>
        </w:rPr>
        <w:tab/>
      </w:r>
      <w:r>
        <w:rPr>
          <w:color w:val="000000"/>
        </w:rPr>
        <w:fldChar w:fldCharType="begin"/>
      </w:r>
      <w:r>
        <w:rPr>
          <w:color w:val="000000"/>
        </w:rPr>
        <w:instrText xml:space="preserve"> PAGEREF _Toc495500052 \h </w:instrText>
      </w:r>
      <w:r>
        <w:rPr>
          <w:color w:val="000000"/>
        </w:rPr>
        <w:fldChar w:fldCharType="separate"/>
      </w:r>
      <w:r>
        <w:rPr>
          <w:color w:val="000000"/>
        </w:rPr>
        <w:t>34</w:t>
      </w:r>
      <w:r>
        <w:rPr>
          <w:color w:val="000000"/>
        </w:rPr>
        <w:fldChar w:fldCharType="end"/>
      </w:r>
    </w:p>
    <w:p w14:paraId="166B12A4">
      <w:pPr>
        <w:pStyle w:val="214"/>
        <w:tabs>
          <w:tab w:val="right" w:leader="dot" w:pos="8296"/>
        </w:tabs>
        <w:rPr>
          <w:smallCaps w:val="0"/>
          <w:color w:val="000000"/>
          <w:sz w:val="21"/>
          <w:szCs w:val="24"/>
        </w:rPr>
      </w:pPr>
      <w:r>
        <w:rPr>
          <w:rFonts w:eastAsia="仿宋_GB2312"/>
          <w:color w:val="000000"/>
        </w:rPr>
        <w:t>3.3</w:t>
      </w:r>
      <w:r>
        <w:rPr>
          <w:rFonts w:hint="eastAsia" w:eastAsia="仿宋_GB2312"/>
          <w:color w:val="000000"/>
        </w:rPr>
        <w:t>选址合理性分析</w:t>
      </w:r>
      <w:r>
        <w:rPr>
          <w:color w:val="000000"/>
        </w:rPr>
        <w:tab/>
      </w:r>
      <w:r>
        <w:rPr>
          <w:color w:val="000000"/>
        </w:rPr>
        <w:fldChar w:fldCharType="begin"/>
      </w:r>
      <w:r>
        <w:rPr>
          <w:color w:val="000000"/>
        </w:rPr>
        <w:instrText xml:space="preserve"> PAGEREF _Toc495500053 \h </w:instrText>
      </w:r>
      <w:r>
        <w:rPr>
          <w:color w:val="000000"/>
        </w:rPr>
        <w:fldChar w:fldCharType="separate"/>
      </w:r>
      <w:r>
        <w:rPr>
          <w:color w:val="000000"/>
        </w:rPr>
        <w:t>35</w:t>
      </w:r>
      <w:r>
        <w:rPr>
          <w:color w:val="000000"/>
        </w:rPr>
        <w:fldChar w:fldCharType="end"/>
      </w:r>
    </w:p>
    <w:p w14:paraId="17117DA5">
      <w:pPr>
        <w:pStyle w:val="214"/>
        <w:tabs>
          <w:tab w:val="right" w:leader="dot" w:pos="8296"/>
        </w:tabs>
        <w:rPr>
          <w:smallCaps w:val="0"/>
          <w:color w:val="000000"/>
          <w:sz w:val="21"/>
          <w:szCs w:val="24"/>
        </w:rPr>
      </w:pPr>
      <w:r>
        <w:rPr>
          <w:rFonts w:eastAsia="仿宋_GB2312"/>
          <w:color w:val="000000"/>
        </w:rPr>
        <w:t>3.4</w:t>
      </w:r>
      <w:r>
        <w:rPr>
          <w:rFonts w:hint="eastAsia" w:eastAsia="仿宋_GB2312"/>
          <w:color w:val="000000"/>
        </w:rPr>
        <w:t>布局合理性分析</w:t>
      </w:r>
      <w:r>
        <w:rPr>
          <w:color w:val="000000"/>
        </w:rPr>
        <w:tab/>
      </w:r>
      <w:r>
        <w:rPr>
          <w:color w:val="000000"/>
        </w:rPr>
        <w:fldChar w:fldCharType="begin"/>
      </w:r>
      <w:r>
        <w:rPr>
          <w:color w:val="000000"/>
        </w:rPr>
        <w:instrText xml:space="preserve"> PAGEREF _Toc495500054 \h </w:instrText>
      </w:r>
      <w:r>
        <w:rPr>
          <w:color w:val="000000"/>
        </w:rPr>
        <w:fldChar w:fldCharType="separate"/>
      </w:r>
      <w:r>
        <w:rPr>
          <w:color w:val="000000"/>
        </w:rPr>
        <w:t>36</w:t>
      </w:r>
      <w:r>
        <w:rPr>
          <w:color w:val="000000"/>
        </w:rPr>
        <w:fldChar w:fldCharType="end"/>
      </w:r>
    </w:p>
    <w:p w14:paraId="13F9077D">
      <w:pPr>
        <w:pStyle w:val="200"/>
        <w:tabs>
          <w:tab w:val="right" w:leader="dot" w:pos="8296"/>
        </w:tabs>
        <w:rPr>
          <w:i w:val="0"/>
          <w:color w:val="000000"/>
          <w:sz w:val="21"/>
          <w:szCs w:val="24"/>
        </w:rPr>
      </w:pPr>
      <w:r>
        <w:rPr>
          <w:rFonts w:eastAsia="仿宋_GB2312"/>
          <w:color w:val="000000"/>
        </w:rPr>
        <w:t>3.4.1</w:t>
      </w:r>
      <w:r>
        <w:rPr>
          <w:rFonts w:hint="eastAsia" w:eastAsia="仿宋_GB2312"/>
          <w:color w:val="000000"/>
        </w:rPr>
        <w:t>功能布局合理性分析</w:t>
      </w:r>
      <w:r>
        <w:rPr>
          <w:color w:val="000000"/>
        </w:rPr>
        <w:tab/>
      </w:r>
      <w:r>
        <w:rPr>
          <w:color w:val="000000"/>
        </w:rPr>
        <w:fldChar w:fldCharType="begin"/>
      </w:r>
      <w:r>
        <w:rPr>
          <w:color w:val="000000"/>
        </w:rPr>
        <w:instrText xml:space="preserve"> PAGEREF _Toc495500055 \h </w:instrText>
      </w:r>
      <w:r>
        <w:rPr>
          <w:color w:val="000000"/>
        </w:rPr>
        <w:fldChar w:fldCharType="separate"/>
      </w:r>
      <w:r>
        <w:rPr>
          <w:color w:val="000000"/>
        </w:rPr>
        <w:t>36</w:t>
      </w:r>
      <w:r>
        <w:rPr>
          <w:color w:val="000000"/>
        </w:rPr>
        <w:fldChar w:fldCharType="end"/>
      </w:r>
    </w:p>
    <w:p w14:paraId="397D12D8">
      <w:pPr>
        <w:pStyle w:val="200"/>
        <w:tabs>
          <w:tab w:val="right" w:leader="dot" w:pos="8296"/>
        </w:tabs>
        <w:rPr>
          <w:i w:val="0"/>
          <w:color w:val="000000"/>
          <w:sz w:val="21"/>
          <w:szCs w:val="24"/>
        </w:rPr>
      </w:pPr>
      <w:r>
        <w:rPr>
          <w:rFonts w:eastAsia="仿宋_GB2312"/>
          <w:color w:val="000000"/>
        </w:rPr>
        <w:t>3.4.2</w:t>
      </w:r>
      <w:r>
        <w:rPr>
          <w:rFonts w:hint="eastAsia" w:eastAsia="仿宋_GB2312"/>
          <w:color w:val="000000"/>
        </w:rPr>
        <w:t>道路交通布局合理性分析</w:t>
      </w:r>
      <w:r>
        <w:rPr>
          <w:color w:val="000000"/>
        </w:rPr>
        <w:tab/>
      </w:r>
      <w:r>
        <w:rPr>
          <w:color w:val="000000"/>
        </w:rPr>
        <w:fldChar w:fldCharType="begin"/>
      </w:r>
      <w:r>
        <w:rPr>
          <w:color w:val="000000"/>
        </w:rPr>
        <w:instrText xml:space="preserve"> PAGEREF _Toc495500056 \h </w:instrText>
      </w:r>
      <w:r>
        <w:rPr>
          <w:color w:val="000000"/>
        </w:rPr>
        <w:fldChar w:fldCharType="separate"/>
      </w:r>
      <w:r>
        <w:rPr>
          <w:color w:val="000000"/>
        </w:rPr>
        <w:t>37</w:t>
      </w:r>
      <w:r>
        <w:rPr>
          <w:color w:val="000000"/>
        </w:rPr>
        <w:fldChar w:fldCharType="end"/>
      </w:r>
    </w:p>
    <w:p w14:paraId="65814069">
      <w:pPr>
        <w:pStyle w:val="200"/>
        <w:tabs>
          <w:tab w:val="right" w:leader="dot" w:pos="8296"/>
        </w:tabs>
        <w:rPr>
          <w:i w:val="0"/>
          <w:color w:val="000000"/>
          <w:sz w:val="21"/>
          <w:szCs w:val="24"/>
        </w:rPr>
      </w:pPr>
      <w:r>
        <w:rPr>
          <w:rFonts w:eastAsia="仿宋_GB2312"/>
          <w:color w:val="000000"/>
        </w:rPr>
        <w:t>3.4.3</w:t>
      </w:r>
      <w:r>
        <w:rPr>
          <w:rFonts w:hint="eastAsia" w:eastAsia="仿宋_GB2312"/>
          <w:color w:val="000000"/>
        </w:rPr>
        <w:t>总体布局合理性分析</w:t>
      </w:r>
      <w:r>
        <w:rPr>
          <w:color w:val="000000"/>
        </w:rPr>
        <w:tab/>
      </w:r>
      <w:r>
        <w:rPr>
          <w:color w:val="000000"/>
        </w:rPr>
        <w:fldChar w:fldCharType="begin"/>
      </w:r>
      <w:r>
        <w:rPr>
          <w:color w:val="000000"/>
        </w:rPr>
        <w:instrText xml:space="preserve"> PAGEREF _Toc495500057 \h </w:instrText>
      </w:r>
      <w:r>
        <w:rPr>
          <w:color w:val="000000"/>
        </w:rPr>
        <w:fldChar w:fldCharType="separate"/>
      </w:r>
      <w:r>
        <w:rPr>
          <w:color w:val="000000"/>
        </w:rPr>
        <w:t>37</w:t>
      </w:r>
      <w:r>
        <w:rPr>
          <w:color w:val="000000"/>
        </w:rPr>
        <w:fldChar w:fldCharType="end"/>
      </w:r>
    </w:p>
    <w:p w14:paraId="4AC5726A">
      <w:pPr>
        <w:pStyle w:val="214"/>
        <w:tabs>
          <w:tab w:val="right" w:leader="dot" w:pos="8296"/>
        </w:tabs>
        <w:rPr>
          <w:smallCaps w:val="0"/>
          <w:color w:val="000000"/>
          <w:sz w:val="21"/>
          <w:szCs w:val="24"/>
        </w:rPr>
      </w:pPr>
      <w:r>
        <w:rPr>
          <w:rFonts w:eastAsia="仿宋_GB2312"/>
          <w:color w:val="000000"/>
        </w:rPr>
        <w:t>3.5</w:t>
      </w:r>
      <w:r>
        <w:rPr>
          <w:rFonts w:hint="eastAsia" w:eastAsia="仿宋_GB2312"/>
          <w:color w:val="000000"/>
        </w:rPr>
        <w:t>污染源识别</w:t>
      </w:r>
      <w:r>
        <w:rPr>
          <w:color w:val="000000"/>
        </w:rPr>
        <w:tab/>
      </w:r>
      <w:r>
        <w:rPr>
          <w:color w:val="000000"/>
        </w:rPr>
        <w:fldChar w:fldCharType="begin"/>
      </w:r>
      <w:r>
        <w:rPr>
          <w:color w:val="000000"/>
        </w:rPr>
        <w:instrText xml:space="preserve"> PAGEREF _Toc495500058 \h </w:instrText>
      </w:r>
      <w:r>
        <w:rPr>
          <w:color w:val="000000"/>
        </w:rPr>
        <w:fldChar w:fldCharType="separate"/>
      </w:r>
      <w:r>
        <w:rPr>
          <w:color w:val="000000"/>
        </w:rPr>
        <w:t>38</w:t>
      </w:r>
      <w:r>
        <w:rPr>
          <w:color w:val="000000"/>
        </w:rPr>
        <w:fldChar w:fldCharType="end"/>
      </w:r>
    </w:p>
    <w:p w14:paraId="1509B32D">
      <w:pPr>
        <w:pStyle w:val="214"/>
        <w:tabs>
          <w:tab w:val="right" w:leader="dot" w:pos="8296"/>
        </w:tabs>
        <w:rPr>
          <w:smallCaps w:val="0"/>
          <w:color w:val="000000"/>
          <w:sz w:val="21"/>
          <w:szCs w:val="24"/>
        </w:rPr>
      </w:pPr>
      <w:r>
        <w:rPr>
          <w:rFonts w:eastAsia="仿宋_GB2312"/>
          <w:color w:val="000000"/>
        </w:rPr>
        <w:t>3.6</w:t>
      </w:r>
      <w:r>
        <w:rPr>
          <w:rFonts w:hint="eastAsia" w:eastAsia="仿宋_GB2312"/>
          <w:color w:val="000000"/>
        </w:rPr>
        <w:t>施工期产污核算</w:t>
      </w:r>
      <w:r>
        <w:rPr>
          <w:color w:val="000000"/>
        </w:rPr>
        <w:tab/>
      </w:r>
      <w:r>
        <w:rPr>
          <w:color w:val="000000"/>
        </w:rPr>
        <w:fldChar w:fldCharType="begin"/>
      </w:r>
      <w:r>
        <w:rPr>
          <w:color w:val="000000"/>
        </w:rPr>
        <w:instrText xml:space="preserve"> PAGEREF _Toc495500059 \h </w:instrText>
      </w:r>
      <w:r>
        <w:rPr>
          <w:color w:val="000000"/>
        </w:rPr>
        <w:fldChar w:fldCharType="separate"/>
      </w:r>
      <w:r>
        <w:rPr>
          <w:color w:val="000000"/>
        </w:rPr>
        <w:t>41</w:t>
      </w:r>
      <w:r>
        <w:rPr>
          <w:color w:val="000000"/>
        </w:rPr>
        <w:fldChar w:fldCharType="end"/>
      </w:r>
    </w:p>
    <w:p w14:paraId="20F84710">
      <w:pPr>
        <w:pStyle w:val="200"/>
        <w:tabs>
          <w:tab w:val="right" w:leader="dot" w:pos="8296"/>
        </w:tabs>
        <w:rPr>
          <w:i w:val="0"/>
          <w:color w:val="000000"/>
          <w:sz w:val="21"/>
          <w:szCs w:val="24"/>
        </w:rPr>
      </w:pPr>
      <w:r>
        <w:rPr>
          <w:rFonts w:eastAsia="仿宋_GB2312"/>
          <w:color w:val="000000"/>
        </w:rPr>
        <w:t xml:space="preserve">3.6.1 </w:t>
      </w:r>
      <w:r>
        <w:rPr>
          <w:rFonts w:hint="eastAsia" w:eastAsia="仿宋_GB2312"/>
          <w:color w:val="000000"/>
        </w:rPr>
        <w:t>施工废水及施工生活污水</w:t>
      </w:r>
      <w:r>
        <w:rPr>
          <w:color w:val="000000"/>
        </w:rPr>
        <w:tab/>
      </w:r>
      <w:r>
        <w:rPr>
          <w:color w:val="000000"/>
        </w:rPr>
        <w:fldChar w:fldCharType="begin"/>
      </w:r>
      <w:r>
        <w:rPr>
          <w:color w:val="000000"/>
        </w:rPr>
        <w:instrText xml:space="preserve"> PAGEREF _Toc495500060 \h </w:instrText>
      </w:r>
      <w:r>
        <w:rPr>
          <w:color w:val="000000"/>
        </w:rPr>
        <w:fldChar w:fldCharType="separate"/>
      </w:r>
      <w:r>
        <w:rPr>
          <w:color w:val="000000"/>
        </w:rPr>
        <w:t>41</w:t>
      </w:r>
      <w:r>
        <w:rPr>
          <w:color w:val="000000"/>
        </w:rPr>
        <w:fldChar w:fldCharType="end"/>
      </w:r>
    </w:p>
    <w:p w14:paraId="592D1158">
      <w:pPr>
        <w:pStyle w:val="200"/>
        <w:tabs>
          <w:tab w:val="right" w:leader="dot" w:pos="8296"/>
        </w:tabs>
        <w:rPr>
          <w:i w:val="0"/>
          <w:color w:val="000000"/>
          <w:sz w:val="21"/>
          <w:szCs w:val="24"/>
        </w:rPr>
      </w:pPr>
      <w:r>
        <w:rPr>
          <w:rFonts w:eastAsia="仿宋_GB2312"/>
          <w:color w:val="000000"/>
        </w:rPr>
        <w:t xml:space="preserve">3.6.2 </w:t>
      </w:r>
      <w:r>
        <w:rPr>
          <w:rFonts w:hint="eastAsia" w:eastAsia="仿宋_GB2312"/>
          <w:color w:val="000000"/>
        </w:rPr>
        <w:t>施工废气及粉尘排放</w:t>
      </w:r>
      <w:r>
        <w:rPr>
          <w:color w:val="000000"/>
        </w:rPr>
        <w:tab/>
      </w:r>
      <w:r>
        <w:rPr>
          <w:color w:val="000000"/>
        </w:rPr>
        <w:fldChar w:fldCharType="begin"/>
      </w:r>
      <w:r>
        <w:rPr>
          <w:color w:val="000000"/>
        </w:rPr>
        <w:instrText xml:space="preserve"> PAGEREF _Toc495500061 \h </w:instrText>
      </w:r>
      <w:r>
        <w:rPr>
          <w:color w:val="000000"/>
        </w:rPr>
        <w:fldChar w:fldCharType="separate"/>
      </w:r>
      <w:r>
        <w:rPr>
          <w:color w:val="000000"/>
        </w:rPr>
        <w:t>42</w:t>
      </w:r>
      <w:r>
        <w:rPr>
          <w:color w:val="000000"/>
        </w:rPr>
        <w:fldChar w:fldCharType="end"/>
      </w:r>
    </w:p>
    <w:p w14:paraId="7358C05F">
      <w:pPr>
        <w:pStyle w:val="200"/>
        <w:tabs>
          <w:tab w:val="right" w:leader="dot" w:pos="8296"/>
        </w:tabs>
        <w:rPr>
          <w:i w:val="0"/>
          <w:color w:val="000000"/>
          <w:sz w:val="21"/>
          <w:szCs w:val="24"/>
        </w:rPr>
      </w:pPr>
      <w:r>
        <w:rPr>
          <w:rFonts w:eastAsia="仿宋_GB2312"/>
          <w:color w:val="000000"/>
        </w:rPr>
        <w:t xml:space="preserve">3.6.3 </w:t>
      </w:r>
      <w:r>
        <w:rPr>
          <w:rFonts w:hint="eastAsia" w:eastAsia="仿宋_GB2312"/>
          <w:color w:val="000000"/>
        </w:rPr>
        <w:t>施工固体废弃物</w:t>
      </w:r>
      <w:r>
        <w:rPr>
          <w:color w:val="000000"/>
        </w:rPr>
        <w:tab/>
      </w:r>
      <w:r>
        <w:rPr>
          <w:color w:val="000000"/>
        </w:rPr>
        <w:fldChar w:fldCharType="begin"/>
      </w:r>
      <w:r>
        <w:rPr>
          <w:color w:val="000000"/>
        </w:rPr>
        <w:instrText xml:space="preserve"> PAGEREF _Toc495500062 \h </w:instrText>
      </w:r>
      <w:r>
        <w:rPr>
          <w:color w:val="000000"/>
        </w:rPr>
        <w:fldChar w:fldCharType="separate"/>
      </w:r>
      <w:r>
        <w:rPr>
          <w:color w:val="000000"/>
        </w:rPr>
        <w:t>44</w:t>
      </w:r>
      <w:r>
        <w:rPr>
          <w:color w:val="000000"/>
        </w:rPr>
        <w:fldChar w:fldCharType="end"/>
      </w:r>
    </w:p>
    <w:p w14:paraId="4936646C">
      <w:pPr>
        <w:pStyle w:val="200"/>
        <w:tabs>
          <w:tab w:val="right" w:leader="dot" w:pos="8296"/>
        </w:tabs>
        <w:rPr>
          <w:i w:val="0"/>
          <w:color w:val="000000"/>
          <w:sz w:val="21"/>
          <w:szCs w:val="24"/>
        </w:rPr>
      </w:pPr>
      <w:r>
        <w:rPr>
          <w:rFonts w:eastAsia="仿宋_GB2312"/>
          <w:color w:val="000000"/>
        </w:rPr>
        <w:t xml:space="preserve">3.6.4 </w:t>
      </w:r>
      <w:r>
        <w:rPr>
          <w:rFonts w:hint="eastAsia" w:eastAsia="仿宋_GB2312"/>
          <w:color w:val="000000"/>
        </w:rPr>
        <w:t>施工噪声</w:t>
      </w:r>
      <w:r>
        <w:rPr>
          <w:color w:val="000000"/>
        </w:rPr>
        <w:tab/>
      </w:r>
      <w:r>
        <w:rPr>
          <w:color w:val="000000"/>
        </w:rPr>
        <w:fldChar w:fldCharType="begin"/>
      </w:r>
      <w:r>
        <w:rPr>
          <w:color w:val="000000"/>
        </w:rPr>
        <w:instrText xml:space="preserve"> PAGEREF _Toc495500063 \h </w:instrText>
      </w:r>
      <w:r>
        <w:rPr>
          <w:color w:val="000000"/>
        </w:rPr>
        <w:fldChar w:fldCharType="separate"/>
      </w:r>
      <w:r>
        <w:rPr>
          <w:color w:val="000000"/>
        </w:rPr>
        <w:t>47</w:t>
      </w:r>
      <w:r>
        <w:rPr>
          <w:color w:val="000000"/>
        </w:rPr>
        <w:fldChar w:fldCharType="end"/>
      </w:r>
    </w:p>
    <w:p w14:paraId="6790C288">
      <w:pPr>
        <w:pStyle w:val="200"/>
        <w:tabs>
          <w:tab w:val="right" w:leader="dot" w:pos="8296"/>
        </w:tabs>
        <w:rPr>
          <w:i w:val="0"/>
          <w:color w:val="000000"/>
          <w:sz w:val="21"/>
          <w:szCs w:val="24"/>
        </w:rPr>
      </w:pPr>
      <w:r>
        <w:rPr>
          <w:rFonts w:eastAsia="仿宋_GB2312"/>
          <w:color w:val="000000"/>
        </w:rPr>
        <w:t xml:space="preserve">3.6.5 </w:t>
      </w:r>
      <w:r>
        <w:rPr>
          <w:rFonts w:hint="eastAsia" w:eastAsia="仿宋_GB2312"/>
          <w:color w:val="000000"/>
        </w:rPr>
        <w:t>生态环境影响因素分析</w:t>
      </w:r>
      <w:r>
        <w:rPr>
          <w:color w:val="000000"/>
        </w:rPr>
        <w:tab/>
      </w:r>
      <w:r>
        <w:rPr>
          <w:color w:val="000000"/>
        </w:rPr>
        <w:fldChar w:fldCharType="begin"/>
      </w:r>
      <w:r>
        <w:rPr>
          <w:color w:val="000000"/>
        </w:rPr>
        <w:instrText xml:space="preserve"> PAGEREF _Toc495500064 \h </w:instrText>
      </w:r>
      <w:r>
        <w:rPr>
          <w:color w:val="000000"/>
        </w:rPr>
        <w:fldChar w:fldCharType="separate"/>
      </w:r>
      <w:r>
        <w:rPr>
          <w:color w:val="000000"/>
        </w:rPr>
        <w:t>47</w:t>
      </w:r>
      <w:r>
        <w:rPr>
          <w:color w:val="000000"/>
        </w:rPr>
        <w:fldChar w:fldCharType="end"/>
      </w:r>
    </w:p>
    <w:p w14:paraId="41C919F5">
      <w:pPr>
        <w:pStyle w:val="200"/>
        <w:tabs>
          <w:tab w:val="right" w:leader="dot" w:pos="8296"/>
        </w:tabs>
        <w:rPr>
          <w:i w:val="0"/>
          <w:color w:val="000000"/>
          <w:sz w:val="21"/>
          <w:szCs w:val="24"/>
        </w:rPr>
      </w:pPr>
      <w:r>
        <w:rPr>
          <w:rFonts w:eastAsia="仿宋_GB2312"/>
          <w:color w:val="000000"/>
        </w:rPr>
        <w:t xml:space="preserve">3.6.6 </w:t>
      </w:r>
      <w:r>
        <w:rPr>
          <w:rFonts w:hint="eastAsia" w:eastAsia="仿宋_GB2312"/>
          <w:color w:val="000000"/>
        </w:rPr>
        <w:t>社会环境影响</w:t>
      </w:r>
      <w:r>
        <w:rPr>
          <w:color w:val="000000"/>
        </w:rPr>
        <w:tab/>
      </w:r>
      <w:r>
        <w:rPr>
          <w:color w:val="000000"/>
        </w:rPr>
        <w:fldChar w:fldCharType="begin"/>
      </w:r>
      <w:r>
        <w:rPr>
          <w:color w:val="000000"/>
        </w:rPr>
        <w:instrText xml:space="preserve"> PAGEREF _Toc495500065 \h </w:instrText>
      </w:r>
      <w:r>
        <w:rPr>
          <w:color w:val="000000"/>
        </w:rPr>
        <w:fldChar w:fldCharType="separate"/>
      </w:r>
      <w:r>
        <w:rPr>
          <w:color w:val="000000"/>
        </w:rPr>
        <w:t>48</w:t>
      </w:r>
      <w:r>
        <w:rPr>
          <w:color w:val="000000"/>
        </w:rPr>
        <w:fldChar w:fldCharType="end"/>
      </w:r>
    </w:p>
    <w:p w14:paraId="50D2C45B">
      <w:pPr>
        <w:pStyle w:val="214"/>
        <w:tabs>
          <w:tab w:val="right" w:leader="dot" w:pos="8296"/>
        </w:tabs>
        <w:rPr>
          <w:smallCaps w:val="0"/>
          <w:color w:val="000000"/>
          <w:sz w:val="21"/>
          <w:szCs w:val="24"/>
        </w:rPr>
      </w:pPr>
      <w:r>
        <w:rPr>
          <w:rFonts w:eastAsia="仿宋_GB2312"/>
          <w:color w:val="000000"/>
        </w:rPr>
        <w:t>3.7</w:t>
      </w:r>
      <w:r>
        <w:rPr>
          <w:rFonts w:hint="eastAsia" w:eastAsia="仿宋_GB2312"/>
          <w:color w:val="000000"/>
        </w:rPr>
        <w:t>营运期产污核算</w:t>
      </w:r>
      <w:r>
        <w:rPr>
          <w:color w:val="000000"/>
        </w:rPr>
        <w:tab/>
      </w:r>
      <w:r>
        <w:rPr>
          <w:color w:val="000000"/>
        </w:rPr>
        <w:fldChar w:fldCharType="begin"/>
      </w:r>
      <w:r>
        <w:rPr>
          <w:color w:val="000000"/>
        </w:rPr>
        <w:instrText xml:space="preserve"> PAGEREF _Toc495500066 \h </w:instrText>
      </w:r>
      <w:r>
        <w:rPr>
          <w:color w:val="000000"/>
        </w:rPr>
        <w:fldChar w:fldCharType="separate"/>
      </w:r>
      <w:r>
        <w:rPr>
          <w:color w:val="000000"/>
        </w:rPr>
        <w:t>48</w:t>
      </w:r>
      <w:r>
        <w:rPr>
          <w:color w:val="000000"/>
        </w:rPr>
        <w:fldChar w:fldCharType="end"/>
      </w:r>
    </w:p>
    <w:p w14:paraId="4B7CCF2E">
      <w:pPr>
        <w:pStyle w:val="200"/>
        <w:tabs>
          <w:tab w:val="right" w:leader="dot" w:pos="8296"/>
        </w:tabs>
        <w:rPr>
          <w:i w:val="0"/>
          <w:color w:val="000000"/>
          <w:sz w:val="21"/>
          <w:szCs w:val="24"/>
        </w:rPr>
      </w:pPr>
      <w:r>
        <w:rPr>
          <w:rFonts w:eastAsia="仿宋_GB2312"/>
          <w:color w:val="000000"/>
        </w:rPr>
        <w:t>3.7.1</w:t>
      </w:r>
      <w:r>
        <w:rPr>
          <w:rFonts w:hint="eastAsia" w:eastAsia="仿宋_GB2312"/>
          <w:color w:val="000000"/>
        </w:rPr>
        <w:t>废水</w:t>
      </w:r>
      <w:r>
        <w:rPr>
          <w:color w:val="000000"/>
        </w:rPr>
        <w:tab/>
      </w:r>
      <w:r>
        <w:rPr>
          <w:color w:val="000000"/>
        </w:rPr>
        <w:fldChar w:fldCharType="begin"/>
      </w:r>
      <w:r>
        <w:rPr>
          <w:color w:val="000000"/>
        </w:rPr>
        <w:instrText xml:space="preserve"> PAGEREF _Toc495500067 \h </w:instrText>
      </w:r>
      <w:r>
        <w:rPr>
          <w:color w:val="000000"/>
        </w:rPr>
        <w:fldChar w:fldCharType="separate"/>
      </w:r>
      <w:r>
        <w:rPr>
          <w:color w:val="000000"/>
        </w:rPr>
        <w:t>48</w:t>
      </w:r>
      <w:r>
        <w:rPr>
          <w:color w:val="000000"/>
        </w:rPr>
        <w:fldChar w:fldCharType="end"/>
      </w:r>
    </w:p>
    <w:p w14:paraId="4B7F9E7C">
      <w:pPr>
        <w:pStyle w:val="200"/>
        <w:tabs>
          <w:tab w:val="right" w:leader="dot" w:pos="8296"/>
        </w:tabs>
        <w:rPr>
          <w:i w:val="0"/>
          <w:color w:val="000000"/>
          <w:sz w:val="21"/>
          <w:szCs w:val="24"/>
        </w:rPr>
      </w:pPr>
      <w:r>
        <w:rPr>
          <w:rFonts w:eastAsia="仿宋_GB2312"/>
          <w:color w:val="000000"/>
        </w:rPr>
        <w:t>3.7.2</w:t>
      </w:r>
      <w:r>
        <w:rPr>
          <w:rFonts w:hint="eastAsia" w:eastAsia="仿宋_GB2312"/>
          <w:color w:val="000000"/>
        </w:rPr>
        <w:t>废气</w:t>
      </w:r>
      <w:r>
        <w:rPr>
          <w:color w:val="000000"/>
        </w:rPr>
        <w:tab/>
      </w:r>
      <w:r>
        <w:rPr>
          <w:color w:val="000000"/>
        </w:rPr>
        <w:fldChar w:fldCharType="begin"/>
      </w:r>
      <w:r>
        <w:rPr>
          <w:color w:val="000000"/>
        </w:rPr>
        <w:instrText xml:space="preserve"> PAGEREF _Toc495500068 \h </w:instrText>
      </w:r>
      <w:r>
        <w:rPr>
          <w:color w:val="000000"/>
        </w:rPr>
        <w:fldChar w:fldCharType="separate"/>
      </w:r>
      <w:r>
        <w:rPr>
          <w:color w:val="000000"/>
        </w:rPr>
        <w:t>53</w:t>
      </w:r>
      <w:r>
        <w:rPr>
          <w:color w:val="000000"/>
        </w:rPr>
        <w:fldChar w:fldCharType="end"/>
      </w:r>
    </w:p>
    <w:p w14:paraId="7BCB21C2">
      <w:pPr>
        <w:pStyle w:val="200"/>
        <w:tabs>
          <w:tab w:val="right" w:leader="dot" w:pos="8296"/>
        </w:tabs>
        <w:rPr>
          <w:i w:val="0"/>
          <w:color w:val="000000"/>
          <w:sz w:val="21"/>
          <w:szCs w:val="24"/>
        </w:rPr>
      </w:pPr>
      <w:r>
        <w:rPr>
          <w:rFonts w:eastAsia="仿宋_GB2312"/>
          <w:color w:val="000000"/>
        </w:rPr>
        <w:t>3.7.3</w:t>
      </w:r>
      <w:r>
        <w:rPr>
          <w:rFonts w:hint="eastAsia" w:eastAsia="仿宋_GB2312"/>
          <w:color w:val="000000"/>
        </w:rPr>
        <w:t>噪声</w:t>
      </w:r>
      <w:r>
        <w:rPr>
          <w:color w:val="000000"/>
        </w:rPr>
        <w:tab/>
      </w:r>
      <w:r>
        <w:rPr>
          <w:color w:val="000000"/>
        </w:rPr>
        <w:fldChar w:fldCharType="begin"/>
      </w:r>
      <w:r>
        <w:rPr>
          <w:color w:val="000000"/>
        </w:rPr>
        <w:instrText xml:space="preserve"> PAGEREF _Toc495500069 \h </w:instrText>
      </w:r>
      <w:r>
        <w:rPr>
          <w:color w:val="000000"/>
        </w:rPr>
        <w:fldChar w:fldCharType="separate"/>
      </w:r>
      <w:r>
        <w:rPr>
          <w:color w:val="000000"/>
        </w:rPr>
        <w:t>55</w:t>
      </w:r>
      <w:r>
        <w:rPr>
          <w:color w:val="000000"/>
        </w:rPr>
        <w:fldChar w:fldCharType="end"/>
      </w:r>
    </w:p>
    <w:p w14:paraId="79735ED6">
      <w:pPr>
        <w:pStyle w:val="200"/>
        <w:tabs>
          <w:tab w:val="right" w:leader="dot" w:pos="8296"/>
        </w:tabs>
        <w:rPr>
          <w:i w:val="0"/>
          <w:color w:val="000000"/>
          <w:sz w:val="21"/>
          <w:szCs w:val="24"/>
        </w:rPr>
      </w:pPr>
      <w:r>
        <w:rPr>
          <w:rFonts w:eastAsia="仿宋_GB2312"/>
          <w:color w:val="000000"/>
        </w:rPr>
        <w:t>3.7.4</w:t>
      </w:r>
      <w:r>
        <w:rPr>
          <w:rFonts w:hint="eastAsia" w:eastAsia="仿宋_GB2312"/>
          <w:color w:val="000000"/>
        </w:rPr>
        <w:t>固体废弃物</w:t>
      </w:r>
      <w:r>
        <w:rPr>
          <w:color w:val="000000"/>
        </w:rPr>
        <w:tab/>
      </w:r>
      <w:r>
        <w:rPr>
          <w:color w:val="000000"/>
        </w:rPr>
        <w:fldChar w:fldCharType="begin"/>
      </w:r>
      <w:r>
        <w:rPr>
          <w:color w:val="000000"/>
        </w:rPr>
        <w:instrText xml:space="preserve"> PAGEREF _Toc495500070 \h </w:instrText>
      </w:r>
      <w:r>
        <w:rPr>
          <w:color w:val="000000"/>
        </w:rPr>
        <w:fldChar w:fldCharType="separate"/>
      </w:r>
      <w:r>
        <w:rPr>
          <w:color w:val="000000"/>
        </w:rPr>
        <w:t>56</w:t>
      </w:r>
      <w:r>
        <w:rPr>
          <w:color w:val="000000"/>
        </w:rPr>
        <w:fldChar w:fldCharType="end"/>
      </w:r>
    </w:p>
    <w:p w14:paraId="351A3218">
      <w:pPr>
        <w:pStyle w:val="200"/>
        <w:tabs>
          <w:tab w:val="right" w:leader="dot" w:pos="8296"/>
        </w:tabs>
        <w:rPr>
          <w:i w:val="0"/>
          <w:color w:val="000000"/>
          <w:sz w:val="21"/>
          <w:szCs w:val="24"/>
        </w:rPr>
      </w:pPr>
      <w:r>
        <w:rPr>
          <w:rFonts w:eastAsia="仿宋_GB2312"/>
          <w:color w:val="000000"/>
        </w:rPr>
        <w:t>3.7.5</w:t>
      </w:r>
      <w:r>
        <w:rPr>
          <w:rFonts w:hint="eastAsia" w:eastAsia="仿宋_GB2312"/>
          <w:color w:val="000000"/>
        </w:rPr>
        <w:t>辐射源</w:t>
      </w:r>
      <w:r>
        <w:rPr>
          <w:color w:val="000000"/>
        </w:rPr>
        <w:tab/>
      </w:r>
      <w:r>
        <w:rPr>
          <w:color w:val="000000"/>
        </w:rPr>
        <w:fldChar w:fldCharType="begin"/>
      </w:r>
      <w:r>
        <w:rPr>
          <w:color w:val="000000"/>
        </w:rPr>
        <w:instrText xml:space="preserve"> PAGEREF _Toc495500071 \h </w:instrText>
      </w:r>
      <w:r>
        <w:rPr>
          <w:color w:val="000000"/>
        </w:rPr>
        <w:fldChar w:fldCharType="separate"/>
      </w:r>
      <w:r>
        <w:rPr>
          <w:color w:val="000000"/>
        </w:rPr>
        <w:t>59</w:t>
      </w:r>
      <w:r>
        <w:rPr>
          <w:color w:val="000000"/>
        </w:rPr>
        <w:fldChar w:fldCharType="end"/>
      </w:r>
    </w:p>
    <w:p w14:paraId="1A684D4B">
      <w:pPr>
        <w:pStyle w:val="200"/>
        <w:tabs>
          <w:tab w:val="right" w:leader="dot" w:pos="8296"/>
        </w:tabs>
        <w:rPr>
          <w:i w:val="0"/>
          <w:color w:val="000000"/>
          <w:sz w:val="21"/>
          <w:szCs w:val="24"/>
        </w:rPr>
      </w:pPr>
      <w:r>
        <w:rPr>
          <w:rFonts w:eastAsia="仿宋_GB2312"/>
          <w:color w:val="000000"/>
        </w:rPr>
        <w:t>3.7.6</w:t>
      </w:r>
      <w:r>
        <w:rPr>
          <w:rFonts w:hint="eastAsia" w:eastAsia="仿宋_GB2312"/>
          <w:color w:val="000000"/>
        </w:rPr>
        <w:t>项目建成后固废产生汇总</w:t>
      </w:r>
      <w:r>
        <w:rPr>
          <w:color w:val="000000"/>
        </w:rPr>
        <w:tab/>
      </w:r>
      <w:r>
        <w:rPr>
          <w:color w:val="000000"/>
        </w:rPr>
        <w:fldChar w:fldCharType="begin"/>
      </w:r>
      <w:r>
        <w:rPr>
          <w:color w:val="000000"/>
        </w:rPr>
        <w:instrText xml:space="preserve"> PAGEREF _Toc495500072 \h </w:instrText>
      </w:r>
      <w:r>
        <w:rPr>
          <w:color w:val="000000"/>
        </w:rPr>
        <w:fldChar w:fldCharType="separate"/>
      </w:r>
      <w:r>
        <w:rPr>
          <w:color w:val="000000"/>
        </w:rPr>
        <w:t>59</w:t>
      </w:r>
      <w:r>
        <w:rPr>
          <w:color w:val="000000"/>
        </w:rPr>
        <w:fldChar w:fldCharType="end"/>
      </w:r>
    </w:p>
    <w:p w14:paraId="6DFAC495">
      <w:pPr>
        <w:pStyle w:val="200"/>
        <w:tabs>
          <w:tab w:val="right" w:leader="dot" w:pos="8296"/>
        </w:tabs>
        <w:rPr>
          <w:i w:val="0"/>
          <w:color w:val="000000"/>
          <w:sz w:val="21"/>
          <w:szCs w:val="24"/>
        </w:rPr>
      </w:pPr>
      <w:r>
        <w:rPr>
          <w:rFonts w:eastAsia="仿宋_GB2312"/>
          <w:color w:val="000000"/>
        </w:rPr>
        <w:t xml:space="preserve">3.7.7 </w:t>
      </w:r>
      <w:r>
        <w:rPr>
          <w:rFonts w:hint="eastAsia" w:eastAsia="仿宋_GB2312"/>
          <w:color w:val="000000"/>
        </w:rPr>
        <w:t>非正常排放污染源分析</w:t>
      </w:r>
      <w:r>
        <w:rPr>
          <w:color w:val="000000"/>
        </w:rPr>
        <w:tab/>
      </w:r>
      <w:r>
        <w:rPr>
          <w:color w:val="000000"/>
        </w:rPr>
        <w:fldChar w:fldCharType="begin"/>
      </w:r>
      <w:r>
        <w:rPr>
          <w:color w:val="000000"/>
        </w:rPr>
        <w:instrText xml:space="preserve"> PAGEREF _Toc495500073 \h </w:instrText>
      </w:r>
      <w:r>
        <w:rPr>
          <w:color w:val="000000"/>
        </w:rPr>
        <w:fldChar w:fldCharType="separate"/>
      </w:r>
      <w:r>
        <w:rPr>
          <w:color w:val="000000"/>
        </w:rPr>
        <w:t>59</w:t>
      </w:r>
      <w:r>
        <w:rPr>
          <w:color w:val="000000"/>
        </w:rPr>
        <w:fldChar w:fldCharType="end"/>
      </w:r>
    </w:p>
    <w:p w14:paraId="3E35BD26">
      <w:pPr>
        <w:pStyle w:val="200"/>
        <w:tabs>
          <w:tab w:val="right" w:leader="dot" w:pos="8296"/>
        </w:tabs>
        <w:rPr>
          <w:i w:val="0"/>
          <w:color w:val="000000"/>
          <w:sz w:val="21"/>
          <w:szCs w:val="24"/>
        </w:rPr>
      </w:pPr>
      <w:r>
        <w:rPr>
          <w:rFonts w:eastAsia="仿宋_GB2312"/>
          <w:color w:val="000000"/>
        </w:rPr>
        <w:t xml:space="preserve">3.7.8 </w:t>
      </w:r>
      <w:r>
        <w:rPr>
          <w:rFonts w:hint="eastAsia" w:eastAsia="仿宋_GB2312"/>
          <w:color w:val="000000"/>
        </w:rPr>
        <w:t>项目“三本</w:t>
      </w:r>
      <w:r>
        <w:rPr>
          <w:rFonts w:hint="eastAsia" w:eastAsia="仿宋_GB2312"/>
          <w:color w:val="000000"/>
          <w:lang w:val="en-US" w:eastAsia="zh-CN"/>
        </w:rPr>
        <w:t>账</w:t>
      </w:r>
      <w:r>
        <w:rPr>
          <w:rFonts w:hint="eastAsia" w:eastAsia="仿宋_GB2312"/>
          <w:color w:val="000000"/>
        </w:rPr>
        <w:t>”核算</w:t>
      </w:r>
      <w:r>
        <w:rPr>
          <w:color w:val="000000"/>
        </w:rPr>
        <w:tab/>
      </w:r>
      <w:r>
        <w:rPr>
          <w:color w:val="000000"/>
        </w:rPr>
        <w:fldChar w:fldCharType="begin"/>
      </w:r>
      <w:r>
        <w:rPr>
          <w:color w:val="000000"/>
        </w:rPr>
        <w:instrText xml:space="preserve"> PAGEREF _Toc495500074 \h </w:instrText>
      </w:r>
      <w:r>
        <w:rPr>
          <w:color w:val="000000"/>
        </w:rPr>
        <w:fldChar w:fldCharType="separate"/>
      </w:r>
      <w:r>
        <w:rPr>
          <w:color w:val="000000"/>
        </w:rPr>
        <w:t>60</w:t>
      </w:r>
      <w:r>
        <w:rPr>
          <w:color w:val="000000"/>
        </w:rPr>
        <w:fldChar w:fldCharType="end"/>
      </w:r>
    </w:p>
    <w:p w14:paraId="56497556">
      <w:pPr>
        <w:pStyle w:val="208"/>
        <w:tabs>
          <w:tab w:val="right" w:leader="dot" w:pos="8296"/>
        </w:tabs>
        <w:rPr>
          <w:b w:val="0"/>
          <w:caps w:val="0"/>
          <w:color w:val="000000"/>
          <w:sz w:val="21"/>
          <w:szCs w:val="24"/>
        </w:rPr>
      </w:pPr>
      <w:r>
        <w:rPr>
          <w:rFonts w:eastAsia="仿宋_GB2312"/>
          <w:color w:val="000000"/>
        </w:rPr>
        <w:t>4</w:t>
      </w:r>
      <w:r>
        <w:rPr>
          <w:rFonts w:hint="eastAsia" w:eastAsia="仿宋_GB2312"/>
          <w:color w:val="000000"/>
        </w:rPr>
        <w:t>、建设项目区域环境概况</w:t>
      </w:r>
      <w:r>
        <w:rPr>
          <w:color w:val="000000"/>
        </w:rPr>
        <w:tab/>
      </w:r>
      <w:r>
        <w:rPr>
          <w:color w:val="000000"/>
        </w:rPr>
        <w:fldChar w:fldCharType="begin"/>
      </w:r>
      <w:r>
        <w:rPr>
          <w:color w:val="000000"/>
        </w:rPr>
        <w:instrText xml:space="preserve"> PAGEREF _Toc495500075 \h </w:instrText>
      </w:r>
      <w:r>
        <w:rPr>
          <w:color w:val="000000"/>
        </w:rPr>
        <w:fldChar w:fldCharType="separate"/>
      </w:r>
      <w:r>
        <w:rPr>
          <w:color w:val="000000"/>
        </w:rPr>
        <w:t>61</w:t>
      </w:r>
      <w:r>
        <w:rPr>
          <w:color w:val="000000"/>
        </w:rPr>
        <w:fldChar w:fldCharType="end"/>
      </w:r>
    </w:p>
    <w:p w14:paraId="4253677C">
      <w:pPr>
        <w:pStyle w:val="214"/>
        <w:tabs>
          <w:tab w:val="right" w:leader="dot" w:pos="8296"/>
        </w:tabs>
        <w:rPr>
          <w:smallCaps w:val="0"/>
          <w:color w:val="000000"/>
          <w:sz w:val="21"/>
          <w:szCs w:val="24"/>
        </w:rPr>
      </w:pPr>
      <w:r>
        <w:rPr>
          <w:rFonts w:eastAsia="仿宋_GB2312"/>
          <w:color w:val="000000"/>
        </w:rPr>
        <w:t>4.1</w:t>
      </w:r>
      <w:r>
        <w:rPr>
          <w:rFonts w:hint="eastAsia" w:eastAsia="仿宋_GB2312"/>
          <w:color w:val="000000"/>
        </w:rPr>
        <w:t>自然环境概况</w:t>
      </w:r>
      <w:r>
        <w:rPr>
          <w:color w:val="000000"/>
        </w:rPr>
        <w:tab/>
      </w:r>
      <w:r>
        <w:rPr>
          <w:color w:val="000000"/>
        </w:rPr>
        <w:fldChar w:fldCharType="begin"/>
      </w:r>
      <w:r>
        <w:rPr>
          <w:color w:val="000000"/>
        </w:rPr>
        <w:instrText xml:space="preserve"> PAGEREF _Toc495500076 \h </w:instrText>
      </w:r>
      <w:r>
        <w:rPr>
          <w:color w:val="000000"/>
        </w:rPr>
        <w:fldChar w:fldCharType="separate"/>
      </w:r>
      <w:r>
        <w:rPr>
          <w:color w:val="000000"/>
        </w:rPr>
        <w:t>61</w:t>
      </w:r>
      <w:r>
        <w:rPr>
          <w:color w:val="000000"/>
        </w:rPr>
        <w:fldChar w:fldCharType="end"/>
      </w:r>
    </w:p>
    <w:p w14:paraId="290AE5F8">
      <w:pPr>
        <w:pStyle w:val="200"/>
        <w:tabs>
          <w:tab w:val="right" w:leader="dot" w:pos="8296"/>
        </w:tabs>
        <w:rPr>
          <w:i w:val="0"/>
          <w:color w:val="000000"/>
          <w:sz w:val="21"/>
          <w:szCs w:val="24"/>
        </w:rPr>
      </w:pPr>
      <w:r>
        <w:rPr>
          <w:rFonts w:eastAsia="仿宋_GB2312"/>
          <w:color w:val="000000"/>
        </w:rPr>
        <w:t>4.1.1</w:t>
      </w:r>
      <w:r>
        <w:rPr>
          <w:rFonts w:hint="eastAsia" w:eastAsia="仿宋_GB2312"/>
          <w:color w:val="000000"/>
        </w:rPr>
        <w:t>地理位置</w:t>
      </w:r>
      <w:r>
        <w:rPr>
          <w:color w:val="000000"/>
        </w:rPr>
        <w:tab/>
      </w:r>
      <w:r>
        <w:rPr>
          <w:color w:val="000000"/>
        </w:rPr>
        <w:fldChar w:fldCharType="begin"/>
      </w:r>
      <w:r>
        <w:rPr>
          <w:color w:val="000000"/>
        </w:rPr>
        <w:instrText xml:space="preserve"> PAGEREF _Toc495500077 \h </w:instrText>
      </w:r>
      <w:r>
        <w:rPr>
          <w:color w:val="000000"/>
        </w:rPr>
        <w:fldChar w:fldCharType="separate"/>
      </w:r>
      <w:r>
        <w:rPr>
          <w:color w:val="000000"/>
        </w:rPr>
        <w:t>61</w:t>
      </w:r>
      <w:r>
        <w:rPr>
          <w:color w:val="000000"/>
        </w:rPr>
        <w:fldChar w:fldCharType="end"/>
      </w:r>
    </w:p>
    <w:p w14:paraId="66CCC885">
      <w:pPr>
        <w:pStyle w:val="200"/>
        <w:tabs>
          <w:tab w:val="right" w:leader="dot" w:pos="8296"/>
        </w:tabs>
        <w:rPr>
          <w:i w:val="0"/>
          <w:color w:val="000000"/>
          <w:sz w:val="21"/>
          <w:szCs w:val="24"/>
        </w:rPr>
      </w:pPr>
      <w:r>
        <w:rPr>
          <w:rFonts w:eastAsia="仿宋_GB2312"/>
          <w:color w:val="000000"/>
        </w:rPr>
        <w:t xml:space="preserve">4.1.2 </w:t>
      </w:r>
      <w:r>
        <w:rPr>
          <w:rFonts w:hint="eastAsia" w:eastAsia="仿宋_GB2312"/>
          <w:color w:val="000000"/>
        </w:rPr>
        <w:t>地形、地貌</w:t>
      </w:r>
      <w:r>
        <w:rPr>
          <w:color w:val="000000"/>
        </w:rPr>
        <w:tab/>
      </w:r>
      <w:r>
        <w:rPr>
          <w:color w:val="000000"/>
        </w:rPr>
        <w:fldChar w:fldCharType="begin"/>
      </w:r>
      <w:r>
        <w:rPr>
          <w:color w:val="000000"/>
        </w:rPr>
        <w:instrText xml:space="preserve"> PAGEREF _Toc495500078 \h </w:instrText>
      </w:r>
      <w:r>
        <w:rPr>
          <w:color w:val="000000"/>
        </w:rPr>
        <w:fldChar w:fldCharType="separate"/>
      </w:r>
      <w:r>
        <w:rPr>
          <w:color w:val="000000"/>
        </w:rPr>
        <w:t>61</w:t>
      </w:r>
      <w:r>
        <w:rPr>
          <w:color w:val="000000"/>
        </w:rPr>
        <w:fldChar w:fldCharType="end"/>
      </w:r>
    </w:p>
    <w:p w14:paraId="6AA82C6D">
      <w:pPr>
        <w:pStyle w:val="200"/>
        <w:tabs>
          <w:tab w:val="right" w:leader="dot" w:pos="8296"/>
        </w:tabs>
        <w:rPr>
          <w:i w:val="0"/>
          <w:color w:val="000000"/>
          <w:sz w:val="21"/>
          <w:szCs w:val="24"/>
        </w:rPr>
      </w:pPr>
      <w:r>
        <w:rPr>
          <w:rFonts w:ascii="仿宋_GB2312" w:eastAsia="仿宋_GB2312"/>
          <w:color w:val="000000"/>
        </w:rPr>
        <w:t>4.1.3</w:t>
      </w:r>
      <w:r>
        <w:rPr>
          <w:rFonts w:hint="eastAsia" w:ascii="仿宋_GB2312" w:eastAsia="仿宋_GB2312"/>
          <w:color w:val="000000"/>
        </w:rPr>
        <w:t>地质构造与地震</w:t>
      </w:r>
      <w:r>
        <w:rPr>
          <w:color w:val="000000"/>
        </w:rPr>
        <w:tab/>
      </w:r>
      <w:r>
        <w:rPr>
          <w:color w:val="000000"/>
        </w:rPr>
        <w:fldChar w:fldCharType="begin"/>
      </w:r>
      <w:r>
        <w:rPr>
          <w:color w:val="000000"/>
        </w:rPr>
        <w:instrText xml:space="preserve"> PAGEREF _Toc495500079 \h </w:instrText>
      </w:r>
      <w:r>
        <w:rPr>
          <w:color w:val="000000"/>
        </w:rPr>
        <w:fldChar w:fldCharType="separate"/>
      </w:r>
      <w:r>
        <w:rPr>
          <w:color w:val="000000"/>
        </w:rPr>
        <w:t>62</w:t>
      </w:r>
      <w:r>
        <w:rPr>
          <w:color w:val="000000"/>
        </w:rPr>
        <w:fldChar w:fldCharType="end"/>
      </w:r>
    </w:p>
    <w:p w14:paraId="2BB4F3FC">
      <w:pPr>
        <w:pStyle w:val="200"/>
        <w:tabs>
          <w:tab w:val="right" w:leader="dot" w:pos="8296"/>
        </w:tabs>
        <w:rPr>
          <w:i w:val="0"/>
          <w:color w:val="000000"/>
          <w:sz w:val="21"/>
          <w:szCs w:val="24"/>
        </w:rPr>
      </w:pPr>
      <w:r>
        <w:rPr>
          <w:rFonts w:ascii="仿宋_GB2312" w:eastAsia="仿宋_GB2312"/>
          <w:color w:val="000000"/>
        </w:rPr>
        <w:t>4.1.4</w:t>
      </w:r>
      <w:r>
        <w:rPr>
          <w:rFonts w:hint="eastAsia" w:ascii="仿宋_GB2312" w:eastAsia="仿宋_GB2312"/>
          <w:color w:val="000000"/>
        </w:rPr>
        <w:t>河流、湖泊水系</w:t>
      </w:r>
      <w:r>
        <w:rPr>
          <w:color w:val="000000"/>
        </w:rPr>
        <w:tab/>
      </w:r>
      <w:r>
        <w:rPr>
          <w:color w:val="000000"/>
        </w:rPr>
        <w:fldChar w:fldCharType="begin"/>
      </w:r>
      <w:r>
        <w:rPr>
          <w:color w:val="000000"/>
        </w:rPr>
        <w:instrText xml:space="preserve"> PAGEREF _Toc495500080 \h </w:instrText>
      </w:r>
      <w:r>
        <w:rPr>
          <w:color w:val="000000"/>
        </w:rPr>
        <w:fldChar w:fldCharType="separate"/>
      </w:r>
      <w:r>
        <w:rPr>
          <w:color w:val="000000"/>
        </w:rPr>
        <w:t>62</w:t>
      </w:r>
      <w:r>
        <w:rPr>
          <w:color w:val="000000"/>
        </w:rPr>
        <w:fldChar w:fldCharType="end"/>
      </w:r>
    </w:p>
    <w:p w14:paraId="7B9E8240">
      <w:pPr>
        <w:pStyle w:val="200"/>
        <w:tabs>
          <w:tab w:val="right" w:leader="dot" w:pos="8296"/>
        </w:tabs>
        <w:rPr>
          <w:i w:val="0"/>
          <w:color w:val="000000"/>
          <w:sz w:val="21"/>
          <w:szCs w:val="24"/>
        </w:rPr>
      </w:pPr>
      <w:r>
        <w:rPr>
          <w:rFonts w:ascii="仿宋_GB2312" w:eastAsia="仿宋_GB2312"/>
          <w:color w:val="000000"/>
        </w:rPr>
        <w:t>4.1.5</w:t>
      </w:r>
      <w:r>
        <w:rPr>
          <w:rFonts w:hint="eastAsia" w:ascii="仿宋_GB2312" w:eastAsia="仿宋_GB2312"/>
          <w:color w:val="000000"/>
        </w:rPr>
        <w:t>气候、气象</w:t>
      </w:r>
      <w:r>
        <w:rPr>
          <w:color w:val="000000"/>
        </w:rPr>
        <w:tab/>
      </w:r>
      <w:r>
        <w:rPr>
          <w:color w:val="000000"/>
        </w:rPr>
        <w:fldChar w:fldCharType="begin"/>
      </w:r>
      <w:r>
        <w:rPr>
          <w:color w:val="000000"/>
        </w:rPr>
        <w:instrText xml:space="preserve"> PAGEREF _Toc495500081 \h </w:instrText>
      </w:r>
      <w:r>
        <w:rPr>
          <w:color w:val="000000"/>
        </w:rPr>
        <w:fldChar w:fldCharType="separate"/>
      </w:r>
      <w:r>
        <w:rPr>
          <w:color w:val="000000"/>
        </w:rPr>
        <w:t>62</w:t>
      </w:r>
      <w:r>
        <w:rPr>
          <w:color w:val="000000"/>
        </w:rPr>
        <w:fldChar w:fldCharType="end"/>
      </w:r>
    </w:p>
    <w:p w14:paraId="4A31E385">
      <w:pPr>
        <w:pStyle w:val="200"/>
        <w:tabs>
          <w:tab w:val="right" w:leader="dot" w:pos="8296"/>
        </w:tabs>
        <w:rPr>
          <w:i w:val="0"/>
          <w:color w:val="000000"/>
          <w:sz w:val="21"/>
          <w:szCs w:val="24"/>
        </w:rPr>
      </w:pPr>
      <w:r>
        <w:rPr>
          <w:rFonts w:eastAsia="仿宋_GB2312"/>
          <w:color w:val="000000"/>
        </w:rPr>
        <w:t>4.1.6</w:t>
      </w:r>
      <w:r>
        <w:rPr>
          <w:rFonts w:hint="eastAsia" w:eastAsia="仿宋_GB2312"/>
          <w:color w:val="000000"/>
        </w:rPr>
        <w:t>土壤</w:t>
      </w:r>
      <w:r>
        <w:rPr>
          <w:color w:val="000000"/>
        </w:rPr>
        <w:tab/>
      </w:r>
      <w:r>
        <w:rPr>
          <w:color w:val="000000"/>
        </w:rPr>
        <w:fldChar w:fldCharType="begin"/>
      </w:r>
      <w:r>
        <w:rPr>
          <w:color w:val="000000"/>
        </w:rPr>
        <w:instrText xml:space="preserve"> PAGEREF _Toc495500082 \h </w:instrText>
      </w:r>
      <w:r>
        <w:rPr>
          <w:color w:val="000000"/>
        </w:rPr>
        <w:fldChar w:fldCharType="separate"/>
      </w:r>
      <w:r>
        <w:rPr>
          <w:color w:val="000000"/>
        </w:rPr>
        <w:t>63</w:t>
      </w:r>
      <w:r>
        <w:rPr>
          <w:color w:val="000000"/>
        </w:rPr>
        <w:fldChar w:fldCharType="end"/>
      </w:r>
    </w:p>
    <w:p w14:paraId="7AE9A6A9">
      <w:pPr>
        <w:pStyle w:val="200"/>
        <w:tabs>
          <w:tab w:val="right" w:leader="dot" w:pos="8296"/>
        </w:tabs>
        <w:rPr>
          <w:i w:val="0"/>
          <w:color w:val="000000"/>
          <w:sz w:val="21"/>
          <w:szCs w:val="24"/>
        </w:rPr>
      </w:pPr>
      <w:r>
        <w:rPr>
          <w:rFonts w:ascii="仿宋_GB2312" w:eastAsia="仿宋_GB2312"/>
          <w:color w:val="000000"/>
        </w:rPr>
        <w:t xml:space="preserve">4.1.7 </w:t>
      </w:r>
      <w:r>
        <w:rPr>
          <w:rFonts w:hint="eastAsia" w:ascii="仿宋_GB2312" w:eastAsia="仿宋_GB2312"/>
          <w:color w:val="000000"/>
        </w:rPr>
        <w:t>植被</w:t>
      </w:r>
      <w:r>
        <w:rPr>
          <w:color w:val="000000"/>
        </w:rPr>
        <w:tab/>
      </w:r>
      <w:r>
        <w:rPr>
          <w:color w:val="000000"/>
        </w:rPr>
        <w:fldChar w:fldCharType="begin"/>
      </w:r>
      <w:r>
        <w:rPr>
          <w:color w:val="000000"/>
        </w:rPr>
        <w:instrText xml:space="preserve"> PAGEREF _Toc495500083 \h </w:instrText>
      </w:r>
      <w:r>
        <w:rPr>
          <w:color w:val="000000"/>
        </w:rPr>
        <w:fldChar w:fldCharType="separate"/>
      </w:r>
      <w:r>
        <w:rPr>
          <w:color w:val="000000"/>
        </w:rPr>
        <w:t>63</w:t>
      </w:r>
      <w:r>
        <w:rPr>
          <w:color w:val="000000"/>
        </w:rPr>
        <w:fldChar w:fldCharType="end"/>
      </w:r>
    </w:p>
    <w:p w14:paraId="43AF713F">
      <w:pPr>
        <w:pStyle w:val="200"/>
        <w:tabs>
          <w:tab w:val="right" w:leader="dot" w:pos="8296"/>
        </w:tabs>
        <w:rPr>
          <w:i w:val="0"/>
          <w:color w:val="000000"/>
          <w:sz w:val="21"/>
          <w:szCs w:val="24"/>
        </w:rPr>
      </w:pPr>
      <w:r>
        <w:rPr>
          <w:rFonts w:ascii="仿宋_GB2312" w:eastAsia="仿宋_GB2312"/>
          <w:color w:val="000000"/>
        </w:rPr>
        <w:t>4.1.8</w:t>
      </w:r>
      <w:r>
        <w:rPr>
          <w:rFonts w:hint="eastAsia" w:ascii="仿宋_GB2312" w:eastAsia="仿宋_GB2312"/>
          <w:color w:val="000000"/>
        </w:rPr>
        <w:t>动物资源</w:t>
      </w:r>
      <w:r>
        <w:rPr>
          <w:color w:val="000000"/>
        </w:rPr>
        <w:tab/>
      </w:r>
      <w:r>
        <w:rPr>
          <w:color w:val="000000"/>
        </w:rPr>
        <w:fldChar w:fldCharType="begin"/>
      </w:r>
      <w:r>
        <w:rPr>
          <w:color w:val="000000"/>
        </w:rPr>
        <w:instrText xml:space="preserve"> PAGEREF _Toc495500084 \h </w:instrText>
      </w:r>
      <w:r>
        <w:rPr>
          <w:color w:val="000000"/>
        </w:rPr>
        <w:fldChar w:fldCharType="separate"/>
      </w:r>
      <w:r>
        <w:rPr>
          <w:color w:val="000000"/>
        </w:rPr>
        <w:t>64</w:t>
      </w:r>
      <w:r>
        <w:rPr>
          <w:color w:val="000000"/>
        </w:rPr>
        <w:fldChar w:fldCharType="end"/>
      </w:r>
    </w:p>
    <w:p w14:paraId="43144FCF">
      <w:pPr>
        <w:pStyle w:val="214"/>
        <w:tabs>
          <w:tab w:val="right" w:leader="dot" w:pos="8296"/>
        </w:tabs>
        <w:rPr>
          <w:smallCaps w:val="0"/>
          <w:color w:val="000000"/>
          <w:sz w:val="21"/>
          <w:szCs w:val="24"/>
        </w:rPr>
      </w:pPr>
      <w:r>
        <w:rPr>
          <w:rFonts w:eastAsia="仿宋_GB2312"/>
          <w:color w:val="000000"/>
        </w:rPr>
        <w:t xml:space="preserve">4.2 </w:t>
      </w:r>
      <w:r>
        <w:rPr>
          <w:rFonts w:hint="eastAsia" w:eastAsia="仿宋_GB2312"/>
          <w:color w:val="000000"/>
        </w:rPr>
        <w:t>社会环境概况</w:t>
      </w:r>
      <w:r>
        <w:rPr>
          <w:color w:val="000000"/>
        </w:rPr>
        <w:tab/>
      </w:r>
      <w:r>
        <w:rPr>
          <w:color w:val="000000"/>
        </w:rPr>
        <w:fldChar w:fldCharType="begin"/>
      </w:r>
      <w:r>
        <w:rPr>
          <w:color w:val="000000"/>
        </w:rPr>
        <w:instrText xml:space="preserve"> PAGEREF _Toc495500085 \h </w:instrText>
      </w:r>
      <w:r>
        <w:rPr>
          <w:color w:val="000000"/>
        </w:rPr>
        <w:fldChar w:fldCharType="separate"/>
      </w:r>
      <w:r>
        <w:rPr>
          <w:color w:val="000000"/>
        </w:rPr>
        <w:t>64</w:t>
      </w:r>
      <w:r>
        <w:rPr>
          <w:color w:val="000000"/>
        </w:rPr>
        <w:fldChar w:fldCharType="end"/>
      </w:r>
    </w:p>
    <w:p w14:paraId="3F359CA3">
      <w:pPr>
        <w:pStyle w:val="200"/>
        <w:tabs>
          <w:tab w:val="right" w:leader="dot" w:pos="8296"/>
        </w:tabs>
        <w:rPr>
          <w:i w:val="0"/>
          <w:color w:val="000000"/>
          <w:sz w:val="21"/>
          <w:szCs w:val="24"/>
        </w:rPr>
      </w:pPr>
      <w:r>
        <w:rPr>
          <w:rFonts w:eastAsia="仿宋_GB2312"/>
          <w:color w:val="000000"/>
        </w:rPr>
        <w:t>4.2.1</w:t>
      </w:r>
      <w:r>
        <w:rPr>
          <w:rFonts w:hint="eastAsia" w:eastAsia="仿宋_GB2312"/>
          <w:color w:val="000000"/>
        </w:rPr>
        <w:t>行政区划、人口</w:t>
      </w:r>
      <w:r>
        <w:rPr>
          <w:color w:val="000000"/>
        </w:rPr>
        <w:tab/>
      </w:r>
      <w:r>
        <w:rPr>
          <w:color w:val="000000"/>
        </w:rPr>
        <w:fldChar w:fldCharType="begin"/>
      </w:r>
      <w:r>
        <w:rPr>
          <w:color w:val="000000"/>
        </w:rPr>
        <w:instrText xml:space="preserve"> PAGEREF _Toc495500086 \h </w:instrText>
      </w:r>
      <w:r>
        <w:rPr>
          <w:color w:val="000000"/>
        </w:rPr>
        <w:fldChar w:fldCharType="separate"/>
      </w:r>
      <w:r>
        <w:rPr>
          <w:color w:val="000000"/>
        </w:rPr>
        <w:t>64</w:t>
      </w:r>
      <w:r>
        <w:rPr>
          <w:color w:val="000000"/>
        </w:rPr>
        <w:fldChar w:fldCharType="end"/>
      </w:r>
    </w:p>
    <w:p w14:paraId="3678C3BE">
      <w:pPr>
        <w:pStyle w:val="200"/>
        <w:tabs>
          <w:tab w:val="right" w:leader="dot" w:pos="8296"/>
        </w:tabs>
        <w:rPr>
          <w:i w:val="0"/>
          <w:color w:val="000000"/>
          <w:sz w:val="21"/>
          <w:szCs w:val="24"/>
        </w:rPr>
      </w:pPr>
      <w:r>
        <w:rPr>
          <w:rFonts w:eastAsia="仿宋_GB2312"/>
          <w:color w:val="000000"/>
        </w:rPr>
        <w:t>4.2.2</w:t>
      </w:r>
      <w:r>
        <w:rPr>
          <w:rFonts w:hint="eastAsia" w:eastAsia="仿宋_GB2312"/>
          <w:color w:val="000000"/>
        </w:rPr>
        <w:t>社会经济</w:t>
      </w:r>
      <w:r>
        <w:rPr>
          <w:color w:val="000000"/>
        </w:rPr>
        <w:tab/>
      </w:r>
      <w:r>
        <w:rPr>
          <w:color w:val="000000"/>
        </w:rPr>
        <w:fldChar w:fldCharType="begin"/>
      </w:r>
      <w:r>
        <w:rPr>
          <w:color w:val="000000"/>
        </w:rPr>
        <w:instrText xml:space="preserve"> PAGEREF _Toc495500087 \h </w:instrText>
      </w:r>
      <w:r>
        <w:rPr>
          <w:color w:val="000000"/>
        </w:rPr>
        <w:fldChar w:fldCharType="separate"/>
      </w:r>
      <w:r>
        <w:rPr>
          <w:color w:val="000000"/>
        </w:rPr>
        <w:t>65</w:t>
      </w:r>
      <w:r>
        <w:rPr>
          <w:color w:val="000000"/>
        </w:rPr>
        <w:fldChar w:fldCharType="end"/>
      </w:r>
    </w:p>
    <w:p w14:paraId="49D46DB9">
      <w:pPr>
        <w:pStyle w:val="200"/>
        <w:tabs>
          <w:tab w:val="right" w:leader="dot" w:pos="8296"/>
        </w:tabs>
        <w:rPr>
          <w:i w:val="0"/>
          <w:color w:val="000000"/>
          <w:sz w:val="21"/>
          <w:szCs w:val="24"/>
        </w:rPr>
      </w:pPr>
      <w:r>
        <w:rPr>
          <w:rFonts w:eastAsia="仿宋_GB2312"/>
          <w:color w:val="000000"/>
        </w:rPr>
        <w:t>4.2.3</w:t>
      </w:r>
      <w:r>
        <w:rPr>
          <w:rFonts w:hint="eastAsia" w:eastAsia="仿宋_GB2312"/>
          <w:color w:val="000000"/>
        </w:rPr>
        <w:t>教育、科技</w:t>
      </w:r>
      <w:r>
        <w:rPr>
          <w:color w:val="000000"/>
        </w:rPr>
        <w:tab/>
      </w:r>
      <w:r>
        <w:rPr>
          <w:color w:val="000000"/>
        </w:rPr>
        <w:fldChar w:fldCharType="begin"/>
      </w:r>
      <w:r>
        <w:rPr>
          <w:color w:val="000000"/>
        </w:rPr>
        <w:instrText xml:space="preserve"> PAGEREF _Toc495500088 \h </w:instrText>
      </w:r>
      <w:r>
        <w:rPr>
          <w:color w:val="000000"/>
        </w:rPr>
        <w:fldChar w:fldCharType="separate"/>
      </w:r>
      <w:r>
        <w:rPr>
          <w:color w:val="000000"/>
        </w:rPr>
        <w:t>68</w:t>
      </w:r>
      <w:r>
        <w:rPr>
          <w:color w:val="000000"/>
        </w:rPr>
        <w:fldChar w:fldCharType="end"/>
      </w:r>
    </w:p>
    <w:p w14:paraId="53079D42">
      <w:pPr>
        <w:pStyle w:val="200"/>
        <w:tabs>
          <w:tab w:val="right" w:leader="dot" w:pos="8296"/>
        </w:tabs>
        <w:rPr>
          <w:i w:val="0"/>
          <w:color w:val="000000"/>
          <w:sz w:val="21"/>
          <w:szCs w:val="24"/>
        </w:rPr>
      </w:pPr>
      <w:r>
        <w:rPr>
          <w:rFonts w:eastAsia="仿宋_GB2312"/>
          <w:color w:val="000000"/>
        </w:rPr>
        <w:t>4.2.4</w:t>
      </w:r>
      <w:r>
        <w:rPr>
          <w:rFonts w:hint="eastAsia" w:eastAsia="仿宋_GB2312"/>
          <w:color w:val="000000"/>
        </w:rPr>
        <w:t>文化、卫生</w:t>
      </w:r>
      <w:r>
        <w:rPr>
          <w:color w:val="000000"/>
        </w:rPr>
        <w:tab/>
      </w:r>
      <w:r>
        <w:rPr>
          <w:color w:val="000000"/>
        </w:rPr>
        <w:fldChar w:fldCharType="begin"/>
      </w:r>
      <w:r>
        <w:rPr>
          <w:color w:val="000000"/>
        </w:rPr>
        <w:instrText xml:space="preserve"> PAGEREF _Toc495500089 \h </w:instrText>
      </w:r>
      <w:r>
        <w:rPr>
          <w:color w:val="000000"/>
        </w:rPr>
        <w:fldChar w:fldCharType="separate"/>
      </w:r>
      <w:r>
        <w:rPr>
          <w:color w:val="000000"/>
        </w:rPr>
        <w:t>68</w:t>
      </w:r>
      <w:r>
        <w:rPr>
          <w:color w:val="000000"/>
        </w:rPr>
        <w:fldChar w:fldCharType="end"/>
      </w:r>
    </w:p>
    <w:p w14:paraId="6EF5085A">
      <w:pPr>
        <w:pStyle w:val="208"/>
        <w:tabs>
          <w:tab w:val="right" w:leader="dot" w:pos="8296"/>
        </w:tabs>
        <w:rPr>
          <w:b w:val="0"/>
          <w:caps w:val="0"/>
          <w:color w:val="000000"/>
          <w:sz w:val="21"/>
          <w:szCs w:val="24"/>
        </w:rPr>
      </w:pPr>
      <w:r>
        <w:rPr>
          <w:rFonts w:eastAsia="仿宋_GB2312"/>
          <w:color w:val="000000"/>
        </w:rPr>
        <w:t>5</w:t>
      </w:r>
      <w:r>
        <w:rPr>
          <w:rFonts w:hint="eastAsia" w:eastAsia="仿宋_GB2312"/>
          <w:color w:val="000000"/>
        </w:rPr>
        <w:t>、环境质量现状</w:t>
      </w:r>
      <w:r>
        <w:rPr>
          <w:color w:val="000000"/>
        </w:rPr>
        <w:tab/>
      </w:r>
      <w:r>
        <w:rPr>
          <w:color w:val="000000"/>
        </w:rPr>
        <w:fldChar w:fldCharType="begin"/>
      </w:r>
      <w:r>
        <w:rPr>
          <w:color w:val="000000"/>
        </w:rPr>
        <w:instrText xml:space="preserve"> PAGEREF _Toc495500090 \h </w:instrText>
      </w:r>
      <w:r>
        <w:rPr>
          <w:color w:val="000000"/>
        </w:rPr>
        <w:fldChar w:fldCharType="separate"/>
      </w:r>
      <w:r>
        <w:rPr>
          <w:color w:val="000000"/>
        </w:rPr>
        <w:t>69</w:t>
      </w:r>
      <w:r>
        <w:rPr>
          <w:color w:val="000000"/>
        </w:rPr>
        <w:fldChar w:fldCharType="end"/>
      </w:r>
    </w:p>
    <w:p w14:paraId="7620D8B3">
      <w:pPr>
        <w:pStyle w:val="214"/>
        <w:tabs>
          <w:tab w:val="right" w:leader="dot" w:pos="8296"/>
        </w:tabs>
        <w:rPr>
          <w:smallCaps w:val="0"/>
          <w:color w:val="000000"/>
          <w:sz w:val="21"/>
          <w:szCs w:val="24"/>
        </w:rPr>
      </w:pPr>
      <w:r>
        <w:rPr>
          <w:rFonts w:eastAsia="仿宋_GB2312"/>
          <w:color w:val="000000"/>
        </w:rPr>
        <w:t xml:space="preserve">5.1 </w:t>
      </w:r>
      <w:r>
        <w:rPr>
          <w:rFonts w:hint="eastAsia" w:eastAsia="仿宋_GB2312"/>
          <w:color w:val="000000"/>
        </w:rPr>
        <w:t>水环境质量现状</w:t>
      </w:r>
      <w:r>
        <w:rPr>
          <w:color w:val="000000"/>
        </w:rPr>
        <w:tab/>
      </w:r>
      <w:r>
        <w:rPr>
          <w:color w:val="000000"/>
        </w:rPr>
        <w:fldChar w:fldCharType="begin"/>
      </w:r>
      <w:r>
        <w:rPr>
          <w:color w:val="000000"/>
        </w:rPr>
        <w:instrText xml:space="preserve"> PAGEREF _Toc495500091 \h </w:instrText>
      </w:r>
      <w:r>
        <w:rPr>
          <w:color w:val="000000"/>
        </w:rPr>
        <w:fldChar w:fldCharType="separate"/>
      </w:r>
      <w:r>
        <w:rPr>
          <w:color w:val="000000"/>
        </w:rPr>
        <w:t>69</w:t>
      </w:r>
      <w:r>
        <w:rPr>
          <w:color w:val="000000"/>
        </w:rPr>
        <w:fldChar w:fldCharType="end"/>
      </w:r>
    </w:p>
    <w:p w14:paraId="64B4553F">
      <w:pPr>
        <w:pStyle w:val="214"/>
        <w:tabs>
          <w:tab w:val="right" w:leader="dot" w:pos="8296"/>
        </w:tabs>
        <w:rPr>
          <w:smallCaps w:val="0"/>
          <w:color w:val="000000"/>
          <w:sz w:val="21"/>
          <w:szCs w:val="24"/>
        </w:rPr>
      </w:pPr>
      <w:r>
        <w:rPr>
          <w:rFonts w:eastAsia="仿宋_GB2312"/>
          <w:color w:val="000000"/>
        </w:rPr>
        <w:t xml:space="preserve">5.2 </w:t>
      </w:r>
      <w:r>
        <w:rPr>
          <w:rFonts w:hint="eastAsia" w:eastAsia="仿宋_GB2312"/>
          <w:color w:val="000000"/>
        </w:rPr>
        <w:t>地下水环境质量</w:t>
      </w:r>
      <w:r>
        <w:rPr>
          <w:color w:val="000000"/>
        </w:rPr>
        <w:tab/>
      </w:r>
      <w:r>
        <w:rPr>
          <w:color w:val="000000"/>
        </w:rPr>
        <w:fldChar w:fldCharType="begin"/>
      </w:r>
      <w:r>
        <w:rPr>
          <w:color w:val="000000"/>
        </w:rPr>
        <w:instrText xml:space="preserve"> PAGEREF _Toc495500092 \h </w:instrText>
      </w:r>
      <w:r>
        <w:rPr>
          <w:color w:val="000000"/>
        </w:rPr>
        <w:fldChar w:fldCharType="separate"/>
      </w:r>
      <w:r>
        <w:rPr>
          <w:color w:val="000000"/>
        </w:rPr>
        <w:t>71</w:t>
      </w:r>
      <w:r>
        <w:rPr>
          <w:color w:val="000000"/>
        </w:rPr>
        <w:fldChar w:fldCharType="end"/>
      </w:r>
    </w:p>
    <w:p w14:paraId="4A6216DB">
      <w:pPr>
        <w:pStyle w:val="214"/>
        <w:tabs>
          <w:tab w:val="right" w:leader="dot" w:pos="8296"/>
        </w:tabs>
        <w:rPr>
          <w:smallCaps w:val="0"/>
          <w:color w:val="000000"/>
          <w:sz w:val="21"/>
          <w:szCs w:val="24"/>
        </w:rPr>
      </w:pPr>
      <w:r>
        <w:rPr>
          <w:rFonts w:eastAsia="仿宋_GB2312"/>
          <w:color w:val="000000"/>
        </w:rPr>
        <w:t>5.3</w:t>
      </w:r>
      <w:r>
        <w:rPr>
          <w:rFonts w:hint="eastAsia" w:eastAsia="仿宋_GB2312"/>
          <w:color w:val="000000"/>
        </w:rPr>
        <w:t>环境空气质量现状</w:t>
      </w:r>
      <w:r>
        <w:rPr>
          <w:color w:val="000000"/>
        </w:rPr>
        <w:tab/>
      </w:r>
      <w:r>
        <w:rPr>
          <w:color w:val="000000"/>
        </w:rPr>
        <w:fldChar w:fldCharType="begin"/>
      </w:r>
      <w:r>
        <w:rPr>
          <w:color w:val="000000"/>
        </w:rPr>
        <w:instrText xml:space="preserve"> PAGEREF _Toc495500093 \h </w:instrText>
      </w:r>
      <w:r>
        <w:rPr>
          <w:color w:val="000000"/>
        </w:rPr>
        <w:fldChar w:fldCharType="separate"/>
      </w:r>
      <w:r>
        <w:rPr>
          <w:color w:val="000000"/>
        </w:rPr>
        <w:t>71</w:t>
      </w:r>
      <w:r>
        <w:rPr>
          <w:color w:val="000000"/>
        </w:rPr>
        <w:fldChar w:fldCharType="end"/>
      </w:r>
    </w:p>
    <w:p w14:paraId="7F59714E">
      <w:pPr>
        <w:pStyle w:val="214"/>
        <w:tabs>
          <w:tab w:val="right" w:leader="dot" w:pos="8296"/>
        </w:tabs>
        <w:rPr>
          <w:smallCaps w:val="0"/>
          <w:color w:val="000000"/>
          <w:sz w:val="21"/>
          <w:szCs w:val="24"/>
        </w:rPr>
      </w:pPr>
      <w:r>
        <w:rPr>
          <w:rFonts w:eastAsia="仿宋_GB2312"/>
          <w:color w:val="000000"/>
        </w:rPr>
        <w:t xml:space="preserve">5.4 </w:t>
      </w:r>
      <w:r>
        <w:rPr>
          <w:rFonts w:hint="eastAsia" w:eastAsia="仿宋_GB2312"/>
          <w:color w:val="000000"/>
        </w:rPr>
        <w:t>声环境质量现状</w:t>
      </w:r>
      <w:r>
        <w:rPr>
          <w:color w:val="000000"/>
        </w:rPr>
        <w:tab/>
      </w:r>
      <w:r>
        <w:rPr>
          <w:color w:val="000000"/>
        </w:rPr>
        <w:fldChar w:fldCharType="begin"/>
      </w:r>
      <w:r>
        <w:rPr>
          <w:color w:val="000000"/>
        </w:rPr>
        <w:instrText xml:space="preserve"> PAGEREF _Toc495500094 \h </w:instrText>
      </w:r>
      <w:r>
        <w:rPr>
          <w:color w:val="000000"/>
        </w:rPr>
        <w:fldChar w:fldCharType="separate"/>
      </w:r>
      <w:r>
        <w:rPr>
          <w:color w:val="000000"/>
        </w:rPr>
        <w:t>72</w:t>
      </w:r>
      <w:r>
        <w:rPr>
          <w:color w:val="000000"/>
        </w:rPr>
        <w:fldChar w:fldCharType="end"/>
      </w:r>
    </w:p>
    <w:p w14:paraId="3E957540">
      <w:pPr>
        <w:pStyle w:val="208"/>
        <w:tabs>
          <w:tab w:val="right" w:leader="dot" w:pos="8296"/>
        </w:tabs>
        <w:rPr>
          <w:b w:val="0"/>
          <w:caps w:val="0"/>
          <w:color w:val="000000"/>
          <w:sz w:val="21"/>
          <w:szCs w:val="24"/>
        </w:rPr>
      </w:pPr>
      <w:r>
        <w:rPr>
          <w:rFonts w:eastAsia="仿宋_GB2312"/>
          <w:color w:val="000000"/>
        </w:rPr>
        <w:t>6</w:t>
      </w:r>
      <w:r>
        <w:rPr>
          <w:rFonts w:hint="eastAsia" w:eastAsia="仿宋_GB2312"/>
          <w:color w:val="000000"/>
        </w:rPr>
        <w:t>、环境影响分析及评价</w:t>
      </w:r>
      <w:r>
        <w:rPr>
          <w:color w:val="000000"/>
        </w:rPr>
        <w:tab/>
      </w:r>
      <w:r>
        <w:rPr>
          <w:color w:val="000000"/>
        </w:rPr>
        <w:fldChar w:fldCharType="begin"/>
      </w:r>
      <w:r>
        <w:rPr>
          <w:color w:val="000000"/>
        </w:rPr>
        <w:instrText xml:space="preserve"> PAGEREF _Toc495500095 \h </w:instrText>
      </w:r>
      <w:r>
        <w:rPr>
          <w:color w:val="000000"/>
        </w:rPr>
        <w:fldChar w:fldCharType="separate"/>
      </w:r>
      <w:r>
        <w:rPr>
          <w:color w:val="000000"/>
        </w:rPr>
        <w:t>74</w:t>
      </w:r>
      <w:r>
        <w:rPr>
          <w:color w:val="000000"/>
        </w:rPr>
        <w:fldChar w:fldCharType="end"/>
      </w:r>
    </w:p>
    <w:p w14:paraId="531D7107">
      <w:pPr>
        <w:pStyle w:val="214"/>
        <w:tabs>
          <w:tab w:val="right" w:leader="dot" w:pos="8296"/>
        </w:tabs>
        <w:rPr>
          <w:smallCaps w:val="0"/>
          <w:color w:val="000000"/>
          <w:sz w:val="21"/>
          <w:szCs w:val="24"/>
        </w:rPr>
      </w:pPr>
      <w:r>
        <w:rPr>
          <w:rFonts w:eastAsia="仿宋_GB2312"/>
          <w:color w:val="000000"/>
        </w:rPr>
        <w:t>6.1</w:t>
      </w:r>
      <w:r>
        <w:rPr>
          <w:rFonts w:hint="eastAsia" w:eastAsia="仿宋_GB2312"/>
          <w:color w:val="000000"/>
        </w:rPr>
        <w:t>施工期环境影响分析及评价</w:t>
      </w:r>
      <w:r>
        <w:rPr>
          <w:color w:val="000000"/>
        </w:rPr>
        <w:tab/>
      </w:r>
      <w:r>
        <w:rPr>
          <w:color w:val="000000"/>
        </w:rPr>
        <w:fldChar w:fldCharType="begin"/>
      </w:r>
      <w:r>
        <w:rPr>
          <w:color w:val="000000"/>
        </w:rPr>
        <w:instrText xml:space="preserve"> PAGEREF _Toc495500096 \h </w:instrText>
      </w:r>
      <w:r>
        <w:rPr>
          <w:color w:val="000000"/>
        </w:rPr>
        <w:fldChar w:fldCharType="separate"/>
      </w:r>
      <w:r>
        <w:rPr>
          <w:color w:val="000000"/>
        </w:rPr>
        <w:t>74</w:t>
      </w:r>
      <w:r>
        <w:rPr>
          <w:color w:val="000000"/>
        </w:rPr>
        <w:fldChar w:fldCharType="end"/>
      </w:r>
    </w:p>
    <w:p w14:paraId="14413B48">
      <w:pPr>
        <w:pStyle w:val="200"/>
        <w:tabs>
          <w:tab w:val="right" w:leader="dot" w:pos="8296"/>
        </w:tabs>
        <w:rPr>
          <w:i w:val="0"/>
          <w:color w:val="000000"/>
          <w:sz w:val="21"/>
          <w:szCs w:val="24"/>
        </w:rPr>
      </w:pPr>
      <w:r>
        <w:rPr>
          <w:rFonts w:eastAsia="仿宋_GB2312"/>
          <w:color w:val="000000"/>
        </w:rPr>
        <w:t>6.1.1</w:t>
      </w:r>
      <w:r>
        <w:rPr>
          <w:rFonts w:hint="eastAsia" w:eastAsia="仿宋_GB2312"/>
          <w:color w:val="000000"/>
        </w:rPr>
        <w:t>水环境影响评价</w:t>
      </w:r>
      <w:r>
        <w:rPr>
          <w:color w:val="000000"/>
        </w:rPr>
        <w:tab/>
      </w:r>
      <w:r>
        <w:rPr>
          <w:color w:val="000000"/>
        </w:rPr>
        <w:fldChar w:fldCharType="begin"/>
      </w:r>
      <w:r>
        <w:rPr>
          <w:color w:val="000000"/>
        </w:rPr>
        <w:instrText xml:space="preserve"> PAGEREF _Toc495500097 \h </w:instrText>
      </w:r>
      <w:r>
        <w:rPr>
          <w:color w:val="000000"/>
        </w:rPr>
        <w:fldChar w:fldCharType="separate"/>
      </w:r>
      <w:r>
        <w:rPr>
          <w:color w:val="000000"/>
        </w:rPr>
        <w:t>74</w:t>
      </w:r>
      <w:r>
        <w:rPr>
          <w:color w:val="000000"/>
        </w:rPr>
        <w:fldChar w:fldCharType="end"/>
      </w:r>
    </w:p>
    <w:p w14:paraId="12AAF029">
      <w:pPr>
        <w:pStyle w:val="200"/>
        <w:tabs>
          <w:tab w:val="right" w:leader="dot" w:pos="8296"/>
        </w:tabs>
        <w:rPr>
          <w:i w:val="0"/>
          <w:color w:val="000000"/>
          <w:sz w:val="21"/>
          <w:szCs w:val="24"/>
        </w:rPr>
      </w:pPr>
      <w:r>
        <w:rPr>
          <w:rFonts w:eastAsia="仿宋_GB2312"/>
          <w:color w:val="000000"/>
        </w:rPr>
        <w:t>6.1.2</w:t>
      </w:r>
      <w:r>
        <w:rPr>
          <w:rFonts w:hint="eastAsia" w:eastAsia="仿宋_GB2312"/>
          <w:color w:val="000000"/>
        </w:rPr>
        <w:t>大气环境影响评价</w:t>
      </w:r>
      <w:r>
        <w:rPr>
          <w:color w:val="000000"/>
        </w:rPr>
        <w:tab/>
      </w:r>
      <w:r>
        <w:rPr>
          <w:color w:val="000000"/>
        </w:rPr>
        <w:fldChar w:fldCharType="begin"/>
      </w:r>
      <w:r>
        <w:rPr>
          <w:color w:val="000000"/>
        </w:rPr>
        <w:instrText xml:space="preserve"> PAGEREF _Toc495500098 \h </w:instrText>
      </w:r>
      <w:r>
        <w:rPr>
          <w:color w:val="000000"/>
        </w:rPr>
        <w:fldChar w:fldCharType="separate"/>
      </w:r>
      <w:r>
        <w:rPr>
          <w:color w:val="000000"/>
        </w:rPr>
        <w:t>75</w:t>
      </w:r>
      <w:r>
        <w:rPr>
          <w:color w:val="000000"/>
        </w:rPr>
        <w:fldChar w:fldCharType="end"/>
      </w:r>
    </w:p>
    <w:p w14:paraId="08B19804">
      <w:pPr>
        <w:pStyle w:val="200"/>
        <w:tabs>
          <w:tab w:val="right" w:leader="dot" w:pos="8296"/>
        </w:tabs>
        <w:rPr>
          <w:i w:val="0"/>
          <w:color w:val="000000"/>
          <w:sz w:val="21"/>
          <w:szCs w:val="24"/>
        </w:rPr>
      </w:pPr>
      <w:r>
        <w:rPr>
          <w:rFonts w:eastAsia="仿宋_GB2312"/>
          <w:color w:val="000000"/>
        </w:rPr>
        <w:t>6.1.3</w:t>
      </w:r>
      <w:r>
        <w:rPr>
          <w:rFonts w:hint="eastAsia" w:eastAsia="仿宋_GB2312"/>
          <w:color w:val="000000"/>
        </w:rPr>
        <w:t>声环境影响评价</w:t>
      </w:r>
      <w:r>
        <w:rPr>
          <w:color w:val="000000"/>
        </w:rPr>
        <w:tab/>
      </w:r>
      <w:r>
        <w:rPr>
          <w:color w:val="000000"/>
        </w:rPr>
        <w:fldChar w:fldCharType="begin"/>
      </w:r>
      <w:r>
        <w:rPr>
          <w:color w:val="000000"/>
        </w:rPr>
        <w:instrText xml:space="preserve"> PAGEREF _Toc495500099 \h </w:instrText>
      </w:r>
      <w:r>
        <w:rPr>
          <w:color w:val="000000"/>
        </w:rPr>
        <w:fldChar w:fldCharType="separate"/>
      </w:r>
      <w:r>
        <w:rPr>
          <w:color w:val="000000"/>
        </w:rPr>
        <w:t>79</w:t>
      </w:r>
      <w:r>
        <w:rPr>
          <w:color w:val="000000"/>
        </w:rPr>
        <w:fldChar w:fldCharType="end"/>
      </w:r>
    </w:p>
    <w:p w14:paraId="11A6D54E">
      <w:pPr>
        <w:pStyle w:val="200"/>
        <w:tabs>
          <w:tab w:val="right" w:leader="dot" w:pos="8296"/>
        </w:tabs>
        <w:rPr>
          <w:i w:val="0"/>
          <w:color w:val="000000"/>
          <w:sz w:val="21"/>
          <w:szCs w:val="24"/>
        </w:rPr>
      </w:pPr>
      <w:r>
        <w:rPr>
          <w:rFonts w:eastAsia="仿宋_GB2312"/>
          <w:color w:val="000000"/>
        </w:rPr>
        <w:t>6.1.4</w:t>
      </w:r>
      <w:r>
        <w:rPr>
          <w:rFonts w:hint="eastAsia" w:eastAsia="仿宋_GB2312"/>
          <w:color w:val="000000"/>
        </w:rPr>
        <w:t>固体废物影响评价</w:t>
      </w:r>
      <w:r>
        <w:rPr>
          <w:color w:val="000000"/>
        </w:rPr>
        <w:tab/>
      </w:r>
      <w:r>
        <w:rPr>
          <w:color w:val="000000"/>
        </w:rPr>
        <w:fldChar w:fldCharType="begin"/>
      </w:r>
      <w:r>
        <w:rPr>
          <w:color w:val="000000"/>
        </w:rPr>
        <w:instrText xml:space="preserve"> PAGEREF _Toc495500100 \h </w:instrText>
      </w:r>
      <w:r>
        <w:rPr>
          <w:color w:val="000000"/>
        </w:rPr>
        <w:fldChar w:fldCharType="separate"/>
      </w:r>
      <w:r>
        <w:rPr>
          <w:color w:val="000000"/>
        </w:rPr>
        <w:t>82</w:t>
      </w:r>
      <w:r>
        <w:rPr>
          <w:color w:val="000000"/>
        </w:rPr>
        <w:fldChar w:fldCharType="end"/>
      </w:r>
    </w:p>
    <w:p w14:paraId="2C9A24D5">
      <w:pPr>
        <w:pStyle w:val="200"/>
        <w:tabs>
          <w:tab w:val="right" w:leader="dot" w:pos="8296"/>
        </w:tabs>
        <w:rPr>
          <w:i w:val="0"/>
          <w:color w:val="000000"/>
          <w:sz w:val="21"/>
          <w:szCs w:val="24"/>
        </w:rPr>
      </w:pPr>
      <w:r>
        <w:rPr>
          <w:rFonts w:eastAsia="仿宋_GB2312"/>
          <w:color w:val="000000"/>
        </w:rPr>
        <w:t>6.1.5</w:t>
      </w:r>
      <w:r>
        <w:rPr>
          <w:rFonts w:hint="eastAsia" w:eastAsia="仿宋_GB2312"/>
          <w:color w:val="000000"/>
        </w:rPr>
        <w:t>交通影响评价</w:t>
      </w:r>
      <w:r>
        <w:rPr>
          <w:color w:val="000000"/>
        </w:rPr>
        <w:tab/>
      </w:r>
      <w:r>
        <w:rPr>
          <w:color w:val="000000"/>
        </w:rPr>
        <w:fldChar w:fldCharType="begin"/>
      </w:r>
      <w:r>
        <w:rPr>
          <w:color w:val="000000"/>
        </w:rPr>
        <w:instrText xml:space="preserve"> PAGEREF _Toc495500101 \h </w:instrText>
      </w:r>
      <w:r>
        <w:rPr>
          <w:color w:val="000000"/>
        </w:rPr>
        <w:fldChar w:fldCharType="separate"/>
      </w:r>
      <w:r>
        <w:rPr>
          <w:color w:val="000000"/>
        </w:rPr>
        <w:t>83</w:t>
      </w:r>
      <w:r>
        <w:rPr>
          <w:color w:val="000000"/>
        </w:rPr>
        <w:fldChar w:fldCharType="end"/>
      </w:r>
    </w:p>
    <w:p w14:paraId="694FECBD">
      <w:pPr>
        <w:pStyle w:val="214"/>
        <w:tabs>
          <w:tab w:val="right" w:leader="dot" w:pos="8296"/>
        </w:tabs>
        <w:rPr>
          <w:smallCaps w:val="0"/>
          <w:color w:val="000000"/>
          <w:sz w:val="21"/>
          <w:szCs w:val="24"/>
        </w:rPr>
      </w:pPr>
      <w:r>
        <w:rPr>
          <w:rFonts w:eastAsia="仿宋_GB2312"/>
          <w:color w:val="000000"/>
        </w:rPr>
        <w:t>6.2</w:t>
      </w:r>
      <w:r>
        <w:rPr>
          <w:rFonts w:hint="eastAsia" w:eastAsia="仿宋_GB2312"/>
          <w:color w:val="000000"/>
        </w:rPr>
        <w:t>营运期环境影响评价</w:t>
      </w:r>
      <w:r>
        <w:rPr>
          <w:color w:val="000000"/>
        </w:rPr>
        <w:tab/>
      </w:r>
      <w:r>
        <w:rPr>
          <w:color w:val="000000"/>
        </w:rPr>
        <w:fldChar w:fldCharType="begin"/>
      </w:r>
      <w:r>
        <w:rPr>
          <w:color w:val="000000"/>
        </w:rPr>
        <w:instrText xml:space="preserve"> PAGEREF _Toc495500102 \h </w:instrText>
      </w:r>
      <w:r>
        <w:rPr>
          <w:color w:val="000000"/>
        </w:rPr>
        <w:fldChar w:fldCharType="separate"/>
      </w:r>
      <w:r>
        <w:rPr>
          <w:color w:val="000000"/>
        </w:rPr>
        <w:t>84</w:t>
      </w:r>
      <w:r>
        <w:rPr>
          <w:color w:val="000000"/>
        </w:rPr>
        <w:fldChar w:fldCharType="end"/>
      </w:r>
    </w:p>
    <w:p w14:paraId="6318CC3E">
      <w:pPr>
        <w:pStyle w:val="200"/>
        <w:tabs>
          <w:tab w:val="right" w:leader="dot" w:pos="8296"/>
        </w:tabs>
        <w:rPr>
          <w:i w:val="0"/>
          <w:color w:val="000000"/>
          <w:sz w:val="21"/>
          <w:szCs w:val="24"/>
        </w:rPr>
      </w:pPr>
      <w:r>
        <w:rPr>
          <w:rFonts w:eastAsia="仿宋_GB2312"/>
          <w:color w:val="000000"/>
        </w:rPr>
        <w:t xml:space="preserve">6.2.1 </w:t>
      </w:r>
      <w:r>
        <w:rPr>
          <w:rFonts w:hint="eastAsia" w:eastAsia="仿宋_GB2312"/>
          <w:color w:val="000000"/>
        </w:rPr>
        <w:t>水环境影响评价</w:t>
      </w:r>
      <w:r>
        <w:rPr>
          <w:color w:val="000000"/>
        </w:rPr>
        <w:tab/>
      </w:r>
      <w:r>
        <w:rPr>
          <w:color w:val="000000"/>
        </w:rPr>
        <w:fldChar w:fldCharType="begin"/>
      </w:r>
      <w:r>
        <w:rPr>
          <w:color w:val="000000"/>
        </w:rPr>
        <w:instrText xml:space="preserve"> PAGEREF _Toc495500103 \h </w:instrText>
      </w:r>
      <w:r>
        <w:rPr>
          <w:color w:val="000000"/>
        </w:rPr>
        <w:fldChar w:fldCharType="separate"/>
      </w:r>
      <w:r>
        <w:rPr>
          <w:color w:val="000000"/>
        </w:rPr>
        <w:t>84</w:t>
      </w:r>
      <w:r>
        <w:rPr>
          <w:color w:val="000000"/>
        </w:rPr>
        <w:fldChar w:fldCharType="end"/>
      </w:r>
    </w:p>
    <w:p w14:paraId="4AC3031B">
      <w:pPr>
        <w:pStyle w:val="200"/>
        <w:tabs>
          <w:tab w:val="right" w:leader="dot" w:pos="8296"/>
        </w:tabs>
        <w:rPr>
          <w:i w:val="0"/>
          <w:color w:val="000000"/>
          <w:sz w:val="21"/>
          <w:szCs w:val="24"/>
        </w:rPr>
      </w:pPr>
      <w:r>
        <w:rPr>
          <w:rFonts w:eastAsia="仿宋_GB2312"/>
          <w:color w:val="000000"/>
        </w:rPr>
        <w:t xml:space="preserve">6.2.2 </w:t>
      </w:r>
      <w:r>
        <w:rPr>
          <w:rFonts w:hint="eastAsia" w:eastAsia="仿宋_GB2312"/>
          <w:color w:val="000000"/>
        </w:rPr>
        <w:t>地下水环境影响评价</w:t>
      </w:r>
      <w:r>
        <w:rPr>
          <w:color w:val="000000"/>
        </w:rPr>
        <w:tab/>
      </w:r>
      <w:r>
        <w:rPr>
          <w:color w:val="000000"/>
        </w:rPr>
        <w:fldChar w:fldCharType="begin"/>
      </w:r>
      <w:r>
        <w:rPr>
          <w:color w:val="000000"/>
        </w:rPr>
        <w:instrText xml:space="preserve"> PAGEREF _Toc495500104 \h </w:instrText>
      </w:r>
      <w:r>
        <w:rPr>
          <w:color w:val="000000"/>
        </w:rPr>
        <w:fldChar w:fldCharType="separate"/>
      </w:r>
      <w:r>
        <w:rPr>
          <w:color w:val="000000"/>
        </w:rPr>
        <w:t>87</w:t>
      </w:r>
      <w:r>
        <w:rPr>
          <w:color w:val="000000"/>
        </w:rPr>
        <w:fldChar w:fldCharType="end"/>
      </w:r>
    </w:p>
    <w:p w14:paraId="1476F8A1">
      <w:pPr>
        <w:pStyle w:val="200"/>
        <w:tabs>
          <w:tab w:val="right" w:leader="dot" w:pos="8296"/>
        </w:tabs>
        <w:rPr>
          <w:i w:val="0"/>
          <w:color w:val="000000"/>
          <w:sz w:val="21"/>
          <w:szCs w:val="24"/>
        </w:rPr>
      </w:pPr>
      <w:r>
        <w:rPr>
          <w:rFonts w:eastAsia="仿宋_GB2312"/>
          <w:color w:val="000000"/>
        </w:rPr>
        <w:t>6.2.3</w:t>
      </w:r>
      <w:r>
        <w:rPr>
          <w:rFonts w:hint="eastAsia" w:eastAsia="仿宋_GB2312"/>
          <w:color w:val="000000"/>
        </w:rPr>
        <w:t>大气环境影评价</w:t>
      </w:r>
      <w:r>
        <w:rPr>
          <w:color w:val="000000"/>
        </w:rPr>
        <w:tab/>
      </w:r>
      <w:r>
        <w:rPr>
          <w:color w:val="000000"/>
        </w:rPr>
        <w:fldChar w:fldCharType="begin"/>
      </w:r>
      <w:r>
        <w:rPr>
          <w:color w:val="000000"/>
        </w:rPr>
        <w:instrText xml:space="preserve"> PAGEREF _Toc495500105 \h </w:instrText>
      </w:r>
      <w:r>
        <w:rPr>
          <w:color w:val="000000"/>
        </w:rPr>
        <w:fldChar w:fldCharType="separate"/>
      </w:r>
      <w:r>
        <w:rPr>
          <w:color w:val="000000"/>
        </w:rPr>
        <w:t>88</w:t>
      </w:r>
      <w:r>
        <w:rPr>
          <w:color w:val="000000"/>
        </w:rPr>
        <w:fldChar w:fldCharType="end"/>
      </w:r>
    </w:p>
    <w:p w14:paraId="30298786">
      <w:pPr>
        <w:pStyle w:val="200"/>
        <w:tabs>
          <w:tab w:val="right" w:leader="dot" w:pos="8296"/>
        </w:tabs>
        <w:rPr>
          <w:i w:val="0"/>
          <w:color w:val="000000"/>
          <w:sz w:val="21"/>
          <w:szCs w:val="24"/>
        </w:rPr>
      </w:pPr>
      <w:r>
        <w:rPr>
          <w:rFonts w:eastAsia="仿宋_GB2312"/>
          <w:color w:val="000000"/>
        </w:rPr>
        <w:t>6.2.4</w:t>
      </w:r>
      <w:r>
        <w:rPr>
          <w:rFonts w:hint="eastAsia" w:eastAsia="仿宋_GB2312"/>
          <w:color w:val="000000"/>
        </w:rPr>
        <w:t>声环境影响评价</w:t>
      </w:r>
      <w:r>
        <w:rPr>
          <w:color w:val="000000"/>
        </w:rPr>
        <w:tab/>
      </w:r>
      <w:r>
        <w:rPr>
          <w:color w:val="000000"/>
        </w:rPr>
        <w:fldChar w:fldCharType="begin"/>
      </w:r>
      <w:r>
        <w:rPr>
          <w:color w:val="000000"/>
        </w:rPr>
        <w:instrText xml:space="preserve"> PAGEREF _Toc495500106 \h </w:instrText>
      </w:r>
      <w:r>
        <w:rPr>
          <w:color w:val="000000"/>
        </w:rPr>
        <w:fldChar w:fldCharType="separate"/>
      </w:r>
      <w:r>
        <w:rPr>
          <w:color w:val="000000"/>
        </w:rPr>
        <w:t>90</w:t>
      </w:r>
      <w:r>
        <w:rPr>
          <w:color w:val="000000"/>
        </w:rPr>
        <w:fldChar w:fldCharType="end"/>
      </w:r>
    </w:p>
    <w:p w14:paraId="55A68886">
      <w:pPr>
        <w:pStyle w:val="200"/>
        <w:tabs>
          <w:tab w:val="right" w:leader="dot" w:pos="8296"/>
        </w:tabs>
        <w:rPr>
          <w:i w:val="0"/>
          <w:color w:val="000000"/>
          <w:sz w:val="21"/>
          <w:szCs w:val="24"/>
        </w:rPr>
      </w:pPr>
      <w:r>
        <w:rPr>
          <w:rFonts w:ascii="仿宋_GB2312" w:eastAsia="仿宋_GB2312"/>
          <w:color w:val="000000"/>
        </w:rPr>
        <w:t>6.2.5</w:t>
      </w:r>
      <w:r>
        <w:rPr>
          <w:rFonts w:hint="eastAsia" w:ascii="仿宋_GB2312" w:eastAsia="仿宋_GB2312"/>
          <w:color w:val="000000"/>
        </w:rPr>
        <w:t>固体废物环境影响评价</w:t>
      </w:r>
      <w:r>
        <w:rPr>
          <w:color w:val="000000"/>
        </w:rPr>
        <w:tab/>
      </w:r>
      <w:r>
        <w:rPr>
          <w:color w:val="000000"/>
        </w:rPr>
        <w:fldChar w:fldCharType="begin"/>
      </w:r>
      <w:r>
        <w:rPr>
          <w:color w:val="000000"/>
        </w:rPr>
        <w:instrText xml:space="preserve"> PAGEREF _Toc495500107 \h </w:instrText>
      </w:r>
      <w:r>
        <w:rPr>
          <w:color w:val="000000"/>
        </w:rPr>
        <w:fldChar w:fldCharType="separate"/>
      </w:r>
      <w:r>
        <w:rPr>
          <w:color w:val="000000"/>
        </w:rPr>
        <w:t>94</w:t>
      </w:r>
      <w:r>
        <w:rPr>
          <w:color w:val="000000"/>
        </w:rPr>
        <w:fldChar w:fldCharType="end"/>
      </w:r>
    </w:p>
    <w:p w14:paraId="0B94BD43">
      <w:pPr>
        <w:pStyle w:val="200"/>
        <w:tabs>
          <w:tab w:val="right" w:leader="dot" w:pos="8296"/>
        </w:tabs>
        <w:rPr>
          <w:i w:val="0"/>
          <w:color w:val="000000"/>
          <w:sz w:val="21"/>
          <w:szCs w:val="24"/>
        </w:rPr>
      </w:pPr>
      <w:r>
        <w:rPr>
          <w:rFonts w:ascii="仿宋_GB2312" w:eastAsia="仿宋_GB2312"/>
          <w:color w:val="000000"/>
        </w:rPr>
        <w:t>6.2.6</w:t>
      </w:r>
      <w:r>
        <w:rPr>
          <w:rFonts w:hint="eastAsia" w:ascii="仿宋_GB2312" w:eastAsia="仿宋_GB2312"/>
          <w:color w:val="000000"/>
        </w:rPr>
        <w:t>辐射源污染影响分析</w:t>
      </w:r>
      <w:r>
        <w:rPr>
          <w:color w:val="000000"/>
        </w:rPr>
        <w:tab/>
      </w:r>
      <w:r>
        <w:rPr>
          <w:color w:val="000000"/>
        </w:rPr>
        <w:fldChar w:fldCharType="begin"/>
      </w:r>
      <w:r>
        <w:rPr>
          <w:color w:val="000000"/>
        </w:rPr>
        <w:instrText xml:space="preserve"> PAGEREF _Toc495500108 \h </w:instrText>
      </w:r>
      <w:r>
        <w:rPr>
          <w:color w:val="000000"/>
        </w:rPr>
        <w:fldChar w:fldCharType="separate"/>
      </w:r>
      <w:r>
        <w:rPr>
          <w:color w:val="000000"/>
        </w:rPr>
        <w:t>98</w:t>
      </w:r>
      <w:r>
        <w:rPr>
          <w:color w:val="000000"/>
        </w:rPr>
        <w:fldChar w:fldCharType="end"/>
      </w:r>
    </w:p>
    <w:p w14:paraId="7ED39A04">
      <w:pPr>
        <w:pStyle w:val="208"/>
        <w:tabs>
          <w:tab w:val="right" w:leader="dot" w:pos="8296"/>
        </w:tabs>
        <w:rPr>
          <w:b w:val="0"/>
          <w:caps w:val="0"/>
          <w:color w:val="000000"/>
          <w:sz w:val="21"/>
          <w:szCs w:val="24"/>
        </w:rPr>
      </w:pPr>
      <w:r>
        <w:rPr>
          <w:rFonts w:eastAsia="仿宋_GB2312"/>
          <w:color w:val="000000"/>
        </w:rPr>
        <w:t>7</w:t>
      </w:r>
      <w:r>
        <w:rPr>
          <w:rFonts w:hint="eastAsia" w:eastAsia="仿宋_GB2312"/>
          <w:color w:val="000000"/>
        </w:rPr>
        <w:t>、环境风险影响评价专题</w:t>
      </w:r>
      <w:r>
        <w:rPr>
          <w:color w:val="000000"/>
        </w:rPr>
        <w:tab/>
      </w:r>
      <w:r>
        <w:rPr>
          <w:color w:val="000000"/>
        </w:rPr>
        <w:fldChar w:fldCharType="begin"/>
      </w:r>
      <w:r>
        <w:rPr>
          <w:color w:val="000000"/>
        </w:rPr>
        <w:instrText xml:space="preserve"> PAGEREF _Toc495500109 \h </w:instrText>
      </w:r>
      <w:r>
        <w:rPr>
          <w:color w:val="000000"/>
        </w:rPr>
        <w:fldChar w:fldCharType="separate"/>
      </w:r>
      <w:r>
        <w:rPr>
          <w:color w:val="000000"/>
        </w:rPr>
        <w:t>99</w:t>
      </w:r>
      <w:r>
        <w:rPr>
          <w:color w:val="000000"/>
        </w:rPr>
        <w:fldChar w:fldCharType="end"/>
      </w:r>
    </w:p>
    <w:p w14:paraId="16B9B3EF">
      <w:pPr>
        <w:pStyle w:val="214"/>
        <w:tabs>
          <w:tab w:val="right" w:leader="dot" w:pos="8296"/>
        </w:tabs>
        <w:rPr>
          <w:smallCaps w:val="0"/>
          <w:color w:val="000000"/>
          <w:sz w:val="21"/>
          <w:szCs w:val="24"/>
        </w:rPr>
      </w:pPr>
      <w:r>
        <w:rPr>
          <w:rFonts w:ascii="仿宋_GB2312" w:eastAsia="仿宋_GB2312"/>
          <w:color w:val="000000"/>
        </w:rPr>
        <w:t>7.1</w:t>
      </w:r>
      <w:r>
        <w:rPr>
          <w:rFonts w:hint="eastAsia" w:ascii="仿宋_GB2312" w:eastAsia="仿宋_GB2312"/>
          <w:color w:val="000000"/>
        </w:rPr>
        <w:t>风险分析</w:t>
      </w:r>
      <w:r>
        <w:rPr>
          <w:color w:val="000000"/>
        </w:rPr>
        <w:tab/>
      </w:r>
      <w:r>
        <w:rPr>
          <w:color w:val="000000"/>
        </w:rPr>
        <w:fldChar w:fldCharType="begin"/>
      </w:r>
      <w:r>
        <w:rPr>
          <w:color w:val="000000"/>
        </w:rPr>
        <w:instrText xml:space="preserve"> PAGEREF _Toc495500110 \h </w:instrText>
      </w:r>
      <w:r>
        <w:rPr>
          <w:color w:val="000000"/>
        </w:rPr>
        <w:fldChar w:fldCharType="separate"/>
      </w:r>
      <w:r>
        <w:rPr>
          <w:color w:val="000000"/>
        </w:rPr>
        <w:t>99</w:t>
      </w:r>
      <w:r>
        <w:rPr>
          <w:color w:val="000000"/>
        </w:rPr>
        <w:fldChar w:fldCharType="end"/>
      </w:r>
    </w:p>
    <w:p w14:paraId="623F25E4">
      <w:pPr>
        <w:pStyle w:val="214"/>
        <w:tabs>
          <w:tab w:val="right" w:leader="dot" w:pos="8296"/>
        </w:tabs>
        <w:rPr>
          <w:smallCaps w:val="0"/>
          <w:color w:val="000000"/>
          <w:sz w:val="21"/>
          <w:szCs w:val="24"/>
        </w:rPr>
      </w:pPr>
      <w:r>
        <w:rPr>
          <w:rFonts w:ascii="仿宋_GB2312" w:eastAsia="仿宋_GB2312"/>
          <w:color w:val="000000"/>
        </w:rPr>
        <w:t>7.2</w:t>
      </w:r>
      <w:r>
        <w:rPr>
          <w:rFonts w:hint="eastAsia" w:ascii="仿宋_GB2312" w:eastAsia="仿宋_GB2312"/>
          <w:color w:val="000000"/>
        </w:rPr>
        <w:t>环境风险源及防范措施</w:t>
      </w:r>
      <w:r>
        <w:rPr>
          <w:color w:val="000000"/>
        </w:rPr>
        <w:tab/>
      </w:r>
      <w:r>
        <w:rPr>
          <w:color w:val="000000"/>
        </w:rPr>
        <w:fldChar w:fldCharType="begin"/>
      </w:r>
      <w:r>
        <w:rPr>
          <w:color w:val="000000"/>
        </w:rPr>
        <w:instrText xml:space="preserve"> PAGEREF _Toc495500111 \h </w:instrText>
      </w:r>
      <w:r>
        <w:rPr>
          <w:color w:val="000000"/>
        </w:rPr>
        <w:fldChar w:fldCharType="separate"/>
      </w:r>
      <w:r>
        <w:rPr>
          <w:color w:val="000000"/>
        </w:rPr>
        <w:t>99</w:t>
      </w:r>
      <w:r>
        <w:rPr>
          <w:color w:val="000000"/>
        </w:rPr>
        <w:fldChar w:fldCharType="end"/>
      </w:r>
    </w:p>
    <w:p w14:paraId="16DB87AA">
      <w:pPr>
        <w:pStyle w:val="200"/>
        <w:tabs>
          <w:tab w:val="right" w:leader="dot" w:pos="8296"/>
        </w:tabs>
        <w:rPr>
          <w:i w:val="0"/>
          <w:color w:val="000000"/>
          <w:sz w:val="21"/>
          <w:szCs w:val="24"/>
        </w:rPr>
      </w:pPr>
      <w:r>
        <w:rPr>
          <w:rFonts w:ascii="仿宋_GB2312" w:eastAsia="仿宋_GB2312"/>
          <w:color w:val="000000"/>
        </w:rPr>
        <w:t>7.2.1</w:t>
      </w:r>
      <w:r>
        <w:rPr>
          <w:rFonts w:hint="eastAsia" w:ascii="仿宋_GB2312" w:eastAsia="仿宋_GB2312"/>
          <w:color w:val="000000"/>
        </w:rPr>
        <w:t>管理疏漏，防止药品或实验用品的外泄</w:t>
      </w:r>
      <w:r>
        <w:rPr>
          <w:color w:val="000000"/>
        </w:rPr>
        <w:tab/>
      </w:r>
      <w:r>
        <w:rPr>
          <w:color w:val="000000"/>
        </w:rPr>
        <w:fldChar w:fldCharType="begin"/>
      </w:r>
      <w:r>
        <w:rPr>
          <w:color w:val="000000"/>
        </w:rPr>
        <w:instrText xml:space="preserve"> PAGEREF _Toc495500112 \h </w:instrText>
      </w:r>
      <w:r>
        <w:rPr>
          <w:color w:val="000000"/>
        </w:rPr>
        <w:fldChar w:fldCharType="separate"/>
      </w:r>
      <w:r>
        <w:rPr>
          <w:color w:val="000000"/>
        </w:rPr>
        <w:t>99</w:t>
      </w:r>
      <w:r>
        <w:rPr>
          <w:color w:val="000000"/>
        </w:rPr>
        <w:fldChar w:fldCharType="end"/>
      </w:r>
    </w:p>
    <w:p w14:paraId="2DA160CA">
      <w:pPr>
        <w:pStyle w:val="200"/>
        <w:tabs>
          <w:tab w:val="right" w:leader="dot" w:pos="8296"/>
        </w:tabs>
        <w:rPr>
          <w:i w:val="0"/>
          <w:color w:val="000000"/>
          <w:sz w:val="21"/>
          <w:szCs w:val="24"/>
        </w:rPr>
      </w:pPr>
      <w:r>
        <w:rPr>
          <w:rFonts w:ascii="仿宋_GB2312" w:eastAsia="仿宋_GB2312"/>
          <w:color w:val="000000"/>
        </w:rPr>
        <w:t>7.2.2</w:t>
      </w:r>
      <w:r>
        <w:rPr>
          <w:rFonts w:hint="eastAsia" w:ascii="仿宋_GB2312" w:eastAsia="仿宋_GB2312"/>
          <w:color w:val="000000"/>
        </w:rPr>
        <w:t>医疗废物管理不当</w:t>
      </w:r>
      <w:r>
        <w:rPr>
          <w:color w:val="000000"/>
        </w:rPr>
        <w:tab/>
      </w:r>
      <w:r>
        <w:rPr>
          <w:color w:val="000000"/>
        </w:rPr>
        <w:fldChar w:fldCharType="begin"/>
      </w:r>
      <w:r>
        <w:rPr>
          <w:color w:val="000000"/>
        </w:rPr>
        <w:instrText xml:space="preserve"> PAGEREF _Toc495500113 \h </w:instrText>
      </w:r>
      <w:r>
        <w:rPr>
          <w:color w:val="000000"/>
        </w:rPr>
        <w:fldChar w:fldCharType="separate"/>
      </w:r>
      <w:r>
        <w:rPr>
          <w:color w:val="000000"/>
        </w:rPr>
        <w:t>99</w:t>
      </w:r>
      <w:r>
        <w:rPr>
          <w:color w:val="000000"/>
        </w:rPr>
        <w:fldChar w:fldCharType="end"/>
      </w:r>
    </w:p>
    <w:p w14:paraId="198CDCA3">
      <w:pPr>
        <w:pStyle w:val="200"/>
        <w:tabs>
          <w:tab w:val="right" w:leader="dot" w:pos="8296"/>
        </w:tabs>
        <w:rPr>
          <w:i w:val="0"/>
          <w:color w:val="000000"/>
          <w:sz w:val="21"/>
          <w:szCs w:val="24"/>
        </w:rPr>
      </w:pPr>
      <w:r>
        <w:rPr>
          <w:rFonts w:ascii="仿宋_GB2312" w:eastAsia="仿宋_GB2312"/>
          <w:color w:val="000000"/>
        </w:rPr>
        <w:t>7.2.3</w:t>
      </w:r>
      <w:r>
        <w:rPr>
          <w:rFonts w:hint="eastAsia" w:ascii="仿宋_GB2312" w:eastAsia="仿宋_GB2312"/>
          <w:color w:val="000000"/>
        </w:rPr>
        <w:t>空调系统出现故障</w:t>
      </w:r>
      <w:r>
        <w:rPr>
          <w:color w:val="000000"/>
        </w:rPr>
        <w:tab/>
      </w:r>
      <w:r>
        <w:rPr>
          <w:color w:val="000000"/>
        </w:rPr>
        <w:fldChar w:fldCharType="begin"/>
      </w:r>
      <w:r>
        <w:rPr>
          <w:color w:val="000000"/>
        </w:rPr>
        <w:instrText xml:space="preserve"> PAGEREF _Toc495500114 \h </w:instrText>
      </w:r>
      <w:r>
        <w:rPr>
          <w:color w:val="000000"/>
        </w:rPr>
        <w:fldChar w:fldCharType="separate"/>
      </w:r>
      <w:r>
        <w:rPr>
          <w:color w:val="000000"/>
        </w:rPr>
        <w:t>101</w:t>
      </w:r>
      <w:r>
        <w:rPr>
          <w:color w:val="000000"/>
        </w:rPr>
        <w:fldChar w:fldCharType="end"/>
      </w:r>
    </w:p>
    <w:p w14:paraId="5802816D">
      <w:pPr>
        <w:pStyle w:val="200"/>
        <w:tabs>
          <w:tab w:val="right" w:leader="dot" w:pos="8296"/>
        </w:tabs>
        <w:rPr>
          <w:i w:val="0"/>
          <w:color w:val="000000"/>
          <w:sz w:val="21"/>
          <w:szCs w:val="24"/>
        </w:rPr>
      </w:pPr>
      <w:r>
        <w:rPr>
          <w:rFonts w:ascii="仿宋_GB2312" w:eastAsia="仿宋_GB2312"/>
          <w:color w:val="000000"/>
        </w:rPr>
        <w:t>7.2.4</w:t>
      </w:r>
      <w:r>
        <w:rPr>
          <w:rFonts w:hint="eastAsia" w:ascii="仿宋_GB2312" w:eastAsia="仿宋_GB2312"/>
          <w:color w:val="000000"/>
        </w:rPr>
        <w:t>供氧系统的风险</w:t>
      </w:r>
      <w:r>
        <w:rPr>
          <w:color w:val="000000"/>
        </w:rPr>
        <w:tab/>
      </w:r>
      <w:r>
        <w:rPr>
          <w:color w:val="000000"/>
        </w:rPr>
        <w:fldChar w:fldCharType="begin"/>
      </w:r>
      <w:r>
        <w:rPr>
          <w:color w:val="000000"/>
        </w:rPr>
        <w:instrText xml:space="preserve"> PAGEREF _Toc495500115 \h </w:instrText>
      </w:r>
      <w:r>
        <w:rPr>
          <w:color w:val="000000"/>
        </w:rPr>
        <w:fldChar w:fldCharType="separate"/>
      </w:r>
      <w:r>
        <w:rPr>
          <w:color w:val="000000"/>
        </w:rPr>
        <w:t>101</w:t>
      </w:r>
      <w:r>
        <w:rPr>
          <w:color w:val="000000"/>
        </w:rPr>
        <w:fldChar w:fldCharType="end"/>
      </w:r>
    </w:p>
    <w:p w14:paraId="6A6E9AE8">
      <w:pPr>
        <w:pStyle w:val="200"/>
        <w:tabs>
          <w:tab w:val="right" w:leader="dot" w:pos="8296"/>
        </w:tabs>
        <w:rPr>
          <w:i w:val="0"/>
          <w:color w:val="000000"/>
          <w:sz w:val="21"/>
          <w:szCs w:val="24"/>
        </w:rPr>
      </w:pPr>
      <w:r>
        <w:rPr>
          <w:rFonts w:ascii="仿宋_GB2312" w:eastAsia="仿宋_GB2312"/>
          <w:color w:val="000000"/>
        </w:rPr>
        <w:t>7.2.5</w:t>
      </w:r>
      <w:r>
        <w:rPr>
          <w:rFonts w:hint="eastAsia" w:ascii="仿宋_GB2312" w:eastAsia="仿宋_GB2312"/>
          <w:color w:val="000000"/>
        </w:rPr>
        <w:t>二氧化氯</w:t>
      </w:r>
      <w:r>
        <w:rPr>
          <w:color w:val="000000"/>
        </w:rPr>
        <w:tab/>
      </w:r>
      <w:r>
        <w:rPr>
          <w:color w:val="000000"/>
        </w:rPr>
        <w:fldChar w:fldCharType="begin"/>
      </w:r>
      <w:r>
        <w:rPr>
          <w:color w:val="000000"/>
        </w:rPr>
        <w:instrText xml:space="preserve"> PAGEREF _Toc495500116 \h </w:instrText>
      </w:r>
      <w:r>
        <w:rPr>
          <w:color w:val="000000"/>
        </w:rPr>
        <w:fldChar w:fldCharType="separate"/>
      </w:r>
      <w:r>
        <w:rPr>
          <w:color w:val="000000"/>
        </w:rPr>
        <w:t>101</w:t>
      </w:r>
      <w:r>
        <w:rPr>
          <w:color w:val="000000"/>
        </w:rPr>
        <w:fldChar w:fldCharType="end"/>
      </w:r>
    </w:p>
    <w:p w14:paraId="7916128C">
      <w:pPr>
        <w:pStyle w:val="200"/>
        <w:tabs>
          <w:tab w:val="right" w:leader="dot" w:pos="8296"/>
        </w:tabs>
        <w:rPr>
          <w:i w:val="0"/>
          <w:color w:val="000000"/>
          <w:sz w:val="21"/>
          <w:szCs w:val="24"/>
        </w:rPr>
      </w:pPr>
      <w:r>
        <w:rPr>
          <w:rFonts w:ascii="仿宋_GB2312" w:eastAsia="仿宋_GB2312"/>
          <w:color w:val="000000"/>
        </w:rPr>
        <w:t xml:space="preserve">7.2.6 </w:t>
      </w:r>
      <w:r>
        <w:rPr>
          <w:rFonts w:hint="eastAsia" w:ascii="仿宋_GB2312" w:eastAsia="仿宋_GB2312"/>
          <w:color w:val="000000"/>
        </w:rPr>
        <w:t>污水处理系统控制措施</w:t>
      </w:r>
      <w:r>
        <w:rPr>
          <w:color w:val="000000"/>
        </w:rPr>
        <w:tab/>
      </w:r>
      <w:r>
        <w:rPr>
          <w:color w:val="000000"/>
        </w:rPr>
        <w:fldChar w:fldCharType="begin"/>
      </w:r>
      <w:r>
        <w:rPr>
          <w:color w:val="000000"/>
        </w:rPr>
        <w:instrText xml:space="preserve"> PAGEREF _Toc495500117 \h </w:instrText>
      </w:r>
      <w:r>
        <w:rPr>
          <w:color w:val="000000"/>
        </w:rPr>
        <w:fldChar w:fldCharType="separate"/>
      </w:r>
      <w:r>
        <w:rPr>
          <w:color w:val="000000"/>
        </w:rPr>
        <w:t>104</w:t>
      </w:r>
      <w:r>
        <w:rPr>
          <w:color w:val="000000"/>
        </w:rPr>
        <w:fldChar w:fldCharType="end"/>
      </w:r>
    </w:p>
    <w:p w14:paraId="323CDC22">
      <w:pPr>
        <w:pStyle w:val="200"/>
        <w:tabs>
          <w:tab w:val="right" w:leader="dot" w:pos="8296"/>
        </w:tabs>
        <w:rPr>
          <w:i w:val="0"/>
          <w:color w:val="000000"/>
          <w:sz w:val="21"/>
          <w:szCs w:val="24"/>
        </w:rPr>
      </w:pPr>
      <w:r>
        <w:rPr>
          <w:rFonts w:ascii="仿宋_GB2312" w:eastAsia="仿宋_GB2312"/>
          <w:color w:val="000000"/>
        </w:rPr>
        <w:t>7.2.7</w:t>
      </w:r>
      <w:r>
        <w:rPr>
          <w:rFonts w:hint="eastAsia" w:ascii="仿宋_GB2312" w:eastAsia="仿宋_GB2312"/>
          <w:color w:val="000000"/>
        </w:rPr>
        <w:t>其它风险</w:t>
      </w:r>
      <w:r>
        <w:rPr>
          <w:color w:val="000000"/>
        </w:rPr>
        <w:tab/>
      </w:r>
      <w:r>
        <w:rPr>
          <w:color w:val="000000"/>
        </w:rPr>
        <w:fldChar w:fldCharType="begin"/>
      </w:r>
      <w:r>
        <w:rPr>
          <w:color w:val="000000"/>
        </w:rPr>
        <w:instrText xml:space="preserve"> PAGEREF _Toc495500118 \h </w:instrText>
      </w:r>
      <w:r>
        <w:rPr>
          <w:color w:val="000000"/>
        </w:rPr>
        <w:fldChar w:fldCharType="separate"/>
      </w:r>
      <w:r>
        <w:rPr>
          <w:color w:val="000000"/>
        </w:rPr>
        <w:t>104</w:t>
      </w:r>
      <w:r>
        <w:rPr>
          <w:color w:val="000000"/>
        </w:rPr>
        <w:fldChar w:fldCharType="end"/>
      </w:r>
    </w:p>
    <w:p w14:paraId="073D4D7C">
      <w:pPr>
        <w:pStyle w:val="214"/>
        <w:tabs>
          <w:tab w:val="right" w:leader="dot" w:pos="8296"/>
        </w:tabs>
        <w:rPr>
          <w:smallCaps w:val="0"/>
          <w:color w:val="000000"/>
          <w:sz w:val="21"/>
          <w:szCs w:val="24"/>
        </w:rPr>
      </w:pPr>
      <w:r>
        <w:rPr>
          <w:rFonts w:ascii="仿宋_GB2312" w:eastAsia="仿宋_GB2312"/>
          <w:color w:val="000000"/>
        </w:rPr>
        <w:t>7.3</w:t>
      </w:r>
      <w:r>
        <w:rPr>
          <w:rFonts w:hint="eastAsia" w:ascii="仿宋_GB2312" w:eastAsia="仿宋_GB2312"/>
          <w:color w:val="000000"/>
        </w:rPr>
        <w:t>应急预案</w:t>
      </w:r>
      <w:r>
        <w:rPr>
          <w:color w:val="000000"/>
        </w:rPr>
        <w:tab/>
      </w:r>
      <w:r>
        <w:rPr>
          <w:color w:val="000000"/>
        </w:rPr>
        <w:fldChar w:fldCharType="begin"/>
      </w:r>
      <w:r>
        <w:rPr>
          <w:color w:val="000000"/>
        </w:rPr>
        <w:instrText xml:space="preserve"> PAGEREF _Toc495500119 \h </w:instrText>
      </w:r>
      <w:r>
        <w:rPr>
          <w:color w:val="000000"/>
        </w:rPr>
        <w:fldChar w:fldCharType="separate"/>
      </w:r>
      <w:r>
        <w:rPr>
          <w:color w:val="000000"/>
        </w:rPr>
        <w:t>105</w:t>
      </w:r>
      <w:r>
        <w:rPr>
          <w:color w:val="000000"/>
        </w:rPr>
        <w:fldChar w:fldCharType="end"/>
      </w:r>
    </w:p>
    <w:p w14:paraId="67C40430">
      <w:pPr>
        <w:pStyle w:val="214"/>
        <w:tabs>
          <w:tab w:val="right" w:leader="dot" w:pos="8296"/>
        </w:tabs>
        <w:rPr>
          <w:smallCaps w:val="0"/>
          <w:color w:val="000000"/>
          <w:sz w:val="21"/>
          <w:szCs w:val="24"/>
        </w:rPr>
      </w:pPr>
      <w:r>
        <w:rPr>
          <w:rFonts w:ascii="仿宋_GB2312" w:eastAsia="仿宋_GB2312"/>
          <w:color w:val="000000"/>
        </w:rPr>
        <w:t>7.4</w:t>
      </w:r>
      <w:r>
        <w:rPr>
          <w:rFonts w:hint="eastAsia" w:ascii="仿宋_GB2312" w:eastAsia="仿宋_GB2312"/>
          <w:color w:val="000000"/>
        </w:rPr>
        <w:t>环境风险评价结论及建议</w:t>
      </w:r>
      <w:r>
        <w:rPr>
          <w:color w:val="000000"/>
        </w:rPr>
        <w:tab/>
      </w:r>
      <w:r>
        <w:rPr>
          <w:color w:val="000000"/>
        </w:rPr>
        <w:fldChar w:fldCharType="begin"/>
      </w:r>
      <w:r>
        <w:rPr>
          <w:color w:val="000000"/>
        </w:rPr>
        <w:instrText xml:space="preserve"> PAGEREF _Toc495500120 \h </w:instrText>
      </w:r>
      <w:r>
        <w:rPr>
          <w:color w:val="000000"/>
        </w:rPr>
        <w:fldChar w:fldCharType="separate"/>
      </w:r>
      <w:r>
        <w:rPr>
          <w:color w:val="000000"/>
        </w:rPr>
        <w:t>106</w:t>
      </w:r>
      <w:r>
        <w:rPr>
          <w:color w:val="000000"/>
        </w:rPr>
        <w:fldChar w:fldCharType="end"/>
      </w:r>
    </w:p>
    <w:p w14:paraId="459AEBDB">
      <w:pPr>
        <w:pStyle w:val="208"/>
        <w:tabs>
          <w:tab w:val="right" w:leader="dot" w:pos="8296"/>
        </w:tabs>
        <w:rPr>
          <w:b w:val="0"/>
          <w:caps w:val="0"/>
          <w:color w:val="000000"/>
          <w:sz w:val="21"/>
          <w:szCs w:val="24"/>
        </w:rPr>
      </w:pPr>
      <w:r>
        <w:rPr>
          <w:rFonts w:ascii="仿宋_GB2312" w:eastAsia="仿宋_GB2312"/>
          <w:bCs/>
          <w:color w:val="000000"/>
        </w:rPr>
        <w:t>8</w:t>
      </w:r>
      <w:r>
        <w:rPr>
          <w:rFonts w:hint="eastAsia" w:ascii="仿宋_GB2312" w:eastAsia="仿宋_GB2312"/>
          <w:bCs/>
          <w:color w:val="000000"/>
        </w:rPr>
        <w:t>、环境影响控制措施</w:t>
      </w:r>
      <w:r>
        <w:rPr>
          <w:color w:val="000000"/>
        </w:rPr>
        <w:tab/>
      </w:r>
      <w:r>
        <w:rPr>
          <w:color w:val="000000"/>
        </w:rPr>
        <w:fldChar w:fldCharType="begin"/>
      </w:r>
      <w:r>
        <w:rPr>
          <w:color w:val="000000"/>
        </w:rPr>
        <w:instrText xml:space="preserve"> PAGEREF _Toc495500121 \h </w:instrText>
      </w:r>
      <w:r>
        <w:rPr>
          <w:color w:val="000000"/>
        </w:rPr>
        <w:fldChar w:fldCharType="separate"/>
      </w:r>
      <w:r>
        <w:rPr>
          <w:color w:val="000000"/>
        </w:rPr>
        <w:t>107</w:t>
      </w:r>
      <w:r>
        <w:rPr>
          <w:color w:val="000000"/>
        </w:rPr>
        <w:fldChar w:fldCharType="end"/>
      </w:r>
    </w:p>
    <w:p w14:paraId="4972B170">
      <w:pPr>
        <w:pStyle w:val="214"/>
        <w:tabs>
          <w:tab w:val="right" w:leader="dot" w:pos="8296"/>
        </w:tabs>
        <w:rPr>
          <w:smallCaps w:val="0"/>
          <w:color w:val="000000"/>
          <w:sz w:val="21"/>
          <w:szCs w:val="24"/>
        </w:rPr>
      </w:pPr>
      <w:r>
        <w:rPr>
          <w:rFonts w:ascii="仿宋_GB2312" w:eastAsia="仿宋_GB2312"/>
          <w:color w:val="000000"/>
        </w:rPr>
        <w:t>8.1</w:t>
      </w:r>
      <w:r>
        <w:rPr>
          <w:rFonts w:hint="eastAsia" w:ascii="仿宋_GB2312" w:eastAsia="仿宋_GB2312"/>
          <w:color w:val="000000"/>
        </w:rPr>
        <w:t>施工期环境影响控制措施</w:t>
      </w:r>
      <w:r>
        <w:rPr>
          <w:color w:val="000000"/>
        </w:rPr>
        <w:tab/>
      </w:r>
      <w:r>
        <w:rPr>
          <w:color w:val="000000"/>
        </w:rPr>
        <w:fldChar w:fldCharType="begin"/>
      </w:r>
      <w:r>
        <w:rPr>
          <w:color w:val="000000"/>
        </w:rPr>
        <w:instrText xml:space="preserve"> PAGEREF _Toc495500122 \h </w:instrText>
      </w:r>
      <w:r>
        <w:rPr>
          <w:color w:val="000000"/>
        </w:rPr>
        <w:fldChar w:fldCharType="separate"/>
      </w:r>
      <w:r>
        <w:rPr>
          <w:color w:val="000000"/>
        </w:rPr>
        <w:t>107</w:t>
      </w:r>
      <w:r>
        <w:rPr>
          <w:color w:val="000000"/>
        </w:rPr>
        <w:fldChar w:fldCharType="end"/>
      </w:r>
    </w:p>
    <w:p w14:paraId="24468BFC">
      <w:pPr>
        <w:pStyle w:val="200"/>
        <w:tabs>
          <w:tab w:val="right" w:leader="dot" w:pos="8296"/>
        </w:tabs>
        <w:rPr>
          <w:i w:val="0"/>
          <w:color w:val="000000"/>
          <w:sz w:val="21"/>
          <w:szCs w:val="24"/>
        </w:rPr>
      </w:pPr>
      <w:r>
        <w:rPr>
          <w:rFonts w:ascii="仿宋_GB2312" w:eastAsia="仿宋_GB2312"/>
          <w:color w:val="000000"/>
        </w:rPr>
        <w:t>8.1.1</w:t>
      </w:r>
      <w:r>
        <w:rPr>
          <w:rFonts w:hint="eastAsia" w:ascii="仿宋_GB2312" w:eastAsia="仿宋_GB2312"/>
          <w:color w:val="000000"/>
        </w:rPr>
        <w:t>大气污染防治措施</w:t>
      </w:r>
      <w:r>
        <w:rPr>
          <w:color w:val="000000"/>
        </w:rPr>
        <w:tab/>
      </w:r>
      <w:r>
        <w:rPr>
          <w:color w:val="000000"/>
        </w:rPr>
        <w:fldChar w:fldCharType="begin"/>
      </w:r>
      <w:r>
        <w:rPr>
          <w:color w:val="000000"/>
        </w:rPr>
        <w:instrText xml:space="preserve"> PAGEREF _Toc495500123 \h </w:instrText>
      </w:r>
      <w:r>
        <w:rPr>
          <w:color w:val="000000"/>
        </w:rPr>
        <w:fldChar w:fldCharType="separate"/>
      </w:r>
      <w:r>
        <w:rPr>
          <w:color w:val="000000"/>
        </w:rPr>
        <w:t>107</w:t>
      </w:r>
      <w:r>
        <w:rPr>
          <w:color w:val="000000"/>
        </w:rPr>
        <w:fldChar w:fldCharType="end"/>
      </w:r>
    </w:p>
    <w:p w14:paraId="5B7D19E2">
      <w:pPr>
        <w:pStyle w:val="200"/>
        <w:tabs>
          <w:tab w:val="right" w:leader="dot" w:pos="8296"/>
        </w:tabs>
        <w:rPr>
          <w:i w:val="0"/>
          <w:color w:val="000000"/>
          <w:sz w:val="21"/>
          <w:szCs w:val="24"/>
        </w:rPr>
      </w:pPr>
      <w:r>
        <w:rPr>
          <w:rFonts w:ascii="仿宋_GB2312" w:eastAsia="仿宋_GB2312"/>
          <w:color w:val="000000"/>
        </w:rPr>
        <w:t>8.1.2</w:t>
      </w:r>
      <w:r>
        <w:rPr>
          <w:rFonts w:hint="eastAsia" w:ascii="仿宋_GB2312" w:eastAsia="仿宋_GB2312"/>
          <w:color w:val="000000"/>
        </w:rPr>
        <w:t>地表水污染防治措施</w:t>
      </w:r>
      <w:r>
        <w:rPr>
          <w:color w:val="000000"/>
        </w:rPr>
        <w:tab/>
      </w:r>
      <w:r>
        <w:rPr>
          <w:color w:val="000000"/>
        </w:rPr>
        <w:fldChar w:fldCharType="begin"/>
      </w:r>
      <w:r>
        <w:rPr>
          <w:color w:val="000000"/>
        </w:rPr>
        <w:instrText xml:space="preserve"> PAGEREF _Toc495500124 \h </w:instrText>
      </w:r>
      <w:r>
        <w:rPr>
          <w:color w:val="000000"/>
        </w:rPr>
        <w:fldChar w:fldCharType="separate"/>
      </w:r>
      <w:r>
        <w:rPr>
          <w:color w:val="000000"/>
        </w:rPr>
        <w:t>108</w:t>
      </w:r>
      <w:r>
        <w:rPr>
          <w:color w:val="000000"/>
        </w:rPr>
        <w:fldChar w:fldCharType="end"/>
      </w:r>
    </w:p>
    <w:p w14:paraId="0985AC04">
      <w:pPr>
        <w:pStyle w:val="200"/>
        <w:tabs>
          <w:tab w:val="right" w:leader="dot" w:pos="8296"/>
        </w:tabs>
        <w:rPr>
          <w:i w:val="0"/>
          <w:color w:val="000000"/>
          <w:sz w:val="21"/>
          <w:szCs w:val="24"/>
        </w:rPr>
      </w:pPr>
      <w:r>
        <w:rPr>
          <w:rFonts w:ascii="仿宋_GB2312" w:eastAsia="仿宋_GB2312"/>
          <w:color w:val="000000"/>
        </w:rPr>
        <w:t>8.1.3</w:t>
      </w:r>
      <w:r>
        <w:rPr>
          <w:rFonts w:hint="eastAsia" w:ascii="仿宋_GB2312" w:eastAsia="仿宋_GB2312"/>
          <w:color w:val="000000"/>
        </w:rPr>
        <w:t>噪声污染防治措施</w:t>
      </w:r>
      <w:r>
        <w:rPr>
          <w:color w:val="000000"/>
        </w:rPr>
        <w:tab/>
      </w:r>
      <w:r>
        <w:rPr>
          <w:color w:val="000000"/>
        </w:rPr>
        <w:fldChar w:fldCharType="begin"/>
      </w:r>
      <w:r>
        <w:rPr>
          <w:color w:val="000000"/>
        </w:rPr>
        <w:instrText xml:space="preserve"> PAGEREF _Toc495500125 \h </w:instrText>
      </w:r>
      <w:r>
        <w:rPr>
          <w:color w:val="000000"/>
        </w:rPr>
        <w:fldChar w:fldCharType="separate"/>
      </w:r>
      <w:r>
        <w:rPr>
          <w:color w:val="000000"/>
        </w:rPr>
        <w:t>108</w:t>
      </w:r>
      <w:r>
        <w:rPr>
          <w:color w:val="000000"/>
        </w:rPr>
        <w:fldChar w:fldCharType="end"/>
      </w:r>
    </w:p>
    <w:p w14:paraId="407F9735">
      <w:pPr>
        <w:pStyle w:val="200"/>
        <w:tabs>
          <w:tab w:val="right" w:leader="dot" w:pos="8296"/>
        </w:tabs>
        <w:rPr>
          <w:i w:val="0"/>
          <w:color w:val="000000"/>
          <w:sz w:val="21"/>
          <w:szCs w:val="24"/>
        </w:rPr>
      </w:pPr>
      <w:r>
        <w:rPr>
          <w:rFonts w:ascii="仿宋_GB2312" w:eastAsia="仿宋_GB2312"/>
          <w:color w:val="000000"/>
        </w:rPr>
        <w:t xml:space="preserve">8.1.4 </w:t>
      </w:r>
      <w:r>
        <w:rPr>
          <w:rFonts w:hint="eastAsia" w:ascii="仿宋_GB2312" w:eastAsia="仿宋_GB2312"/>
          <w:color w:val="000000"/>
        </w:rPr>
        <w:t>固体废物污染防治措施</w:t>
      </w:r>
      <w:r>
        <w:rPr>
          <w:color w:val="000000"/>
        </w:rPr>
        <w:tab/>
      </w:r>
      <w:r>
        <w:rPr>
          <w:color w:val="000000"/>
        </w:rPr>
        <w:fldChar w:fldCharType="begin"/>
      </w:r>
      <w:r>
        <w:rPr>
          <w:color w:val="000000"/>
        </w:rPr>
        <w:instrText xml:space="preserve"> PAGEREF _Toc495500126 \h </w:instrText>
      </w:r>
      <w:r>
        <w:rPr>
          <w:color w:val="000000"/>
        </w:rPr>
        <w:fldChar w:fldCharType="separate"/>
      </w:r>
      <w:r>
        <w:rPr>
          <w:color w:val="000000"/>
        </w:rPr>
        <w:t>109</w:t>
      </w:r>
      <w:r>
        <w:rPr>
          <w:color w:val="000000"/>
        </w:rPr>
        <w:fldChar w:fldCharType="end"/>
      </w:r>
    </w:p>
    <w:p w14:paraId="65BB8BAE">
      <w:pPr>
        <w:pStyle w:val="200"/>
        <w:tabs>
          <w:tab w:val="right" w:leader="dot" w:pos="8296"/>
        </w:tabs>
        <w:rPr>
          <w:i w:val="0"/>
          <w:color w:val="000000"/>
          <w:sz w:val="21"/>
          <w:szCs w:val="24"/>
        </w:rPr>
      </w:pPr>
      <w:r>
        <w:rPr>
          <w:rFonts w:ascii="仿宋_GB2312" w:eastAsia="仿宋_GB2312"/>
          <w:color w:val="000000"/>
        </w:rPr>
        <w:t>8.1.5</w:t>
      </w:r>
      <w:r>
        <w:rPr>
          <w:rFonts w:hint="eastAsia" w:ascii="仿宋_GB2312" w:eastAsia="仿宋_GB2312"/>
          <w:color w:val="000000"/>
        </w:rPr>
        <w:t>水土流失防治措施</w:t>
      </w:r>
      <w:r>
        <w:rPr>
          <w:color w:val="000000"/>
        </w:rPr>
        <w:tab/>
      </w:r>
      <w:r>
        <w:rPr>
          <w:color w:val="000000"/>
        </w:rPr>
        <w:fldChar w:fldCharType="begin"/>
      </w:r>
      <w:r>
        <w:rPr>
          <w:color w:val="000000"/>
        </w:rPr>
        <w:instrText xml:space="preserve"> PAGEREF _Toc495500127 \h </w:instrText>
      </w:r>
      <w:r>
        <w:rPr>
          <w:color w:val="000000"/>
        </w:rPr>
        <w:fldChar w:fldCharType="separate"/>
      </w:r>
      <w:r>
        <w:rPr>
          <w:color w:val="000000"/>
        </w:rPr>
        <w:t>110</w:t>
      </w:r>
      <w:r>
        <w:rPr>
          <w:color w:val="000000"/>
        </w:rPr>
        <w:fldChar w:fldCharType="end"/>
      </w:r>
    </w:p>
    <w:p w14:paraId="64FCEAE4">
      <w:pPr>
        <w:pStyle w:val="200"/>
        <w:tabs>
          <w:tab w:val="right" w:leader="dot" w:pos="8296"/>
        </w:tabs>
        <w:rPr>
          <w:i w:val="0"/>
          <w:color w:val="000000"/>
          <w:sz w:val="21"/>
          <w:szCs w:val="24"/>
        </w:rPr>
      </w:pPr>
      <w:r>
        <w:rPr>
          <w:rFonts w:ascii="仿宋_GB2312" w:eastAsia="仿宋_GB2312"/>
          <w:color w:val="000000"/>
        </w:rPr>
        <w:t xml:space="preserve">8.1.6 </w:t>
      </w:r>
      <w:r>
        <w:rPr>
          <w:rFonts w:hint="eastAsia" w:ascii="仿宋_GB2312" w:eastAsia="仿宋_GB2312"/>
          <w:color w:val="000000"/>
        </w:rPr>
        <w:t>交通环境影响控制措施</w:t>
      </w:r>
      <w:r>
        <w:rPr>
          <w:color w:val="000000"/>
        </w:rPr>
        <w:tab/>
      </w:r>
      <w:r>
        <w:rPr>
          <w:color w:val="000000"/>
        </w:rPr>
        <w:fldChar w:fldCharType="begin"/>
      </w:r>
      <w:r>
        <w:rPr>
          <w:color w:val="000000"/>
        </w:rPr>
        <w:instrText xml:space="preserve"> PAGEREF _Toc495500128 \h </w:instrText>
      </w:r>
      <w:r>
        <w:rPr>
          <w:color w:val="000000"/>
        </w:rPr>
        <w:fldChar w:fldCharType="separate"/>
      </w:r>
      <w:r>
        <w:rPr>
          <w:color w:val="000000"/>
        </w:rPr>
        <w:t>110</w:t>
      </w:r>
      <w:r>
        <w:rPr>
          <w:color w:val="000000"/>
        </w:rPr>
        <w:fldChar w:fldCharType="end"/>
      </w:r>
    </w:p>
    <w:p w14:paraId="2FA2682D">
      <w:pPr>
        <w:pStyle w:val="214"/>
        <w:tabs>
          <w:tab w:val="right" w:leader="dot" w:pos="8296"/>
        </w:tabs>
        <w:rPr>
          <w:smallCaps w:val="0"/>
          <w:color w:val="000000"/>
          <w:sz w:val="21"/>
          <w:szCs w:val="24"/>
        </w:rPr>
      </w:pPr>
      <w:r>
        <w:rPr>
          <w:rFonts w:ascii="仿宋_GB2312" w:eastAsia="仿宋_GB2312"/>
          <w:color w:val="000000"/>
        </w:rPr>
        <w:t xml:space="preserve">8.2 </w:t>
      </w:r>
      <w:r>
        <w:rPr>
          <w:rFonts w:hint="eastAsia" w:ascii="仿宋_GB2312" w:eastAsia="仿宋_GB2312"/>
          <w:color w:val="000000"/>
        </w:rPr>
        <w:t>运营期污染防治措施</w:t>
      </w:r>
      <w:r>
        <w:rPr>
          <w:color w:val="000000"/>
        </w:rPr>
        <w:tab/>
      </w:r>
      <w:r>
        <w:rPr>
          <w:color w:val="000000"/>
        </w:rPr>
        <w:fldChar w:fldCharType="begin"/>
      </w:r>
      <w:r>
        <w:rPr>
          <w:color w:val="000000"/>
        </w:rPr>
        <w:instrText xml:space="preserve"> PAGEREF _Toc495500129 \h </w:instrText>
      </w:r>
      <w:r>
        <w:rPr>
          <w:color w:val="000000"/>
        </w:rPr>
        <w:fldChar w:fldCharType="separate"/>
      </w:r>
      <w:r>
        <w:rPr>
          <w:color w:val="000000"/>
        </w:rPr>
        <w:t>110</w:t>
      </w:r>
      <w:r>
        <w:rPr>
          <w:color w:val="000000"/>
        </w:rPr>
        <w:fldChar w:fldCharType="end"/>
      </w:r>
    </w:p>
    <w:p w14:paraId="2ADC0830">
      <w:pPr>
        <w:pStyle w:val="200"/>
        <w:tabs>
          <w:tab w:val="right" w:leader="dot" w:pos="8296"/>
        </w:tabs>
        <w:rPr>
          <w:i w:val="0"/>
          <w:color w:val="000000"/>
          <w:sz w:val="21"/>
          <w:szCs w:val="24"/>
        </w:rPr>
      </w:pPr>
      <w:r>
        <w:rPr>
          <w:rFonts w:ascii="仿宋_GB2312" w:eastAsia="仿宋_GB2312"/>
          <w:color w:val="000000"/>
        </w:rPr>
        <w:t xml:space="preserve">8.2.1 </w:t>
      </w:r>
      <w:r>
        <w:rPr>
          <w:rFonts w:hint="eastAsia" w:ascii="仿宋_GB2312" w:eastAsia="仿宋_GB2312"/>
          <w:color w:val="000000"/>
        </w:rPr>
        <w:t>大气污染防治措施</w:t>
      </w:r>
      <w:r>
        <w:rPr>
          <w:color w:val="000000"/>
        </w:rPr>
        <w:tab/>
      </w:r>
      <w:r>
        <w:rPr>
          <w:color w:val="000000"/>
        </w:rPr>
        <w:fldChar w:fldCharType="begin"/>
      </w:r>
      <w:r>
        <w:rPr>
          <w:color w:val="000000"/>
        </w:rPr>
        <w:instrText xml:space="preserve"> PAGEREF _Toc495500130 \h </w:instrText>
      </w:r>
      <w:r>
        <w:rPr>
          <w:color w:val="000000"/>
        </w:rPr>
        <w:fldChar w:fldCharType="separate"/>
      </w:r>
      <w:r>
        <w:rPr>
          <w:color w:val="000000"/>
        </w:rPr>
        <w:t>110</w:t>
      </w:r>
      <w:r>
        <w:rPr>
          <w:color w:val="000000"/>
        </w:rPr>
        <w:fldChar w:fldCharType="end"/>
      </w:r>
    </w:p>
    <w:p w14:paraId="183DF906">
      <w:pPr>
        <w:pStyle w:val="200"/>
        <w:tabs>
          <w:tab w:val="right" w:leader="dot" w:pos="8296"/>
        </w:tabs>
        <w:rPr>
          <w:i w:val="0"/>
          <w:color w:val="000000"/>
          <w:sz w:val="21"/>
          <w:szCs w:val="24"/>
        </w:rPr>
      </w:pPr>
      <w:r>
        <w:rPr>
          <w:rFonts w:ascii="仿宋_GB2312" w:eastAsia="仿宋_GB2312"/>
          <w:color w:val="000000"/>
        </w:rPr>
        <w:t xml:space="preserve">8.2.2 </w:t>
      </w:r>
      <w:r>
        <w:rPr>
          <w:rFonts w:hint="eastAsia" w:ascii="仿宋_GB2312" w:eastAsia="仿宋_GB2312"/>
          <w:color w:val="000000"/>
        </w:rPr>
        <w:t>地表水环境污染防治措施及要求</w:t>
      </w:r>
      <w:r>
        <w:rPr>
          <w:color w:val="000000"/>
        </w:rPr>
        <w:tab/>
      </w:r>
      <w:r>
        <w:rPr>
          <w:color w:val="000000"/>
        </w:rPr>
        <w:fldChar w:fldCharType="begin"/>
      </w:r>
      <w:r>
        <w:rPr>
          <w:color w:val="000000"/>
        </w:rPr>
        <w:instrText xml:space="preserve"> PAGEREF _Toc495500131 \h </w:instrText>
      </w:r>
      <w:r>
        <w:rPr>
          <w:color w:val="000000"/>
        </w:rPr>
        <w:fldChar w:fldCharType="separate"/>
      </w:r>
      <w:r>
        <w:rPr>
          <w:color w:val="000000"/>
        </w:rPr>
        <w:t>111</w:t>
      </w:r>
      <w:r>
        <w:rPr>
          <w:color w:val="000000"/>
        </w:rPr>
        <w:fldChar w:fldCharType="end"/>
      </w:r>
    </w:p>
    <w:p w14:paraId="576A59F7">
      <w:pPr>
        <w:pStyle w:val="200"/>
        <w:tabs>
          <w:tab w:val="right" w:leader="dot" w:pos="8296"/>
        </w:tabs>
        <w:rPr>
          <w:i w:val="0"/>
          <w:color w:val="000000"/>
          <w:sz w:val="21"/>
          <w:szCs w:val="24"/>
        </w:rPr>
      </w:pPr>
      <w:r>
        <w:rPr>
          <w:rFonts w:ascii="仿宋_GB2312" w:eastAsia="仿宋_GB2312"/>
          <w:color w:val="000000"/>
        </w:rPr>
        <w:t xml:space="preserve">8.2.3 </w:t>
      </w:r>
      <w:r>
        <w:rPr>
          <w:rFonts w:hint="eastAsia" w:ascii="仿宋_GB2312" w:eastAsia="仿宋_GB2312"/>
          <w:color w:val="000000"/>
        </w:rPr>
        <w:t>噪声污染防治措施</w:t>
      </w:r>
      <w:r>
        <w:rPr>
          <w:color w:val="000000"/>
        </w:rPr>
        <w:tab/>
      </w:r>
      <w:r>
        <w:rPr>
          <w:color w:val="000000"/>
        </w:rPr>
        <w:fldChar w:fldCharType="begin"/>
      </w:r>
      <w:r>
        <w:rPr>
          <w:color w:val="000000"/>
        </w:rPr>
        <w:instrText xml:space="preserve"> PAGEREF _Toc495500132 \h </w:instrText>
      </w:r>
      <w:r>
        <w:rPr>
          <w:color w:val="000000"/>
        </w:rPr>
        <w:fldChar w:fldCharType="separate"/>
      </w:r>
      <w:r>
        <w:rPr>
          <w:color w:val="000000"/>
        </w:rPr>
        <w:t>112</w:t>
      </w:r>
      <w:r>
        <w:rPr>
          <w:color w:val="000000"/>
        </w:rPr>
        <w:fldChar w:fldCharType="end"/>
      </w:r>
    </w:p>
    <w:p w14:paraId="6CD8DF58">
      <w:pPr>
        <w:pStyle w:val="200"/>
        <w:tabs>
          <w:tab w:val="right" w:leader="dot" w:pos="8296"/>
        </w:tabs>
        <w:rPr>
          <w:i w:val="0"/>
          <w:color w:val="000000"/>
          <w:sz w:val="21"/>
          <w:szCs w:val="24"/>
        </w:rPr>
      </w:pPr>
      <w:r>
        <w:rPr>
          <w:rFonts w:ascii="仿宋_GB2312" w:eastAsia="仿宋_GB2312"/>
          <w:color w:val="000000"/>
        </w:rPr>
        <w:t xml:space="preserve">8.2.4 </w:t>
      </w:r>
      <w:r>
        <w:rPr>
          <w:rFonts w:hint="eastAsia" w:ascii="仿宋_GB2312" w:eastAsia="仿宋_GB2312"/>
          <w:color w:val="000000"/>
        </w:rPr>
        <w:t>固体废物污染防治措施</w:t>
      </w:r>
      <w:r>
        <w:rPr>
          <w:color w:val="000000"/>
        </w:rPr>
        <w:tab/>
      </w:r>
      <w:r>
        <w:rPr>
          <w:color w:val="000000"/>
        </w:rPr>
        <w:fldChar w:fldCharType="begin"/>
      </w:r>
      <w:r>
        <w:rPr>
          <w:color w:val="000000"/>
        </w:rPr>
        <w:instrText xml:space="preserve"> PAGEREF _Toc495500133 \h </w:instrText>
      </w:r>
      <w:r>
        <w:rPr>
          <w:color w:val="000000"/>
        </w:rPr>
        <w:fldChar w:fldCharType="separate"/>
      </w:r>
      <w:r>
        <w:rPr>
          <w:color w:val="000000"/>
        </w:rPr>
        <w:t>113</w:t>
      </w:r>
      <w:r>
        <w:rPr>
          <w:color w:val="000000"/>
        </w:rPr>
        <w:fldChar w:fldCharType="end"/>
      </w:r>
    </w:p>
    <w:p w14:paraId="38EFDF83">
      <w:pPr>
        <w:pStyle w:val="200"/>
        <w:tabs>
          <w:tab w:val="right" w:leader="dot" w:pos="8296"/>
        </w:tabs>
        <w:rPr>
          <w:i w:val="0"/>
          <w:color w:val="000000"/>
          <w:sz w:val="21"/>
          <w:szCs w:val="24"/>
        </w:rPr>
      </w:pPr>
      <w:r>
        <w:rPr>
          <w:rFonts w:ascii="仿宋_GB2312" w:eastAsia="仿宋_GB2312"/>
          <w:color w:val="000000"/>
        </w:rPr>
        <w:t>8.2.5</w:t>
      </w:r>
      <w:r>
        <w:rPr>
          <w:rFonts w:hint="eastAsia" w:ascii="仿宋_GB2312" w:eastAsia="仿宋_GB2312"/>
          <w:color w:val="000000"/>
        </w:rPr>
        <w:t>辐射防护措施</w:t>
      </w:r>
      <w:r>
        <w:rPr>
          <w:color w:val="000000"/>
        </w:rPr>
        <w:tab/>
      </w:r>
      <w:r>
        <w:rPr>
          <w:color w:val="000000"/>
        </w:rPr>
        <w:fldChar w:fldCharType="begin"/>
      </w:r>
      <w:r>
        <w:rPr>
          <w:color w:val="000000"/>
        </w:rPr>
        <w:instrText xml:space="preserve"> PAGEREF _Toc495500134 \h </w:instrText>
      </w:r>
      <w:r>
        <w:rPr>
          <w:color w:val="000000"/>
        </w:rPr>
        <w:fldChar w:fldCharType="separate"/>
      </w:r>
      <w:r>
        <w:rPr>
          <w:color w:val="000000"/>
        </w:rPr>
        <w:t>114</w:t>
      </w:r>
      <w:r>
        <w:rPr>
          <w:color w:val="000000"/>
        </w:rPr>
        <w:fldChar w:fldCharType="end"/>
      </w:r>
    </w:p>
    <w:p w14:paraId="16BE260B">
      <w:pPr>
        <w:pStyle w:val="200"/>
        <w:tabs>
          <w:tab w:val="right" w:leader="dot" w:pos="8296"/>
        </w:tabs>
        <w:rPr>
          <w:i w:val="0"/>
          <w:color w:val="000000"/>
          <w:sz w:val="21"/>
          <w:szCs w:val="24"/>
        </w:rPr>
      </w:pPr>
      <w:r>
        <w:rPr>
          <w:rFonts w:ascii="仿宋_GB2312" w:eastAsia="仿宋_GB2312"/>
          <w:color w:val="000000"/>
        </w:rPr>
        <w:t>8.2.6</w:t>
      </w:r>
      <w:r>
        <w:rPr>
          <w:rFonts w:hint="eastAsia" w:ascii="仿宋_GB2312" w:eastAsia="仿宋_GB2312"/>
          <w:color w:val="000000"/>
        </w:rPr>
        <w:t>环保措施一览表</w:t>
      </w:r>
      <w:r>
        <w:rPr>
          <w:color w:val="000000"/>
        </w:rPr>
        <w:tab/>
      </w:r>
      <w:r>
        <w:rPr>
          <w:color w:val="000000"/>
        </w:rPr>
        <w:fldChar w:fldCharType="begin"/>
      </w:r>
      <w:r>
        <w:rPr>
          <w:color w:val="000000"/>
        </w:rPr>
        <w:instrText xml:space="preserve"> PAGEREF _Toc495500135 \h </w:instrText>
      </w:r>
      <w:r>
        <w:rPr>
          <w:color w:val="000000"/>
        </w:rPr>
        <w:fldChar w:fldCharType="separate"/>
      </w:r>
      <w:r>
        <w:rPr>
          <w:color w:val="000000"/>
        </w:rPr>
        <w:t>115</w:t>
      </w:r>
      <w:r>
        <w:rPr>
          <w:color w:val="000000"/>
        </w:rPr>
        <w:fldChar w:fldCharType="end"/>
      </w:r>
    </w:p>
    <w:p w14:paraId="04B70D55">
      <w:pPr>
        <w:pStyle w:val="208"/>
        <w:tabs>
          <w:tab w:val="right" w:leader="dot" w:pos="8296"/>
        </w:tabs>
        <w:rPr>
          <w:b w:val="0"/>
          <w:caps w:val="0"/>
          <w:color w:val="000000"/>
          <w:sz w:val="21"/>
          <w:szCs w:val="24"/>
        </w:rPr>
      </w:pPr>
      <w:r>
        <w:rPr>
          <w:rFonts w:eastAsia="仿宋_GB2312"/>
          <w:color w:val="000000"/>
        </w:rPr>
        <w:t>9</w:t>
      </w:r>
      <w:r>
        <w:rPr>
          <w:rFonts w:hint="eastAsia" w:eastAsia="仿宋_GB2312"/>
          <w:color w:val="000000"/>
        </w:rPr>
        <w:t>、污染物排放总量控制</w:t>
      </w:r>
      <w:r>
        <w:rPr>
          <w:color w:val="000000"/>
        </w:rPr>
        <w:tab/>
      </w:r>
      <w:r>
        <w:rPr>
          <w:color w:val="000000"/>
        </w:rPr>
        <w:fldChar w:fldCharType="begin"/>
      </w:r>
      <w:r>
        <w:rPr>
          <w:color w:val="000000"/>
        </w:rPr>
        <w:instrText xml:space="preserve"> PAGEREF _Toc495500136 \h </w:instrText>
      </w:r>
      <w:r>
        <w:rPr>
          <w:color w:val="000000"/>
        </w:rPr>
        <w:fldChar w:fldCharType="separate"/>
      </w:r>
      <w:r>
        <w:rPr>
          <w:color w:val="000000"/>
        </w:rPr>
        <w:t>118</w:t>
      </w:r>
      <w:r>
        <w:rPr>
          <w:color w:val="000000"/>
        </w:rPr>
        <w:fldChar w:fldCharType="end"/>
      </w:r>
    </w:p>
    <w:p w14:paraId="56DF8727">
      <w:pPr>
        <w:pStyle w:val="214"/>
        <w:tabs>
          <w:tab w:val="right" w:leader="dot" w:pos="8296"/>
        </w:tabs>
        <w:rPr>
          <w:smallCaps w:val="0"/>
          <w:color w:val="000000"/>
          <w:sz w:val="21"/>
          <w:szCs w:val="24"/>
        </w:rPr>
      </w:pPr>
      <w:r>
        <w:rPr>
          <w:rFonts w:eastAsia="仿宋_GB2312"/>
          <w:color w:val="000000"/>
        </w:rPr>
        <w:t>9.1</w:t>
      </w:r>
      <w:r>
        <w:rPr>
          <w:rFonts w:hint="eastAsia" w:eastAsia="仿宋_GB2312"/>
          <w:color w:val="000000"/>
        </w:rPr>
        <w:t>排放总量控制的目的</w:t>
      </w:r>
      <w:r>
        <w:rPr>
          <w:color w:val="000000"/>
        </w:rPr>
        <w:tab/>
      </w:r>
      <w:r>
        <w:rPr>
          <w:color w:val="000000"/>
        </w:rPr>
        <w:fldChar w:fldCharType="begin"/>
      </w:r>
      <w:r>
        <w:rPr>
          <w:color w:val="000000"/>
        </w:rPr>
        <w:instrText xml:space="preserve"> PAGEREF _Toc495500137 \h </w:instrText>
      </w:r>
      <w:r>
        <w:rPr>
          <w:color w:val="000000"/>
        </w:rPr>
        <w:fldChar w:fldCharType="separate"/>
      </w:r>
      <w:r>
        <w:rPr>
          <w:color w:val="000000"/>
        </w:rPr>
        <w:t>118</w:t>
      </w:r>
      <w:r>
        <w:rPr>
          <w:color w:val="000000"/>
        </w:rPr>
        <w:fldChar w:fldCharType="end"/>
      </w:r>
    </w:p>
    <w:p w14:paraId="2F0CBF09">
      <w:pPr>
        <w:pStyle w:val="214"/>
        <w:tabs>
          <w:tab w:val="right" w:leader="dot" w:pos="8296"/>
        </w:tabs>
        <w:rPr>
          <w:smallCaps w:val="0"/>
          <w:color w:val="000000"/>
          <w:sz w:val="21"/>
          <w:szCs w:val="24"/>
        </w:rPr>
      </w:pPr>
      <w:r>
        <w:rPr>
          <w:rFonts w:eastAsia="仿宋_GB2312"/>
          <w:color w:val="000000"/>
        </w:rPr>
        <w:t>9.2</w:t>
      </w:r>
      <w:r>
        <w:rPr>
          <w:rFonts w:hint="eastAsia" w:eastAsia="仿宋_GB2312"/>
          <w:color w:val="000000"/>
        </w:rPr>
        <w:t>总量控制因子</w:t>
      </w:r>
      <w:r>
        <w:rPr>
          <w:color w:val="000000"/>
        </w:rPr>
        <w:tab/>
      </w:r>
      <w:r>
        <w:rPr>
          <w:color w:val="000000"/>
        </w:rPr>
        <w:fldChar w:fldCharType="begin"/>
      </w:r>
      <w:r>
        <w:rPr>
          <w:color w:val="000000"/>
        </w:rPr>
        <w:instrText xml:space="preserve"> PAGEREF _Toc495500138 \h </w:instrText>
      </w:r>
      <w:r>
        <w:rPr>
          <w:color w:val="000000"/>
        </w:rPr>
        <w:fldChar w:fldCharType="separate"/>
      </w:r>
      <w:r>
        <w:rPr>
          <w:color w:val="000000"/>
        </w:rPr>
        <w:t>118</w:t>
      </w:r>
      <w:r>
        <w:rPr>
          <w:color w:val="000000"/>
        </w:rPr>
        <w:fldChar w:fldCharType="end"/>
      </w:r>
    </w:p>
    <w:p w14:paraId="0BC25E6A">
      <w:pPr>
        <w:pStyle w:val="214"/>
        <w:tabs>
          <w:tab w:val="right" w:leader="dot" w:pos="8296"/>
        </w:tabs>
        <w:rPr>
          <w:smallCaps w:val="0"/>
          <w:color w:val="000000"/>
          <w:sz w:val="21"/>
          <w:szCs w:val="24"/>
        </w:rPr>
      </w:pPr>
      <w:r>
        <w:rPr>
          <w:rFonts w:eastAsia="仿宋_GB2312"/>
          <w:color w:val="000000"/>
        </w:rPr>
        <w:t>9.3</w:t>
      </w:r>
      <w:r>
        <w:rPr>
          <w:rFonts w:hint="eastAsia" w:eastAsia="仿宋_GB2312"/>
          <w:color w:val="000000"/>
        </w:rPr>
        <w:t>污染物排放总量控制指标</w:t>
      </w:r>
      <w:r>
        <w:rPr>
          <w:color w:val="000000"/>
        </w:rPr>
        <w:tab/>
      </w:r>
      <w:r>
        <w:rPr>
          <w:color w:val="000000"/>
        </w:rPr>
        <w:fldChar w:fldCharType="begin"/>
      </w:r>
      <w:r>
        <w:rPr>
          <w:color w:val="000000"/>
        </w:rPr>
        <w:instrText xml:space="preserve"> PAGEREF _Toc495500139 \h </w:instrText>
      </w:r>
      <w:r>
        <w:rPr>
          <w:color w:val="000000"/>
        </w:rPr>
        <w:fldChar w:fldCharType="separate"/>
      </w:r>
      <w:r>
        <w:rPr>
          <w:color w:val="000000"/>
        </w:rPr>
        <w:t>118</w:t>
      </w:r>
      <w:r>
        <w:rPr>
          <w:color w:val="000000"/>
        </w:rPr>
        <w:fldChar w:fldCharType="end"/>
      </w:r>
    </w:p>
    <w:p w14:paraId="1A6C0FBD">
      <w:pPr>
        <w:pStyle w:val="208"/>
        <w:tabs>
          <w:tab w:val="right" w:leader="dot" w:pos="8296"/>
        </w:tabs>
        <w:rPr>
          <w:b w:val="0"/>
          <w:caps w:val="0"/>
          <w:color w:val="000000"/>
          <w:sz w:val="21"/>
          <w:szCs w:val="24"/>
        </w:rPr>
      </w:pPr>
      <w:r>
        <w:rPr>
          <w:rFonts w:eastAsia="仿宋_GB2312"/>
          <w:color w:val="000000"/>
        </w:rPr>
        <w:t>10</w:t>
      </w:r>
      <w:r>
        <w:rPr>
          <w:rFonts w:hint="eastAsia" w:eastAsia="仿宋_GB2312"/>
          <w:color w:val="000000"/>
        </w:rPr>
        <w:t>、清洁生产</w:t>
      </w:r>
      <w:r>
        <w:rPr>
          <w:color w:val="000000"/>
        </w:rPr>
        <w:tab/>
      </w:r>
      <w:r>
        <w:rPr>
          <w:color w:val="000000"/>
        </w:rPr>
        <w:fldChar w:fldCharType="begin"/>
      </w:r>
      <w:r>
        <w:rPr>
          <w:color w:val="000000"/>
        </w:rPr>
        <w:instrText xml:space="preserve"> PAGEREF _Toc495500140 \h </w:instrText>
      </w:r>
      <w:r>
        <w:rPr>
          <w:color w:val="000000"/>
        </w:rPr>
        <w:fldChar w:fldCharType="separate"/>
      </w:r>
      <w:r>
        <w:rPr>
          <w:color w:val="000000"/>
        </w:rPr>
        <w:t>119</w:t>
      </w:r>
      <w:r>
        <w:rPr>
          <w:color w:val="000000"/>
        </w:rPr>
        <w:fldChar w:fldCharType="end"/>
      </w:r>
    </w:p>
    <w:p w14:paraId="27139536">
      <w:pPr>
        <w:pStyle w:val="214"/>
        <w:tabs>
          <w:tab w:val="right" w:leader="dot" w:pos="8296"/>
        </w:tabs>
        <w:rPr>
          <w:smallCaps w:val="0"/>
          <w:color w:val="000000"/>
          <w:sz w:val="21"/>
          <w:szCs w:val="24"/>
        </w:rPr>
      </w:pPr>
      <w:r>
        <w:rPr>
          <w:rFonts w:eastAsia="仿宋_GB2312"/>
          <w:color w:val="000000"/>
        </w:rPr>
        <w:t>10.1</w:t>
      </w:r>
      <w:r>
        <w:rPr>
          <w:rFonts w:hint="eastAsia" w:eastAsia="仿宋_GB2312"/>
          <w:color w:val="000000"/>
        </w:rPr>
        <w:t>清洁生产的目标</w:t>
      </w:r>
      <w:r>
        <w:rPr>
          <w:color w:val="000000"/>
        </w:rPr>
        <w:tab/>
      </w:r>
      <w:r>
        <w:rPr>
          <w:color w:val="000000"/>
        </w:rPr>
        <w:fldChar w:fldCharType="begin"/>
      </w:r>
      <w:r>
        <w:rPr>
          <w:color w:val="000000"/>
        </w:rPr>
        <w:instrText xml:space="preserve"> PAGEREF _Toc495500141 \h </w:instrText>
      </w:r>
      <w:r>
        <w:rPr>
          <w:color w:val="000000"/>
        </w:rPr>
        <w:fldChar w:fldCharType="separate"/>
      </w:r>
      <w:r>
        <w:rPr>
          <w:color w:val="000000"/>
        </w:rPr>
        <w:t>119</w:t>
      </w:r>
      <w:r>
        <w:rPr>
          <w:color w:val="000000"/>
        </w:rPr>
        <w:fldChar w:fldCharType="end"/>
      </w:r>
    </w:p>
    <w:p w14:paraId="0515024F">
      <w:pPr>
        <w:pStyle w:val="214"/>
        <w:tabs>
          <w:tab w:val="right" w:leader="dot" w:pos="8296"/>
        </w:tabs>
        <w:rPr>
          <w:smallCaps w:val="0"/>
          <w:color w:val="000000"/>
          <w:sz w:val="21"/>
          <w:szCs w:val="24"/>
        </w:rPr>
      </w:pPr>
      <w:r>
        <w:rPr>
          <w:rFonts w:eastAsia="仿宋_GB2312"/>
          <w:color w:val="000000"/>
        </w:rPr>
        <w:t>10.2</w:t>
      </w:r>
      <w:r>
        <w:rPr>
          <w:rFonts w:hint="eastAsia" w:eastAsia="仿宋_GB2312"/>
          <w:color w:val="000000"/>
        </w:rPr>
        <w:t>本项目清洁生产实施要点</w:t>
      </w:r>
      <w:r>
        <w:rPr>
          <w:color w:val="000000"/>
        </w:rPr>
        <w:tab/>
      </w:r>
      <w:r>
        <w:rPr>
          <w:color w:val="000000"/>
        </w:rPr>
        <w:fldChar w:fldCharType="begin"/>
      </w:r>
      <w:r>
        <w:rPr>
          <w:color w:val="000000"/>
        </w:rPr>
        <w:instrText xml:space="preserve"> PAGEREF _Toc495500142 \h </w:instrText>
      </w:r>
      <w:r>
        <w:rPr>
          <w:color w:val="000000"/>
        </w:rPr>
        <w:fldChar w:fldCharType="separate"/>
      </w:r>
      <w:r>
        <w:rPr>
          <w:color w:val="000000"/>
        </w:rPr>
        <w:t>119</w:t>
      </w:r>
      <w:r>
        <w:rPr>
          <w:color w:val="000000"/>
        </w:rPr>
        <w:fldChar w:fldCharType="end"/>
      </w:r>
    </w:p>
    <w:p w14:paraId="1141C1B1">
      <w:pPr>
        <w:pStyle w:val="200"/>
        <w:tabs>
          <w:tab w:val="right" w:leader="dot" w:pos="8296"/>
        </w:tabs>
        <w:rPr>
          <w:i w:val="0"/>
          <w:color w:val="000000"/>
          <w:sz w:val="21"/>
          <w:szCs w:val="24"/>
        </w:rPr>
      </w:pPr>
      <w:r>
        <w:rPr>
          <w:rFonts w:eastAsia="仿宋_GB2312"/>
          <w:color w:val="000000"/>
        </w:rPr>
        <w:t>10.2.1</w:t>
      </w:r>
      <w:r>
        <w:rPr>
          <w:rFonts w:hint="eastAsia" w:eastAsia="仿宋_GB2312"/>
          <w:color w:val="000000"/>
        </w:rPr>
        <w:t>无毒无害的清洁原材料</w:t>
      </w:r>
      <w:r>
        <w:rPr>
          <w:color w:val="000000"/>
        </w:rPr>
        <w:tab/>
      </w:r>
      <w:r>
        <w:rPr>
          <w:color w:val="000000"/>
        </w:rPr>
        <w:fldChar w:fldCharType="begin"/>
      </w:r>
      <w:r>
        <w:rPr>
          <w:color w:val="000000"/>
        </w:rPr>
        <w:instrText xml:space="preserve"> PAGEREF _Toc495500143 \h </w:instrText>
      </w:r>
      <w:r>
        <w:rPr>
          <w:color w:val="000000"/>
        </w:rPr>
        <w:fldChar w:fldCharType="separate"/>
      </w:r>
      <w:r>
        <w:rPr>
          <w:color w:val="000000"/>
        </w:rPr>
        <w:t>119</w:t>
      </w:r>
      <w:r>
        <w:rPr>
          <w:color w:val="000000"/>
        </w:rPr>
        <w:fldChar w:fldCharType="end"/>
      </w:r>
    </w:p>
    <w:p w14:paraId="0E620904">
      <w:pPr>
        <w:pStyle w:val="200"/>
        <w:tabs>
          <w:tab w:val="right" w:leader="dot" w:pos="8296"/>
        </w:tabs>
        <w:rPr>
          <w:i w:val="0"/>
          <w:color w:val="000000"/>
          <w:sz w:val="21"/>
          <w:szCs w:val="24"/>
        </w:rPr>
      </w:pPr>
      <w:r>
        <w:rPr>
          <w:rFonts w:eastAsia="仿宋_GB2312"/>
          <w:color w:val="000000"/>
        </w:rPr>
        <w:t>10.2.2</w:t>
      </w:r>
      <w:r>
        <w:rPr>
          <w:rFonts w:hint="eastAsia" w:eastAsia="仿宋_GB2312"/>
          <w:color w:val="000000"/>
        </w:rPr>
        <w:t>节水措施分析</w:t>
      </w:r>
      <w:r>
        <w:rPr>
          <w:color w:val="000000"/>
        </w:rPr>
        <w:tab/>
      </w:r>
      <w:r>
        <w:rPr>
          <w:color w:val="000000"/>
        </w:rPr>
        <w:fldChar w:fldCharType="begin"/>
      </w:r>
      <w:r>
        <w:rPr>
          <w:color w:val="000000"/>
        </w:rPr>
        <w:instrText xml:space="preserve"> PAGEREF _Toc495500144 \h </w:instrText>
      </w:r>
      <w:r>
        <w:rPr>
          <w:color w:val="000000"/>
        </w:rPr>
        <w:fldChar w:fldCharType="separate"/>
      </w:r>
      <w:r>
        <w:rPr>
          <w:color w:val="000000"/>
        </w:rPr>
        <w:t>120</w:t>
      </w:r>
      <w:r>
        <w:rPr>
          <w:color w:val="000000"/>
        </w:rPr>
        <w:fldChar w:fldCharType="end"/>
      </w:r>
    </w:p>
    <w:p w14:paraId="51A06FDA">
      <w:pPr>
        <w:pStyle w:val="200"/>
        <w:tabs>
          <w:tab w:val="right" w:leader="dot" w:pos="8296"/>
        </w:tabs>
        <w:rPr>
          <w:i w:val="0"/>
          <w:color w:val="000000"/>
          <w:sz w:val="21"/>
          <w:szCs w:val="24"/>
        </w:rPr>
      </w:pPr>
      <w:r>
        <w:rPr>
          <w:rFonts w:eastAsia="仿宋_GB2312"/>
          <w:color w:val="000000"/>
        </w:rPr>
        <w:t>10.2.3</w:t>
      </w:r>
      <w:r>
        <w:rPr>
          <w:rFonts w:hint="eastAsia" w:eastAsia="仿宋_GB2312"/>
          <w:color w:val="000000"/>
        </w:rPr>
        <w:t>节能措施分析</w:t>
      </w:r>
      <w:r>
        <w:rPr>
          <w:color w:val="000000"/>
        </w:rPr>
        <w:tab/>
      </w:r>
      <w:r>
        <w:rPr>
          <w:color w:val="000000"/>
        </w:rPr>
        <w:fldChar w:fldCharType="begin"/>
      </w:r>
      <w:r>
        <w:rPr>
          <w:color w:val="000000"/>
        </w:rPr>
        <w:instrText xml:space="preserve"> PAGEREF _Toc495500145 \h </w:instrText>
      </w:r>
      <w:r>
        <w:rPr>
          <w:color w:val="000000"/>
        </w:rPr>
        <w:fldChar w:fldCharType="separate"/>
      </w:r>
      <w:r>
        <w:rPr>
          <w:color w:val="000000"/>
        </w:rPr>
        <w:t>120</w:t>
      </w:r>
      <w:r>
        <w:rPr>
          <w:color w:val="000000"/>
        </w:rPr>
        <w:fldChar w:fldCharType="end"/>
      </w:r>
    </w:p>
    <w:p w14:paraId="3DC8DA3B">
      <w:pPr>
        <w:pStyle w:val="200"/>
        <w:tabs>
          <w:tab w:val="right" w:leader="dot" w:pos="8296"/>
        </w:tabs>
        <w:rPr>
          <w:i w:val="0"/>
          <w:color w:val="000000"/>
          <w:sz w:val="21"/>
          <w:szCs w:val="24"/>
        </w:rPr>
      </w:pPr>
      <w:r>
        <w:rPr>
          <w:rFonts w:eastAsia="仿宋_GB2312"/>
          <w:color w:val="000000"/>
        </w:rPr>
        <w:t>10.2.4</w:t>
      </w:r>
      <w:r>
        <w:rPr>
          <w:rFonts w:hint="eastAsia" w:eastAsia="仿宋_GB2312"/>
          <w:color w:val="000000"/>
        </w:rPr>
        <w:t>污染治理措施分析</w:t>
      </w:r>
      <w:r>
        <w:rPr>
          <w:color w:val="000000"/>
        </w:rPr>
        <w:tab/>
      </w:r>
      <w:r>
        <w:rPr>
          <w:color w:val="000000"/>
        </w:rPr>
        <w:fldChar w:fldCharType="begin"/>
      </w:r>
      <w:r>
        <w:rPr>
          <w:color w:val="000000"/>
        </w:rPr>
        <w:instrText xml:space="preserve"> PAGEREF _Toc495500146 \h </w:instrText>
      </w:r>
      <w:r>
        <w:rPr>
          <w:color w:val="000000"/>
        </w:rPr>
        <w:fldChar w:fldCharType="separate"/>
      </w:r>
      <w:r>
        <w:rPr>
          <w:color w:val="000000"/>
        </w:rPr>
        <w:t>121</w:t>
      </w:r>
      <w:r>
        <w:rPr>
          <w:color w:val="000000"/>
        </w:rPr>
        <w:fldChar w:fldCharType="end"/>
      </w:r>
    </w:p>
    <w:p w14:paraId="4D2DA3CE">
      <w:pPr>
        <w:pStyle w:val="214"/>
        <w:tabs>
          <w:tab w:val="right" w:leader="dot" w:pos="8296"/>
        </w:tabs>
        <w:rPr>
          <w:smallCaps w:val="0"/>
          <w:color w:val="000000"/>
          <w:sz w:val="21"/>
          <w:szCs w:val="24"/>
        </w:rPr>
      </w:pPr>
      <w:r>
        <w:rPr>
          <w:rFonts w:eastAsia="仿宋_GB2312"/>
          <w:color w:val="000000"/>
        </w:rPr>
        <w:t>10.3</w:t>
      </w:r>
      <w:r>
        <w:rPr>
          <w:rFonts w:hint="eastAsia" w:eastAsia="仿宋_GB2312"/>
          <w:color w:val="000000"/>
        </w:rPr>
        <w:t>清洁生产小结及建议</w:t>
      </w:r>
      <w:r>
        <w:rPr>
          <w:color w:val="000000"/>
        </w:rPr>
        <w:tab/>
      </w:r>
      <w:r>
        <w:rPr>
          <w:color w:val="000000"/>
        </w:rPr>
        <w:fldChar w:fldCharType="begin"/>
      </w:r>
      <w:r>
        <w:rPr>
          <w:color w:val="000000"/>
        </w:rPr>
        <w:instrText xml:space="preserve"> PAGEREF _Toc495500147 \h </w:instrText>
      </w:r>
      <w:r>
        <w:rPr>
          <w:color w:val="000000"/>
        </w:rPr>
        <w:fldChar w:fldCharType="separate"/>
      </w:r>
      <w:r>
        <w:rPr>
          <w:color w:val="000000"/>
        </w:rPr>
        <w:t>121</w:t>
      </w:r>
      <w:r>
        <w:rPr>
          <w:color w:val="000000"/>
        </w:rPr>
        <w:fldChar w:fldCharType="end"/>
      </w:r>
    </w:p>
    <w:p w14:paraId="6F41694C">
      <w:pPr>
        <w:pStyle w:val="200"/>
        <w:tabs>
          <w:tab w:val="right" w:leader="dot" w:pos="8296"/>
        </w:tabs>
        <w:rPr>
          <w:i w:val="0"/>
          <w:color w:val="000000"/>
          <w:sz w:val="21"/>
          <w:szCs w:val="24"/>
        </w:rPr>
      </w:pPr>
      <w:r>
        <w:rPr>
          <w:rFonts w:eastAsia="仿宋_GB2312"/>
          <w:color w:val="000000"/>
        </w:rPr>
        <w:t>10.3.1</w:t>
      </w:r>
      <w:r>
        <w:rPr>
          <w:rFonts w:hint="eastAsia" w:eastAsia="仿宋_GB2312"/>
          <w:color w:val="000000"/>
        </w:rPr>
        <w:t>清洁生产小结</w:t>
      </w:r>
      <w:r>
        <w:rPr>
          <w:color w:val="000000"/>
        </w:rPr>
        <w:tab/>
      </w:r>
      <w:r>
        <w:rPr>
          <w:color w:val="000000"/>
        </w:rPr>
        <w:fldChar w:fldCharType="begin"/>
      </w:r>
      <w:r>
        <w:rPr>
          <w:color w:val="000000"/>
        </w:rPr>
        <w:instrText xml:space="preserve"> PAGEREF _Toc495500148 \h </w:instrText>
      </w:r>
      <w:r>
        <w:rPr>
          <w:color w:val="000000"/>
        </w:rPr>
        <w:fldChar w:fldCharType="separate"/>
      </w:r>
      <w:r>
        <w:rPr>
          <w:color w:val="000000"/>
        </w:rPr>
        <w:t>121</w:t>
      </w:r>
      <w:r>
        <w:rPr>
          <w:color w:val="000000"/>
        </w:rPr>
        <w:fldChar w:fldCharType="end"/>
      </w:r>
    </w:p>
    <w:p w14:paraId="4DF34825">
      <w:pPr>
        <w:pStyle w:val="200"/>
        <w:tabs>
          <w:tab w:val="right" w:leader="dot" w:pos="8296"/>
        </w:tabs>
        <w:rPr>
          <w:i w:val="0"/>
          <w:color w:val="000000"/>
          <w:sz w:val="21"/>
          <w:szCs w:val="24"/>
        </w:rPr>
      </w:pPr>
      <w:r>
        <w:rPr>
          <w:rFonts w:eastAsia="仿宋_GB2312"/>
          <w:color w:val="000000"/>
        </w:rPr>
        <w:t>10.3.2</w:t>
      </w:r>
      <w:r>
        <w:rPr>
          <w:rFonts w:hint="eastAsia" w:eastAsia="仿宋_GB2312"/>
          <w:color w:val="000000"/>
        </w:rPr>
        <w:t>清洁生产建议</w:t>
      </w:r>
      <w:r>
        <w:rPr>
          <w:color w:val="000000"/>
        </w:rPr>
        <w:tab/>
      </w:r>
      <w:r>
        <w:rPr>
          <w:color w:val="000000"/>
        </w:rPr>
        <w:fldChar w:fldCharType="begin"/>
      </w:r>
      <w:r>
        <w:rPr>
          <w:color w:val="000000"/>
        </w:rPr>
        <w:instrText xml:space="preserve"> PAGEREF _Toc495500149 \h </w:instrText>
      </w:r>
      <w:r>
        <w:rPr>
          <w:color w:val="000000"/>
        </w:rPr>
        <w:fldChar w:fldCharType="separate"/>
      </w:r>
      <w:r>
        <w:rPr>
          <w:color w:val="000000"/>
        </w:rPr>
        <w:t>121</w:t>
      </w:r>
      <w:r>
        <w:rPr>
          <w:color w:val="000000"/>
        </w:rPr>
        <w:fldChar w:fldCharType="end"/>
      </w:r>
    </w:p>
    <w:p w14:paraId="57992B4B">
      <w:pPr>
        <w:pStyle w:val="208"/>
        <w:tabs>
          <w:tab w:val="right" w:leader="dot" w:pos="8296"/>
        </w:tabs>
        <w:rPr>
          <w:b w:val="0"/>
          <w:caps w:val="0"/>
          <w:color w:val="000000"/>
          <w:sz w:val="21"/>
          <w:szCs w:val="24"/>
        </w:rPr>
      </w:pPr>
      <w:r>
        <w:rPr>
          <w:rFonts w:eastAsia="仿宋_GB2312"/>
          <w:color w:val="000000"/>
        </w:rPr>
        <w:t>11</w:t>
      </w:r>
      <w:r>
        <w:rPr>
          <w:rFonts w:hint="eastAsia" w:eastAsia="仿宋_GB2312"/>
          <w:color w:val="000000"/>
        </w:rPr>
        <w:t>、环境经济损益分析</w:t>
      </w:r>
      <w:r>
        <w:rPr>
          <w:color w:val="000000"/>
        </w:rPr>
        <w:tab/>
      </w:r>
      <w:r>
        <w:rPr>
          <w:color w:val="000000"/>
        </w:rPr>
        <w:fldChar w:fldCharType="begin"/>
      </w:r>
      <w:r>
        <w:rPr>
          <w:color w:val="000000"/>
        </w:rPr>
        <w:instrText xml:space="preserve"> PAGEREF _Toc495500150 \h </w:instrText>
      </w:r>
      <w:r>
        <w:rPr>
          <w:color w:val="000000"/>
        </w:rPr>
        <w:fldChar w:fldCharType="separate"/>
      </w:r>
      <w:r>
        <w:rPr>
          <w:color w:val="000000"/>
        </w:rPr>
        <w:t>122</w:t>
      </w:r>
      <w:r>
        <w:rPr>
          <w:color w:val="000000"/>
        </w:rPr>
        <w:fldChar w:fldCharType="end"/>
      </w:r>
    </w:p>
    <w:p w14:paraId="0CBE34D9">
      <w:pPr>
        <w:pStyle w:val="214"/>
        <w:tabs>
          <w:tab w:val="right" w:leader="dot" w:pos="8296"/>
        </w:tabs>
        <w:rPr>
          <w:smallCaps w:val="0"/>
          <w:color w:val="000000"/>
          <w:sz w:val="21"/>
          <w:szCs w:val="24"/>
        </w:rPr>
      </w:pPr>
      <w:r>
        <w:rPr>
          <w:rFonts w:eastAsia="仿宋_GB2312"/>
          <w:color w:val="000000"/>
        </w:rPr>
        <w:t>11.1</w:t>
      </w:r>
      <w:r>
        <w:rPr>
          <w:rFonts w:hint="eastAsia" w:eastAsia="仿宋_GB2312"/>
          <w:color w:val="000000"/>
        </w:rPr>
        <w:t>环境效益分析</w:t>
      </w:r>
      <w:r>
        <w:rPr>
          <w:color w:val="000000"/>
        </w:rPr>
        <w:tab/>
      </w:r>
      <w:r>
        <w:rPr>
          <w:color w:val="000000"/>
        </w:rPr>
        <w:fldChar w:fldCharType="begin"/>
      </w:r>
      <w:r>
        <w:rPr>
          <w:color w:val="000000"/>
        </w:rPr>
        <w:instrText xml:space="preserve"> PAGEREF _Toc495500151 \h </w:instrText>
      </w:r>
      <w:r>
        <w:rPr>
          <w:color w:val="000000"/>
        </w:rPr>
        <w:fldChar w:fldCharType="separate"/>
      </w:r>
      <w:r>
        <w:rPr>
          <w:color w:val="000000"/>
        </w:rPr>
        <w:t>122</w:t>
      </w:r>
      <w:r>
        <w:rPr>
          <w:color w:val="000000"/>
        </w:rPr>
        <w:fldChar w:fldCharType="end"/>
      </w:r>
    </w:p>
    <w:p w14:paraId="741541CA">
      <w:pPr>
        <w:pStyle w:val="200"/>
        <w:tabs>
          <w:tab w:val="right" w:leader="dot" w:pos="8296"/>
        </w:tabs>
        <w:rPr>
          <w:i w:val="0"/>
          <w:color w:val="000000"/>
          <w:sz w:val="21"/>
          <w:szCs w:val="24"/>
        </w:rPr>
      </w:pPr>
      <w:r>
        <w:rPr>
          <w:rFonts w:eastAsia="仿宋_GB2312"/>
          <w:color w:val="000000"/>
        </w:rPr>
        <w:t>11.1.1</w:t>
      </w:r>
      <w:r>
        <w:rPr>
          <w:rFonts w:hint="eastAsia" w:eastAsia="仿宋_GB2312"/>
          <w:color w:val="000000"/>
        </w:rPr>
        <w:t>环保投资</w:t>
      </w:r>
      <w:r>
        <w:rPr>
          <w:color w:val="000000"/>
        </w:rPr>
        <w:tab/>
      </w:r>
      <w:r>
        <w:rPr>
          <w:color w:val="000000"/>
        </w:rPr>
        <w:fldChar w:fldCharType="begin"/>
      </w:r>
      <w:r>
        <w:rPr>
          <w:color w:val="000000"/>
        </w:rPr>
        <w:instrText xml:space="preserve"> PAGEREF _Toc495500152 \h </w:instrText>
      </w:r>
      <w:r>
        <w:rPr>
          <w:color w:val="000000"/>
        </w:rPr>
        <w:fldChar w:fldCharType="separate"/>
      </w:r>
      <w:r>
        <w:rPr>
          <w:color w:val="000000"/>
        </w:rPr>
        <w:t>122</w:t>
      </w:r>
      <w:r>
        <w:rPr>
          <w:color w:val="000000"/>
        </w:rPr>
        <w:fldChar w:fldCharType="end"/>
      </w:r>
    </w:p>
    <w:p w14:paraId="11C1CD35">
      <w:pPr>
        <w:pStyle w:val="200"/>
        <w:tabs>
          <w:tab w:val="right" w:leader="dot" w:pos="8296"/>
        </w:tabs>
        <w:rPr>
          <w:i w:val="0"/>
          <w:color w:val="000000"/>
          <w:sz w:val="21"/>
          <w:szCs w:val="24"/>
        </w:rPr>
      </w:pPr>
      <w:r>
        <w:rPr>
          <w:rFonts w:eastAsia="仿宋_GB2312"/>
          <w:color w:val="000000"/>
        </w:rPr>
        <w:t>11.1.2</w:t>
      </w:r>
      <w:r>
        <w:rPr>
          <w:rFonts w:hint="eastAsia" w:eastAsia="仿宋_GB2312"/>
          <w:color w:val="000000"/>
        </w:rPr>
        <w:t>项目环保投资运行费用估算</w:t>
      </w:r>
      <w:r>
        <w:rPr>
          <w:color w:val="000000"/>
        </w:rPr>
        <w:tab/>
      </w:r>
      <w:r>
        <w:rPr>
          <w:color w:val="000000"/>
        </w:rPr>
        <w:fldChar w:fldCharType="begin"/>
      </w:r>
      <w:r>
        <w:rPr>
          <w:color w:val="000000"/>
        </w:rPr>
        <w:instrText xml:space="preserve"> PAGEREF _Toc495500153 \h </w:instrText>
      </w:r>
      <w:r>
        <w:rPr>
          <w:color w:val="000000"/>
        </w:rPr>
        <w:fldChar w:fldCharType="separate"/>
      </w:r>
      <w:r>
        <w:rPr>
          <w:color w:val="000000"/>
        </w:rPr>
        <w:t>123</w:t>
      </w:r>
      <w:r>
        <w:rPr>
          <w:color w:val="000000"/>
        </w:rPr>
        <w:fldChar w:fldCharType="end"/>
      </w:r>
    </w:p>
    <w:p w14:paraId="52A075E8">
      <w:pPr>
        <w:pStyle w:val="200"/>
        <w:tabs>
          <w:tab w:val="right" w:leader="dot" w:pos="8296"/>
        </w:tabs>
        <w:rPr>
          <w:i w:val="0"/>
          <w:color w:val="000000"/>
          <w:sz w:val="21"/>
          <w:szCs w:val="24"/>
        </w:rPr>
      </w:pPr>
      <w:r>
        <w:rPr>
          <w:rFonts w:eastAsia="仿宋_GB2312"/>
          <w:color w:val="000000"/>
        </w:rPr>
        <w:t>11.1.3</w:t>
      </w:r>
      <w:r>
        <w:rPr>
          <w:rFonts w:hint="eastAsia" w:eastAsia="仿宋_GB2312"/>
          <w:color w:val="000000"/>
        </w:rPr>
        <w:t>环境损益分析</w:t>
      </w:r>
      <w:r>
        <w:rPr>
          <w:color w:val="000000"/>
        </w:rPr>
        <w:tab/>
      </w:r>
      <w:r>
        <w:rPr>
          <w:color w:val="000000"/>
        </w:rPr>
        <w:fldChar w:fldCharType="begin"/>
      </w:r>
      <w:r>
        <w:rPr>
          <w:color w:val="000000"/>
        </w:rPr>
        <w:instrText xml:space="preserve"> PAGEREF _Toc495500154 \h </w:instrText>
      </w:r>
      <w:r>
        <w:rPr>
          <w:color w:val="000000"/>
        </w:rPr>
        <w:fldChar w:fldCharType="separate"/>
      </w:r>
      <w:r>
        <w:rPr>
          <w:color w:val="000000"/>
        </w:rPr>
        <w:t>123</w:t>
      </w:r>
      <w:r>
        <w:rPr>
          <w:color w:val="000000"/>
        </w:rPr>
        <w:fldChar w:fldCharType="end"/>
      </w:r>
    </w:p>
    <w:p w14:paraId="41F16F10">
      <w:pPr>
        <w:pStyle w:val="214"/>
        <w:tabs>
          <w:tab w:val="right" w:leader="dot" w:pos="8296"/>
        </w:tabs>
        <w:rPr>
          <w:smallCaps w:val="0"/>
          <w:color w:val="000000"/>
          <w:sz w:val="21"/>
          <w:szCs w:val="24"/>
        </w:rPr>
      </w:pPr>
      <w:r>
        <w:rPr>
          <w:rFonts w:eastAsia="仿宋_GB2312"/>
          <w:color w:val="000000"/>
        </w:rPr>
        <w:t>11.2</w:t>
      </w:r>
      <w:r>
        <w:rPr>
          <w:rFonts w:hint="eastAsia" w:eastAsia="仿宋_GB2312"/>
          <w:color w:val="000000"/>
        </w:rPr>
        <w:t>社会效益分析</w:t>
      </w:r>
      <w:r>
        <w:rPr>
          <w:color w:val="000000"/>
        </w:rPr>
        <w:tab/>
      </w:r>
      <w:r>
        <w:rPr>
          <w:color w:val="000000"/>
        </w:rPr>
        <w:fldChar w:fldCharType="begin"/>
      </w:r>
      <w:r>
        <w:rPr>
          <w:color w:val="000000"/>
        </w:rPr>
        <w:instrText xml:space="preserve"> PAGEREF _Toc495500155 \h </w:instrText>
      </w:r>
      <w:r>
        <w:rPr>
          <w:color w:val="000000"/>
        </w:rPr>
        <w:fldChar w:fldCharType="separate"/>
      </w:r>
      <w:r>
        <w:rPr>
          <w:color w:val="000000"/>
        </w:rPr>
        <w:t>124</w:t>
      </w:r>
      <w:r>
        <w:rPr>
          <w:color w:val="000000"/>
        </w:rPr>
        <w:fldChar w:fldCharType="end"/>
      </w:r>
    </w:p>
    <w:p w14:paraId="33E4982B">
      <w:pPr>
        <w:pStyle w:val="214"/>
        <w:tabs>
          <w:tab w:val="right" w:leader="dot" w:pos="8296"/>
        </w:tabs>
        <w:rPr>
          <w:smallCaps w:val="0"/>
          <w:color w:val="000000"/>
          <w:sz w:val="21"/>
          <w:szCs w:val="24"/>
        </w:rPr>
      </w:pPr>
      <w:r>
        <w:rPr>
          <w:rFonts w:eastAsia="仿宋_GB2312"/>
          <w:color w:val="000000"/>
        </w:rPr>
        <w:t>11.3</w:t>
      </w:r>
      <w:r>
        <w:rPr>
          <w:rFonts w:hint="eastAsia" w:eastAsia="仿宋_GB2312"/>
          <w:color w:val="000000"/>
        </w:rPr>
        <w:t>经济效益</w:t>
      </w:r>
      <w:r>
        <w:rPr>
          <w:color w:val="000000"/>
        </w:rPr>
        <w:tab/>
      </w:r>
      <w:r>
        <w:rPr>
          <w:color w:val="000000"/>
        </w:rPr>
        <w:fldChar w:fldCharType="begin"/>
      </w:r>
      <w:r>
        <w:rPr>
          <w:color w:val="000000"/>
        </w:rPr>
        <w:instrText xml:space="preserve"> PAGEREF _Toc495500156 \h </w:instrText>
      </w:r>
      <w:r>
        <w:rPr>
          <w:color w:val="000000"/>
        </w:rPr>
        <w:fldChar w:fldCharType="separate"/>
      </w:r>
      <w:r>
        <w:rPr>
          <w:color w:val="000000"/>
        </w:rPr>
        <w:t>124</w:t>
      </w:r>
      <w:r>
        <w:rPr>
          <w:color w:val="000000"/>
        </w:rPr>
        <w:fldChar w:fldCharType="end"/>
      </w:r>
    </w:p>
    <w:p w14:paraId="5EEAA250">
      <w:pPr>
        <w:pStyle w:val="208"/>
        <w:tabs>
          <w:tab w:val="right" w:leader="dot" w:pos="8296"/>
        </w:tabs>
        <w:rPr>
          <w:b w:val="0"/>
          <w:caps w:val="0"/>
          <w:color w:val="000000"/>
          <w:sz w:val="21"/>
          <w:szCs w:val="24"/>
        </w:rPr>
      </w:pPr>
      <w:r>
        <w:rPr>
          <w:rFonts w:eastAsia="仿宋_GB2312"/>
          <w:color w:val="000000"/>
        </w:rPr>
        <w:t>12</w:t>
      </w:r>
      <w:r>
        <w:rPr>
          <w:rFonts w:hint="eastAsia" w:eastAsia="仿宋_GB2312"/>
          <w:color w:val="000000"/>
        </w:rPr>
        <w:t>、公众参与</w:t>
      </w:r>
      <w:r>
        <w:rPr>
          <w:color w:val="000000"/>
        </w:rPr>
        <w:tab/>
      </w:r>
      <w:r>
        <w:rPr>
          <w:color w:val="000000"/>
        </w:rPr>
        <w:fldChar w:fldCharType="begin"/>
      </w:r>
      <w:r>
        <w:rPr>
          <w:color w:val="000000"/>
        </w:rPr>
        <w:instrText xml:space="preserve"> PAGEREF _Toc495500157 \h </w:instrText>
      </w:r>
      <w:r>
        <w:rPr>
          <w:color w:val="000000"/>
        </w:rPr>
        <w:fldChar w:fldCharType="separate"/>
      </w:r>
      <w:r>
        <w:rPr>
          <w:color w:val="000000"/>
        </w:rPr>
        <w:t>125</w:t>
      </w:r>
      <w:r>
        <w:rPr>
          <w:color w:val="000000"/>
        </w:rPr>
        <w:fldChar w:fldCharType="end"/>
      </w:r>
    </w:p>
    <w:p w14:paraId="687FD42C">
      <w:pPr>
        <w:pStyle w:val="214"/>
        <w:tabs>
          <w:tab w:val="right" w:leader="dot" w:pos="8296"/>
        </w:tabs>
        <w:rPr>
          <w:smallCaps w:val="0"/>
          <w:color w:val="000000"/>
          <w:sz w:val="21"/>
          <w:szCs w:val="24"/>
        </w:rPr>
      </w:pPr>
      <w:r>
        <w:rPr>
          <w:rFonts w:eastAsia="仿宋_GB2312"/>
          <w:color w:val="000000"/>
        </w:rPr>
        <w:t xml:space="preserve">12.1 </w:t>
      </w:r>
      <w:r>
        <w:rPr>
          <w:rFonts w:hint="eastAsia" w:eastAsia="仿宋_GB2312"/>
          <w:color w:val="000000"/>
        </w:rPr>
        <w:t>公众参与目的和意义</w:t>
      </w:r>
      <w:r>
        <w:rPr>
          <w:color w:val="000000"/>
        </w:rPr>
        <w:tab/>
      </w:r>
      <w:r>
        <w:rPr>
          <w:color w:val="000000"/>
        </w:rPr>
        <w:fldChar w:fldCharType="begin"/>
      </w:r>
      <w:r>
        <w:rPr>
          <w:color w:val="000000"/>
        </w:rPr>
        <w:instrText xml:space="preserve"> PAGEREF _Toc495500158 \h </w:instrText>
      </w:r>
      <w:r>
        <w:rPr>
          <w:color w:val="000000"/>
        </w:rPr>
        <w:fldChar w:fldCharType="separate"/>
      </w:r>
      <w:r>
        <w:rPr>
          <w:color w:val="000000"/>
        </w:rPr>
        <w:t>125</w:t>
      </w:r>
      <w:r>
        <w:rPr>
          <w:color w:val="000000"/>
        </w:rPr>
        <w:fldChar w:fldCharType="end"/>
      </w:r>
    </w:p>
    <w:p w14:paraId="5FC28DFC">
      <w:pPr>
        <w:pStyle w:val="214"/>
        <w:tabs>
          <w:tab w:val="right" w:leader="dot" w:pos="8296"/>
        </w:tabs>
        <w:rPr>
          <w:smallCaps w:val="0"/>
          <w:color w:val="000000"/>
          <w:sz w:val="21"/>
          <w:szCs w:val="24"/>
        </w:rPr>
      </w:pPr>
      <w:r>
        <w:rPr>
          <w:rFonts w:eastAsia="仿宋_GB2312"/>
          <w:color w:val="000000"/>
        </w:rPr>
        <w:t>12.2</w:t>
      </w:r>
      <w:r>
        <w:rPr>
          <w:rFonts w:hint="eastAsia" w:eastAsia="仿宋_GB2312"/>
          <w:color w:val="000000"/>
        </w:rPr>
        <w:t>公众参与调查的范围</w:t>
      </w:r>
      <w:r>
        <w:rPr>
          <w:color w:val="000000"/>
        </w:rPr>
        <w:tab/>
      </w:r>
      <w:r>
        <w:rPr>
          <w:color w:val="000000"/>
        </w:rPr>
        <w:fldChar w:fldCharType="begin"/>
      </w:r>
      <w:r>
        <w:rPr>
          <w:color w:val="000000"/>
        </w:rPr>
        <w:instrText xml:space="preserve"> PAGEREF _Toc495500159 \h </w:instrText>
      </w:r>
      <w:r>
        <w:rPr>
          <w:color w:val="000000"/>
        </w:rPr>
        <w:fldChar w:fldCharType="separate"/>
      </w:r>
      <w:r>
        <w:rPr>
          <w:color w:val="000000"/>
        </w:rPr>
        <w:t>126</w:t>
      </w:r>
      <w:r>
        <w:rPr>
          <w:color w:val="000000"/>
        </w:rPr>
        <w:fldChar w:fldCharType="end"/>
      </w:r>
    </w:p>
    <w:p w14:paraId="54DDCE84">
      <w:pPr>
        <w:pStyle w:val="214"/>
        <w:tabs>
          <w:tab w:val="right" w:leader="dot" w:pos="8296"/>
        </w:tabs>
        <w:rPr>
          <w:smallCaps w:val="0"/>
          <w:color w:val="000000"/>
          <w:sz w:val="21"/>
          <w:szCs w:val="24"/>
        </w:rPr>
      </w:pPr>
      <w:r>
        <w:rPr>
          <w:rFonts w:eastAsia="仿宋_GB2312"/>
          <w:color w:val="000000"/>
        </w:rPr>
        <w:t>12.3</w:t>
      </w:r>
      <w:r>
        <w:rPr>
          <w:rFonts w:hint="eastAsia" w:eastAsia="仿宋_GB2312"/>
          <w:color w:val="000000"/>
        </w:rPr>
        <w:t>公众参与方式、内容</w:t>
      </w:r>
      <w:r>
        <w:rPr>
          <w:color w:val="000000"/>
        </w:rPr>
        <w:tab/>
      </w:r>
      <w:r>
        <w:rPr>
          <w:color w:val="000000"/>
        </w:rPr>
        <w:fldChar w:fldCharType="begin"/>
      </w:r>
      <w:r>
        <w:rPr>
          <w:color w:val="000000"/>
        </w:rPr>
        <w:instrText xml:space="preserve"> PAGEREF _Toc495500160 \h </w:instrText>
      </w:r>
      <w:r>
        <w:rPr>
          <w:color w:val="000000"/>
        </w:rPr>
        <w:fldChar w:fldCharType="separate"/>
      </w:r>
      <w:r>
        <w:rPr>
          <w:color w:val="000000"/>
        </w:rPr>
        <w:t>126</w:t>
      </w:r>
      <w:r>
        <w:rPr>
          <w:color w:val="000000"/>
        </w:rPr>
        <w:fldChar w:fldCharType="end"/>
      </w:r>
    </w:p>
    <w:p w14:paraId="654E4827">
      <w:pPr>
        <w:pStyle w:val="200"/>
        <w:tabs>
          <w:tab w:val="right" w:leader="dot" w:pos="8296"/>
        </w:tabs>
        <w:rPr>
          <w:i w:val="0"/>
          <w:color w:val="000000"/>
          <w:sz w:val="21"/>
          <w:szCs w:val="24"/>
        </w:rPr>
      </w:pPr>
      <w:r>
        <w:rPr>
          <w:rFonts w:ascii="仿宋_GB2312" w:eastAsia="仿宋_GB2312"/>
          <w:color w:val="000000"/>
        </w:rPr>
        <w:t xml:space="preserve">12.3.1 </w:t>
      </w:r>
      <w:r>
        <w:rPr>
          <w:rFonts w:hint="eastAsia" w:ascii="仿宋_GB2312" w:eastAsia="仿宋_GB2312"/>
          <w:color w:val="000000"/>
        </w:rPr>
        <w:t>公众告示</w:t>
      </w:r>
      <w:r>
        <w:rPr>
          <w:color w:val="000000"/>
        </w:rPr>
        <w:tab/>
      </w:r>
      <w:r>
        <w:rPr>
          <w:color w:val="000000"/>
        </w:rPr>
        <w:fldChar w:fldCharType="begin"/>
      </w:r>
      <w:r>
        <w:rPr>
          <w:color w:val="000000"/>
        </w:rPr>
        <w:instrText xml:space="preserve"> PAGEREF _Toc495500161 \h </w:instrText>
      </w:r>
      <w:r>
        <w:rPr>
          <w:color w:val="000000"/>
        </w:rPr>
        <w:fldChar w:fldCharType="separate"/>
      </w:r>
      <w:r>
        <w:rPr>
          <w:color w:val="000000"/>
        </w:rPr>
        <w:t>126</w:t>
      </w:r>
      <w:r>
        <w:rPr>
          <w:color w:val="000000"/>
        </w:rPr>
        <w:fldChar w:fldCharType="end"/>
      </w:r>
    </w:p>
    <w:p w14:paraId="77B61A6F">
      <w:pPr>
        <w:pStyle w:val="200"/>
        <w:tabs>
          <w:tab w:val="right" w:leader="dot" w:pos="8296"/>
        </w:tabs>
        <w:rPr>
          <w:i w:val="0"/>
          <w:color w:val="000000"/>
          <w:sz w:val="21"/>
          <w:szCs w:val="24"/>
        </w:rPr>
      </w:pPr>
      <w:r>
        <w:rPr>
          <w:rFonts w:ascii="仿宋_GB2312" w:eastAsia="仿宋_GB2312"/>
          <w:color w:val="000000"/>
        </w:rPr>
        <w:t>12.3.2</w:t>
      </w:r>
      <w:r>
        <w:rPr>
          <w:rFonts w:hint="eastAsia" w:ascii="仿宋_GB2312" w:eastAsia="仿宋_GB2312"/>
          <w:color w:val="000000"/>
        </w:rPr>
        <w:t>公众参与信息公示情况</w:t>
      </w:r>
      <w:r>
        <w:rPr>
          <w:color w:val="000000"/>
        </w:rPr>
        <w:tab/>
      </w:r>
      <w:r>
        <w:rPr>
          <w:color w:val="000000"/>
        </w:rPr>
        <w:fldChar w:fldCharType="begin"/>
      </w:r>
      <w:r>
        <w:rPr>
          <w:color w:val="000000"/>
        </w:rPr>
        <w:instrText xml:space="preserve"> PAGEREF _Toc495500162 \h </w:instrText>
      </w:r>
      <w:r>
        <w:rPr>
          <w:color w:val="000000"/>
        </w:rPr>
        <w:fldChar w:fldCharType="separate"/>
      </w:r>
      <w:r>
        <w:rPr>
          <w:color w:val="000000"/>
        </w:rPr>
        <w:t>127</w:t>
      </w:r>
      <w:r>
        <w:rPr>
          <w:color w:val="000000"/>
        </w:rPr>
        <w:fldChar w:fldCharType="end"/>
      </w:r>
    </w:p>
    <w:p w14:paraId="2F2DAC35">
      <w:pPr>
        <w:pStyle w:val="200"/>
        <w:tabs>
          <w:tab w:val="right" w:leader="dot" w:pos="8296"/>
        </w:tabs>
        <w:rPr>
          <w:i w:val="0"/>
          <w:color w:val="000000"/>
          <w:sz w:val="21"/>
          <w:szCs w:val="24"/>
        </w:rPr>
      </w:pPr>
      <w:r>
        <w:rPr>
          <w:rFonts w:ascii="仿宋_GB2312" w:eastAsia="仿宋_GB2312"/>
          <w:color w:val="000000"/>
        </w:rPr>
        <w:t>12.3.3</w:t>
      </w:r>
      <w:r>
        <w:rPr>
          <w:rFonts w:hint="eastAsia" w:ascii="仿宋_GB2312" w:eastAsia="仿宋_GB2312"/>
          <w:color w:val="000000"/>
        </w:rPr>
        <w:t>公众参与问卷调查</w:t>
      </w:r>
      <w:r>
        <w:rPr>
          <w:color w:val="000000"/>
        </w:rPr>
        <w:tab/>
      </w:r>
      <w:r>
        <w:rPr>
          <w:color w:val="000000"/>
        </w:rPr>
        <w:fldChar w:fldCharType="begin"/>
      </w:r>
      <w:r>
        <w:rPr>
          <w:color w:val="000000"/>
        </w:rPr>
        <w:instrText xml:space="preserve"> PAGEREF _Toc495500163 \h </w:instrText>
      </w:r>
      <w:r>
        <w:rPr>
          <w:color w:val="000000"/>
        </w:rPr>
        <w:fldChar w:fldCharType="separate"/>
      </w:r>
      <w:r>
        <w:rPr>
          <w:color w:val="000000"/>
        </w:rPr>
        <w:t>127</w:t>
      </w:r>
      <w:r>
        <w:rPr>
          <w:color w:val="000000"/>
        </w:rPr>
        <w:fldChar w:fldCharType="end"/>
      </w:r>
    </w:p>
    <w:p w14:paraId="3DF89707">
      <w:pPr>
        <w:pStyle w:val="214"/>
        <w:tabs>
          <w:tab w:val="right" w:leader="dot" w:pos="8296"/>
        </w:tabs>
        <w:rPr>
          <w:smallCaps w:val="0"/>
          <w:color w:val="000000"/>
          <w:sz w:val="21"/>
          <w:szCs w:val="24"/>
        </w:rPr>
      </w:pPr>
      <w:r>
        <w:rPr>
          <w:rFonts w:eastAsia="仿宋_GB2312"/>
          <w:color w:val="000000"/>
        </w:rPr>
        <w:t>12.4</w:t>
      </w:r>
      <w:r>
        <w:rPr>
          <w:rFonts w:hint="eastAsia" w:eastAsia="仿宋_GB2312"/>
          <w:color w:val="000000"/>
        </w:rPr>
        <w:t>公众告示结果</w:t>
      </w:r>
      <w:r>
        <w:rPr>
          <w:color w:val="000000"/>
        </w:rPr>
        <w:tab/>
      </w:r>
      <w:r>
        <w:rPr>
          <w:color w:val="000000"/>
        </w:rPr>
        <w:fldChar w:fldCharType="begin"/>
      </w:r>
      <w:r>
        <w:rPr>
          <w:color w:val="000000"/>
        </w:rPr>
        <w:instrText xml:space="preserve"> PAGEREF _Toc495500164 \h </w:instrText>
      </w:r>
      <w:r>
        <w:rPr>
          <w:color w:val="000000"/>
        </w:rPr>
        <w:fldChar w:fldCharType="separate"/>
      </w:r>
      <w:r>
        <w:rPr>
          <w:color w:val="000000"/>
        </w:rPr>
        <w:t>128</w:t>
      </w:r>
      <w:r>
        <w:rPr>
          <w:color w:val="000000"/>
        </w:rPr>
        <w:fldChar w:fldCharType="end"/>
      </w:r>
    </w:p>
    <w:p w14:paraId="2CB2C092">
      <w:pPr>
        <w:pStyle w:val="214"/>
        <w:tabs>
          <w:tab w:val="right" w:leader="dot" w:pos="8296"/>
        </w:tabs>
        <w:rPr>
          <w:smallCaps w:val="0"/>
          <w:color w:val="000000"/>
          <w:sz w:val="21"/>
          <w:szCs w:val="24"/>
        </w:rPr>
      </w:pPr>
      <w:r>
        <w:rPr>
          <w:rFonts w:eastAsia="仿宋_GB2312"/>
          <w:color w:val="000000"/>
        </w:rPr>
        <w:t>12.5</w:t>
      </w:r>
      <w:r>
        <w:rPr>
          <w:rFonts w:hint="eastAsia" w:eastAsia="仿宋_GB2312"/>
          <w:color w:val="000000"/>
        </w:rPr>
        <w:t>公众参与问卷调查结果统计分析</w:t>
      </w:r>
      <w:r>
        <w:rPr>
          <w:color w:val="000000"/>
        </w:rPr>
        <w:tab/>
      </w:r>
      <w:r>
        <w:rPr>
          <w:color w:val="000000"/>
        </w:rPr>
        <w:fldChar w:fldCharType="begin"/>
      </w:r>
      <w:r>
        <w:rPr>
          <w:color w:val="000000"/>
        </w:rPr>
        <w:instrText xml:space="preserve"> PAGEREF _Toc495500165 \h </w:instrText>
      </w:r>
      <w:r>
        <w:rPr>
          <w:color w:val="000000"/>
        </w:rPr>
        <w:fldChar w:fldCharType="separate"/>
      </w:r>
      <w:r>
        <w:rPr>
          <w:color w:val="000000"/>
        </w:rPr>
        <w:t>128</w:t>
      </w:r>
      <w:r>
        <w:rPr>
          <w:color w:val="000000"/>
        </w:rPr>
        <w:fldChar w:fldCharType="end"/>
      </w:r>
    </w:p>
    <w:p w14:paraId="45A3F110">
      <w:pPr>
        <w:pStyle w:val="200"/>
        <w:tabs>
          <w:tab w:val="right" w:leader="dot" w:pos="8296"/>
        </w:tabs>
        <w:rPr>
          <w:i w:val="0"/>
          <w:color w:val="000000"/>
          <w:sz w:val="21"/>
          <w:szCs w:val="24"/>
        </w:rPr>
      </w:pPr>
      <w:r>
        <w:rPr>
          <w:rFonts w:ascii="仿宋_GB2312" w:eastAsia="仿宋_GB2312"/>
          <w:color w:val="000000"/>
        </w:rPr>
        <w:t xml:space="preserve">12.5.1 </w:t>
      </w:r>
      <w:r>
        <w:rPr>
          <w:rFonts w:hint="eastAsia" w:ascii="仿宋_GB2312" w:eastAsia="仿宋_GB2312"/>
          <w:color w:val="000000"/>
        </w:rPr>
        <w:t>社会团体调查内容、结果统计分析</w:t>
      </w:r>
      <w:r>
        <w:rPr>
          <w:color w:val="000000"/>
        </w:rPr>
        <w:tab/>
      </w:r>
      <w:r>
        <w:rPr>
          <w:color w:val="000000"/>
        </w:rPr>
        <w:fldChar w:fldCharType="begin"/>
      </w:r>
      <w:r>
        <w:rPr>
          <w:color w:val="000000"/>
        </w:rPr>
        <w:instrText xml:space="preserve"> PAGEREF _Toc495500166 \h </w:instrText>
      </w:r>
      <w:r>
        <w:rPr>
          <w:color w:val="000000"/>
        </w:rPr>
        <w:fldChar w:fldCharType="separate"/>
      </w:r>
      <w:r>
        <w:rPr>
          <w:color w:val="000000"/>
        </w:rPr>
        <w:t>128</w:t>
      </w:r>
      <w:r>
        <w:rPr>
          <w:color w:val="000000"/>
        </w:rPr>
        <w:fldChar w:fldCharType="end"/>
      </w:r>
    </w:p>
    <w:p w14:paraId="3AA8EBD5">
      <w:pPr>
        <w:pStyle w:val="200"/>
        <w:tabs>
          <w:tab w:val="right" w:leader="dot" w:pos="8296"/>
        </w:tabs>
        <w:rPr>
          <w:i w:val="0"/>
          <w:color w:val="000000"/>
          <w:sz w:val="21"/>
          <w:szCs w:val="24"/>
        </w:rPr>
      </w:pPr>
      <w:r>
        <w:rPr>
          <w:rFonts w:ascii="仿宋_GB2312" w:eastAsia="仿宋_GB2312"/>
          <w:color w:val="000000"/>
        </w:rPr>
        <w:t xml:space="preserve">12.5.2 </w:t>
      </w:r>
      <w:r>
        <w:rPr>
          <w:rFonts w:hint="eastAsia" w:ascii="仿宋_GB2312" w:eastAsia="仿宋_GB2312"/>
          <w:color w:val="000000"/>
        </w:rPr>
        <w:t>个人卷调查结果与分析</w:t>
      </w:r>
      <w:r>
        <w:rPr>
          <w:color w:val="000000"/>
        </w:rPr>
        <w:tab/>
      </w:r>
      <w:r>
        <w:rPr>
          <w:color w:val="000000"/>
        </w:rPr>
        <w:fldChar w:fldCharType="begin"/>
      </w:r>
      <w:r>
        <w:rPr>
          <w:color w:val="000000"/>
        </w:rPr>
        <w:instrText xml:space="preserve"> PAGEREF _Toc495500167 \h </w:instrText>
      </w:r>
      <w:r>
        <w:rPr>
          <w:color w:val="000000"/>
        </w:rPr>
        <w:fldChar w:fldCharType="separate"/>
      </w:r>
      <w:r>
        <w:rPr>
          <w:color w:val="000000"/>
        </w:rPr>
        <w:t>129</w:t>
      </w:r>
      <w:r>
        <w:rPr>
          <w:color w:val="000000"/>
        </w:rPr>
        <w:fldChar w:fldCharType="end"/>
      </w:r>
    </w:p>
    <w:p w14:paraId="34EEB5C9">
      <w:pPr>
        <w:pStyle w:val="214"/>
        <w:tabs>
          <w:tab w:val="right" w:leader="dot" w:pos="8296"/>
        </w:tabs>
        <w:rPr>
          <w:smallCaps w:val="0"/>
          <w:color w:val="000000"/>
          <w:sz w:val="21"/>
          <w:szCs w:val="24"/>
        </w:rPr>
      </w:pPr>
      <w:r>
        <w:rPr>
          <w:rFonts w:eastAsia="仿宋_GB2312"/>
          <w:color w:val="000000"/>
        </w:rPr>
        <w:t>12.6</w:t>
      </w:r>
      <w:r>
        <w:rPr>
          <w:rFonts w:hint="eastAsia" w:eastAsia="仿宋_GB2312"/>
          <w:color w:val="000000"/>
        </w:rPr>
        <w:t>公众意见采纳情况</w:t>
      </w:r>
      <w:r>
        <w:rPr>
          <w:color w:val="000000"/>
        </w:rPr>
        <w:tab/>
      </w:r>
      <w:r>
        <w:rPr>
          <w:color w:val="000000"/>
        </w:rPr>
        <w:fldChar w:fldCharType="begin"/>
      </w:r>
      <w:r>
        <w:rPr>
          <w:color w:val="000000"/>
        </w:rPr>
        <w:instrText xml:space="preserve"> PAGEREF _Toc495500168 \h </w:instrText>
      </w:r>
      <w:r>
        <w:rPr>
          <w:color w:val="000000"/>
        </w:rPr>
        <w:fldChar w:fldCharType="separate"/>
      </w:r>
      <w:r>
        <w:rPr>
          <w:color w:val="000000"/>
        </w:rPr>
        <w:t>132</w:t>
      </w:r>
      <w:r>
        <w:rPr>
          <w:color w:val="000000"/>
        </w:rPr>
        <w:fldChar w:fldCharType="end"/>
      </w:r>
    </w:p>
    <w:p w14:paraId="59B7739B">
      <w:pPr>
        <w:pStyle w:val="214"/>
        <w:tabs>
          <w:tab w:val="right" w:leader="dot" w:pos="8296"/>
        </w:tabs>
        <w:rPr>
          <w:smallCaps w:val="0"/>
          <w:color w:val="000000"/>
          <w:sz w:val="21"/>
          <w:szCs w:val="24"/>
        </w:rPr>
      </w:pPr>
      <w:r>
        <w:rPr>
          <w:rFonts w:eastAsia="仿宋_GB2312"/>
          <w:color w:val="000000"/>
        </w:rPr>
        <w:t>12.7</w:t>
      </w:r>
      <w:r>
        <w:rPr>
          <w:rFonts w:hint="eastAsia" w:eastAsia="仿宋_GB2312"/>
          <w:color w:val="000000"/>
        </w:rPr>
        <w:t>结论和建议</w:t>
      </w:r>
      <w:r>
        <w:rPr>
          <w:color w:val="000000"/>
        </w:rPr>
        <w:tab/>
      </w:r>
      <w:r>
        <w:rPr>
          <w:color w:val="000000"/>
        </w:rPr>
        <w:fldChar w:fldCharType="begin"/>
      </w:r>
      <w:r>
        <w:rPr>
          <w:color w:val="000000"/>
        </w:rPr>
        <w:instrText xml:space="preserve"> PAGEREF _Toc495500169 \h </w:instrText>
      </w:r>
      <w:r>
        <w:rPr>
          <w:color w:val="000000"/>
        </w:rPr>
        <w:fldChar w:fldCharType="separate"/>
      </w:r>
      <w:r>
        <w:rPr>
          <w:color w:val="000000"/>
        </w:rPr>
        <w:t>133</w:t>
      </w:r>
      <w:r>
        <w:rPr>
          <w:color w:val="000000"/>
        </w:rPr>
        <w:fldChar w:fldCharType="end"/>
      </w:r>
    </w:p>
    <w:p w14:paraId="00F6838E">
      <w:pPr>
        <w:pStyle w:val="208"/>
        <w:tabs>
          <w:tab w:val="right" w:leader="dot" w:pos="8296"/>
        </w:tabs>
        <w:rPr>
          <w:b w:val="0"/>
          <w:caps w:val="0"/>
          <w:color w:val="000000"/>
          <w:sz w:val="21"/>
          <w:szCs w:val="24"/>
        </w:rPr>
      </w:pPr>
      <w:r>
        <w:rPr>
          <w:rFonts w:eastAsia="仿宋_GB2312"/>
          <w:color w:val="000000"/>
        </w:rPr>
        <w:t>13</w:t>
      </w:r>
      <w:r>
        <w:rPr>
          <w:rFonts w:hint="eastAsia" w:eastAsia="仿宋_GB2312"/>
          <w:color w:val="000000"/>
        </w:rPr>
        <w:t>、环境管理、环境监理与环境监测</w:t>
      </w:r>
      <w:r>
        <w:rPr>
          <w:color w:val="000000"/>
        </w:rPr>
        <w:tab/>
      </w:r>
      <w:r>
        <w:rPr>
          <w:color w:val="000000"/>
        </w:rPr>
        <w:fldChar w:fldCharType="begin"/>
      </w:r>
      <w:r>
        <w:rPr>
          <w:color w:val="000000"/>
        </w:rPr>
        <w:instrText xml:space="preserve"> PAGEREF _Toc495500170 \h </w:instrText>
      </w:r>
      <w:r>
        <w:rPr>
          <w:color w:val="000000"/>
        </w:rPr>
        <w:fldChar w:fldCharType="separate"/>
      </w:r>
      <w:r>
        <w:rPr>
          <w:color w:val="000000"/>
        </w:rPr>
        <w:t>134</w:t>
      </w:r>
      <w:r>
        <w:rPr>
          <w:color w:val="000000"/>
        </w:rPr>
        <w:fldChar w:fldCharType="end"/>
      </w:r>
    </w:p>
    <w:p w14:paraId="607805FF">
      <w:pPr>
        <w:pStyle w:val="214"/>
        <w:tabs>
          <w:tab w:val="right" w:leader="dot" w:pos="8296"/>
        </w:tabs>
        <w:rPr>
          <w:smallCaps w:val="0"/>
          <w:color w:val="000000"/>
          <w:sz w:val="21"/>
          <w:szCs w:val="24"/>
        </w:rPr>
      </w:pPr>
      <w:r>
        <w:rPr>
          <w:rFonts w:eastAsia="仿宋_GB2312"/>
          <w:color w:val="000000"/>
        </w:rPr>
        <w:t>13.1</w:t>
      </w:r>
      <w:r>
        <w:rPr>
          <w:rFonts w:hint="eastAsia" w:eastAsia="仿宋_GB2312"/>
          <w:color w:val="000000"/>
        </w:rPr>
        <w:t>环境管理</w:t>
      </w:r>
      <w:r>
        <w:rPr>
          <w:color w:val="000000"/>
        </w:rPr>
        <w:tab/>
      </w:r>
      <w:r>
        <w:rPr>
          <w:color w:val="000000"/>
        </w:rPr>
        <w:fldChar w:fldCharType="begin"/>
      </w:r>
      <w:r>
        <w:rPr>
          <w:color w:val="000000"/>
        </w:rPr>
        <w:instrText xml:space="preserve"> PAGEREF _Toc495500171 \h </w:instrText>
      </w:r>
      <w:r>
        <w:rPr>
          <w:color w:val="000000"/>
        </w:rPr>
        <w:fldChar w:fldCharType="separate"/>
      </w:r>
      <w:r>
        <w:rPr>
          <w:color w:val="000000"/>
        </w:rPr>
        <w:t>134</w:t>
      </w:r>
      <w:r>
        <w:rPr>
          <w:color w:val="000000"/>
        </w:rPr>
        <w:fldChar w:fldCharType="end"/>
      </w:r>
    </w:p>
    <w:p w14:paraId="04CFC58F">
      <w:pPr>
        <w:pStyle w:val="200"/>
        <w:tabs>
          <w:tab w:val="right" w:leader="dot" w:pos="8296"/>
        </w:tabs>
        <w:rPr>
          <w:i w:val="0"/>
          <w:color w:val="000000"/>
          <w:sz w:val="21"/>
          <w:szCs w:val="24"/>
        </w:rPr>
      </w:pPr>
      <w:r>
        <w:rPr>
          <w:rFonts w:eastAsia="仿宋_GB2312"/>
          <w:color w:val="000000"/>
        </w:rPr>
        <w:t>13.1.1</w:t>
      </w:r>
      <w:r>
        <w:rPr>
          <w:rFonts w:hint="eastAsia" w:eastAsia="仿宋_GB2312"/>
          <w:color w:val="000000"/>
        </w:rPr>
        <w:t>环境管理机构</w:t>
      </w:r>
      <w:r>
        <w:rPr>
          <w:color w:val="000000"/>
        </w:rPr>
        <w:tab/>
      </w:r>
      <w:r>
        <w:rPr>
          <w:color w:val="000000"/>
        </w:rPr>
        <w:fldChar w:fldCharType="begin"/>
      </w:r>
      <w:r>
        <w:rPr>
          <w:color w:val="000000"/>
        </w:rPr>
        <w:instrText xml:space="preserve"> PAGEREF _Toc495500172 \h </w:instrText>
      </w:r>
      <w:r>
        <w:rPr>
          <w:color w:val="000000"/>
        </w:rPr>
        <w:fldChar w:fldCharType="separate"/>
      </w:r>
      <w:r>
        <w:rPr>
          <w:color w:val="000000"/>
        </w:rPr>
        <w:t>134</w:t>
      </w:r>
      <w:r>
        <w:rPr>
          <w:color w:val="000000"/>
        </w:rPr>
        <w:fldChar w:fldCharType="end"/>
      </w:r>
    </w:p>
    <w:p w14:paraId="50B1226A">
      <w:pPr>
        <w:pStyle w:val="200"/>
        <w:tabs>
          <w:tab w:val="right" w:leader="dot" w:pos="8296"/>
        </w:tabs>
        <w:rPr>
          <w:i w:val="0"/>
          <w:color w:val="000000"/>
          <w:sz w:val="21"/>
          <w:szCs w:val="24"/>
        </w:rPr>
      </w:pPr>
      <w:r>
        <w:rPr>
          <w:rFonts w:eastAsia="仿宋_GB2312"/>
          <w:color w:val="000000"/>
        </w:rPr>
        <w:t>13.1.2</w:t>
      </w:r>
      <w:r>
        <w:rPr>
          <w:rFonts w:hint="eastAsia" w:eastAsia="仿宋_GB2312"/>
          <w:color w:val="000000"/>
        </w:rPr>
        <w:t>环境管理制度</w:t>
      </w:r>
      <w:r>
        <w:rPr>
          <w:color w:val="000000"/>
        </w:rPr>
        <w:tab/>
      </w:r>
      <w:r>
        <w:rPr>
          <w:color w:val="000000"/>
        </w:rPr>
        <w:fldChar w:fldCharType="begin"/>
      </w:r>
      <w:r>
        <w:rPr>
          <w:color w:val="000000"/>
        </w:rPr>
        <w:instrText xml:space="preserve"> PAGEREF _Toc495500173 \h </w:instrText>
      </w:r>
      <w:r>
        <w:rPr>
          <w:color w:val="000000"/>
        </w:rPr>
        <w:fldChar w:fldCharType="separate"/>
      </w:r>
      <w:r>
        <w:rPr>
          <w:color w:val="000000"/>
        </w:rPr>
        <w:t>135</w:t>
      </w:r>
      <w:r>
        <w:rPr>
          <w:color w:val="000000"/>
        </w:rPr>
        <w:fldChar w:fldCharType="end"/>
      </w:r>
    </w:p>
    <w:p w14:paraId="209EBCD2">
      <w:pPr>
        <w:pStyle w:val="200"/>
        <w:tabs>
          <w:tab w:val="right" w:leader="dot" w:pos="8296"/>
        </w:tabs>
        <w:rPr>
          <w:i w:val="0"/>
          <w:color w:val="000000"/>
          <w:sz w:val="21"/>
          <w:szCs w:val="24"/>
        </w:rPr>
      </w:pPr>
      <w:r>
        <w:rPr>
          <w:rFonts w:eastAsia="仿宋_GB2312"/>
          <w:color w:val="000000"/>
        </w:rPr>
        <w:t>13.1.3</w:t>
      </w:r>
      <w:r>
        <w:rPr>
          <w:rFonts w:hint="eastAsia" w:eastAsia="仿宋_GB2312"/>
          <w:color w:val="000000"/>
        </w:rPr>
        <w:t>环境管理计划</w:t>
      </w:r>
      <w:r>
        <w:rPr>
          <w:color w:val="000000"/>
        </w:rPr>
        <w:tab/>
      </w:r>
      <w:r>
        <w:rPr>
          <w:color w:val="000000"/>
        </w:rPr>
        <w:fldChar w:fldCharType="begin"/>
      </w:r>
      <w:r>
        <w:rPr>
          <w:color w:val="000000"/>
        </w:rPr>
        <w:instrText xml:space="preserve"> PAGEREF _Toc495500174 \h </w:instrText>
      </w:r>
      <w:r>
        <w:rPr>
          <w:color w:val="000000"/>
        </w:rPr>
        <w:fldChar w:fldCharType="separate"/>
      </w:r>
      <w:r>
        <w:rPr>
          <w:color w:val="000000"/>
        </w:rPr>
        <w:t>135</w:t>
      </w:r>
      <w:r>
        <w:rPr>
          <w:color w:val="000000"/>
        </w:rPr>
        <w:fldChar w:fldCharType="end"/>
      </w:r>
    </w:p>
    <w:p w14:paraId="3AC077CC">
      <w:pPr>
        <w:pStyle w:val="214"/>
        <w:tabs>
          <w:tab w:val="right" w:leader="dot" w:pos="8296"/>
        </w:tabs>
        <w:rPr>
          <w:smallCaps w:val="0"/>
          <w:color w:val="000000"/>
          <w:sz w:val="21"/>
          <w:szCs w:val="24"/>
        </w:rPr>
      </w:pPr>
      <w:r>
        <w:rPr>
          <w:rFonts w:eastAsia="仿宋_GB2312"/>
          <w:color w:val="000000"/>
        </w:rPr>
        <w:t>13.2</w:t>
      </w:r>
      <w:r>
        <w:rPr>
          <w:rFonts w:hint="eastAsia" w:eastAsia="仿宋_GB2312"/>
          <w:color w:val="000000"/>
        </w:rPr>
        <w:t>环境监理</w:t>
      </w:r>
      <w:r>
        <w:rPr>
          <w:color w:val="000000"/>
        </w:rPr>
        <w:tab/>
      </w:r>
      <w:r>
        <w:rPr>
          <w:color w:val="000000"/>
        </w:rPr>
        <w:fldChar w:fldCharType="begin"/>
      </w:r>
      <w:r>
        <w:rPr>
          <w:color w:val="000000"/>
        </w:rPr>
        <w:instrText xml:space="preserve"> PAGEREF _Toc495500175 \h </w:instrText>
      </w:r>
      <w:r>
        <w:rPr>
          <w:color w:val="000000"/>
        </w:rPr>
        <w:fldChar w:fldCharType="separate"/>
      </w:r>
      <w:r>
        <w:rPr>
          <w:color w:val="000000"/>
        </w:rPr>
        <w:t>136</w:t>
      </w:r>
      <w:r>
        <w:rPr>
          <w:color w:val="000000"/>
        </w:rPr>
        <w:fldChar w:fldCharType="end"/>
      </w:r>
    </w:p>
    <w:p w14:paraId="56BEDF70">
      <w:pPr>
        <w:pStyle w:val="200"/>
        <w:tabs>
          <w:tab w:val="right" w:leader="dot" w:pos="8296"/>
        </w:tabs>
        <w:rPr>
          <w:i w:val="0"/>
          <w:color w:val="000000"/>
          <w:sz w:val="21"/>
          <w:szCs w:val="24"/>
        </w:rPr>
      </w:pPr>
      <w:r>
        <w:rPr>
          <w:rFonts w:eastAsia="仿宋_GB2312"/>
          <w:color w:val="000000"/>
        </w:rPr>
        <w:t>13.2.1</w:t>
      </w:r>
      <w:r>
        <w:rPr>
          <w:rFonts w:hint="eastAsia" w:eastAsia="仿宋_GB2312"/>
          <w:color w:val="000000"/>
        </w:rPr>
        <w:t>环境监理目的</w:t>
      </w:r>
      <w:r>
        <w:rPr>
          <w:color w:val="000000"/>
        </w:rPr>
        <w:tab/>
      </w:r>
      <w:r>
        <w:rPr>
          <w:color w:val="000000"/>
        </w:rPr>
        <w:fldChar w:fldCharType="begin"/>
      </w:r>
      <w:r>
        <w:rPr>
          <w:color w:val="000000"/>
        </w:rPr>
        <w:instrText xml:space="preserve"> PAGEREF _Toc495500176 \h </w:instrText>
      </w:r>
      <w:r>
        <w:rPr>
          <w:color w:val="000000"/>
        </w:rPr>
        <w:fldChar w:fldCharType="separate"/>
      </w:r>
      <w:r>
        <w:rPr>
          <w:color w:val="000000"/>
        </w:rPr>
        <w:t>136</w:t>
      </w:r>
      <w:r>
        <w:rPr>
          <w:color w:val="000000"/>
        </w:rPr>
        <w:fldChar w:fldCharType="end"/>
      </w:r>
    </w:p>
    <w:p w14:paraId="1B523B4F">
      <w:pPr>
        <w:pStyle w:val="200"/>
        <w:tabs>
          <w:tab w:val="right" w:leader="dot" w:pos="8296"/>
        </w:tabs>
        <w:rPr>
          <w:i w:val="0"/>
          <w:color w:val="000000"/>
          <w:sz w:val="21"/>
          <w:szCs w:val="24"/>
        </w:rPr>
      </w:pPr>
      <w:r>
        <w:rPr>
          <w:rFonts w:eastAsia="仿宋_GB2312"/>
          <w:color w:val="000000"/>
        </w:rPr>
        <w:t>13.2.2</w:t>
      </w:r>
      <w:r>
        <w:rPr>
          <w:rFonts w:hint="eastAsia" w:eastAsia="仿宋_GB2312"/>
          <w:color w:val="000000"/>
        </w:rPr>
        <w:t>监理机构</w:t>
      </w:r>
      <w:r>
        <w:rPr>
          <w:color w:val="000000"/>
        </w:rPr>
        <w:tab/>
      </w:r>
      <w:r>
        <w:rPr>
          <w:color w:val="000000"/>
        </w:rPr>
        <w:fldChar w:fldCharType="begin"/>
      </w:r>
      <w:r>
        <w:rPr>
          <w:color w:val="000000"/>
        </w:rPr>
        <w:instrText xml:space="preserve"> PAGEREF _Toc495500177 \h </w:instrText>
      </w:r>
      <w:r>
        <w:rPr>
          <w:color w:val="000000"/>
        </w:rPr>
        <w:fldChar w:fldCharType="separate"/>
      </w:r>
      <w:r>
        <w:rPr>
          <w:color w:val="000000"/>
        </w:rPr>
        <w:t>136</w:t>
      </w:r>
      <w:r>
        <w:rPr>
          <w:color w:val="000000"/>
        </w:rPr>
        <w:fldChar w:fldCharType="end"/>
      </w:r>
    </w:p>
    <w:p w14:paraId="42C4A5A0">
      <w:pPr>
        <w:pStyle w:val="200"/>
        <w:tabs>
          <w:tab w:val="right" w:leader="dot" w:pos="8296"/>
        </w:tabs>
        <w:rPr>
          <w:i w:val="0"/>
          <w:color w:val="000000"/>
          <w:sz w:val="21"/>
          <w:szCs w:val="24"/>
        </w:rPr>
      </w:pPr>
      <w:r>
        <w:rPr>
          <w:rFonts w:eastAsia="仿宋_GB2312"/>
          <w:color w:val="000000"/>
        </w:rPr>
        <w:t>13.2.3</w:t>
      </w:r>
      <w:r>
        <w:rPr>
          <w:rFonts w:hint="eastAsia" w:eastAsia="仿宋_GB2312"/>
          <w:color w:val="000000"/>
        </w:rPr>
        <w:t>环境监理内容</w:t>
      </w:r>
      <w:r>
        <w:rPr>
          <w:color w:val="000000"/>
        </w:rPr>
        <w:tab/>
      </w:r>
      <w:r>
        <w:rPr>
          <w:color w:val="000000"/>
        </w:rPr>
        <w:fldChar w:fldCharType="begin"/>
      </w:r>
      <w:r>
        <w:rPr>
          <w:color w:val="000000"/>
        </w:rPr>
        <w:instrText xml:space="preserve"> PAGEREF _Toc495500178 \h </w:instrText>
      </w:r>
      <w:r>
        <w:rPr>
          <w:color w:val="000000"/>
        </w:rPr>
        <w:fldChar w:fldCharType="separate"/>
      </w:r>
      <w:r>
        <w:rPr>
          <w:color w:val="000000"/>
        </w:rPr>
        <w:t>137</w:t>
      </w:r>
      <w:r>
        <w:rPr>
          <w:color w:val="000000"/>
        </w:rPr>
        <w:fldChar w:fldCharType="end"/>
      </w:r>
    </w:p>
    <w:p w14:paraId="4450DCF1">
      <w:pPr>
        <w:pStyle w:val="214"/>
        <w:tabs>
          <w:tab w:val="right" w:leader="dot" w:pos="8296"/>
        </w:tabs>
        <w:rPr>
          <w:smallCaps w:val="0"/>
          <w:color w:val="000000"/>
          <w:sz w:val="21"/>
          <w:szCs w:val="24"/>
        </w:rPr>
      </w:pPr>
      <w:r>
        <w:rPr>
          <w:rFonts w:eastAsia="仿宋_GB2312"/>
          <w:color w:val="000000"/>
        </w:rPr>
        <w:t>13.3</w:t>
      </w:r>
      <w:r>
        <w:rPr>
          <w:rFonts w:hint="eastAsia" w:eastAsia="仿宋_GB2312"/>
          <w:color w:val="000000"/>
        </w:rPr>
        <w:t>环境监测</w:t>
      </w:r>
      <w:r>
        <w:rPr>
          <w:color w:val="000000"/>
        </w:rPr>
        <w:tab/>
      </w:r>
      <w:r>
        <w:rPr>
          <w:color w:val="000000"/>
        </w:rPr>
        <w:fldChar w:fldCharType="begin"/>
      </w:r>
      <w:r>
        <w:rPr>
          <w:color w:val="000000"/>
        </w:rPr>
        <w:instrText xml:space="preserve"> PAGEREF _Toc495500179 \h </w:instrText>
      </w:r>
      <w:r>
        <w:rPr>
          <w:color w:val="000000"/>
        </w:rPr>
        <w:fldChar w:fldCharType="separate"/>
      </w:r>
      <w:r>
        <w:rPr>
          <w:color w:val="000000"/>
        </w:rPr>
        <w:t>138</w:t>
      </w:r>
      <w:r>
        <w:rPr>
          <w:color w:val="000000"/>
        </w:rPr>
        <w:fldChar w:fldCharType="end"/>
      </w:r>
    </w:p>
    <w:p w14:paraId="43B5423F">
      <w:pPr>
        <w:pStyle w:val="200"/>
        <w:tabs>
          <w:tab w:val="right" w:leader="dot" w:pos="8296"/>
        </w:tabs>
        <w:rPr>
          <w:i w:val="0"/>
          <w:color w:val="000000"/>
          <w:sz w:val="21"/>
          <w:szCs w:val="24"/>
        </w:rPr>
      </w:pPr>
      <w:r>
        <w:rPr>
          <w:rFonts w:eastAsia="仿宋_GB2312"/>
          <w:color w:val="000000"/>
        </w:rPr>
        <w:t>13.3.1</w:t>
      </w:r>
      <w:r>
        <w:rPr>
          <w:rFonts w:hint="eastAsia" w:eastAsia="仿宋_GB2312"/>
          <w:color w:val="000000"/>
        </w:rPr>
        <w:t>监测目的及监测机构</w:t>
      </w:r>
      <w:r>
        <w:rPr>
          <w:color w:val="000000"/>
        </w:rPr>
        <w:tab/>
      </w:r>
      <w:r>
        <w:rPr>
          <w:color w:val="000000"/>
        </w:rPr>
        <w:fldChar w:fldCharType="begin"/>
      </w:r>
      <w:r>
        <w:rPr>
          <w:color w:val="000000"/>
        </w:rPr>
        <w:instrText xml:space="preserve"> PAGEREF _Toc495500180 \h </w:instrText>
      </w:r>
      <w:r>
        <w:rPr>
          <w:color w:val="000000"/>
        </w:rPr>
        <w:fldChar w:fldCharType="separate"/>
      </w:r>
      <w:r>
        <w:rPr>
          <w:color w:val="000000"/>
        </w:rPr>
        <w:t>138</w:t>
      </w:r>
      <w:r>
        <w:rPr>
          <w:color w:val="000000"/>
        </w:rPr>
        <w:fldChar w:fldCharType="end"/>
      </w:r>
    </w:p>
    <w:p w14:paraId="6B0FDA05">
      <w:pPr>
        <w:pStyle w:val="200"/>
        <w:tabs>
          <w:tab w:val="right" w:leader="dot" w:pos="8296"/>
        </w:tabs>
        <w:rPr>
          <w:i w:val="0"/>
          <w:color w:val="000000"/>
          <w:sz w:val="21"/>
          <w:szCs w:val="24"/>
        </w:rPr>
      </w:pPr>
      <w:r>
        <w:rPr>
          <w:rFonts w:eastAsia="仿宋_GB2312"/>
          <w:color w:val="000000"/>
        </w:rPr>
        <w:t>13.3.2</w:t>
      </w:r>
      <w:r>
        <w:rPr>
          <w:rFonts w:hint="eastAsia" w:eastAsia="仿宋_GB2312"/>
          <w:color w:val="000000"/>
        </w:rPr>
        <w:t>监测内容及计划</w:t>
      </w:r>
      <w:r>
        <w:rPr>
          <w:color w:val="000000"/>
        </w:rPr>
        <w:tab/>
      </w:r>
      <w:r>
        <w:rPr>
          <w:color w:val="000000"/>
        </w:rPr>
        <w:fldChar w:fldCharType="begin"/>
      </w:r>
      <w:r>
        <w:rPr>
          <w:color w:val="000000"/>
        </w:rPr>
        <w:instrText xml:space="preserve"> PAGEREF _Toc495500181 \h </w:instrText>
      </w:r>
      <w:r>
        <w:rPr>
          <w:color w:val="000000"/>
        </w:rPr>
        <w:fldChar w:fldCharType="separate"/>
      </w:r>
      <w:r>
        <w:rPr>
          <w:color w:val="000000"/>
        </w:rPr>
        <w:t>138</w:t>
      </w:r>
      <w:r>
        <w:rPr>
          <w:color w:val="000000"/>
        </w:rPr>
        <w:fldChar w:fldCharType="end"/>
      </w:r>
    </w:p>
    <w:p w14:paraId="799DB580">
      <w:pPr>
        <w:pStyle w:val="200"/>
        <w:tabs>
          <w:tab w:val="right" w:leader="dot" w:pos="8296"/>
        </w:tabs>
        <w:rPr>
          <w:i w:val="0"/>
          <w:color w:val="000000"/>
          <w:sz w:val="21"/>
          <w:szCs w:val="24"/>
        </w:rPr>
      </w:pPr>
      <w:r>
        <w:rPr>
          <w:rFonts w:eastAsia="仿宋_GB2312"/>
          <w:color w:val="000000"/>
        </w:rPr>
        <w:t>13.3.3</w:t>
      </w:r>
      <w:r>
        <w:rPr>
          <w:rFonts w:hint="eastAsia" w:eastAsia="仿宋_GB2312"/>
          <w:color w:val="000000"/>
        </w:rPr>
        <w:t>资料审核及上报</w:t>
      </w:r>
      <w:r>
        <w:rPr>
          <w:color w:val="000000"/>
        </w:rPr>
        <w:tab/>
      </w:r>
      <w:r>
        <w:rPr>
          <w:color w:val="000000"/>
        </w:rPr>
        <w:fldChar w:fldCharType="begin"/>
      </w:r>
      <w:r>
        <w:rPr>
          <w:color w:val="000000"/>
        </w:rPr>
        <w:instrText xml:space="preserve"> PAGEREF _Toc495500182 \h </w:instrText>
      </w:r>
      <w:r>
        <w:rPr>
          <w:color w:val="000000"/>
        </w:rPr>
        <w:fldChar w:fldCharType="separate"/>
      </w:r>
      <w:r>
        <w:rPr>
          <w:color w:val="000000"/>
        </w:rPr>
        <w:t>139</w:t>
      </w:r>
      <w:r>
        <w:rPr>
          <w:color w:val="000000"/>
        </w:rPr>
        <w:fldChar w:fldCharType="end"/>
      </w:r>
    </w:p>
    <w:p w14:paraId="1890EE1F">
      <w:pPr>
        <w:pStyle w:val="200"/>
        <w:tabs>
          <w:tab w:val="right" w:leader="dot" w:pos="8296"/>
        </w:tabs>
        <w:rPr>
          <w:i w:val="0"/>
          <w:color w:val="000000"/>
          <w:sz w:val="21"/>
          <w:szCs w:val="24"/>
        </w:rPr>
      </w:pPr>
      <w:r>
        <w:rPr>
          <w:rFonts w:eastAsia="仿宋_GB2312"/>
          <w:color w:val="000000"/>
        </w:rPr>
        <w:t>13.3.4 “</w:t>
      </w:r>
      <w:r>
        <w:rPr>
          <w:rFonts w:hint="eastAsia" w:eastAsia="仿宋_GB2312"/>
          <w:color w:val="000000"/>
        </w:rPr>
        <w:t>三同时</w:t>
      </w:r>
      <w:r>
        <w:rPr>
          <w:rFonts w:eastAsia="仿宋_GB2312"/>
          <w:color w:val="000000"/>
        </w:rPr>
        <w:t>”</w:t>
      </w:r>
      <w:r>
        <w:rPr>
          <w:rFonts w:hint="eastAsia" w:eastAsia="仿宋_GB2312"/>
          <w:color w:val="000000"/>
        </w:rPr>
        <w:t>竣工验收</w:t>
      </w:r>
      <w:r>
        <w:rPr>
          <w:color w:val="000000"/>
        </w:rPr>
        <w:tab/>
      </w:r>
      <w:r>
        <w:rPr>
          <w:color w:val="000000"/>
        </w:rPr>
        <w:fldChar w:fldCharType="begin"/>
      </w:r>
      <w:r>
        <w:rPr>
          <w:color w:val="000000"/>
        </w:rPr>
        <w:instrText xml:space="preserve"> PAGEREF _Toc495500183 \h </w:instrText>
      </w:r>
      <w:r>
        <w:rPr>
          <w:color w:val="000000"/>
        </w:rPr>
        <w:fldChar w:fldCharType="separate"/>
      </w:r>
      <w:r>
        <w:rPr>
          <w:color w:val="000000"/>
        </w:rPr>
        <w:t>139</w:t>
      </w:r>
      <w:r>
        <w:rPr>
          <w:color w:val="000000"/>
        </w:rPr>
        <w:fldChar w:fldCharType="end"/>
      </w:r>
    </w:p>
    <w:p w14:paraId="4176BCFB">
      <w:pPr>
        <w:pStyle w:val="208"/>
        <w:tabs>
          <w:tab w:val="right" w:leader="dot" w:pos="8296"/>
        </w:tabs>
        <w:rPr>
          <w:b w:val="0"/>
          <w:caps w:val="0"/>
          <w:color w:val="000000"/>
          <w:sz w:val="21"/>
          <w:szCs w:val="24"/>
        </w:rPr>
      </w:pPr>
      <w:r>
        <w:rPr>
          <w:rFonts w:eastAsia="仿宋_GB2312"/>
          <w:color w:val="000000"/>
        </w:rPr>
        <w:t>14</w:t>
      </w:r>
      <w:r>
        <w:rPr>
          <w:rFonts w:hint="eastAsia" w:eastAsia="仿宋_GB2312"/>
          <w:color w:val="000000"/>
        </w:rPr>
        <w:t>、结论</w:t>
      </w:r>
      <w:r>
        <w:rPr>
          <w:color w:val="000000"/>
        </w:rPr>
        <w:tab/>
      </w:r>
      <w:r>
        <w:rPr>
          <w:color w:val="000000"/>
        </w:rPr>
        <w:fldChar w:fldCharType="begin"/>
      </w:r>
      <w:r>
        <w:rPr>
          <w:color w:val="000000"/>
        </w:rPr>
        <w:instrText xml:space="preserve"> PAGEREF _Toc495500184 \h </w:instrText>
      </w:r>
      <w:r>
        <w:rPr>
          <w:color w:val="000000"/>
        </w:rPr>
        <w:fldChar w:fldCharType="separate"/>
      </w:r>
      <w:r>
        <w:rPr>
          <w:color w:val="000000"/>
        </w:rPr>
        <w:t>141</w:t>
      </w:r>
      <w:r>
        <w:rPr>
          <w:color w:val="000000"/>
        </w:rPr>
        <w:fldChar w:fldCharType="end"/>
      </w:r>
    </w:p>
    <w:p w14:paraId="52E6D239">
      <w:pPr>
        <w:pStyle w:val="214"/>
        <w:tabs>
          <w:tab w:val="right" w:leader="dot" w:pos="8296"/>
        </w:tabs>
        <w:rPr>
          <w:smallCaps w:val="0"/>
          <w:color w:val="000000"/>
          <w:sz w:val="21"/>
          <w:szCs w:val="24"/>
        </w:rPr>
      </w:pPr>
      <w:r>
        <w:rPr>
          <w:rFonts w:eastAsia="仿宋_GB2312"/>
          <w:color w:val="000000"/>
        </w:rPr>
        <w:t>14.1</w:t>
      </w:r>
      <w:r>
        <w:rPr>
          <w:rFonts w:hint="eastAsia" w:eastAsia="仿宋_GB2312"/>
          <w:color w:val="000000"/>
        </w:rPr>
        <w:t>评价区域的环境质量现状</w:t>
      </w:r>
      <w:r>
        <w:rPr>
          <w:color w:val="000000"/>
        </w:rPr>
        <w:tab/>
      </w:r>
      <w:r>
        <w:rPr>
          <w:color w:val="000000"/>
        </w:rPr>
        <w:fldChar w:fldCharType="begin"/>
      </w:r>
      <w:r>
        <w:rPr>
          <w:color w:val="000000"/>
        </w:rPr>
        <w:instrText xml:space="preserve"> PAGEREF _Toc495500185 \h </w:instrText>
      </w:r>
      <w:r>
        <w:rPr>
          <w:color w:val="000000"/>
        </w:rPr>
        <w:fldChar w:fldCharType="separate"/>
      </w:r>
      <w:r>
        <w:rPr>
          <w:color w:val="000000"/>
        </w:rPr>
        <w:t>141</w:t>
      </w:r>
      <w:r>
        <w:rPr>
          <w:color w:val="000000"/>
        </w:rPr>
        <w:fldChar w:fldCharType="end"/>
      </w:r>
    </w:p>
    <w:p w14:paraId="3EED8A23">
      <w:pPr>
        <w:pStyle w:val="214"/>
        <w:tabs>
          <w:tab w:val="right" w:leader="dot" w:pos="8296"/>
        </w:tabs>
        <w:rPr>
          <w:smallCaps w:val="0"/>
          <w:color w:val="000000"/>
          <w:sz w:val="21"/>
          <w:szCs w:val="24"/>
        </w:rPr>
      </w:pPr>
      <w:r>
        <w:rPr>
          <w:rFonts w:eastAsia="仿宋_GB2312"/>
          <w:color w:val="000000"/>
        </w:rPr>
        <w:t>14.2</w:t>
      </w:r>
      <w:r>
        <w:rPr>
          <w:rFonts w:hint="eastAsia" w:eastAsia="仿宋_GB2312"/>
          <w:color w:val="000000"/>
        </w:rPr>
        <w:t>建设项目环境影响分析</w:t>
      </w:r>
      <w:r>
        <w:rPr>
          <w:color w:val="000000"/>
        </w:rPr>
        <w:tab/>
      </w:r>
      <w:r>
        <w:rPr>
          <w:color w:val="000000"/>
        </w:rPr>
        <w:fldChar w:fldCharType="begin"/>
      </w:r>
      <w:r>
        <w:rPr>
          <w:color w:val="000000"/>
        </w:rPr>
        <w:instrText xml:space="preserve"> PAGEREF _Toc495500186 \h </w:instrText>
      </w:r>
      <w:r>
        <w:rPr>
          <w:color w:val="000000"/>
        </w:rPr>
        <w:fldChar w:fldCharType="separate"/>
      </w:r>
      <w:r>
        <w:rPr>
          <w:color w:val="000000"/>
        </w:rPr>
        <w:t>141</w:t>
      </w:r>
      <w:r>
        <w:rPr>
          <w:color w:val="000000"/>
        </w:rPr>
        <w:fldChar w:fldCharType="end"/>
      </w:r>
    </w:p>
    <w:p w14:paraId="7FCAFC90">
      <w:pPr>
        <w:pStyle w:val="200"/>
        <w:tabs>
          <w:tab w:val="right" w:leader="dot" w:pos="8296"/>
        </w:tabs>
        <w:rPr>
          <w:i w:val="0"/>
          <w:color w:val="000000"/>
          <w:sz w:val="21"/>
          <w:szCs w:val="24"/>
        </w:rPr>
      </w:pPr>
      <w:r>
        <w:rPr>
          <w:rFonts w:eastAsia="仿宋_GB2312"/>
          <w:color w:val="000000"/>
        </w:rPr>
        <w:t xml:space="preserve">14.2.1 </w:t>
      </w:r>
      <w:r>
        <w:rPr>
          <w:rFonts w:hint="eastAsia" w:eastAsia="仿宋_GB2312"/>
          <w:color w:val="000000"/>
        </w:rPr>
        <w:t>施工期环境影响分析</w:t>
      </w:r>
      <w:r>
        <w:rPr>
          <w:color w:val="000000"/>
        </w:rPr>
        <w:tab/>
      </w:r>
      <w:r>
        <w:rPr>
          <w:color w:val="000000"/>
        </w:rPr>
        <w:fldChar w:fldCharType="begin"/>
      </w:r>
      <w:r>
        <w:rPr>
          <w:color w:val="000000"/>
        </w:rPr>
        <w:instrText xml:space="preserve"> PAGEREF _Toc495500187 \h </w:instrText>
      </w:r>
      <w:r>
        <w:rPr>
          <w:color w:val="000000"/>
        </w:rPr>
        <w:fldChar w:fldCharType="separate"/>
      </w:r>
      <w:r>
        <w:rPr>
          <w:color w:val="000000"/>
        </w:rPr>
        <w:t>141</w:t>
      </w:r>
      <w:r>
        <w:rPr>
          <w:color w:val="000000"/>
        </w:rPr>
        <w:fldChar w:fldCharType="end"/>
      </w:r>
    </w:p>
    <w:p w14:paraId="717DABAE">
      <w:pPr>
        <w:pStyle w:val="200"/>
        <w:tabs>
          <w:tab w:val="right" w:leader="dot" w:pos="8296"/>
        </w:tabs>
        <w:rPr>
          <w:i w:val="0"/>
          <w:color w:val="000000"/>
          <w:sz w:val="21"/>
          <w:szCs w:val="24"/>
        </w:rPr>
      </w:pPr>
      <w:r>
        <w:rPr>
          <w:rFonts w:eastAsia="仿宋_GB2312"/>
          <w:color w:val="000000"/>
        </w:rPr>
        <w:t>14.2.2</w:t>
      </w:r>
      <w:r>
        <w:rPr>
          <w:rFonts w:hint="eastAsia" w:eastAsia="仿宋_GB2312"/>
          <w:color w:val="000000"/>
        </w:rPr>
        <w:t>营运期环境影响分析</w:t>
      </w:r>
      <w:r>
        <w:rPr>
          <w:color w:val="000000"/>
        </w:rPr>
        <w:tab/>
      </w:r>
      <w:r>
        <w:rPr>
          <w:color w:val="000000"/>
        </w:rPr>
        <w:fldChar w:fldCharType="begin"/>
      </w:r>
      <w:r>
        <w:rPr>
          <w:color w:val="000000"/>
        </w:rPr>
        <w:instrText xml:space="preserve"> PAGEREF _Toc495500188 \h </w:instrText>
      </w:r>
      <w:r>
        <w:rPr>
          <w:color w:val="000000"/>
        </w:rPr>
        <w:fldChar w:fldCharType="separate"/>
      </w:r>
      <w:r>
        <w:rPr>
          <w:color w:val="000000"/>
        </w:rPr>
        <w:t>143</w:t>
      </w:r>
      <w:r>
        <w:rPr>
          <w:color w:val="000000"/>
        </w:rPr>
        <w:fldChar w:fldCharType="end"/>
      </w:r>
    </w:p>
    <w:p w14:paraId="7646E3EC">
      <w:pPr>
        <w:pStyle w:val="214"/>
        <w:tabs>
          <w:tab w:val="right" w:leader="dot" w:pos="8296"/>
        </w:tabs>
        <w:rPr>
          <w:smallCaps w:val="0"/>
          <w:color w:val="000000"/>
          <w:sz w:val="21"/>
          <w:szCs w:val="24"/>
        </w:rPr>
      </w:pPr>
      <w:r>
        <w:rPr>
          <w:rFonts w:eastAsia="仿宋_GB2312"/>
          <w:color w:val="000000"/>
        </w:rPr>
        <w:t>14.3</w:t>
      </w:r>
      <w:r>
        <w:rPr>
          <w:rFonts w:hint="eastAsia" w:eastAsia="仿宋_GB2312"/>
          <w:color w:val="000000"/>
        </w:rPr>
        <w:t>污染物总量控制结论</w:t>
      </w:r>
      <w:r>
        <w:rPr>
          <w:color w:val="000000"/>
        </w:rPr>
        <w:tab/>
      </w:r>
      <w:r>
        <w:rPr>
          <w:color w:val="000000"/>
        </w:rPr>
        <w:fldChar w:fldCharType="begin"/>
      </w:r>
      <w:r>
        <w:rPr>
          <w:color w:val="000000"/>
        </w:rPr>
        <w:instrText xml:space="preserve"> PAGEREF _Toc495500189 \h </w:instrText>
      </w:r>
      <w:r>
        <w:rPr>
          <w:color w:val="000000"/>
        </w:rPr>
        <w:fldChar w:fldCharType="separate"/>
      </w:r>
      <w:r>
        <w:rPr>
          <w:color w:val="000000"/>
        </w:rPr>
        <w:t>143</w:t>
      </w:r>
      <w:r>
        <w:rPr>
          <w:color w:val="000000"/>
        </w:rPr>
        <w:fldChar w:fldCharType="end"/>
      </w:r>
    </w:p>
    <w:p w14:paraId="51DF6A61">
      <w:pPr>
        <w:pStyle w:val="214"/>
        <w:tabs>
          <w:tab w:val="right" w:leader="dot" w:pos="8296"/>
        </w:tabs>
        <w:rPr>
          <w:smallCaps w:val="0"/>
          <w:color w:val="000000"/>
          <w:sz w:val="21"/>
          <w:szCs w:val="24"/>
        </w:rPr>
      </w:pPr>
      <w:r>
        <w:rPr>
          <w:rFonts w:eastAsia="仿宋_GB2312"/>
          <w:color w:val="000000"/>
        </w:rPr>
        <w:t>14.4</w:t>
      </w:r>
      <w:r>
        <w:rPr>
          <w:rFonts w:hint="eastAsia" w:eastAsia="仿宋_GB2312"/>
          <w:color w:val="000000"/>
        </w:rPr>
        <w:t>产业政策符合性结论</w:t>
      </w:r>
      <w:r>
        <w:rPr>
          <w:color w:val="000000"/>
        </w:rPr>
        <w:tab/>
      </w:r>
      <w:r>
        <w:rPr>
          <w:color w:val="000000"/>
        </w:rPr>
        <w:fldChar w:fldCharType="begin"/>
      </w:r>
      <w:r>
        <w:rPr>
          <w:color w:val="000000"/>
        </w:rPr>
        <w:instrText xml:space="preserve"> PAGEREF _Toc495500190 \h </w:instrText>
      </w:r>
      <w:r>
        <w:rPr>
          <w:color w:val="000000"/>
        </w:rPr>
        <w:fldChar w:fldCharType="separate"/>
      </w:r>
      <w:r>
        <w:rPr>
          <w:color w:val="000000"/>
        </w:rPr>
        <w:t>144</w:t>
      </w:r>
      <w:r>
        <w:rPr>
          <w:color w:val="000000"/>
        </w:rPr>
        <w:fldChar w:fldCharType="end"/>
      </w:r>
    </w:p>
    <w:p w14:paraId="5B5E1F5B">
      <w:pPr>
        <w:pStyle w:val="214"/>
        <w:tabs>
          <w:tab w:val="right" w:leader="dot" w:pos="8296"/>
        </w:tabs>
        <w:rPr>
          <w:smallCaps w:val="0"/>
          <w:color w:val="000000"/>
          <w:sz w:val="21"/>
          <w:szCs w:val="24"/>
        </w:rPr>
      </w:pPr>
      <w:r>
        <w:rPr>
          <w:rFonts w:eastAsia="仿宋_GB2312"/>
          <w:color w:val="000000"/>
        </w:rPr>
        <w:t>14.5</w:t>
      </w:r>
      <w:r>
        <w:rPr>
          <w:rFonts w:hint="eastAsia" w:eastAsia="仿宋_GB2312"/>
          <w:color w:val="000000"/>
        </w:rPr>
        <w:t>环境经济损益分析结论</w:t>
      </w:r>
      <w:r>
        <w:rPr>
          <w:color w:val="000000"/>
        </w:rPr>
        <w:tab/>
      </w:r>
      <w:r>
        <w:rPr>
          <w:color w:val="000000"/>
        </w:rPr>
        <w:fldChar w:fldCharType="begin"/>
      </w:r>
      <w:r>
        <w:rPr>
          <w:color w:val="000000"/>
        </w:rPr>
        <w:instrText xml:space="preserve"> PAGEREF _Toc495500191 \h </w:instrText>
      </w:r>
      <w:r>
        <w:rPr>
          <w:color w:val="000000"/>
        </w:rPr>
        <w:fldChar w:fldCharType="separate"/>
      </w:r>
      <w:r>
        <w:rPr>
          <w:color w:val="000000"/>
        </w:rPr>
        <w:t>144</w:t>
      </w:r>
      <w:r>
        <w:rPr>
          <w:color w:val="000000"/>
        </w:rPr>
        <w:fldChar w:fldCharType="end"/>
      </w:r>
    </w:p>
    <w:p w14:paraId="2A4F5FCF">
      <w:pPr>
        <w:pStyle w:val="214"/>
        <w:tabs>
          <w:tab w:val="right" w:leader="dot" w:pos="8296"/>
        </w:tabs>
        <w:rPr>
          <w:smallCaps w:val="0"/>
          <w:color w:val="000000"/>
          <w:sz w:val="21"/>
          <w:szCs w:val="24"/>
        </w:rPr>
      </w:pPr>
      <w:r>
        <w:rPr>
          <w:rFonts w:eastAsia="仿宋_GB2312"/>
          <w:color w:val="000000"/>
        </w:rPr>
        <w:t>14.6</w:t>
      </w:r>
      <w:r>
        <w:rPr>
          <w:rFonts w:hint="eastAsia" w:eastAsia="仿宋_GB2312"/>
          <w:color w:val="000000"/>
        </w:rPr>
        <w:t>公众参与调查结论</w:t>
      </w:r>
      <w:r>
        <w:rPr>
          <w:color w:val="000000"/>
        </w:rPr>
        <w:tab/>
      </w:r>
      <w:r>
        <w:rPr>
          <w:color w:val="000000"/>
        </w:rPr>
        <w:fldChar w:fldCharType="begin"/>
      </w:r>
      <w:r>
        <w:rPr>
          <w:color w:val="000000"/>
        </w:rPr>
        <w:instrText xml:space="preserve"> PAGEREF _Toc495500192 \h </w:instrText>
      </w:r>
      <w:r>
        <w:rPr>
          <w:color w:val="000000"/>
        </w:rPr>
        <w:fldChar w:fldCharType="separate"/>
      </w:r>
      <w:r>
        <w:rPr>
          <w:color w:val="000000"/>
        </w:rPr>
        <w:t>144</w:t>
      </w:r>
      <w:r>
        <w:rPr>
          <w:color w:val="000000"/>
        </w:rPr>
        <w:fldChar w:fldCharType="end"/>
      </w:r>
    </w:p>
    <w:p w14:paraId="0A3D00FF">
      <w:pPr>
        <w:pStyle w:val="214"/>
        <w:tabs>
          <w:tab w:val="right" w:leader="dot" w:pos="8296"/>
        </w:tabs>
        <w:rPr>
          <w:smallCaps w:val="0"/>
          <w:color w:val="000000"/>
          <w:sz w:val="21"/>
          <w:szCs w:val="24"/>
        </w:rPr>
      </w:pPr>
      <w:r>
        <w:rPr>
          <w:rFonts w:eastAsia="仿宋_GB2312"/>
          <w:color w:val="000000"/>
        </w:rPr>
        <w:t>14.7</w:t>
      </w:r>
      <w:r>
        <w:rPr>
          <w:rFonts w:hint="eastAsia" w:eastAsia="仿宋_GB2312"/>
          <w:color w:val="000000"/>
        </w:rPr>
        <w:t>总结论</w:t>
      </w:r>
      <w:r>
        <w:rPr>
          <w:color w:val="000000"/>
        </w:rPr>
        <w:tab/>
      </w:r>
      <w:r>
        <w:rPr>
          <w:color w:val="000000"/>
        </w:rPr>
        <w:fldChar w:fldCharType="begin"/>
      </w:r>
      <w:r>
        <w:rPr>
          <w:color w:val="000000"/>
        </w:rPr>
        <w:instrText xml:space="preserve"> PAGEREF _Toc495500193 \h </w:instrText>
      </w:r>
      <w:r>
        <w:rPr>
          <w:color w:val="000000"/>
        </w:rPr>
        <w:fldChar w:fldCharType="separate"/>
      </w:r>
      <w:r>
        <w:rPr>
          <w:color w:val="000000"/>
        </w:rPr>
        <w:t>145</w:t>
      </w:r>
      <w:r>
        <w:rPr>
          <w:color w:val="000000"/>
        </w:rPr>
        <w:fldChar w:fldCharType="end"/>
      </w:r>
    </w:p>
    <w:p w14:paraId="2F68FC12">
      <w:pPr>
        <w:rPr>
          <w:color w:val="000000"/>
          <w:sz w:val="30"/>
          <w:szCs w:val="30"/>
        </w:rPr>
      </w:pPr>
      <w:r>
        <w:rPr>
          <w:smallCaps/>
          <w:color w:val="000000"/>
        </w:rPr>
        <w:fldChar w:fldCharType="end"/>
      </w:r>
    </w:p>
    <w:p w14:paraId="5C69EE3B">
      <w:pPr>
        <w:rPr>
          <w:color w:val="000000"/>
          <w:sz w:val="30"/>
          <w:szCs w:val="30"/>
        </w:rPr>
      </w:pPr>
    </w:p>
    <w:p w14:paraId="18AF3110">
      <w:pPr>
        <w:rPr>
          <w:color w:val="000000"/>
          <w:sz w:val="30"/>
          <w:szCs w:val="30"/>
        </w:rPr>
      </w:pPr>
    </w:p>
    <w:p w14:paraId="6CCA25EE">
      <w:pPr>
        <w:rPr>
          <w:color w:val="000000"/>
          <w:sz w:val="30"/>
          <w:szCs w:val="30"/>
        </w:rPr>
      </w:pPr>
    </w:p>
    <w:p w14:paraId="627519AE">
      <w:pPr>
        <w:rPr>
          <w:color w:val="000000"/>
          <w:sz w:val="30"/>
          <w:szCs w:val="30"/>
        </w:rPr>
      </w:pPr>
    </w:p>
    <w:p w14:paraId="7EA6448E">
      <w:pPr>
        <w:rPr>
          <w:color w:val="000000"/>
          <w:sz w:val="30"/>
          <w:szCs w:val="30"/>
        </w:rPr>
      </w:pPr>
    </w:p>
    <w:p w14:paraId="17AC8EA2">
      <w:pPr>
        <w:rPr>
          <w:color w:val="000000"/>
          <w:sz w:val="30"/>
          <w:szCs w:val="30"/>
        </w:rPr>
      </w:pPr>
    </w:p>
    <w:p w14:paraId="386BD437">
      <w:pPr>
        <w:rPr>
          <w:color w:val="000000"/>
          <w:sz w:val="30"/>
          <w:szCs w:val="30"/>
        </w:rPr>
      </w:pPr>
    </w:p>
    <w:p w14:paraId="35C5E106">
      <w:pPr>
        <w:rPr>
          <w:color w:val="000000"/>
          <w:sz w:val="30"/>
          <w:szCs w:val="30"/>
        </w:rPr>
      </w:pPr>
    </w:p>
    <w:p w14:paraId="1A47A730">
      <w:pPr>
        <w:rPr>
          <w:color w:val="000000"/>
          <w:sz w:val="30"/>
          <w:szCs w:val="30"/>
        </w:rPr>
      </w:pPr>
    </w:p>
    <w:p w14:paraId="54209762">
      <w:pPr>
        <w:rPr>
          <w:rFonts w:hint="eastAsia"/>
          <w:color w:val="000000"/>
          <w:sz w:val="30"/>
          <w:szCs w:val="30"/>
        </w:rPr>
      </w:pPr>
    </w:p>
    <w:p w14:paraId="5653D572">
      <w:pPr>
        <w:rPr>
          <w:rFonts w:hint="eastAsia"/>
          <w:color w:val="000000"/>
          <w:sz w:val="30"/>
          <w:szCs w:val="30"/>
        </w:rPr>
      </w:pPr>
    </w:p>
    <w:p w14:paraId="4A6313E4">
      <w:pPr>
        <w:rPr>
          <w:rFonts w:hint="eastAsia"/>
          <w:color w:val="000000"/>
          <w:sz w:val="30"/>
          <w:szCs w:val="30"/>
        </w:rPr>
      </w:pPr>
    </w:p>
    <w:p w14:paraId="4011DD2F">
      <w:pPr>
        <w:rPr>
          <w:rFonts w:hint="eastAsia"/>
          <w:color w:val="000000"/>
          <w:sz w:val="30"/>
          <w:szCs w:val="30"/>
        </w:rPr>
      </w:pPr>
    </w:p>
    <w:p w14:paraId="57E5DC5B">
      <w:pPr>
        <w:rPr>
          <w:rFonts w:hint="eastAsia"/>
          <w:color w:val="000000"/>
          <w:sz w:val="30"/>
          <w:szCs w:val="30"/>
        </w:rPr>
      </w:pPr>
    </w:p>
    <w:p w14:paraId="39533A51">
      <w:pPr>
        <w:spacing w:line="300" w:lineRule="auto"/>
        <w:rPr>
          <w:rFonts w:eastAsia="黑体"/>
          <w:color w:val="000000"/>
          <w:sz w:val="24"/>
        </w:rPr>
      </w:pPr>
      <w:r>
        <w:rPr>
          <w:rFonts w:eastAsia="黑体"/>
          <w:color w:val="000000"/>
          <w:sz w:val="24"/>
        </w:rPr>
        <w:t>附件</w:t>
      </w:r>
    </w:p>
    <w:p w14:paraId="1843B0D7">
      <w:pPr>
        <w:spacing w:line="360" w:lineRule="auto"/>
        <w:ind w:firstLine="480"/>
        <w:rPr>
          <w:color w:val="000000"/>
          <w:sz w:val="24"/>
        </w:rPr>
      </w:pPr>
      <w:r>
        <w:rPr>
          <w:color w:val="000000"/>
          <w:sz w:val="24"/>
        </w:rPr>
        <w:t>附件1、建设项目环境保护审批登记表；</w:t>
      </w:r>
    </w:p>
    <w:p w14:paraId="47C6C06F">
      <w:pPr>
        <w:spacing w:line="360" w:lineRule="auto"/>
        <w:ind w:firstLine="480"/>
        <w:rPr>
          <w:color w:val="000000"/>
          <w:sz w:val="24"/>
        </w:rPr>
      </w:pPr>
      <w:r>
        <w:rPr>
          <w:color w:val="000000"/>
          <w:sz w:val="24"/>
        </w:rPr>
        <w:t>附件2、建设单位环境影响评价委托书；</w:t>
      </w:r>
    </w:p>
    <w:p w14:paraId="63CE8E10">
      <w:pPr>
        <w:spacing w:line="360" w:lineRule="auto"/>
        <w:ind w:firstLine="480"/>
        <w:rPr>
          <w:rFonts w:hint="eastAsia"/>
          <w:color w:val="000000"/>
          <w:sz w:val="24"/>
        </w:rPr>
      </w:pPr>
      <w:r>
        <w:rPr>
          <w:color w:val="000000"/>
          <w:sz w:val="24"/>
        </w:rPr>
        <w:t>附件3、</w:t>
      </w:r>
      <w:r>
        <w:rPr>
          <w:rFonts w:hint="eastAsia"/>
          <w:color w:val="000000"/>
          <w:sz w:val="24"/>
        </w:rPr>
        <w:t>芒市发展和改革局关于对芒市妇幼保健院迁建项目的批复，芒发改字【2016】278号；</w:t>
      </w:r>
    </w:p>
    <w:p w14:paraId="22B8669E">
      <w:pPr>
        <w:spacing w:line="360" w:lineRule="auto"/>
        <w:ind w:firstLine="480"/>
        <w:rPr>
          <w:rFonts w:hint="eastAsia"/>
          <w:color w:val="000000"/>
          <w:sz w:val="24"/>
        </w:rPr>
      </w:pPr>
      <w:r>
        <w:rPr>
          <w:rFonts w:hint="eastAsia"/>
          <w:color w:val="000000"/>
          <w:sz w:val="24"/>
        </w:rPr>
        <w:t>附件4、芒市发展和改革局关于对芒市妇幼保健院迁建项目建议书的批复，芒发改字【2017】104号；</w:t>
      </w:r>
    </w:p>
    <w:p w14:paraId="7149D96E">
      <w:pPr>
        <w:spacing w:line="360" w:lineRule="auto"/>
        <w:ind w:firstLine="480"/>
        <w:rPr>
          <w:rFonts w:hint="eastAsia"/>
          <w:color w:val="000000"/>
          <w:sz w:val="24"/>
        </w:rPr>
      </w:pPr>
      <w:r>
        <w:rPr>
          <w:rFonts w:hint="eastAsia"/>
          <w:color w:val="000000"/>
          <w:sz w:val="24"/>
        </w:rPr>
        <w:t>附件5、芒市发展和改革局关于对芒市妇幼保健院迁建项目可行性研究报告的批复，芒发改字【2017】84号；</w:t>
      </w:r>
    </w:p>
    <w:p w14:paraId="5EAFB9C6">
      <w:pPr>
        <w:spacing w:line="360" w:lineRule="auto"/>
        <w:ind w:firstLine="480"/>
        <w:rPr>
          <w:rFonts w:hint="eastAsia"/>
          <w:color w:val="000000"/>
          <w:sz w:val="24"/>
        </w:rPr>
      </w:pPr>
      <w:r>
        <w:rPr>
          <w:rFonts w:hint="eastAsia"/>
          <w:color w:val="000000"/>
          <w:sz w:val="24"/>
        </w:rPr>
        <w:t>附件6、德宏州卫生和计划生育委员会关于芒市妇幼保健计划生育服务中心增加病床编制的批复，德卫计复【2017】4号；</w:t>
      </w:r>
    </w:p>
    <w:p w14:paraId="5151B90A">
      <w:pPr>
        <w:spacing w:line="360" w:lineRule="auto"/>
        <w:ind w:firstLine="480"/>
        <w:rPr>
          <w:rFonts w:hint="eastAsia"/>
          <w:color w:val="000000"/>
          <w:sz w:val="24"/>
        </w:rPr>
      </w:pPr>
      <w:r>
        <w:rPr>
          <w:rFonts w:hint="eastAsia"/>
          <w:color w:val="000000"/>
          <w:sz w:val="24"/>
        </w:rPr>
        <w:t>附件7、建设项目选址意见书，选字第533103201600027号；</w:t>
      </w:r>
    </w:p>
    <w:p w14:paraId="1D3F6CCD">
      <w:pPr>
        <w:spacing w:line="360" w:lineRule="auto"/>
        <w:ind w:firstLine="480"/>
        <w:rPr>
          <w:rFonts w:hint="eastAsia"/>
          <w:color w:val="000000"/>
          <w:sz w:val="24"/>
        </w:rPr>
      </w:pPr>
      <w:r>
        <w:rPr>
          <w:rFonts w:hint="eastAsia"/>
          <w:color w:val="000000"/>
          <w:sz w:val="24"/>
        </w:rPr>
        <w:t>附件8、项目土地使用证，芒国用（2015）第0002936号；</w:t>
      </w:r>
    </w:p>
    <w:p w14:paraId="21E13CE1">
      <w:pPr>
        <w:spacing w:line="360" w:lineRule="auto"/>
        <w:ind w:firstLine="480"/>
        <w:rPr>
          <w:rFonts w:hint="eastAsia"/>
          <w:color w:val="000000"/>
          <w:sz w:val="24"/>
        </w:rPr>
      </w:pPr>
      <w:r>
        <w:rPr>
          <w:rFonts w:hint="eastAsia"/>
          <w:color w:val="000000"/>
          <w:sz w:val="24"/>
        </w:rPr>
        <w:t>附件9、建工程规划许可证，建字第S533103201600076号；</w:t>
      </w:r>
    </w:p>
    <w:p w14:paraId="769C3F2F">
      <w:pPr>
        <w:spacing w:line="360" w:lineRule="auto"/>
        <w:ind w:firstLine="480"/>
        <w:rPr>
          <w:rFonts w:hint="eastAsia"/>
          <w:color w:val="000000"/>
          <w:sz w:val="24"/>
        </w:rPr>
      </w:pPr>
      <w:r>
        <w:rPr>
          <w:rFonts w:hint="eastAsia"/>
          <w:color w:val="000000"/>
          <w:sz w:val="24"/>
        </w:rPr>
        <w:t>附件10、建设单位变更说明；</w:t>
      </w:r>
    </w:p>
    <w:p w14:paraId="3B63FB57">
      <w:pPr>
        <w:spacing w:line="360" w:lineRule="auto"/>
        <w:ind w:firstLine="480"/>
        <w:rPr>
          <w:rFonts w:hint="eastAsia"/>
          <w:color w:val="000000"/>
          <w:sz w:val="24"/>
        </w:rPr>
      </w:pPr>
      <w:r>
        <w:rPr>
          <w:rFonts w:hint="eastAsia"/>
          <w:color w:val="000000"/>
          <w:sz w:val="24"/>
        </w:rPr>
        <w:t>附件11、引用监测资料；</w:t>
      </w:r>
    </w:p>
    <w:p w14:paraId="1FEBACCF">
      <w:pPr>
        <w:spacing w:line="360" w:lineRule="auto"/>
        <w:ind w:firstLine="480"/>
        <w:rPr>
          <w:rFonts w:hint="eastAsia"/>
          <w:color w:val="000000"/>
          <w:sz w:val="24"/>
        </w:rPr>
      </w:pPr>
      <w:r>
        <w:rPr>
          <w:rFonts w:hint="eastAsia"/>
          <w:color w:val="000000"/>
          <w:sz w:val="24"/>
        </w:rPr>
        <w:t>附件12、项目环境现状监测；</w:t>
      </w:r>
    </w:p>
    <w:p w14:paraId="67DB903E">
      <w:pPr>
        <w:spacing w:line="360" w:lineRule="auto"/>
        <w:ind w:firstLine="480"/>
        <w:rPr>
          <w:rFonts w:hint="eastAsia"/>
          <w:color w:val="000000"/>
          <w:sz w:val="24"/>
        </w:rPr>
      </w:pPr>
      <w:r>
        <w:rPr>
          <w:rFonts w:hint="eastAsia"/>
          <w:color w:val="000000"/>
          <w:sz w:val="24"/>
        </w:rPr>
        <w:t>附件13、芒市环境保护局关于芒市妇幼保健院迁建项目环境影响评价执行标准确认的函，芒环函【2017】64号；</w:t>
      </w:r>
    </w:p>
    <w:p w14:paraId="7B3D3851">
      <w:pPr>
        <w:spacing w:line="360" w:lineRule="auto"/>
        <w:ind w:firstLine="480"/>
        <w:rPr>
          <w:rFonts w:hint="eastAsia"/>
          <w:color w:val="000000"/>
          <w:sz w:val="24"/>
        </w:rPr>
      </w:pPr>
      <w:r>
        <w:rPr>
          <w:rFonts w:hint="eastAsia"/>
          <w:color w:val="000000"/>
          <w:sz w:val="24"/>
        </w:rPr>
        <w:t>附件14、项目</w:t>
      </w:r>
      <w:r>
        <w:rPr>
          <w:color w:val="000000"/>
          <w:sz w:val="24"/>
        </w:rPr>
        <w:t>环境影响评价技术服务合同；</w:t>
      </w:r>
    </w:p>
    <w:p w14:paraId="60EAAA0E">
      <w:pPr>
        <w:spacing w:line="360" w:lineRule="auto"/>
        <w:ind w:firstLine="480"/>
        <w:rPr>
          <w:rFonts w:hint="eastAsia"/>
          <w:color w:val="000000"/>
          <w:sz w:val="24"/>
        </w:rPr>
      </w:pPr>
      <w:r>
        <w:rPr>
          <w:rFonts w:hint="eastAsia"/>
          <w:color w:val="000000"/>
          <w:sz w:val="24"/>
        </w:rPr>
        <w:t>附件15、</w:t>
      </w:r>
      <w:r>
        <w:rPr>
          <w:color w:val="000000"/>
          <w:sz w:val="24"/>
        </w:rPr>
        <w:t>项目流程控制单</w:t>
      </w:r>
      <w:r>
        <w:rPr>
          <w:rFonts w:hint="eastAsia"/>
          <w:color w:val="000000"/>
          <w:sz w:val="24"/>
        </w:rPr>
        <w:t>；</w:t>
      </w:r>
    </w:p>
    <w:p w14:paraId="47D7EDD3">
      <w:pPr>
        <w:spacing w:line="360" w:lineRule="auto"/>
        <w:ind w:firstLine="480"/>
        <w:rPr>
          <w:rFonts w:hint="eastAsia"/>
          <w:color w:val="000000"/>
          <w:sz w:val="24"/>
        </w:rPr>
      </w:pPr>
      <w:r>
        <w:rPr>
          <w:rFonts w:hint="eastAsia"/>
          <w:color w:val="000000"/>
          <w:sz w:val="24"/>
        </w:rPr>
        <w:t>附件16、会议纪要；</w:t>
      </w:r>
    </w:p>
    <w:p w14:paraId="54E34556">
      <w:pPr>
        <w:spacing w:line="360" w:lineRule="auto"/>
        <w:ind w:firstLine="480"/>
        <w:rPr>
          <w:rFonts w:hint="eastAsia"/>
          <w:color w:val="000000"/>
          <w:sz w:val="24"/>
        </w:rPr>
      </w:pPr>
      <w:r>
        <w:rPr>
          <w:rFonts w:hint="eastAsia"/>
          <w:color w:val="000000"/>
          <w:sz w:val="24"/>
        </w:rPr>
        <w:t>附件17、修改清单。</w:t>
      </w:r>
    </w:p>
    <w:p w14:paraId="7BBC68FC">
      <w:pPr>
        <w:rPr>
          <w:rFonts w:eastAsia="仿宋_GB2312"/>
          <w:b/>
          <w:color w:val="000000"/>
          <w:sz w:val="32"/>
          <w:szCs w:val="32"/>
        </w:rPr>
      </w:pPr>
    </w:p>
    <w:p w14:paraId="13D78D2B">
      <w:pPr>
        <w:spacing w:line="300" w:lineRule="auto"/>
        <w:rPr>
          <w:rFonts w:eastAsia="黑体"/>
          <w:color w:val="000000"/>
          <w:sz w:val="24"/>
        </w:rPr>
      </w:pPr>
      <w:r>
        <w:rPr>
          <w:rFonts w:eastAsia="黑体"/>
          <w:color w:val="000000"/>
          <w:sz w:val="24"/>
        </w:rPr>
        <w:t>附图</w:t>
      </w:r>
    </w:p>
    <w:p w14:paraId="1AB727D8">
      <w:pPr>
        <w:spacing w:line="360" w:lineRule="auto"/>
        <w:ind w:firstLine="480"/>
        <w:rPr>
          <w:rFonts w:hint="eastAsia"/>
          <w:color w:val="000000"/>
          <w:sz w:val="24"/>
        </w:rPr>
      </w:pPr>
      <w:r>
        <w:rPr>
          <w:color w:val="000000"/>
          <w:sz w:val="24"/>
        </w:rPr>
        <w:t>附图1、项目地理位置图；</w:t>
      </w:r>
    </w:p>
    <w:p w14:paraId="0AB527EB">
      <w:pPr>
        <w:spacing w:line="360" w:lineRule="auto"/>
        <w:ind w:firstLine="480"/>
        <w:rPr>
          <w:rFonts w:hint="eastAsia"/>
          <w:color w:val="000000"/>
          <w:sz w:val="24"/>
        </w:rPr>
      </w:pPr>
      <w:r>
        <w:rPr>
          <w:color w:val="000000"/>
          <w:sz w:val="24"/>
        </w:rPr>
        <w:t>附图2、项目总平面图；</w:t>
      </w:r>
    </w:p>
    <w:p w14:paraId="0DC9D71E">
      <w:pPr>
        <w:spacing w:line="360" w:lineRule="auto"/>
        <w:ind w:firstLine="480"/>
        <w:rPr>
          <w:rFonts w:hint="eastAsia"/>
          <w:color w:val="000000"/>
          <w:sz w:val="24"/>
        </w:rPr>
      </w:pPr>
      <w:r>
        <w:rPr>
          <w:color w:val="000000"/>
          <w:sz w:val="24"/>
        </w:rPr>
        <w:t>附图3、项目周边关系</w:t>
      </w:r>
      <w:r>
        <w:rPr>
          <w:rFonts w:hint="eastAsia"/>
          <w:color w:val="000000"/>
          <w:sz w:val="24"/>
        </w:rPr>
        <w:t>及</w:t>
      </w:r>
      <w:r>
        <w:rPr>
          <w:color w:val="000000"/>
          <w:sz w:val="24"/>
        </w:rPr>
        <w:t>评价范围图；</w:t>
      </w:r>
    </w:p>
    <w:p w14:paraId="200DE372">
      <w:pPr>
        <w:spacing w:line="360" w:lineRule="auto"/>
        <w:ind w:firstLine="480"/>
        <w:rPr>
          <w:rFonts w:hint="eastAsia"/>
          <w:color w:val="000000"/>
          <w:sz w:val="24"/>
        </w:rPr>
        <w:sectPr>
          <w:footerReference r:id="rId6" w:type="first"/>
          <w:headerReference r:id="rId3" w:type="default"/>
          <w:footerReference r:id="rId4" w:type="default"/>
          <w:footerReference r:id="rId5" w:type="even"/>
          <w:pgSz w:w="11906" w:h="16838" w:orient="landscape"/>
          <w:pgMar w:top="1440" w:right="1800" w:bottom="1440" w:left="1800" w:header="851" w:footer="992" w:gutter="0"/>
          <w:pgNumType w:start="1"/>
          <w:cols w:space="1701" w:num="1"/>
        </w:sectPr>
      </w:pPr>
      <w:r>
        <w:rPr>
          <w:color w:val="000000"/>
          <w:sz w:val="24"/>
        </w:rPr>
        <w:t>附图4、项目区水系图</w:t>
      </w:r>
      <w:r>
        <w:rPr>
          <w:rFonts w:hint="eastAsia"/>
          <w:color w:val="000000"/>
          <w:sz w:val="24"/>
        </w:rPr>
        <w:t>。</w:t>
      </w:r>
    </w:p>
    <w:p w14:paraId="02A6C922">
      <w:pPr>
        <w:pStyle w:val="181"/>
        <w:spacing w:before="120" w:after="120"/>
        <w:jc w:val="center"/>
        <w:rPr>
          <w:rFonts w:cs="宋体"/>
          <w:color w:val="000000"/>
          <w:sz w:val="30"/>
          <w:szCs w:val="30"/>
        </w:rPr>
      </w:pPr>
      <w:bookmarkStart w:id="1" w:name="_Toc189209392"/>
      <w:bookmarkEnd w:id="1"/>
      <w:bookmarkStart w:id="2" w:name="_Toc216148584"/>
      <w:bookmarkEnd w:id="2"/>
      <w:bookmarkStart w:id="3" w:name="_Toc410119289"/>
      <w:bookmarkEnd w:id="3"/>
      <w:bookmarkStart w:id="4" w:name="_Toc423439869"/>
      <w:bookmarkEnd w:id="4"/>
      <w:bookmarkStart w:id="5" w:name="_Toc217711297"/>
      <w:bookmarkEnd w:id="5"/>
      <w:bookmarkStart w:id="6" w:name="_Toc495500015"/>
      <w:r>
        <w:rPr>
          <w:rFonts w:cs="宋体"/>
          <w:color w:val="000000"/>
          <w:sz w:val="30"/>
          <w:szCs w:val="30"/>
        </w:rPr>
        <w:t>前 言</w:t>
      </w:r>
      <w:bookmarkEnd w:id="6"/>
    </w:p>
    <w:p w14:paraId="5ED6D2C7">
      <w:pPr>
        <w:spacing w:line="360" w:lineRule="auto"/>
        <w:ind w:firstLine="480"/>
        <w:rPr>
          <w:color w:val="000000"/>
          <w:sz w:val="24"/>
        </w:rPr>
      </w:pPr>
      <w:r>
        <w:rPr>
          <w:color w:val="000000"/>
          <w:sz w:val="24"/>
        </w:rPr>
        <w:t>芒市妇幼保健院肩负着全市妇女、儿童的预防保健、妇幼卫生宣传、基层妇幼卫生人员业务培训、妇女儿童疾病住院诊治及预防艾滋病母婴阻断等工作，同时辐射缅甸地区及龙陵县部分乡镇，是保障妇女儿童健康、维护社会稳定、密切联系群众的窗口和纽带。</w:t>
      </w:r>
    </w:p>
    <w:p w14:paraId="17E4EB9E">
      <w:pPr>
        <w:spacing w:line="360" w:lineRule="auto"/>
        <w:ind w:firstLine="480"/>
        <w:rPr>
          <w:rFonts w:cs="宋体"/>
          <w:color w:val="000000"/>
          <w:sz w:val="24"/>
        </w:rPr>
      </w:pPr>
      <w:r>
        <w:rPr>
          <w:color w:val="000000"/>
          <w:sz w:val="24"/>
        </w:rPr>
        <w:t>近年来随着芒市的经济和社会持续快速发展，人民生活水平的显著提高。但现有芒市妇幼保健院</w:t>
      </w:r>
      <w:r>
        <w:rPr>
          <w:rFonts w:cs="宋体"/>
          <w:color w:val="000000"/>
          <w:sz w:val="24"/>
        </w:rPr>
        <w:t>目前受占地较小、业务用房和设备严重不足、危房比例高、服务条件简陋、就诊环境拥挤等客观条件的限制，严重阻碍了妇幼保健服务的发展，与芒市人民群众的医疗和健康对需求增长快、需求量大，供需矛盾突出，服务条件亟待改善</w:t>
      </w:r>
      <w:r>
        <w:rPr>
          <w:rFonts w:hint="eastAsia" w:cs="宋体"/>
          <w:color w:val="000000"/>
          <w:sz w:val="24"/>
        </w:rPr>
        <w:t>不相符</w:t>
      </w:r>
      <w:r>
        <w:rPr>
          <w:rFonts w:cs="宋体"/>
          <w:color w:val="000000"/>
          <w:sz w:val="24"/>
        </w:rPr>
        <w:t>。基于目前现状，芒市妇幼保健院选址在芒市机场大道环岛南侧，新建芒市妇幼保健院，该项目的建设有利于提高和改善广大人民群众的医疗卫生服务质量，优化医疗资源布局。有利于当地医疗卫生</w:t>
      </w:r>
      <w:r>
        <w:rPr>
          <w:rFonts w:hint="eastAsia" w:cs="宋体"/>
          <w:color w:val="000000"/>
          <w:sz w:val="24"/>
        </w:rPr>
        <w:t>事业</w:t>
      </w:r>
      <w:r>
        <w:rPr>
          <w:rFonts w:cs="宋体"/>
          <w:color w:val="000000"/>
          <w:sz w:val="24"/>
        </w:rPr>
        <w:t>的发展，带动相关产业的发展，扩大劳动就业。</w:t>
      </w:r>
    </w:p>
    <w:p w14:paraId="4C53CF3C">
      <w:pPr>
        <w:spacing w:line="360" w:lineRule="auto"/>
        <w:ind w:firstLine="480"/>
        <w:rPr>
          <w:color w:val="000000"/>
          <w:sz w:val="24"/>
        </w:rPr>
      </w:pPr>
      <w:r>
        <w:rPr>
          <w:color w:val="000000"/>
          <w:sz w:val="24"/>
        </w:rPr>
        <w:t>芒市妇幼保健院迁建项目，是保障人民群众（妇女儿童）和医护人员生命财产安全，以及为发展芒市医疗卫生事业最为紧迫的任务。</w:t>
      </w:r>
    </w:p>
    <w:p w14:paraId="6FCF55C1">
      <w:pPr>
        <w:spacing w:line="360" w:lineRule="auto"/>
        <w:ind w:firstLine="480"/>
        <w:rPr>
          <w:color w:val="000000"/>
          <w:sz w:val="24"/>
        </w:rPr>
      </w:pPr>
      <w:r>
        <w:rPr>
          <w:color w:val="000000"/>
          <w:sz w:val="24"/>
        </w:rPr>
        <w:t>芒市妇幼保健院迁建项目，目前已取得了芒市发展和改革局关于《芒市妇幼保健院迁建项目建议书》的批复，芒发改字【2017】104号；</w:t>
      </w:r>
      <w:r>
        <w:rPr>
          <w:rFonts w:hint="eastAsia"/>
          <w:color w:val="000000"/>
          <w:sz w:val="24"/>
        </w:rPr>
        <w:t>德宏州卫生和计划生育委员会关于芒市妇幼保健计划生育服务中心增加病床编制的批复，德卫计复【2017】4号；</w:t>
      </w:r>
      <w:r>
        <w:rPr>
          <w:color w:val="000000"/>
          <w:sz w:val="24"/>
        </w:rPr>
        <w:t>建设项目选址意见书，选字第533103201600027号；建设工程规划许可证，建字第S533103201600076号。</w:t>
      </w:r>
    </w:p>
    <w:p w14:paraId="2C4EFAC3">
      <w:pPr>
        <w:spacing w:line="360" w:lineRule="auto"/>
        <w:ind w:firstLine="600"/>
        <w:rPr>
          <w:color w:val="000000"/>
          <w:sz w:val="24"/>
        </w:rPr>
      </w:pPr>
      <w:r>
        <w:rPr>
          <w:color w:val="000000"/>
          <w:sz w:val="24"/>
        </w:rPr>
        <w:t>根据《中华人民共和国环境保护法》、《中华人民共和国环境影响评价法》、</w:t>
      </w:r>
      <w:r>
        <w:rPr>
          <w:rFonts w:hint="eastAsia"/>
          <w:color w:val="000000"/>
          <w:sz w:val="24"/>
        </w:rPr>
        <w:t>《国务院关于修改〈建设项目环境保护管理条例〉的决定》</w:t>
      </w:r>
      <w:r>
        <w:rPr>
          <w:color w:val="000000"/>
          <w:sz w:val="24"/>
        </w:rPr>
        <w:t>(国务院令第</w:t>
      </w:r>
      <w:r>
        <w:rPr>
          <w:rFonts w:hint="eastAsia"/>
          <w:color w:val="000000"/>
          <w:sz w:val="24"/>
        </w:rPr>
        <w:t>682</w:t>
      </w:r>
      <w:r>
        <w:rPr>
          <w:color w:val="000000"/>
          <w:sz w:val="24"/>
        </w:rPr>
        <w:t>号)（</w:t>
      </w:r>
      <w:r>
        <w:rPr>
          <w:rFonts w:hint="eastAsia"/>
          <w:color w:val="000000"/>
          <w:sz w:val="24"/>
        </w:rPr>
        <w:t>2017年10月1日起实施</w:t>
      </w:r>
      <w:r>
        <w:rPr>
          <w:color w:val="000000"/>
          <w:sz w:val="24"/>
        </w:rPr>
        <w:t>）、《云南省建设项目环境保护管理规定》（云南省人民政府令第105号）（2002.01.01施行）、《建设项目环境影响评价分类管理名录》（201</w:t>
      </w:r>
      <w:r>
        <w:rPr>
          <w:rFonts w:hint="eastAsia"/>
          <w:color w:val="000000"/>
          <w:sz w:val="24"/>
        </w:rPr>
        <w:t>7</w:t>
      </w:r>
      <w:r>
        <w:rPr>
          <w:color w:val="000000"/>
          <w:sz w:val="24"/>
        </w:rPr>
        <w:t>年</w:t>
      </w:r>
      <w:r>
        <w:rPr>
          <w:rFonts w:hint="eastAsia"/>
          <w:color w:val="000000"/>
          <w:sz w:val="24"/>
        </w:rPr>
        <w:t>9</w:t>
      </w:r>
      <w:r>
        <w:rPr>
          <w:color w:val="000000"/>
          <w:sz w:val="24"/>
        </w:rPr>
        <w:t>月1日起施行）的有关要求，</w:t>
      </w:r>
      <w:r>
        <w:rPr>
          <w:rFonts w:cs="宋体"/>
          <w:color w:val="000000"/>
          <w:sz w:val="24"/>
        </w:rPr>
        <w:t>芒市妇幼保健院迁建项目</w:t>
      </w:r>
      <w:r>
        <w:rPr>
          <w:color w:val="000000"/>
          <w:sz w:val="24"/>
        </w:rPr>
        <w:t>须进行环境影响评价，编制环境影响报告书。受建设单位</w:t>
      </w:r>
      <w:r>
        <w:rPr>
          <w:rFonts w:cs="宋体"/>
          <w:color w:val="000000"/>
          <w:sz w:val="24"/>
        </w:rPr>
        <w:t>芒市妇幼保健院</w:t>
      </w:r>
      <w:r>
        <w:rPr>
          <w:color w:val="000000"/>
          <w:sz w:val="24"/>
        </w:rPr>
        <w:t>的委托，我单位承担了本项目的环境影响评价工作。受委托后，我单位及时组织专业技术人员实地踏勘项目场址，考察了项目周</w:t>
      </w:r>
      <w:r>
        <w:rPr>
          <w:rFonts w:hint="eastAsia"/>
          <w:color w:val="000000"/>
          <w:sz w:val="24"/>
        </w:rPr>
        <w:t>边</w:t>
      </w:r>
      <w:r>
        <w:rPr>
          <w:color w:val="000000"/>
          <w:sz w:val="24"/>
        </w:rPr>
        <w:t>地区的环境状况，收集相关资料。</w:t>
      </w:r>
    </w:p>
    <w:p w14:paraId="2E82D43C">
      <w:pPr>
        <w:spacing w:line="360" w:lineRule="auto"/>
        <w:ind w:firstLine="480"/>
        <w:rPr>
          <w:color w:val="000000"/>
          <w:sz w:val="24"/>
        </w:rPr>
      </w:pPr>
      <w:r>
        <w:rPr>
          <w:rFonts w:hint="eastAsia"/>
          <w:color w:val="000000"/>
          <w:sz w:val="24"/>
        </w:rPr>
        <w:t>在此基础上，</w:t>
      </w:r>
      <w:r>
        <w:rPr>
          <w:color w:val="000000"/>
          <w:sz w:val="24"/>
        </w:rPr>
        <w:t>按照环境影响评价技术导则的要求编制了《</w:t>
      </w:r>
      <w:r>
        <w:rPr>
          <w:rFonts w:hint="eastAsia" w:cs="宋体"/>
          <w:color w:val="000000"/>
          <w:sz w:val="24"/>
        </w:rPr>
        <w:t>芒市妇幼保健院迁建项目</w:t>
      </w:r>
      <w:r>
        <w:rPr>
          <w:rFonts w:hint="eastAsia"/>
          <w:color w:val="000000"/>
          <w:sz w:val="24"/>
        </w:rPr>
        <w:t>环境影响报告书（送审稿）</w:t>
      </w:r>
      <w:r>
        <w:rPr>
          <w:color w:val="000000"/>
          <w:sz w:val="24"/>
        </w:rPr>
        <w:t>》，供建设单位上报审批。</w:t>
      </w:r>
      <w:r>
        <w:rPr>
          <w:rFonts w:hint="eastAsia"/>
          <w:color w:val="000000"/>
          <w:sz w:val="24"/>
        </w:rPr>
        <w:t>本次环评不包括辐射评价。</w:t>
      </w:r>
    </w:p>
    <w:p w14:paraId="11E08F26">
      <w:pPr>
        <w:spacing w:line="360" w:lineRule="auto"/>
        <w:ind w:firstLine="480"/>
        <w:rPr>
          <w:color w:val="000000"/>
          <w:sz w:val="24"/>
        </w:rPr>
      </w:pPr>
      <w:r>
        <w:rPr>
          <w:color w:val="000000"/>
          <w:sz w:val="24"/>
        </w:rPr>
        <w:t>该项目</w:t>
      </w:r>
      <w:r>
        <w:rPr>
          <w:rFonts w:hint="eastAsia"/>
          <w:color w:val="000000"/>
          <w:sz w:val="24"/>
        </w:rPr>
        <w:t>在</w:t>
      </w:r>
      <w:r>
        <w:rPr>
          <w:color w:val="000000"/>
          <w:sz w:val="24"/>
        </w:rPr>
        <w:t>环评报告书的编制过程中，得到了各级环保部门、环境监测站以及项目</w:t>
      </w:r>
      <w:r>
        <w:rPr>
          <w:rFonts w:hint="eastAsia"/>
          <w:color w:val="000000"/>
          <w:sz w:val="24"/>
        </w:rPr>
        <w:t>建设单位</w:t>
      </w:r>
      <w:r>
        <w:rPr>
          <w:color w:val="000000"/>
          <w:sz w:val="24"/>
        </w:rPr>
        <w:t>的大力支持和协作，在此一并致以衷心的感谢。</w:t>
      </w:r>
    </w:p>
    <w:p w14:paraId="6D2E0FE8">
      <w:pPr>
        <w:spacing w:line="360" w:lineRule="auto"/>
        <w:rPr>
          <w:rFonts w:hint="eastAsia"/>
          <w:color w:val="000000"/>
          <w:sz w:val="24"/>
        </w:rPr>
      </w:pPr>
    </w:p>
    <w:p w14:paraId="460928F8">
      <w:pPr>
        <w:spacing w:line="360" w:lineRule="auto"/>
        <w:rPr>
          <w:rFonts w:hint="eastAsia"/>
          <w:color w:val="000000"/>
          <w:sz w:val="24"/>
        </w:rPr>
      </w:pPr>
    </w:p>
    <w:p w14:paraId="37A6DB89">
      <w:pPr>
        <w:spacing w:line="360" w:lineRule="auto"/>
        <w:rPr>
          <w:rFonts w:hint="eastAsia"/>
          <w:color w:val="000000"/>
          <w:sz w:val="24"/>
        </w:rPr>
      </w:pPr>
    </w:p>
    <w:p w14:paraId="6CDFC86C">
      <w:pPr>
        <w:spacing w:line="360" w:lineRule="auto"/>
        <w:rPr>
          <w:rFonts w:hint="eastAsia"/>
          <w:color w:val="000000"/>
          <w:sz w:val="24"/>
        </w:rPr>
      </w:pPr>
    </w:p>
    <w:p w14:paraId="0A483917">
      <w:pPr>
        <w:spacing w:line="360" w:lineRule="auto"/>
        <w:rPr>
          <w:rFonts w:hint="eastAsia"/>
          <w:color w:val="000000"/>
          <w:sz w:val="24"/>
        </w:rPr>
      </w:pPr>
    </w:p>
    <w:p w14:paraId="08D03151">
      <w:pPr>
        <w:spacing w:line="360" w:lineRule="auto"/>
        <w:rPr>
          <w:rFonts w:hint="eastAsia"/>
          <w:color w:val="000000"/>
          <w:sz w:val="24"/>
        </w:rPr>
      </w:pPr>
    </w:p>
    <w:p w14:paraId="12B1188F">
      <w:pPr>
        <w:spacing w:line="360" w:lineRule="auto"/>
        <w:rPr>
          <w:rFonts w:hint="eastAsia"/>
          <w:color w:val="000000"/>
          <w:sz w:val="24"/>
        </w:rPr>
      </w:pPr>
    </w:p>
    <w:p w14:paraId="1ECCECAA">
      <w:pPr>
        <w:spacing w:line="360" w:lineRule="auto"/>
        <w:rPr>
          <w:rFonts w:hint="eastAsia"/>
          <w:color w:val="000000"/>
          <w:sz w:val="24"/>
        </w:rPr>
      </w:pPr>
    </w:p>
    <w:p w14:paraId="7526749F">
      <w:pPr>
        <w:spacing w:line="360" w:lineRule="auto"/>
        <w:rPr>
          <w:rFonts w:hint="eastAsia"/>
          <w:color w:val="000000"/>
          <w:sz w:val="24"/>
        </w:rPr>
      </w:pPr>
    </w:p>
    <w:p w14:paraId="0C5BD223">
      <w:pPr>
        <w:spacing w:line="360" w:lineRule="auto"/>
        <w:rPr>
          <w:rFonts w:hint="eastAsia"/>
          <w:color w:val="000000"/>
          <w:sz w:val="24"/>
        </w:rPr>
      </w:pPr>
    </w:p>
    <w:p w14:paraId="618944CE">
      <w:pPr>
        <w:spacing w:line="360" w:lineRule="auto"/>
        <w:rPr>
          <w:rFonts w:hint="eastAsia"/>
          <w:color w:val="000000"/>
          <w:sz w:val="24"/>
        </w:rPr>
      </w:pPr>
    </w:p>
    <w:p w14:paraId="37B785E8">
      <w:pPr>
        <w:spacing w:line="360" w:lineRule="auto"/>
        <w:rPr>
          <w:rFonts w:hint="eastAsia"/>
          <w:color w:val="000000"/>
          <w:sz w:val="24"/>
        </w:rPr>
      </w:pPr>
    </w:p>
    <w:p w14:paraId="0D3B3792">
      <w:pPr>
        <w:spacing w:line="360" w:lineRule="auto"/>
        <w:rPr>
          <w:rFonts w:hint="eastAsia"/>
          <w:color w:val="000000"/>
          <w:sz w:val="24"/>
        </w:rPr>
      </w:pPr>
    </w:p>
    <w:p w14:paraId="070E69A5">
      <w:pPr>
        <w:spacing w:line="360" w:lineRule="auto"/>
        <w:rPr>
          <w:rFonts w:hint="eastAsia"/>
          <w:color w:val="000000"/>
          <w:sz w:val="24"/>
        </w:rPr>
      </w:pPr>
    </w:p>
    <w:p w14:paraId="6DC59179">
      <w:pPr>
        <w:spacing w:line="360" w:lineRule="auto"/>
        <w:rPr>
          <w:rFonts w:hint="eastAsia"/>
          <w:color w:val="000000"/>
          <w:sz w:val="24"/>
        </w:rPr>
      </w:pPr>
    </w:p>
    <w:p w14:paraId="36ACFEB7">
      <w:pPr>
        <w:spacing w:line="360" w:lineRule="auto"/>
        <w:rPr>
          <w:rFonts w:hint="eastAsia"/>
          <w:color w:val="000000"/>
          <w:sz w:val="24"/>
        </w:rPr>
      </w:pPr>
    </w:p>
    <w:p w14:paraId="4B3C8AE1">
      <w:pPr>
        <w:spacing w:line="360" w:lineRule="auto"/>
        <w:rPr>
          <w:rFonts w:hint="eastAsia"/>
          <w:color w:val="000000"/>
          <w:sz w:val="24"/>
        </w:rPr>
      </w:pPr>
    </w:p>
    <w:p w14:paraId="6382C4C1">
      <w:pPr>
        <w:spacing w:line="360" w:lineRule="auto"/>
        <w:rPr>
          <w:rFonts w:hint="eastAsia"/>
          <w:color w:val="000000"/>
          <w:sz w:val="24"/>
        </w:rPr>
      </w:pPr>
    </w:p>
    <w:p w14:paraId="63BCB51D">
      <w:pPr>
        <w:spacing w:line="360" w:lineRule="auto"/>
        <w:rPr>
          <w:rFonts w:hint="eastAsia"/>
          <w:color w:val="000000"/>
          <w:sz w:val="24"/>
        </w:rPr>
      </w:pPr>
    </w:p>
    <w:p w14:paraId="4CBD2A83">
      <w:pPr>
        <w:spacing w:line="360" w:lineRule="auto"/>
        <w:rPr>
          <w:rFonts w:hint="eastAsia"/>
          <w:color w:val="000000"/>
          <w:sz w:val="24"/>
        </w:rPr>
      </w:pPr>
    </w:p>
    <w:p w14:paraId="50C0A230">
      <w:pPr>
        <w:spacing w:line="360" w:lineRule="auto"/>
        <w:rPr>
          <w:rFonts w:hint="eastAsia"/>
          <w:color w:val="000000"/>
          <w:sz w:val="24"/>
        </w:rPr>
      </w:pPr>
    </w:p>
    <w:p w14:paraId="00E04C32">
      <w:pPr>
        <w:spacing w:line="360" w:lineRule="auto"/>
        <w:rPr>
          <w:rFonts w:hint="eastAsia"/>
          <w:color w:val="000000"/>
          <w:sz w:val="24"/>
        </w:rPr>
      </w:pPr>
    </w:p>
    <w:p w14:paraId="7E88B16A">
      <w:pPr>
        <w:spacing w:line="360" w:lineRule="auto"/>
        <w:rPr>
          <w:rFonts w:hint="eastAsia"/>
          <w:color w:val="000000"/>
          <w:sz w:val="24"/>
        </w:rPr>
      </w:pPr>
    </w:p>
    <w:p w14:paraId="7F062397">
      <w:pPr>
        <w:pStyle w:val="181"/>
        <w:spacing w:before="120" w:after="120"/>
        <w:rPr>
          <w:rFonts w:cs="宋体"/>
          <w:color w:val="000000"/>
          <w:sz w:val="30"/>
          <w:szCs w:val="30"/>
        </w:rPr>
      </w:pPr>
      <w:bookmarkStart w:id="7" w:name="_Toc495500016"/>
      <w:r>
        <w:rPr>
          <w:rFonts w:cs="宋体"/>
          <w:color w:val="000000"/>
          <w:sz w:val="30"/>
          <w:szCs w:val="30"/>
        </w:rPr>
        <w:t>1、总论</w:t>
      </w:r>
      <w:bookmarkEnd w:id="7"/>
    </w:p>
    <w:p w14:paraId="79396EAF">
      <w:pPr>
        <w:pStyle w:val="182"/>
        <w:spacing w:before="120" w:after="120"/>
        <w:ind w:firstLine="272"/>
        <w:rPr>
          <w:rFonts w:ascii="Times New Roman" w:hAnsi="Times New Roman" w:eastAsia="仿宋_GB2312" w:cs="Times New Roman"/>
          <w:color w:val="000000"/>
          <w:sz w:val="28"/>
          <w:szCs w:val="28"/>
        </w:rPr>
      </w:pPr>
      <w:bookmarkStart w:id="8" w:name="_Toc495500017"/>
      <w:r>
        <w:rPr>
          <w:rFonts w:ascii="Times New Roman" w:hAnsi="Times New Roman" w:eastAsia="仿宋_GB2312" w:cs="Times New Roman"/>
          <w:color w:val="000000"/>
          <w:sz w:val="28"/>
          <w:szCs w:val="28"/>
        </w:rPr>
        <w:t>1.1评价目的</w:t>
      </w:r>
      <w:bookmarkEnd w:id="8"/>
    </w:p>
    <w:p w14:paraId="61D5B254">
      <w:pPr>
        <w:spacing w:line="360" w:lineRule="auto"/>
        <w:ind w:firstLine="480"/>
        <w:rPr>
          <w:color w:val="000000"/>
          <w:sz w:val="24"/>
        </w:rPr>
      </w:pPr>
      <w:r>
        <w:rPr>
          <w:color w:val="000000"/>
          <w:sz w:val="24"/>
        </w:rPr>
        <w:t>（1）通过现场踏勘及资料分析，调查拟建项目周围的自然环境、社会经济、生态环境现状；</w:t>
      </w:r>
    </w:p>
    <w:p w14:paraId="3E133C66">
      <w:pPr>
        <w:spacing w:line="360" w:lineRule="auto"/>
        <w:ind w:firstLine="480"/>
        <w:rPr>
          <w:color w:val="000000"/>
          <w:sz w:val="24"/>
        </w:rPr>
      </w:pPr>
      <w:r>
        <w:rPr>
          <w:color w:val="000000"/>
          <w:sz w:val="24"/>
        </w:rPr>
        <w:t>（2）通过工程分析，根据工程建设的规模和主要内容，分析施工期和营运期的主要污染环节、污染类型、排污方式及污染程度，预测对环境的影响范围，在保证达标排放和低于由当地环保部门核定的污染物排放总量控制指标的前提下，提出切实可行的污染防治措施；</w:t>
      </w:r>
    </w:p>
    <w:p w14:paraId="17411827">
      <w:pPr>
        <w:spacing w:line="360" w:lineRule="auto"/>
        <w:ind w:firstLine="480"/>
        <w:rPr>
          <w:color w:val="000000"/>
          <w:sz w:val="24"/>
        </w:rPr>
      </w:pPr>
      <w:r>
        <w:rPr>
          <w:color w:val="000000"/>
          <w:sz w:val="24"/>
        </w:rPr>
        <w:t>（3）从技术、经济角度分析和论证拟采取环保措施的可行性，必要时提出替代方案；</w:t>
      </w:r>
    </w:p>
    <w:p w14:paraId="07C2D14B">
      <w:pPr>
        <w:spacing w:line="360" w:lineRule="auto"/>
        <w:ind w:firstLine="480"/>
        <w:rPr>
          <w:color w:val="000000"/>
          <w:sz w:val="24"/>
        </w:rPr>
      </w:pPr>
      <w:r>
        <w:rPr>
          <w:color w:val="000000"/>
          <w:sz w:val="24"/>
        </w:rPr>
        <w:t>（4）明确拟建项目所处位置是否符合规划要求，并且对项目选址及平面布置合理性进行分析；</w:t>
      </w:r>
    </w:p>
    <w:p w14:paraId="07A2D835">
      <w:pPr>
        <w:spacing w:line="360" w:lineRule="auto"/>
        <w:ind w:firstLine="480"/>
        <w:rPr>
          <w:color w:val="000000"/>
          <w:sz w:val="24"/>
        </w:rPr>
      </w:pPr>
      <w:r>
        <w:rPr>
          <w:color w:val="000000"/>
          <w:sz w:val="24"/>
        </w:rPr>
        <w:t>（5）从环境保护角度对本项目建设的可行性作出明确结论，为主管部门决策和环境管理提供依据；</w:t>
      </w:r>
    </w:p>
    <w:p w14:paraId="0811168D">
      <w:pPr>
        <w:spacing w:line="360" w:lineRule="auto"/>
        <w:ind w:firstLine="480"/>
        <w:rPr>
          <w:color w:val="000000"/>
          <w:sz w:val="24"/>
        </w:rPr>
      </w:pPr>
      <w:r>
        <w:rPr>
          <w:color w:val="000000"/>
          <w:sz w:val="24"/>
        </w:rPr>
        <w:t>通过上述工作，论证项目在环境方面的可行性，提出环境影响评价结论，使本评价达到为管理部门决策、设计部门优化设计、建设单位环境管理提供科学依据的目的。</w:t>
      </w:r>
    </w:p>
    <w:p w14:paraId="1B07F327">
      <w:pPr>
        <w:pStyle w:val="182"/>
        <w:ind w:firstLine="275"/>
        <w:rPr>
          <w:rFonts w:ascii="Times New Roman" w:hAnsi="Times New Roman" w:eastAsia="仿宋_GB2312" w:cs="Times New Roman"/>
          <w:color w:val="000000"/>
          <w:sz w:val="28"/>
          <w:szCs w:val="28"/>
        </w:rPr>
      </w:pPr>
      <w:bookmarkStart w:id="9" w:name="_Toc143085307"/>
      <w:bookmarkEnd w:id="9"/>
      <w:bookmarkStart w:id="10" w:name="_Toc217800758"/>
      <w:bookmarkEnd w:id="10"/>
      <w:bookmarkStart w:id="11" w:name="_Toc495500018"/>
      <w:r>
        <w:rPr>
          <w:rFonts w:ascii="Times New Roman" w:hAnsi="Times New Roman" w:eastAsia="仿宋_GB2312" w:cs="Times New Roman"/>
          <w:color w:val="000000"/>
          <w:sz w:val="28"/>
          <w:szCs w:val="28"/>
        </w:rPr>
        <w:t>1.2指导思想</w:t>
      </w:r>
      <w:bookmarkEnd w:id="11"/>
    </w:p>
    <w:p w14:paraId="4330EB38">
      <w:pPr>
        <w:spacing w:line="360" w:lineRule="auto"/>
        <w:ind w:firstLine="480"/>
        <w:rPr>
          <w:color w:val="000000"/>
          <w:sz w:val="24"/>
        </w:rPr>
      </w:pPr>
      <w:r>
        <w:rPr>
          <w:color w:val="000000"/>
          <w:sz w:val="24"/>
        </w:rPr>
        <w:t>（1）以各项环境保护法规、评价技术规定，环境标准和本区域环境功能规划目标为依据，指导评价工作；</w:t>
      </w:r>
    </w:p>
    <w:p w14:paraId="0294B18B">
      <w:pPr>
        <w:spacing w:line="360" w:lineRule="auto"/>
        <w:ind w:firstLine="480"/>
        <w:rPr>
          <w:color w:val="000000"/>
          <w:sz w:val="24"/>
        </w:rPr>
      </w:pPr>
      <w:r>
        <w:rPr>
          <w:color w:val="000000"/>
          <w:sz w:val="24"/>
        </w:rPr>
        <w:t>（2）项目必须符合国家产业政策，选址必须符合城镇总体规划和发展要求；</w:t>
      </w:r>
    </w:p>
    <w:p w14:paraId="3A3864AA">
      <w:pPr>
        <w:spacing w:line="360" w:lineRule="auto"/>
        <w:ind w:firstLine="480"/>
        <w:rPr>
          <w:color w:val="000000"/>
          <w:sz w:val="24"/>
        </w:rPr>
      </w:pPr>
      <w:r>
        <w:rPr>
          <w:color w:val="000000"/>
          <w:sz w:val="24"/>
        </w:rPr>
        <w:t>（3）坚持环评工作为优化设计服务，为环境管理服务的方针，不断提高环评工作的实用性；</w:t>
      </w:r>
    </w:p>
    <w:p w14:paraId="73B93274">
      <w:pPr>
        <w:spacing w:line="360" w:lineRule="auto"/>
        <w:ind w:firstLine="480"/>
        <w:rPr>
          <w:color w:val="000000"/>
          <w:sz w:val="24"/>
        </w:rPr>
      </w:pPr>
      <w:r>
        <w:rPr>
          <w:color w:val="000000"/>
          <w:sz w:val="24"/>
        </w:rPr>
        <w:t>（4）评价工作将在利用本区各种已有资料的基础上，进行必要的类比调查和分析，力求全面、公正、客观；评价中要体现“总量控制”、“达标排放”的原则；</w:t>
      </w:r>
    </w:p>
    <w:p w14:paraId="410F50F4">
      <w:pPr>
        <w:spacing w:line="360" w:lineRule="auto"/>
        <w:ind w:firstLine="480"/>
        <w:rPr>
          <w:color w:val="000000"/>
          <w:sz w:val="24"/>
        </w:rPr>
      </w:pPr>
      <w:r>
        <w:rPr>
          <w:color w:val="000000"/>
          <w:sz w:val="24"/>
        </w:rPr>
        <w:t>（5）评价内容力求主次分明，重点突出，数据准确可靠，污染防治及环境影响防治措施可行，结论明确可信。</w:t>
      </w:r>
    </w:p>
    <w:p w14:paraId="5857E147">
      <w:pPr>
        <w:pStyle w:val="182"/>
        <w:ind w:firstLine="275"/>
        <w:rPr>
          <w:rFonts w:ascii="Times New Roman" w:hAnsi="Times New Roman" w:eastAsia="仿宋_GB2312" w:cs="Times New Roman"/>
          <w:color w:val="000000"/>
          <w:sz w:val="28"/>
          <w:szCs w:val="28"/>
        </w:rPr>
      </w:pPr>
      <w:bookmarkStart w:id="12" w:name="_Toc123048222"/>
      <w:bookmarkEnd w:id="12"/>
      <w:bookmarkStart w:id="13" w:name="_Toc122092641"/>
      <w:bookmarkEnd w:id="13"/>
      <w:bookmarkStart w:id="14" w:name="_Toc217800759"/>
      <w:bookmarkEnd w:id="14"/>
      <w:bookmarkStart w:id="15" w:name="_Toc117947769"/>
      <w:bookmarkEnd w:id="15"/>
      <w:bookmarkStart w:id="16" w:name="_Toc143085308"/>
      <w:bookmarkEnd w:id="16"/>
      <w:bookmarkStart w:id="17" w:name="_Toc495500019"/>
      <w:r>
        <w:rPr>
          <w:rFonts w:ascii="Times New Roman" w:hAnsi="Times New Roman" w:eastAsia="仿宋_GB2312" w:cs="Times New Roman"/>
          <w:color w:val="000000"/>
          <w:sz w:val="28"/>
          <w:szCs w:val="28"/>
        </w:rPr>
        <w:t>1.3编制依据</w:t>
      </w:r>
      <w:bookmarkEnd w:id="17"/>
    </w:p>
    <w:p w14:paraId="0DC4E0C7">
      <w:pPr>
        <w:pStyle w:val="183"/>
        <w:ind w:firstLine="472"/>
        <w:rPr>
          <w:rFonts w:eastAsia="仿宋_GB2312"/>
          <w:color w:val="000000"/>
          <w:sz w:val="24"/>
          <w:szCs w:val="24"/>
        </w:rPr>
      </w:pPr>
      <w:bookmarkStart w:id="18" w:name="_Toc123048223"/>
      <w:bookmarkEnd w:id="18"/>
      <w:bookmarkStart w:id="19" w:name="_Toc143085309"/>
      <w:bookmarkEnd w:id="19"/>
      <w:bookmarkStart w:id="20" w:name="_Toc122092642"/>
      <w:bookmarkEnd w:id="20"/>
      <w:bookmarkStart w:id="21" w:name="_Toc217800760"/>
      <w:bookmarkEnd w:id="21"/>
      <w:bookmarkStart w:id="22" w:name="_Toc117947770"/>
      <w:bookmarkEnd w:id="22"/>
      <w:bookmarkStart w:id="23" w:name="_Toc495500020"/>
      <w:r>
        <w:rPr>
          <w:rFonts w:eastAsia="仿宋_GB2312"/>
          <w:color w:val="000000"/>
          <w:sz w:val="24"/>
          <w:szCs w:val="24"/>
        </w:rPr>
        <w:t>1.3.1国家环境保护法律、法规及政策</w:t>
      </w:r>
      <w:bookmarkEnd w:id="23"/>
    </w:p>
    <w:p w14:paraId="68AE34C0">
      <w:pPr>
        <w:spacing w:line="360" w:lineRule="auto"/>
        <w:ind w:firstLine="480"/>
        <w:rPr>
          <w:color w:val="000000"/>
          <w:sz w:val="24"/>
        </w:rPr>
      </w:pPr>
      <w:r>
        <w:rPr>
          <w:color w:val="000000"/>
          <w:sz w:val="24"/>
        </w:rPr>
        <w:t>(1)《中华人民共和国环境保护法》(2015年1月)；</w:t>
      </w:r>
    </w:p>
    <w:p w14:paraId="3805EE2E">
      <w:pPr>
        <w:spacing w:line="360" w:lineRule="auto"/>
        <w:ind w:firstLine="480"/>
        <w:rPr>
          <w:color w:val="000000"/>
          <w:sz w:val="24"/>
        </w:rPr>
      </w:pPr>
      <w:r>
        <w:rPr>
          <w:color w:val="000000"/>
          <w:sz w:val="24"/>
        </w:rPr>
        <w:t>(2)《中华人民共和国环境影响评价法》（2016年9月）；</w:t>
      </w:r>
    </w:p>
    <w:p w14:paraId="0AC2C2C5">
      <w:pPr>
        <w:spacing w:line="360" w:lineRule="auto"/>
        <w:ind w:firstLine="480"/>
        <w:rPr>
          <w:color w:val="000000"/>
          <w:sz w:val="24"/>
        </w:rPr>
      </w:pPr>
      <w:r>
        <w:rPr>
          <w:color w:val="000000"/>
          <w:sz w:val="24"/>
        </w:rPr>
        <w:t>(3)《</w:t>
      </w:r>
      <w:bookmarkStart w:id="24" w:name="OLE_LINK1"/>
      <w:bookmarkEnd w:id="24"/>
      <w:r>
        <w:rPr>
          <w:color w:val="000000"/>
          <w:sz w:val="24"/>
        </w:rPr>
        <w:t>环境影响评价公众参与暂行办法》（国家环保总局2006年3月18日，环发2006[28号]）；</w:t>
      </w:r>
    </w:p>
    <w:p w14:paraId="2DD4E3DA">
      <w:pPr>
        <w:spacing w:line="360" w:lineRule="auto"/>
        <w:ind w:firstLine="480"/>
        <w:rPr>
          <w:color w:val="000000"/>
          <w:sz w:val="24"/>
        </w:rPr>
      </w:pPr>
      <w:r>
        <w:rPr>
          <w:color w:val="000000"/>
          <w:sz w:val="24"/>
        </w:rPr>
        <w:t>(4)《</w:t>
      </w:r>
      <w:bookmarkStart w:id="25" w:name="OLE_LINK2"/>
      <w:bookmarkEnd w:id="25"/>
      <w:r>
        <w:rPr>
          <w:color w:val="000000"/>
          <w:sz w:val="24"/>
        </w:rPr>
        <w:t>中华人民共和国水污染防治法》（20</w:t>
      </w:r>
      <w:r>
        <w:rPr>
          <w:rFonts w:hint="eastAsia"/>
          <w:color w:val="000000"/>
          <w:sz w:val="24"/>
        </w:rPr>
        <w:t>1</w:t>
      </w:r>
      <w:r>
        <w:rPr>
          <w:color w:val="000000"/>
          <w:sz w:val="24"/>
        </w:rPr>
        <w:t>8年</w:t>
      </w:r>
      <w:r>
        <w:rPr>
          <w:rFonts w:hint="eastAsia"/>
          <w:color w:val="000000"/>
          <w:sz w:val="24"/>
        </w:rPr>
        <w:t>1</w:t>
      </w:r>
      <w:r>
        <w:rPr>
          <w:color w:val="000000"/>
          <w:sz w:val="24"/>
        </w:rPr>
        <w:t>月）；</w:t>
      </w:r>
    </w:p>
    <w:p w14:paraId="30A6D9E9">
      <w:pPr>
        <w:spacing w:line="360" w:lineRule="auto"/>
        <w:ind w:firstLine="480"/>
        <w:rPr>
          <w:color w:val="000000"/>
          <w:sz w:val="24"/>
        </w:rPr>
      </w:pPr>
      <w:r>
        <w:rPr>
          <w:color w:val="000000"/>
          <w:sz w:val="24"/>
        </w:rPr>
        <w:t>(5)《</w:t>
      </w:r>
      <w:bookmarkStart w:id="26" w:name="OLE_LINK3"/>
      <w:bookmarkEnd w:id="26"/>
      <w:r>
        <w:rPr>
          <w:color w:val="000000"/>
          <w:sz w:val="24"/>
        </w:rPr>
        <w:t>中华人民共和国大气污染防治法》（2016年1月）；</w:t>
      </w:r>
    </w:p>
    <w:p w14:paraId="69AA4189">
      <w:pPr>
        <w:spacing w:line="360" w:lineRule="auto"/>
        <w:ind w:firstLine="480"/>
        <w:rPr>
          <w:color w:val="000000"/>
          <w:sz w:val="24"/>
        </w:rPr>
      </w:pPr>
      <w:r>
        <w:rPr>
          <w:color w:val="000000"/>
          <w:sz w:val="24"/>
        </w:rPr>
        <w:t>(6)《中华人民共和国环境噪声污染防治法》（1997年3月）；</w:t>
      </w:r>
    </w:p>
    <w:p w14:paraId="282B2387">
      <w:pPr>
        <w:spacing w:line="360" w:lineRule="auto"/>
        <w:ind w:firstLine="480"/>
        <w:rPr>
          <w:color w:val="000000"/>
          <w:sz w:val="24"/>
        </w:rPr>
      </w:pPr>
      <w:r>
        <w:rPr>
          <w:color w:val="000000"/>
          <w:sz w:val="24"/>
        </w:rPr>
        <w:t>(7)《中华人民共和国固体废物污染环境防治法》（2015年修订）；</w:t>
      </w:r>
    </w:p>
    <w:p w14:paraId="03DE4E6E">
      <w:pPr>
        <w:spacing w:line="360" w:lineRule="auto"/>
        <w:ind w:firstLine="480"/>
        <w:rPr>
          <w:color w:val="000000"/>
          <w:sz w:val="24"/>
        </w:rPr>
      </w:pPr>
      <w:r>
        <w:rPr>
          <w:color w:val="000000"/>
          <w:sz w:val="24"/>
        </w:rPr>
        <w:t>(8)《中华人民共和国水土保持法》（2011年3月）；</w:t>
      </w:r>
    </w:p>
    <w:p w14:paraId="597BBFC2">
      <w:pPr>
        <w:spacing w:line="360" w:lineRule="auto"/>
        <w:ind w:firstLine="480"/>
        <w:rPr>
          <w:color w:val="000000"/>
          <w:sz w:val="24"/>
        </w:rPr>
      </w:pPr>
      <w:r>
        <w:rPr>
          <w:color w:val="000000"/>
          <w:sz w:val="24"/>
        </w:rPr>
        <w:t>(9)《中华人民共和国土地管理法》（2004年8月28日修订）；</w:t>
      </w:r>
    </w:p>
    <w:p w14:paraId="12D8356F">
      <w:pPr>
        <w:spacing w:line="360" w:lineRule="auto"/>
        <w:ind w:firstLine="480"/>
        <w:rPr>
          <w:color w:val="000000"/>
          <w:sz w:val="24"/>
        </w:rPr>
      </w:pPr>
      <w:r>
        <w:rPr>
          <w:color w:val="000000"/>
          <w:sz w:val="24"/>
        </w:rPr>
        <w:t>(10)《中华人民共和国清洁生产促进法》（2012年修订）；</w:t>
      </w:r>
    </w:p>
    <w:p w14:paraId="037BB071">
      <w:pPr>
        <w:spacing w:line="360" w:lineRule="auto"/>
        <w:ind w:firstLine="480"/>
        <w:rPr>
          <w:color w:val="000000"/>
          <w:sz w:val="24"/>
        </w:rPr>
      </w:pPr>
      <w:r>
        <w:rPr>
          <w:color w:val="000000"/>
          <w:sz w:val="24"/>
        </w:rPr>
        <w:t>(11)《建设项目环境保护管理条例》(国务院第</w:t>
      </w:r>
      <w:r>
        <w:rPr>
          <w:rFonts w:hint="eastAsia"/>
          <w:color w:val="000000"/>
          <w:sz w:val="24"/>
        </w:rPr>
        <w:t>682</w:t>
      </w:r>
      <w:r>
        <w:rPr>
          <w:color w:val="000000"/>
          <w:sz w:val="24"/>
        </w:rPr>
        <w:t>号令，</w:t>
      </w:r>
      <w:r>
        <w:rPr>
          <w:rFonts w:hint="eastAsia"/>
          <w:color w:val="000000"/>
          <w:sz w:val="24"/>
        </w:rPr>
        <w:t>2017</w:t>
      </w:r>
      <w:r>
        <w:rPr>
          <w:color w:val="000000"/>
          <w:sz w:val="24"/>
        </w:rPr>
        <w:t>年</w:t>
      </w:r>
      <w:r>
        <w:rPr>
          <w:rFonts w:hint="eastAsia"/>
          <w:color w:val="000000"/>
          <w:sz w:val="24"/>
        </w:rPr>
        <w:t>修订</w:t>
      </w:r>
      <w:r>
        <w:rPr>
          <w:color w:val="000000"/>
          <w:sz w:val="24"/>
        </w:rPr>
        <w:t>)；</w:t>
      </w:r>
    </w:p>
    <w:p w14:paraId="3A4E3C4E">
      <w:pPr>
        <w:spacing w:line="360" w:lineRule="auto"/>
        <w:ind w:firstLine="480"/>
        <w:rPr>
          <w:color w:val="000000"/>
          <w:sz w:val="24"/>
        </w:rPr>
      </w:pPr>
      <w:r>
        <w:rPr>
          <w:color w:val="000000"/>
          <w:sz w:val="24"/>
        </w:rPr>
        <w:t>(12)《</w:t>
      </w:r>
      <w:bookmarkStart w:id="27" w:name="OLE_LINK4"/>
      <w:bookmarkEnd w:id="27"/>
      <w:r>
        <w:rPr>
          <w:color w:val="000000"/>
          <w:sz w:val="24"/>
        </w:rPr>
        <w:t>建设项目环境保护设计规定》(国环字（87）第002号)；</w:t>
      </w:r>
    </w:p>
    <w:p w14:paraId="765EDB76">
      <w:pPr>
        <w:spacing w:line="360" w:lineRule="auto"/>
        <w:ind w:firstLine="480"/>
        <w:rPr>
          <w:color w:val="000000"/>
          <w:sz w:val="24"/>
        </w:rPr>
      </w:pPr>
      <w:r>
        <w:rPr>
          <w:color w:val="000000"/>
          <w:sz w:val="24"/>
        </w:rPr>
        <w:t>(13)《</w:t>
      </w:r>
      <w:bookmarkStart w:id="28" w:name="OLE_LINK7"/>
      <w:bookmarkEnd w:id="28"/>
      <w:r>
        <w:rPr>
          <w:color w:val="000000"/>
          <w:sz w:val="24"/>
        </w:rPr>
        <w:t>关于进一步加强建设项目环境保护管理工作的通知》(国家环保总局，环发（2001）19号)；</w:t>
      </w:r>
    </w:p>
    <w:p w14:paraId="09685205">
      <w:pPr>
        <w:spacing w:line="360" w:lineRule="auto"/>
        <w:ind w:firstLine="480"/>
        <w:rPr>
          <w:color w:val="000000"/>
          <w:sz w:val="24"/>
        </w:rPr>
      </w:pPr>
      <w:r>
        <w:rPr>
          <w:color w:val="000000"/>
          <w:sz w:val="24"/>
        </w:rPr>
        <w:t>(14)《国务院关于环境保护若干问题的决定》(1996年8月3日)；</w:t>
      </w:r>
    </w:p>
    <w:p w14:paraId="4FFD0FFC">
      <w:pPr>
        <w:spacing w:line="360" w:lineRule="auto"/>
        <w:ind w:firstLine="480"/>
        <w:rPr>
          <w:color w:val="000000"/>
          <w:sz w:val="24"/>
        </w:rPr>
      </w:pPr>
      <w:r>
        <w:rPr>
          <w:color w:val="000000"/>
          <w:sz w:val="24"/>
        </w:rPr>
        <w:t>(15)《建设项目环境影响评价分类管理名录》(201</w:t>
      </w:r>
      <w:r>
        <w:rPr>
          <w:rFonts w:hint="eastAsia"/>
          <w:color w:val="000000"/>
          <w:sz w:val="24"/>
        </w:rPr>
        <w:t>7</w:t>
      </w:r>
      <w:r>
        <w:rPr>
          <w:color w:val="000000"/>
          <w:sz w:val="24"/>
        </w:rPr>
        <w:t>年</w:t>
      </w:r>
      <w:r>
        <w:rPr>
          <w:rFonts w:hint="eastAsia"/>
          <w:color w:val="000000"/>
          <w:sz w:val="24"/>
        </w:rPr>
        <w:t>9</w:t>
      </w:r>
      <w:r>
        <w:rPr>
          <w:color w:val="000000"/>
          <w:sz w:val="24"/>
        </w:rPr>
        <w:t>月</w:t>
      </w:r>
      <w:r>
        <w:rPr>
          <w:rFonts w:hint="eastAsia"/>
          <w:color w:val="000000"/>
          <w:sz w:val="24"/>
        </w:rPr>
        <w:t>1日</w:t>
      </w:r>
      <w:r>
        <w:rPr>
          <w:color w:val="000000"/>
          <w:sz w:val="24"/>
        </w:rPr>
        <w:t>)；</w:t>
      </w:r>
    </w:p>
    <w:p w14:paraId="0A9294F3">
      <w:pPr>
        <w:spacing w:line="360" w:lineRule="auto"/>
        <w:ind w:firstLine="480"/>
        <w:rPr>
          <w:color w:val="000000"/>
          <w:sz w:val="24"/>
        </w:rPr>
      </w:pPr>
      <w:r>
        <w:rPr>
          <w:color w:val="000000"/>
          <w:sz w:val="24"/>
        </w:rPr>
        <w:t>(16)《关于执行建设项目环境影响评价制度有关问题的通知》（国环发[1999]107号，1999年4月21日）；</w:t>
      </w:r>
    </w:p>
    <w:p w14:paraId="189FE627">
      <w:pPr>
        <w:spacing w:line="360" w:lineRule="auto"/>
        <w:ind w:firstLine="480"/>
        <w:rPr>
          <w:color w:val="000000"/>
          <w:sz w:val="24"/>
        </w:rPr>
      </w:pPr>
      <w:r>
        <w:rPr>
          <w:color w:val="000000"/>
          <w:sz w:val="24"/>
        </w:rPr>
        <w:t>(17)《国家计委、国家环境保护总局关于规范环境影响咨询收费有关问题的通知》（国计价格[2002]125号）；</w:t>
      </w:r>
    </w:p>
    <w:p w14:paraId="7B44B25B">
      <w:pPr>
        <w:spacing w:line="360" w:lineRule="auto"/>
        <w:ind w:firstLine="480"/>
        <w:rPr>
          <w:color w:val="000000"/>
          <w:sz w:val="24"/>
        </w:rPr>
      </w:pPr>
      <w:r>
        <w:rPr>
          <w:color w:val="000000"/>
          <w:sz w:val="24"/>
        </w:rPr>
        <w:t>(18)《国务院关于落实科学发展观加强环境保护的决定》（国发[2005]39号）；</w:t>
      </w:r>
    </w:p>
    <w:p w14:paraId="73320730">
      <w:pPr>
        <w:spacing w:line="360" w:lineRule="auto"/>
        <w:ind w:firstLine="480"/>
        <w:rPr>
          <w:color w:val="000000"/>
          <w:sz w:val="24"/>
        </w:rPr>
      </w:pPr>
      <w:r>
        <w:rPr>
          <w:color w:val="000000"/>
          <w:sz w:val="24"/>
        </w:rPr>
        <w:t>(19)关于深入学习贯彻《国务院关于落实科学发展观加强环境保护的决定》的通知（建科[2006]61号）；</w:t>
      </w:r>
    </w:p>
    <w:p w14:paraId="170612F9">
      <w:pPr>
        <w:spacing w:line="360" w:lineRule="auto"/>
        <w:ind w:firstLine="480"/>
        <w:rPr>
          <w:color w:val="000000"/>
          <w:sz w:val="24"/>
        </w:rPr>
      </w:pPr>
      <w:r>
        <w:rPr>
          <w:color w:val="000000"/>
          <w:sz w:val="24"/>
        </w:rPr>
        <w:t>(20)《</w:t>
      </w:r>
      <w:bookmarkStart w:id="29" w:name="OLE_LINK8"/>
      <w:bookmarkEnd w:id="29"/>
      <w:r>
        <w:rPr>
          <w:color w:val="000000"/>
          <w:sz w:val="24"/>
        </w:rPr>
        <w:t>产业结构调整指导目录(2013年修正)》；</w:t>
      </w:r>
    </w:p>
    <w:p w14:paraId="4786FC4D">
      <w:pPr>
        <w:spacing w:line="360" w:lineRule="auto"/>
        <w:ind w:firstLine="480"/>
        <w:rPr>
          <w:color w:val="000000"/>
          <w:sz w:val="24"/>
        </w:rPr>
      </w:pPr>
      <w:r>
        <w:rPr>
          <w:color w:val="000000"/>
          <w:sz w:val="24"/>
        </w:rPr>
        <w:t>(21)《</w:t>
      </w:r>
      <w:bookmarkStart w:id="30" w:name="OLE_LINK9"/>
      <w:bookmarkEnd w:id="30"/>
      <w:r>
        <w:rPr>
          <w:color w:val="000000"/>
          <w:sz w:val="24"/>
        </w:rPr>
        <w:t>国家危险废物名录》（2016年8月1日实施)；</w:t>
      </w:r>
    </w:p>
    <w:p w14:paraId="3ACB5E91">
      <w:pPr>
        <w:spacing w:line="360" w:lineRule="auto"/>
        <w:ind w:firstLine="480"/>
        <w:rPr>
          <w:color w:val="000000"/>
          <w:sz w:val="24"/>
        </w:rPr>
      </w:pPr>
      <w:r>
        <w:rPr>
          <w:color w:val="000000"/>
          <w:sz w:val="24"/>
        </w:rPr>
        <w:t>(22)《</w:t>
      </w:r>
      <w:bookmarkStart w:id="31" w:name="OLE_LINK10"/>
      <w:bookmarkEnd w:id="31"/>
      <w:r>
        <w:rPr>
          <w:color w:val="000000"/>
          <w:sz w:val="24"/>
        </w:rPr>
        <w:t>医疗废物管理条例》（国务院[2003]380号令，2003年6月16日）；</w:t>
      </w:r>
    </w:p>
    <w:p w14:paraId="34A4B4CE">
      <w:pPr>
        <w:spacing w:line="360" w:lineRule="auto"/>
        <w:ind w:firstLine="480"/>
        <w:rPr>
          <w:color w:val="000000"/>
          <w:sz w:val="24"/>
        </w:rPr>
      </w:pPr>
      <w:r>
        <w:rPr>
          <w:color w:val="000000"/>
          <w:sz w:val="24"/>
        </w:rPr>
        <w:t>(23)《</w:t>
      </w:r>
      <w:bookmarkStart w:id="32" w:name="OLE_LINK11"/>
      <w:bookmarkEnd w:id="32"/>
      <w:r>
        <w:rPr>
          <w:color w:val="000000"/>
          <w:sz w:val="24"/>
        </w:rPr>
        <w:t>医疗卫生机构医疗废物管理办法》（中华人民共和国卫生部令第36号）；</w:t>
      </w:r>
    </w:p>
    <w:p w14:paraId="7DA5D334">
      <w:pPr>
        <w:spacing w:line="360" w:lineRule="auto"/>
        <w:ind w:firstLine="480"/>
        <w:rPr>
          <w:color w:val="000000"/>
          <w:sz w:val="24"/>
        </w:rPr>
      </w:pPr>
      <w:r>
        <w:rPr>
          <w:color w:val="000000"/>
          <w:sz w:val="24"/>
        </w:rPr>
        <w:t>(24)《危险废物转移联单管理办法》(国家环境保护总局令第5号，1999年10月1日起施行)；</w:t>
      </w:r>
    </w:p>
    <w:p w14:paraId="14B5AB17">
      <w:pPr>
        <w:spacing w:line="360" w:lineRule="auto"/>
        <w:ind w:firstLine="480"/>
        <w:rPr>
          <w:color w:val="000000"/>
          <w:sz w:val="24"/>
        </w:rPr>
      </w:pPr>
      <w:r>
        <w:rPr>
          <w:color w:val="000000"/>
          <w:sz w:val="24"/>
        </w:rPr>
        <w:t>(25)《危险废物污染防治技术政策》（环发[2001]199号）。</w:t>
      </w:r>
    </w:p>
    <w:p w14:paraId="0775EC65">
      <w:pPr>
        <w:pStyle w:val="183"/>
        <w:ind w:firstLine="472"/>
        <w:rPr>
          <w:rFonts w:eastAsia="仿宋_GB2312"/>
          <w:color w:val="000000"/>
          <w:sz w:val="24"/>
          <w:szCs w:val="24"/>
        </w:rPr>
      </w:pPr>
      <w:bookmarkStart w:id="33" w:name="_Toc143085310"/>
      <w:bookmarkEnd w:id="33"/>
      <w:bookmarkStart w:id="34" w:name="_Toc122092643"/>
      <w:bookmarkEnd w:id="34"/>
      <w:bookmarkStart w:id="35" w:name="_Toc217800761"/>
      <w:bookmarkEnd w:id="35"/>
      <w:bookmarkStart w:id="36" w:name="_Toc117947771"/>
      <w:bookmarkEnd w:id="36"/>
      <w:bookmarkStart w:id="37" w:name="_Toc123048224"/>
      <w:bookmarkEnd w:id="37"/>
      <w:bookmarkStart w:id="38" w:name="_Toc495500021"/>
      <w:r>
        <w:rPr>
          <w:rFonts w:eastAsia="仿宋_GB2312"/>
          <w:color w:val="000000"/>
          <w:sz w:val="24"/>
          <w:szCs w:val="24"/>
        </w:rPr>
        <w:t>1.3.2地方环境保护法规及政策</w:t>
      </w:r>
      <w:bookmarkEnd w:id="38"/>
    </w:p>
    <w:p w14:paraId="46509AC2">
      <w:pPr>
        <w:spacing w:line="360" w:lineRule="auto"/>
        <w:ind w:firstLine="480"/>
        <w:rPr>
          <w:color w:val="000000"/>
          <w:sz w:val="24"/>
        </w:rPr>
      </w:pPr>
      <w:r>
        <w:rPr>
          <w:color w:val="000000"/>
          <w:sz w:val="24"/>
        </w:rPr>
        <w:t>（1）云南省环境保护厅关于印发云南省环保部门建设项目环境影响评价文件分级审批目录的通知（云环发〔201</w:t>
      </w:r>
      <w:r>
        <w:rPr>
          <w:rFonts w:hint="eastAsia"/>
          <w:color w:val="000000"/>
          <w:sz w:val="24"/>
        </w:rPr>
        <w:t>5</w:t>
      </w:r>
      <w:r>
        <w:rPr>
          <w:color w:val="000000"/>
          <w:sz w:val="24"/>
        </w:rPr>
        <w:t>〕</w:t>
      </w:r>
      <w:r>
        <w:rPr>
          <w:rFonts w:hint="eastAsia"/>
          <w:color w:val="000000"/>
          <w:sz w:val="24"/>
        </w:rPr>
        <w:t>66</w:t>
      </w:r>
      <w:r>
        <w:rPr>
          <w:color w:val="000000"/>
          <w:sz w:val="24"/>
        </w:rPr>
        <w:t>号）；</w:t>
      </w:r>
    </w:p>
    <w:p w14:paraId="33746DD6">
      <w:pPr>
        <w:spacing w:line="360" w:lineRule="auto"/>
        <w:ind w:firstLine="480"/>
        <w:rPr>
          <w:color w:val="000000"/>
          <w:sz w:val="24"/>
        </w:rPr>
      </w:pPr>
      <w:r>
        <w:rPr>
          <w:color w:val="000000"/>
          <w:sz w:val="24"/>
        </w:rPr>
        <w:t>（2）《关于印发&lt;云南省地表水水环境功能区划（2010-2020）&gt;的通知》2014.03；</w:t>
      </w:r>
    </w:p>
    <w:p w14:paraId="1E719BCA">
      <w:pPr>
        <w:spacing w:line="360" w:lineRule="auto"/>
        <w:ind w:firstLine="480"/>
        <w:rPr>
          <w:color w:val="000000"/>
          <w:sz w:val="24"/>
        </w:rPr>
      </w:pPr>
      <w:r>
        <w:rPr>
          <w:color w:val="000000"/>
          <w:sz w:val="24"/>
        </w:rPr>
        <w:t>（3）《云南省人民政府关于印发七彩云南保护行动的通知》（云政发[2007]8号）；</w:t>
      </w:r>
    </w:p>
    <w:p w14:paraId="3B93F687">
      <w:pPr>
        <w:spacing w:line="360" w:lineRule="auto"/>
        <w:ind w:firstLine="480"/>
        <w:rPr>
          <w:rFonts w:hint="eastAsia"/>
          <w:color w:val="000000"/>
          <w:sz w:val="24"/>
        </w:rPr>
      </w:pPr>
      <w:r>
        <w:rPr>
          <w:color w:val="000000"/>
          <w:sz w:val="24"/>
        </w:rPr>
        <w:t>（4）云南省环境保护局云环发【2007】83号“云南省环境保护局关于印发云南省城市区域环境噪声功能适用区域划分的通知”</w:t>
      </w:r>
      <w:r>
        <w:rPr>
          <w:rFonts w:hint="eastAsia"/>
          <w:color w:val="000000"/>
          <w:sz w:val="24"/>
        </w:rPr>
        <w:t>。</w:t>
      </w:r>
    </w:p>
    <w:p w14:paraId="29AC0DDC">
      <w:pPr>
        <w:pStyle w:val="183"/>
        <w:ind w:firstLine="472"/>
        <w:rPr>
          <w:rFonts w:eastAsia="仿宋_GB2312"/>
          <w:color w:val="000000"/>
          <w:sz w:val="24"/>
          <w:szCs w:val="24"/>
        </w:rPr>
      </w:pPr>
      <w:bookmarkStart w:id="39" w:name="_Toc143085311"/>
      <w:bookmarkEnd w:id="39"/>
      <w:bookmarkStart w:id="40" w:name="_Toc217800762"/>
      <w:bookmarkEnd w:id="40"/>
      <w:bookmarkStart w:id="41" w:name="_Toc123048225"/>
      <w:bookmarkEnd w:id="41"/>
      <w:bookmarkStart w:id="42" w:name="_Toc122092644"/>
      <w:bookmarkEnd w:id="42"/>
      <w:bookmarkStart w:id="43" w:name="_Toc117947772"/>
      <w:bookmarkEnd w:id="43"/>
      <w:bookmarkStart w:id="44" w:name="_Toc495500022"/>
      <w:r>
        <w:rPr>
          <w:rFonts w:eastAsia="仿宋_GB2312"/>
          <w:color w:val="000000"/>
          <w:sz w:val="24"/>
          <w:szCs w:val="24"/>
        </w:rPr>
        <w:t>1.3.3其他技术规范</w:t>
      </w:r>
      <w:bookmarkEnd w:id="44"/>
    </w:p>
    <w:p w14:paraId="2EA26758">
      <w:pPr>
        <w:spacing w:line="360" w:lineRule="auto"/>
        <w:ind w:firstLine="480"/>
        <w:rPr>
          <w:color w:val="000000"/>
          <w:sz w:val="24"/>
        </w:rPr>
      </w:pPr>
      <w:r>
        <w:rPr>
          <w:color w:val="000000"/>
          <w:sz w:val="24"/>
        </w:rPr>
        <w:t>（1）《医院污水处理工程技术规范》（HJ2029-2013）；</w:t>
      </w:r>
    </w:p>
    <w:p w14:paraId="66ECA019">
      <w:pPr>
        <w:spacing w:line="360" w:lineRule="auto"/>
        <w:ind w:firstLine="480"/>
        <w:rPr>
          <w:color w:val="000000"/>
          <w:sz w:val="24"/>
        </w:rPr>
      </w:pPr>
      <w:r>
        <w:rPr>
          <w:color w:val="000000"/>
          <w:sz w:val="24"/>
        </w:rPr>
        <w:t>（2）《医院污水处理技术指南》（环发【2003】197号）；</w:t>
      </w:r>
    </w:p>
    <w:p w14:paraId="2806A7BC">
      <w:pPr>
        <w:spacing w:line="360" w:lineRule="auto"/>
        <w:ind w:firstLine="480"/>
        <w:rPr>
          <w:color w:val="000000"/>
          <w:sz w:val="24"/>
        </w:rPr>
      </w:pPr>
      <w:r>
        <w:rPr>
          <w:color w:val="000000"/>
          <w:sz w:val="24"/>
        </w:rPr>
        <w:t>（3）《医疗废物分类目录》（卫生部、国家环保总局文件 卫医发【2003】287号）；</w:t>
      </w:r>
    </w:p>
    <w:p w14:paraId="2AC65DFA">
      <w:pPr>
        <w:spacing w:line="360" w:lineRule="auto"/>
        <w:ind w:firstLine="480"/>
        <w:rPr>
          <w:color w:val="000000"/>
          <w:sz w:val="24"/>
        </w:rPr>
      </w:pPr>
      <w:r>
        <w:rPr>
          <w:color w:val="000000"/>
          <w:sz w:val="24"/>
        </w:rPr>
        <w:t>（4）《环境影响评价技术导则   总纲》（HJ2.1-2011）；</w:t>
      </w:r>
    </w:p>
    <w:p w14:paraId="2AF27480">
      <w:pPr>
        <w:spacing w:line="360" w:lineRule="auto"/>
        <w:ind w:firstLine="480"/>
        <w:rPr>
          <w:color w:val="000000"/>
          <w:sz w:val="24"/>
        </w:rPr>
      </w:pPr>
      <w:r>
        <w:rPr>
          <w:color w:val="000000"/>
          <w:sz w:val="24"/>
        </w:rPr>
        <w:t>（5）《环境影响评价技术导则   地面水环境》（HJ/T2.3-93）；</w:t>
      </w:r>
    </w:p>
    <w:p w14:paraId="2F2DD1BE">
      <w:pPr>
        <w:spacing w:line="360" w:lineRule="auto"/>
        <w:ind w:firstLine="480"/>
        <w:rPr>
          <w:color w:val="000000"/>
          <w:sz w:val="24"/>
        </w:rPr>
      </w:pPr>
      <w:r>
        <w:rPr>
          <w:color w:val="000000"/>
          <w:sz w:val="24"/>
        </w:rPr>
        <w:t>（6）《环境影响评价技术导则   地下水环境》（HJ610－2016）；</w:t>
      </w:r>
    </w:p>
    <w:p w14:paraId="41964905">
      <w:pPr>
        <w:spacing w:line="360" w:lineRule="auto"/>
        <w:ind w:firstLine="480"/>
        <w:rPr>
          <w:color w:val="000000"/>
          <w:sz w:val="24"/>
        </w:rPr>
      </w:pPr>
      <w:r>
        <w:rPr>
          <w:color w:val="000000"/>
          <w:sz w:val="24"/>
        </w:rPr>
        <w:t>（7）《环境影响评价技术导则   大气环境》（HJ2.2-2008）；</w:t>
      </w:r>
    </w:p>
    <w:p w14:paraId="7F7E9152">
      <w:pPr>
        <w:spacing w:line="360" w:lineRule="auto"/>
        <w:ind w:firstLine="480"/>
        <w:rPr>
          <w:color w:val="000000"/>
          <w:sz w:val="24"/>
        </w:rPr>
      </w:pPr>
      <w:r>
        <w:rPr>
          <w:color w:val="000000"/>
          <w:sz w:val="24"/>
        </w:rPr>
        <w:t>（8）《环境影响评价技术导则   声环境》（HJ2.4-2009）；</w:t>
      </w:r>
    </w:p>
    <w:p w14:paraId="63A60379">
      <w:pPr>
        <w:spacing w:line="360" w:lineRule="auto"/>
        <w:ind w:firstLine="480"/>
        <w:rPr>
          <w:color w:val="000000"/>
          <w:sz w:val="24"/>
        </w:rPr>
      </w:pPr>
      <w:r>
        <w:rPr>
          <w:color w:val="000000"/>
          <w:sz w:val="24"/>
        </w:rPr>
        <w:t>（9）《环境影响评价技术导则   生态影响》（HJ19-2011）；</w:t>
      </w:r>
    </w:p>
    <w:p w14:paraId="133EC83B">
      <w:pPr>
        <w:spacing w:line="360" w:lineRule="auto"/>
        <w:ind w:firstLine="480"/>
        <w:rPr>
          <w:color w:val="000000"/>
          <w:sz w:val="24"/>
        </w:rPr>
      </w:pPr>
      <w:r>
        <w:rPr>
          <w:color w:val="000000"/>
          <w:sz w:val="24"/>
        </w:rPr>
        <w:t>（10）《医疗废物转运车技术要求（试行）》（GB 19217-2003）；</w:t>
      </w:r>
    </w:p>
    <w:p w14:paraId="3F2F6522">
      <w:pPr>
        <w:spacing w:line="360" w:lineRule="auto"/>
        <w:ind w:firstLine="480"/>
        <w:rPr>
          <w:color w:val="000000"/>
          <w:sz w:val="24"/>
        </w:rPr>
      </w:pPr>
      <w:r>
        <w:rPr>
          <w:color w:val="000000"/>
          <w:sz w:val="24"/>
        </w:rPr>
        <w:t>（11）《医疗废物集中处置技术规范（试行）》，国家环保总局环发【2003】206号；</w:t>
      </w:r>
    </w:p>
    <w:p w14:paraId="2723C43E">
      <w:pPr>
        <w:spacing w:line="360" w:lineRule="auto"/>
        <w:ind w:firstLine="480"/>
        <w:rPr>
          <w:color w:val="000000"/>
          <w:sz w:val="24"/>
        </w:rPr>
      </w:pPr>
      <w:r>
        <w:rPr>
          <w:color w:val="000000"/>
          <w:sz w:val="24"/>
        </w:rPr>
        <w:t>（12）《医疗废物专用包装袋、容器和警示标志标准》，HJ421-2008（代替环发[2003]188号文件）（2008.4.1）；</w:t>
      </w:r>
    </w:p>
    <w:p w14:paraId="26A33F60">
      <w:pPr>
        <w:spacing w:line="360" w:lineRule="auto"/>
        <w:ind w:firstLine="480"/>
        <w:rPr>
          <w:color w:val="000000"/>
          <w:sz w:val="24"/>
        </w:rPr>
      </w:pPr>
      <w:r>
        <w:rPr>
          <w:color w:val="000000"/>
          <w:sz w:val="24"/>
        </w:rPr>
        <w:t>（13）关于印发《医院排放污水余氯自动监测系统建设技术要求》（暂行）的通知，(环办函[2003]283号)。</w:t>
      </w:r>
    </w:p>
    <w:p w14:paraId="2BE0E86A">
      <w:pPr>
        <w:pStyle w:val="183"/>
        <w:ind w:firstLine="472"/>
        <w:rPr>
          <w:rFonts w:eastAsia="仿宋_GB2312"/>
          <w:color w:val="000000"/>
          <w:sz w:val="24"/>
          <w:szCs w:val="24"/>
        </w:rPr>
      </w:pPr>
      <w:bookmarkStart w:id="45" w:name="_Toc122092646"/>
      <w:bookmarkEnd w:id="45"/>
      <w:bookmarkStart w:id="46" w:name="_Toc117947774"/>
      <w:bookmarkEnd w:id="46"/>
      <w:bookmarkStart w:id="47" w:name="_Toc143085312"/>
      <w:bookmarkEnd w:id="47"/>
      <w:bookmarkStart w:id="48" w:name="_Toc123048227"/>
      <w:bookmarkEnd w:id="48"/>
      <w:bookmarkStart w:id="49" w:name="_Toc217800763"/>
      <w:bookmarkEnd w:id="49"/>
      <w:bookmarkStart w:id="50" w:name="_Toc495500023"/>
      <w:r>
        <w:rPr>
          <w:rFonts w:eastAsia="仿宋_GB2312"/>
          <w:color w:val="000000"/>
          <w:sz w:val="24"/>
          <w:szCs w:val="24"/>
        </w:rPr>
        <w:t>1.3.4其他相关资料及文件</w:t>
      </w:r>
      <w:bookmarkEnd w:id="50"/>
    </w:p>
    <w:p w14:paraId="7C833A97">
      <w:pPr>
        <w:spacing w:line="360" w:lineRule="auto"/>
        <w:ind w:firstLine="480"/>
        <w:rPr>
          <w:color w:val="000000"/>
          <w:sz w:val="24"/>
        </w:rPr>
      </w:pPr>
      <w:r>
        <w:rPr>
          <w:color w:val="000000"/>
          <w:sz w:val="24"/>
        </w:rPr>
        <w:t>（1）建设单位环境影响评价委托书；</w:t>
      </w:r>
    </w:p>
    <w:p w14:paraId="4246DB84">
      <w:pPr>
        <w:spacing w:line="360" w:lineRule="auto"/>
        <w:ind w:firstLine="480"/>
        <w:rPr>
          <w:color w:val="000000"/>
          <w:sz w:val="24"/>
        </w:rPr>
      </w:pPr>
      <w:bookmarkStart w:id="51" w:name="_Toc369792495"/>
      <w:bookmarkEnd w:id="51"/>
      <w:bookmarkStart w:id="52" w:name="_Toc369709648"/>
      <w:bookmarkEnd w:id="52"/>
      <w:bookmarkStart w:id="53" w:name="_Toc369709462"/>
      <w:bookmarkEnd w:id="53"/>
      <w:r>
        <w:rPr>
          <w:color w:val="000000"/>
          <w:sz w:val="24"/>
        </w:rPr>
        <w:t>（2）建设单位环境影响评价技术合同；</w:t>
      </w:r>
    </w:p>
    <w:p w14:paraId="35B1BADE">
      <w:pPr>
        <w:spacing w:line="360" w:lineRule="auto"/>
        <w:ind w:firstLine="480"/>
        <w:rPr>
          <w:rFonts w:hint="eastAsia"/>
          <w:color w:val="000000"/>
          <w:sz w:val="24"/>
        </w:rPr>
      </w:pPr>
      <w:r>
        <w:rPr>
          <w:color w:val="000000"/>
          <w:sz w:val="24"/>
        </w:rPr>
        <w:t>（3）芒市发展和改革局关于《芒市妇幼保健院迁建项目建议书》的批复，芒发改字【2017】104号；</w:t>
      </w:r>
    </w:p>
    <w:p w14:paraId="2E2574A7">
      <w:pPr>
        <w:spacing w:line="360" w:lineRule="auto"/>
        <w:ind w:firstLine="480"/>
        <w:rPr>
          <w:rFonts w:hint="eastAsia"/>
          <w:color w:val="000000"/>
          <w:sz w:val="24"/>
        </w:rPr>
      </w:pPr>
      <w:r>
        <w:rPr>
          <w:rFonts w:hint="eastAsia"/>
          <w:color w:val="000000"/>
          <w:sz w:val="24"/>
        </w:rPr>
        <w:t>（4）德宏州卫生和计划生育委员会关于芒市妇幼保健计划生育服务中心增加病床编制的批复，德卫计复【2017】4号；</w:t>
      </w:r>
    </w:p>
    <w:p w14:paraId="6E1A2968">
      <w:pPr>
        <w:spacing w:line="360" w:lineRule="auto"/>
        <w:ind w:firstLine="480"/>
        <w:rPr>
          <w:rFonts w:hint="eastAsia"/>
          <w:color w:val="000000"/>
          <w:sz w:val="24"/>
        </w:rPr>
      </w:pPr>
      <w:r>
        <w:rPr>
          <w:rFonts w:hint="eastAsia"/>
          <w:color w:val="000000"/>
          <w:sz w:val="24"/>
        </w:rPr>
        <w:t>（5）芒市住房和城乡规划建设局</w:t>
      </w:r>
      <w:r>
        <w:rPr>
          <w:color w:val="000000"/>
          <w:sz w:val="24"/>
        </w:rPr>
        <w:t>建设项目选址意见书，选字第533103201600027号；</w:t>
      </w:r>
    </w:p>
    <w:p w14:paraId="2F3FC38D">
      <w:pPr>
        <w:spacing w:line="360" w:lineRule="auto"/>
        <w:ind w:firstLine="480"/>
        <w:rPr>
          <w:rFonts w:hint="eastAsia"/>
          <w:color w:val="000000"/>
          <w:sz w:val="24"/>
        </w:rPr>
      </w:pPr>
      <w:r>
        <w:rPr>
          <w:rFonts w:hint="eastAsia"/>
          <w:color w:val="000000"/>
          <w:sz w:val="24"/>
        </w:rPr>
        <w:t>（6）芒市住房和城乡规划建设局</w:t>
      </w:r>
      <w:r>
        <w:rPr>
          <w:color w:val="000000"/>
          <w:sz w:val="24"/>
        </w:rPr>
        <w:t>建设工程规划许可证，建字第S533103201600076号</w:t>
      </w:r>
      <w:r>
        <w:rPr>
          <w:rFonts w:hint="eastAsia"/>
          <w:color w:val="000000"/>
          <w:sz w:val="24"/>
        </w:rPr>
        <w:t>；</w:t>
      </w:r>
    </w:p>
    <w:p w14:paraId="5E6EE0AD">
      <w:pPr>
        <w:spacing w:line="360" w:lineRule="auto"/>
        <w:ind w:firstLine="480"/>
        <w:rPr>
          <w:rFonts w:hint="eastAsia"/>
          <w:color w:val="000000"/>
          <w:sz w:val="24"/>
        </w:rPr>
      </w:pPr>
      <w:r>
        <w:rPr>
          <w:rFonts w:hint="eastAsia"/>
          <w:color w:val="000000"/>
          <w:sz w:val="24"/>
        </w:rPr>
        <w:t>（7）芒市城乡规划建设资料。</w:t>
      </w:r>
    </w:p>
    <w:p w14:paraId="0B20E5D5">
      <w:pPr>
        <w:pStyle w:val="182"/>
        <w:ind w:firstLine="275"/>
        <w:rPr>
          <w:rFonts w:ascii="Times New Roman" w:hAnsi="Times New Roman" w:eastAsia="仿宋_GB2312" w:cs="Times New Roman"/>
          <w:color w:val="000000"/>
          <w:sz w:val="28"/>
          <w:szCs w:val="28"/>
        </w:rPr>
      </w:pPr>
      <w:bookmarkStart w:id="54" w:name="_Toc217800764"/>
      <w:bookmarkEnd w:id="54"/>
      <w:bookmarkStart w:id="55" w:name="_Toc495500024"/>
      <w:r>
        <w:rPr>
          <w:rFonts w:ascii="Times New Roman" w:hAnsi="Times New Roman" w:eastAsia="仿宋_GB2312" w:cs="Times New Roman"/>
          <w:color w:val="000000"/>
          <w:sz w:val="28"/>
          <w:szCs w:val="28"/>
        </w:rPr>
        <w:t>1.4评价标准</w:t>
      </w:r>
      <w:bookmarkEnd w:id="55"/>
    </w:p>
    <w:p w14:paraId="68BC2EA4">
      <w:pPr>
        <w:pStyle w:val="183"/>
        <w:ind w:firstLine="472"/>
        <w:rPr>
          <w:rFonts w:eastAsia="仿宋_GB2312"/>
          <w:color w:val="000000"/>
          <w:sz w:val="24"/>
          <w:szCs w:val="24"/>
        </w:rPr>
      </w:pPr>
      <w:bookmarkStart w:id="56" w:name="_Toc143085325"/>
      <w:bookmarkEnd w:id="56"/>
      <w:bookmarkStart w:id="57" w:name="_Toc217800765"/>
      <w:bookmarkEnd w:id="57"/>
      <w:bookmarkStart w:id="58" w:name="_Toc495500025"/>
      <w:r>
        <w:rPr>
          <w:rFonts w:eastAsia="仿宋_GB2312"/>
          <w:color w:val="000000"/>
          <w:sz w:val="24"/>
          <w:szCs w:val="24"/>
        </w:rPr>
        <w:t>1.4.1环境质量标准</w:t>
      </w:r>
      <w:bookmarkEnd w:id="58"/>
    </w:p>
    <w:p w14:paraId="6F893952">
      <w:pPr>
        <w:spacing w:line="360" w:lineRule="auto"/>
        <w:ind w:firstLine="561"/>
        <w:rPr>
          <w:color w:val="000000"/>
          <w:sz w:val="24"/>
        </w:rPr>
      </w:pPr>
      <w:r>
        <w:rPr>
          <w:color w:val="000000"/>
          <w:sz w:val="24"/>
        </w:rPr>
        <w:t>（1）环境空气质量标准</w:t>
      </w:r>
    </w:p>
    <w:p w14:paraId="798F4187">
      <w:pPr>
        <w:spacing w:line="360" w:lineRule="auto"/>
        <w:ind w:firstLine="480"/>
        <w:rPr>
          <w:color w:val="000000"/>
          <w:sz w:val="24"/>
        </w:rPr>
      </w:pPr>
      <w:r>
        <w:rPr>
          <w:color w:val="000000"/>
          <w:sz w:val="24"/>
        </w:rPr>
        <w:t>本项目所在地属于二类区，大气环境执行《环境空气质量标准》(GB3095-2012)中的二级标准；特征污染物环境空气质量标准，氨和硫化氢参照执行《工业企业设计卫生标准》（TJ36-79）表1中“居住区大气中有害物质的最高容许浓度。具体标准见表1.4-1、1.4-2。</w:t>
      </w:r>
    </w:p>
    <w:p w14:paraId="66111BEB">
      <w:pPr>
        <w:spacing w:line="360" w:lineRule="auto"/>
        <w:ind w:firstLine="480"/>
        <w:rPr>
          <w:color w:val="000000"/>
          <w:sz w:val="24"/>
        </w:rPr>
      </w:pPr>
      <w:r>
        <w:rPr>
          <w:color w:val="000000"/>
          <w:sz w:val="24"/>
        </w:rPr>
        <w:t>区域大气环境质量执行环境空气质量标准》(GB3095-2012)中的二级标准，标准值详见下表。</w:t>
      </w:r>
    </w:p>
    <w:p w14:paraId="5C8F0A4B">
      <w:pPr>
        <w:pStyle w:val="284"/>
        <w:spacing w:line="240" w:lineRule="auto"/>
        <w:rPr>
          <w:rFonts w:ascii="Times New Roman" w:hAnsi="Times New Roman" w:cs="Times New Roman"/>
          <w:color w:val="000000"/>
        </w:rPr>
      </w:pPr>
      <w:r>
        <w:rPr>
          <w:rFonts w:ascii="Times New Roman" w:hAnsi="Times New Roman" w:cs="Times New Roman"/>
          <w:color w:val="000000"/>
        </w:rPr>
        <w:t xml:space="preserve">表1.4-1  环境空气质量标准（GB3095-2012）    </w:t>
      </w:r>
      <w:r>
        <w:rPr>
          <w:rFonts w:ascii="Times New Roman" w:hAnsi="Times New Roman" w:cs="Times New Roman"/>
          <w:color w:val="000000"/>
          <w:sz w:val="21"/>
          <w:szCs w:val="18"/>
        </w:rPr>
        <w:t>单位: mg/m</w:t>
      </w:r>
      <w:r>
        <w:rPr>
          <w:rFonts w:ascii="Times New Roman" w:hAnsi="Times New Roman" w:cs="Times New Roman"/>
          <w:color w:val="000000"/>
          <w:sz w:val="21"/>
          <w:szCs w:val="18"/>
          <w:vertAlign w:val="superscript"/>
        </w:rPr>
        <w:t>3</w:t>
      </w:r>
    </w:p>
    <w:tbl>
      <w:tblPr>
        <w:tblStyle w:val="27"/>
        <w:tblW w:w="0" w:type="auto"/>
        <w:tblInd w:w="0" w:type="dxa"/>
        <w:tblLayout w:type="fixed"/>
        <w:tblCellMar>
          <w:top w:w="0" w:type="dxa"/>
          <w:left w:w="108" w:type="dxa"/>
          <w:bottom w:w="0" w:type="dxa"/>
          <w:right w:w="108" w:type="dxa"/>
        </w:tblCellMar>
      </w:tblPr>
      <w:tblGrid>
        <w:gridCol w:w="2990"/>
        <w:gridCol w:w="2990"/>
        <w:gridCol w:w="2980"/>
      </w:tblGrid>
      <w:tr w14:paraId="4578709F">
        <w:tblPrEx>
          <w:tblCellMar>
            <w:top w:w="0" w:type="dxa"/>
            <w:left w:w="108" w:type="dxa"/>
            <w:bottom w:w="0" w:type="dxa"/>
            <w:right w:w="108" w:type="dxa"/>
          </w:tblCellMar>
        </w:tblPrEx>
        <w:trPr>
          <w:trHeight w:val="353" w:hRule="atLeast"/>
        </w:trPr>
        <w:tc>
          <w:tcPr>
            <w:tcW w:w="2990" w:type="dxa"/>
            <w:tcBorders>
              <w:top w:val="single" w:color="000000" w:sz="4" w:space="0"/>
              <w:left w:val="single" w:color="000000" w:sz="4" w:space="0"/>
              <w:bottom w:val="single" w:color="000000" w:sz="4" w:space="0"/>
              <w:right w:val="single" w:color="000000" w:sz="4" w:space="0"/>
            </w:tcBorders>
            <w:noWrap w:val="0"/>
            <w:vAlign w:val="center"/>
          </w:tcPr>
          <w:p w14:paraId="371507B5">
            <w:pPr>
              <w:pStyle w:val="275"/>
              <w:spacing w:line="240" w:lineRule="auto"/>
              <w:rPr>
                <w:b w:val="0"/>
                <w:color w:val="000000"/>
                <w:sz w:val="21"/>
                <w:szCs w:val="21"/>
              </w:rPr>
            </w:pPr>
            <w:r>
              <w:rPr>
                <w:b w:val="0"/>
                <w:color w:val="000000"/>
                <w:sz w:val="21"/>
                <w:szCs w:val="21"/>
              </w:rPr>
              <w:t>污染物名称</w:t>
            </w:r>
          </w:p>
        </w:tc>
        <w:tc>
          <w:tcPr>
            <w:tcW w:w="2990" w:type="dxa"/>
            <w:tcBorders>
              <w:top w:val="single" w:color="000000" w:sz="4" w:space="0"/>
              <w:left w:val="single" w:color="000000" w:sz="4" w:space="0"/>
              <w:bottom w:val="single" w:color="000000" w:sz="4" w:space="0"/>
              <w:right w:val="single" w:color="000000" w:sz="4" w:space="0"/>
            </w:tcBorders>
            <w:noWrap w:val="0"/>
            <w:vAlign w:val="center"/>
          </w:tcPr>
          <w:p w14:paraId="1025E87D">
            <w:pPr>
              <w:pStyle w:val="271"/>
              <w:spacing w:line="240" w:lineRule="auto"/>
              <w:rPr>
                <w:b/>
                <w:color w:val="000000"/>
                <w:szCs w:val="21"/>
              </w:rPr>
            </w:pPr>
            <w:r>
              <w:rPr>
                <w:b/>
                <w:color w:val="000000"/>
                <w:szCs w:val="21"/>
              </w:rPr>
              <w:t>取值时间</w:t>
            </w:r>
          </w:p>
        </w:tc>
        <w:tc>
          <w:tcPr>
            <w:tcW w:w="2980" w:type="dxa"/>
            <w:tcBorders>
              <w:top w:val="single" w:color="000000" w:sz="4" w:space="0"/>
              <w:left w:val="single" w:color="000000" w:sz="4" w:space="0"/>
              <w:bottom w:val="single" w:color="000000" w:sz="4" w:space="0"/>
              <w:right w:val="single" w:color="000000" w:sz="4" w:space="0"/>
            </w:tcBorders>
            <w:noWrap w:val="0"/>
            <w:vAlign w:val="center"/>
          </w:tcPr>
          <w:p w14:paraId="7112B4BB">
            <w:pPr>
              <w:pStyle w:val="271"/>
              <w:spacing w:line="240" w:lineRule="auto"/>
              <w:rPr>
                <w:b/>
                <w:color w:val="000000"/>
                <w:szCs w:val="21"/>
              </w:rPr>
            </w:pPr>
            <w:r>
              <w:rPr>
                <w:rFonts w:hint="eastAsia"/>
                <w:b/>
                <w:color w:val="000000"/>
                <w:szCs w:val="21"/>
              </w:rPr>
              <w:t>二级标准浓度限值</w:t>
            </w:r>
          </w:p>
        </w:tc>
      </w:tr>
      <w:tr w14:paraId="62FEB360">
        <w:tblPrEx>
          <w:tblCellMar>
            <w:top w:w="0" w:type="dxa"/>
            <w:left w:w="108" w:type="dxa"/>
            <w:bottom w:w="0" w:type="dxa"/>
            <w:right w:w="108" w:type="dxa"/>
          </w:tblCellMar>
        </w:tblPrEx>
        <w:trPr>
          <w:cantSplit/>
          <w:trHeight w:val="311" w:hRule="atLeast"/>
        </w:trPr>
        <w:tc>
          <w:tcPr>
            <w:tcW w:w="2990" w:type="dxa"/>
            <w:vMerge w:val="restart"/>
            <w:tcBorders>
              <w:top w:val="single" w:color="000000" w:sz="4" w:space="0"/>
              <w:left w:val="single" w:color="000000" w:sz="4" w:space="0"/>
              <w:bottom w:val="single" w:color="000000" w:sz="4" w:space="0"/>
              <w:right w:val="single" w:color="000000" w:sz="4" w:space="0"/>
            </w:tcBorders>
            <w:noWrap w:val="0"/>
            <w:vAlign w:val="center"/>
          </w:tcPr>
          <w:p w14:paraId="501659A4">
            <w:pPr>
              <w:pStyle w:val="275"/>
              <w:spacing w:line="240" w:lineRule="auto"/>
              <w:rPr>
                <w:color w:val="000000"/>
                <w:sz w:val="21"/>
                <w:szCs w:val="21"/>
              </w:rPr>
            </w:pPr>
            <w:r>
              <w:rPr>
                <w:color w:val="000000"/>
                <w:sz w:val="21"/>
                <w:szCs w:val="21"/>
              </w:rPr>
              <w:t>总悬浮颗粒物（TSP）</w:t>
            </w:r>
          </w:p>
        </w:tc>
        <w:tc>
          <w:tcPr>
            <w:tcW w:w="2990" w:type="dxa"/>
            <w:tcBorders>
              <w:top w:val="single" w:color="000000" w:sz="4" w:space="0"/>
              <w:left w:val="single" w:color="000000" w:sz="4" w:space="0"/>
              <w:bottom w:val="single" w:color="000000" w:sz="4" w:space="0"/>
              <w:right w:val="single" w:color="000000" w:sz="4" w:space="0"/>
            </w:tcBorders>
            <w:noWrap w:val="0"/>
            <w:vAlign w:val="center"/>
          </w:tcPr>
          <w:p w14:paraId="7E8C0BE4">
            <w:pPr>
              <w:pStyle w:val="271"/>
              <w:spacing w:line="240" w:lineRule="auto"/>
              <w:rPr>
                <w:color w:val="000000"/>
                <w:szCs w:val="21"/>
              </w:rPr>
            </w:pPr>
            <w:r>
              <w:rPr>
                <w:color w:val="000000"/>
                <w:szCs w:val="21"/>
              </w:rPr>
              <w:t>年平均</w:t>
            </w:r>
          </w:p>
        </w:tc>
        <w:tc>
          <w:tcPr>
            <w:tcW w:w="2980" w:type="dxa"/>
            <w:tcBorders>
              <w:top w:val="single" w:color="000000" w:sz="4" w:space="0"/>
              <w:left w:val="single" w:color="000000" w:sz="4" w:space="0"/>
              <w:bottom w:val="single" w:color="000000" w:sz="4" w:space="0"/>
              <w:right w:val="single" w:color="000000" w:sz="4" w:space="0"/>
            </w:tcBorders>
            <w:noWrap w:val="0"/>
            <w:vAlign w:val="center"/>
          </w:tcPr>
          <w:p w14:paraId="6BA681ED">
            <w:pPr>
              <w:pStyle w:val="271"/>
              <w:spacing w:line="240" w:lineRule="auto"/>
              <w:rPr>
                <w:color w:val="000000"/>
                <w:szCs w:val="21"/>
              </w:rPr>
            </w:pPr>
            <w:r>
              <w:rPr>
                <w:color w:val="000000"/>
                <w:szCs w:val="21"/>
              </w:rPr>
              <w:t>0.20</w:t>
            </w:r>
          </w:p>
        </w:tc>
      </w:tr>
      <w:tr w14:paraId="1561C471">
        <w:tblPrEx>
          <w:tblCellMar>
            <w:top w:w="0" w:type="dxa"/>
            <w:left w:w="108" w:type="dxa"/>
            <w:bottom w:w="0" w:type="dxa"/>
            <w:right w:w="108" w:type="dxa"/>
          </w:tblCellMar>
        </w:tblPrEx>
        <w:trPr>
          <w:cantSplit/>
          <w:trHeight w:val="311" w:hRule="atLeast"/>
        </w:trPr>
        <w:tc>
          <w:tcPr>
            <w:tcW w:w="2990" w:type="dxa"/>
            <w:vMerge w:val="continue"/>
            <w:tcBorders>
              <w:top w:val="single" w:color="000000" w:sz="4" w:space="0"/>
              <w:left w:val="single" w:color="000000" w:sz="4" w:space="0"/>
              <w:bottom w:val="single" w:color="000000" w:sz="4" w:space="0"/>
              <w:right w:val="single" w:color="000000" w:sz="4" w:space="0"/>
            </w:tcBorders>
            <w:noWrap w:val="0"/>
            <w:vAlign w:val="center"/>
          </w:tcPr>
          <w:p w14:paraId="46325219">
            <w:pPr>
              <w:jc w:val="left"/>
              <w:rPr>
                <w:color w:val="000000"/>
                <w:szCs w:val="21"/>
              </w:rPr>
            </w:pPr>
          </w:p>
        </w:tc>
        <w:tc>
          <w:tcPr>
            <w:tcW w:w="2990" w:type="dxa"/>
            <w:tcBorders>
              <w:top w:val="single" w:color="000000" w:sz="4" w:space="0"/>
              <w:left w:val="single" w:color="000000" w:sz="4" w:space="0"/>
              <w:bottom w:val="single" w:color="000000" w:sz="4" w:space="0"/>
              <w:right w:val="single" w:color="000000" w:sz="4" w:space="0"/>
            </w:tcBorders>
            <w:noWrap w:val="0"/>
            <w:vAlign w:val="center"/>
          </w:tcPr>
          <w:p w14:paraId="1F981CE5">
            <w:pPr>
              <w:pStyle w:val="271"/>
              <w:spacing w:line="240" w:lineRule="auto"/>
              <w:rPr>
                <w:color w:val="000000"/>
                <w:szCs w:val="21"/>
              </w:rPr>
            </w:pPr>
            <w:r>
              <w:rPr>
                <w:color w:val="000000"/>
                <w:szCs w:val="21"/>
              </w:rPr>
              <w:t>日平均</w:t>
            </w:r>
          </w:p>
        </w:tc>
        <w:tc>
          <w:tcPr>
            <w:tcW w:w="2980" w:type="dxa"/>
            <w:tcBorders>
              <w:top w:val="single" w:color="000000" w:sz="4" w:space="0"/>
              <w:left w:val="single" w:color="000000" w:sz="4" w:space="0"/>
              <w:bottom w:val="single" w:color="000000" w:sz="4" w:space="0"/>
              <w:right w:val="single" w:color="000000" w:sz="4" w:space="0"/>
            </w:tcBorders>
            <w:noWrap w:val="0"/>
            <w:vAlign w:val="center"/>
          </w:tcPr>
          <w:p w14:paraId="0115D3C7">
            <w:pPr>
              <w:pStyle w:val="271"/>
              <w:spacing w:line="240" w:lineRule="auto"/>
              <w:rPr>
                <w:color w:val="000000"/>
                <w:szCs w:val="21"/>
              </w:rPr>
            </w:pPr>
            <w:r>
              <w:rPr>
                <w:color w:val="000000"/>
                <w:szCs w:val="21"/>
              </w:rPr>
              <w:t>0.30</w:t>
            </w:r>
          </w:p>
        </w:tc>
      </w:tr>
      <w:tr w14:paraId="251C7F0F">
        <w:tblPrEx>
          <w:tblCellMar>
            <w:top w:w="0" w:type="dxa"/>
            <w:left w:w="108" w:type="dxa"/>
            <w:bottom w:w="0" w:type="dxa"/>
            <w:right w:w="108" w:type="dxa"/>
          </w:tblCellMar>
        </w:tblPrEx>
        <w:trPr>
          <w:cantSplit/>
          <w:trHeight w:val="311" w:hRule="atLeast"/>
        </w:trPr>
        <w:tc>
          <w:tcPr>
            <w:tcW w:w="2990" w:type="dxa"/>
            <w:vMerge w:val="continue"/>
            <w:tcBorders>
              <w:top w:val="single" w:color="000000" w:sz="4" w:space="0"/>
              <w:left w:val="single" w:color="000000" w:sz="4" w:space="0"/>
              <w:bottom w:val="single" w:color="000000" w:sz="4" w:space="0"/>
              <w:right w:val="single" w:color="000000" w:sz="4" w:space="0"/>
            </w:tcBorders>
            <w:noWrap w:val="0"/>
            <w:vAlign w:val="center"/>
          </w:tcPr>
          <w:p w14:paraId="39BD37A2">
            <w:pPr>
              <w:jc w:val="left"/>
              <w:rPr>
                <w:color w:val="000000"/>
                <w:szCs w:val="21"/>
              </w:rPr>
            </w:pPr>
          </w:p>
        </w:tc>
        <w:tc>
          <w:tcPr>
            <w:tcW w:w="2990" w:type="dxa"/>
            <w:tcBorders>
              <w:top w:val="single" w:color="000000" w:sz="4" w:space="0"/>
              <w:left w:val="single" w:color="000000" w:sz="4" w:space="0"/>
              <w:bottom w:val="single" w:color="000000" w:sz="4" w:space="0"/>
              <w:right w:val="single" w:color="000000" w:sz="4" w:space="0"/>
            </w:tcBorders>
            <w:noWrap w:val="0"/>
            <w:vAlign w:val="center"/>
          </w:tcPr>
          <w:p w14:paraId="1C69D486">
            <w:pPr>
              <w:pStyle w:val="271"/>
              <w:spacing w:line="240" w:lineRule="auto"/>
              <w:rPr>
                <w:color w:val="000000"/>
                <w:szCs w:val="21"/>
              </w:rPr>
            </w:pPr>
            <w:r>
              <w:rPr>
                <w:color w:val="000000"/>
                <w:szCs w:val="21"/>
              </w:rPr>
              <w:t>1小时平均</w:t>
            </w:r>
          </w:p>
        </w:tc>
        <w:tc>
          <w:tcPr>
            <w:tcW w:w="2980" w:type="dxa"/>
            <w:tcBorders>
              <w:top w:val="single" w:color="000000" w:sz="4" w:space="0"/>
              <w:left w:val="single" w:color="000000" w:sz="4" w:space="0"/>
              <w:bottom w:val="single" w:color="000000" w:sz="4" w:space="0"/>
              <w:right w:val="single" w:color="000000" w:sz="4" w:space="0"/>
            </w:tcBorders>
            <w:noWrap w:val="0"/>
            <w:vAlign w:val="center"/>
          </w:tcPr>
          <w:p w14:paraId="2E8B9DDE">
            <w:pPr>
              <w:pStyle w:val="271"/>
              <w:spacing w:line="240" w:lineRule="auto"/>
              <w:rPr>
                <w:color w:val="000000"/>
                <w:szCs w:val="21"/>
              </w:rPr>
            </w:pPr>
            <w:r>
              <w:rPr>
                <w:color w:val="000000"/>
                <w:szCs w:val="21"/>
              </w:rPr>
              <w:t>-</w:t>
            </w:r>
          </w:p>
        </w:tc>
      </w:tr>
      <w:tr w14:paraId="2BAD29A7">
        <w:tblPrEx>
          <w:tblCellMar>
            <w:top w:w="0" w:type="dxa"/>
            <w:left w:w="108" w:type="dxa"/>
            <w:bottom w:w="0" w:type="dxa"/>
            <w:right w:w="108" w:type="dxa"/>
          </w:tblCellMar>
        </w:tblPrEx>
        <w:trPr>
          <w:cantSplit/>
          <w:trHeight w:val="353" w:hRule="atLeast"/>
        </w:trPr>
        <w:tc>
          <w:tcPr>
            <w:tcW w:w="2990" w:type="dxa"/>
            <w:vMerge w:val="restart"/>
            <w:tcBorders>
              <w:top w:val="single" w:color="000000" w:sz="4" w:space="0"/>
              <w:left w:val="single" w:color="000000" w:sz="4" w:space="0"/>
              <w:bottom w:val="single" w:color="000000" w:sz="4" w:space="0"/>
              <w:right w:val="single" w:color="000000" w:sz="4" w:space="0"/>
            </w:tcBorders>
            <w:noWrap w:val="0"/>
            <w:vAlign w:val="center"/>
          </w:tcPr>
          <w:p w14:paraId="629B128A">
            <w:pPr>
              <w:pStyle w:val="275"/>
              <w:spacing w:line="240" w:lineRule="auto"/>
              <w:rPr>
                <w:color w:val="000000"/>
                <w:sz w:val="21"/>
                <w:szCs w:val="21"/>
              </w:rPr>
            </w:pPr>
            <w:r>
              <w:rPr>
                <w:color w:val="000000"/>
                <w:sz w:val="21"/>
                <w:szCs w:val="21"/>
              </w:rPr>
              <w:t>可吸入颗粒物（PM</w:t>
            </w:r>
            <w:r>
              <w:rPr>
                <w:color w:val="000000"/>
                <w:sz w:val="21"/>
                <w:szCs w:val="21"/>
                <w:vertAlign w:val="subscript"/>
              </w:rPr>
              <w:t>10</w:t>
            </w:r>
            <w:r>
              <w:rPr>
                <w:color w:val="000000"/>
                <w:sz w:val="21"/>
                <w:szCs w:val="21"/>
              </w:rPr>
              <w:t>）</w:t>
            </w:r>
          </w:p>
        </w:tc>
        <w:tc>
          <w:tcPr>
            <w:tcW w:w="2990" w:type="dxa"/>
            <w:tcBorders>
              <w:top w:val="single" w:color="000000" w:sz="4" w:space="0"/>
              <w:left w:val="single" w:color="000000" w:sz="4" w:space="0"/>
              <w:bottom w:val="single" w:color="000000" w:sz="4" w:space="0"/>
              <w:right w:val="single" w:color="000000" w:sz="4" w:space="0"/>
            </w:tcBorders>
            <w:noWrap w:val="0"/>
            <w:vAlign w:val="center"/>
          </w:tcPr>
          <w:p w14:paraId="2C7F56F2">
            <w:pPr>
              <w:pStyle w:val="275"/>
              <w:spacing w:line="240" w:lineRule="auto"/>
              <w:rPr>
                <w:color w:val="000000"/>
                <w:sz w:val="21"/>
                <w:szCs w:val="21"/>
              </w:rPr>
            </w:pPr>
            <w:r>
              <w:rPr>
                <w:color w:val="000000"/>
                <w:sz w:val="21"/>
                <w:szCs w:val="21"/>
              </w:rPr>
              <w:t>年平均</w:t>
            </w:r>
          </w:p>
        </w:tc>
        <w:tc>
          <w:tcPr>
            <w:tcW w:w="2980" w:type="dxa"/>
            <w:tcBorders>
              <w:top w:val="single" w:color="000000" w:sz="4" w:space="0"/>
              <w:left w:val="single" w:color="000000" w:sz="4" w:space="0"/>
              <w:bottom w:val="single" w:color="000000" w:sz="4" w:space="0"/>
              <w:right w:val="single" w:color="000000" w:sz="4" w:space="0"/>
            </w:tcBorders>
            <w:noWrap w:val="0"/>
            <w:vAlign w:val="center"/>
          </w:tcPr>
          <w:p w14:paraId="7B7861A8">
            <w:pPr>
              <w:pStyle w:val="271"/>
              <w:spacing w:line="240" w:lineRule="auto"/>
              <w:rPr>
                <w:color w:val="000000"/>
                <w:szCs w:val="21"/>
              </w:rPr>
            </w:pPr>
            <w:r>
              <w:rPr>
                <w:color w:val="000000"/>
                <w:szCs w:val="21"/>
              </w:rPr>
              <w:t>0.07</w:t>
            </w:r>
          </w:p>
        </w:tc>
      </w:tr>
      <w:tr w14:paraId="120EFE3A">
        <w:tblPrEx>
          <w:tblCellMar>
            <w:top w:w="0" w:type="dxa"/>
            <w:left w:w="108" w:type="dxa"/>
            <w:bottom w:w="0" w:type="dxa"/>
            <w:right w:w="108" w:type="dxa"/>
          </w:tblCellMar>
        </w:tblPrEx>
        <w:trPr>
          <w:cantSplit/>
          <w:trHeight w:val="353" w:hRule="atLeast"/>
        </w:trPr>
        <w:tc>
          <w:tcPr>
            <w:tcW w:w="2990" w:type="dxa"/>
            <w:vMerge w:val="continue"/>
            <w:tcBorders>
              <w:top w:val="single" w:color="000000" w:sz="4" w:space="0"/>
              <w:left w:val="single" w:color="000000" w:sz="4" w:space="0"/>
              <w:bottom w:val="single" w:color="000000" w:sz="4" w:space="0"/>
              <w:right w:val="single" w:color="000000" w:sz="4" w:space="0"/>
            </w:tcBorders>
            <w:noWrap w:val="0"/>
            <w:vAlign w:val="center"/>
          </w:tcPr>
          <w:p w14:paraId="6A65CB75">
            <w:pPr>
              <w:jc w:val="left"/>
              <w:rPr>
                <w:color w:val="000000"/>
                <w:szCs w:val="21"/>
              </w:rPr>
            </w:pPr>
          </w:p>
        </w:tc>
        <w:tc>
          <w:tcPr>
            <w:tcW w:w="2990" w:type="dxa"/>
            <w:tcBorders>
              <w:top w:val="single" w:color="000000" w:sz="4" w:space="0"/>
              <w:left w:val="single" w:color="000000" w:sz="4" w:space="0"/>
              <w:bottom w:val="single" w:color="000000" w:sz="4" w:space="0"/>
              <w:right w:val="single" w:color="000000" w:sz="4" w:space="0"/>
            </w:tcBorders>
            <w:noWrap w:val="0"/>
            <w:vAlign w:val="center"/>
          </w:tcPr>
          <w:p w14:paraId="63CFD325">
            <w:pPr>
              <w:pStyle w:val="275"/>
              <w:spacing w:line="240" w:lineRule="auto"/>
              <w:rPr>
                <w:color w:val="000000"/>
                <w:sz w:val="21"/>
                <w:szCs w:val="21"/>
              </w:rPr>
            </w:pPr>
            <w:r>
              <w:rPr>
                <w:color w:val="000000"/>
                <w:sz w:val="21"/>
                <w:szCs w:val="21"/>
              </w:rPr>
              <w:t>日平均</w:t>
            </w:r>
          </w:p>
        </w:tc>
        <w:tc>
          <w:tcPr>
            <w:tcW w:w="2980" w:type="dxa"/>
            <w:tcBorders>
              <w:top w:val="single" w:color="000000" w:sz="4" w:space="0"/>
              <w:left w:val="single" w:color="000000" w:sz="4" w:space="0"/>
              <w:bottom w:val="single" w:color="000000" w:sz="4" w:space="0"/>
              <w:right w:val="single" w:color="000000" w:sz="4" w:space="0"/>
            </w:tcBorders>
            <w:noWrap w:val="0"/>
            <w:vAlign w:val="center"/>
          </w:tcPr>
          <w:p w14:paraId="21A6CDF7">
            <w:pPr>
              <w:pStyle w:val="271"/>
              <w:spacing w:line="240" w:lineRule="auto"/>
              <w:rPr>
                <w:color w:val="000000"/>
                <w:szCs w:val="21"/>
              </w:rPr>
            </w:pPr>
            <w:r>
              <w:rPr>
                <w:color w:val="000000"/>
                <w:szCs w:val="21"/>
              </w:rPr>
              <w:t>0.15</w:t>
            </w:r>
          </w:p>
        </w:tc>
      </w:tr>
      <w:tr w14:paraId="2CF97BB5">
        <w:tblPrEx>
          <w:tblCellMar>
            <w:top w:w="0" w:type="dxa"/>
            <w:left w:w="108" w:type="dxa"/>
            <w:bottom w:w="0" w:type="dxa"/>
            <w:right w:w="108" w:type="dxa"/>
          </w:tblCellMar>
        </w:tblPrEx>
        <w:trPr>
          <w:cantSplit/>
          <w:trHeight w:val="353" w:hRule="atLeast"/>
        </w:trPr>
        <w:tc>
          <w:tcPr>
            <w:tcW w:w="2990" w:type="dxa"/>
            <w:vMerge w:val="continue"/>
            <w:tcBorders>
              <w:top w:val="single" w:color="000000" w:sz="4" w:space="0"/>
              <w:left w:val="single" w:color="000000" w:sz="4" w:space="0"/>
              <w:bottom w:val="single" w:color="000000" w:sz="4" w:space="0"/>
              <w:right w:val="single" w:color="000000" w:sz="4" w:space="0"/>
            </w:tcBorders>
            <w:noWrap w:val="0"/>
            <w:vAlign w:val="center"/>
          </w:tcPr>
          <w:p w14:paraId="7B396B2A">
            <w:pPr>
              <w:jc w:val="left"/>
              <w:rPr>
                <w:color w:val="000000"/>
                <w:szCs w:val="21"/>
              </w:rPr>
            </w:pPr>
          </w:p>
        </w:tc>
        <w:tc>
          <w:tcPr>
            <w:tcW w:w="2990" w:type="dxa"/>
            <w:tcBorders>
              <w:top w:val="single" w:color="000000" w:sz="4" w:space="0"/>
              <w:left w:val="single" w:color="000000" w:sz="4" w:space="0"/>
              <w:bottom w:val="single" w:color="000000" w:sz="4" w:space="0"/>
              <w:right w:val="single" w:color="000000" w:sz="4" w:space="0"/>
            </w:tcBorders>
            <w:noWrap w:val="0"/>
            <w:vAlign w:val="center"/>
          </w:tcPr>
          <w:p w14:paraId="28DE2E7B">
            <w:pPr>
              <w:pStyle w:val="275"/>
              <w:spacing w:line="240" w:lineRule="auto"/>
              <w:rPr>
                <w:color w:val="000000"/>
                <w:sz w:val="21"/>
                <w:szCs w:val="21"/>
              </w:rPr>
            </w:pPr>
            <w:r>
              <w:rPr>
                <w:color w:val="000000"/>
                <w:sz w:val="21"/>
                <w:szCs w:val="21"/>
              </w:rPr>
              <w:t>1小时平均</w:t>
            </w:r>
          </w:p>
        </w:tc>
        <w:tc>
          <w:tcPr>
            <w:tcW w:w="2980" w:type="dxa"/>
            <w:tcBorders>
              <w:top w:val="single" w:color="000000" w:sz="4" w:space="0"/>
              <w:left w:val="single" w:color="000000" w:sz="4" w:space="0"/>
              <w:bottom w:val="single" w:color="000000" w:sz="4" w:space="0"/>
              <w:right w:val="single" w:color="000000" w:sz="4" w:space="0"/>
            </w:tcBorders>
            <w:noWrap w:val="0"/>
            <w:vAlign w:val="center"/>
          </w:tcPr>
          <w:p w14:paraId="04DD7223">
            <w:pPr>
              <w:pStyle w:val="271"/>
              <w:spacing w:line="240" w:lineRule="auto"/>
              <w:rPr>
                <w:color w:val="000000"/>
                <w:szCs w:val="21"/>
              </w:rPr>
            </w:pPr>
            <w:r>
              <w:rPr>
                <w:color w:val="000000"/>
                <w:szCs w:val="21"/>
              </w:rPr>
              <w:t>-</w:t>
            </w:r>
          </w:p>
        </w:tc>
      </w:tr>
      <w:tr w14:paraId="2D70026D">
        <w:tblPrEx>
          <w:tblCellMar>
            <w:top w:w="0" w:type="dxa"/>
            <w:left w:w="108" w:type="dxa"/>
            <w:bottom w:w="0" w:type="dxa"/>
            <w:right w:w="108" w:type="dxa"/>
          </w:tblCellMar>
        </w:tblPrEx>
        <w:trPr>
          <w:cantSplit/>
          <w:trHeight w:val="353" w:hRule="atLeast"/>
        </w:trPr>
        <w:tc>
          <w:tcPr>
            <w:tcW w:w="2990" w:type="dxa"/>
            <w:vMerge w:val="restart"/>
            <w:tcBorders>
              <w:top w:val="single" w:color="000000" w:sz="4" w:space="0"/>
              <w:left w:val="single" w:color="000000" w:sz="4" w:space="0"/>
              <w:bottom w:val="single" w:color="000000" w:sz="4" w:space="0"/>
              <w:right w:val="single" w:color="000000" w:sz="4" w:space="0"/>
            </w:tcBorders>
            <w:noWrap w:val="0"/>
            <w:vAlign w:val="center"/>
          </w:tcPr>
          <w:p w14:paraId="5E6CD0A5">
            <w:pPr>
              <w:pStyle w:val="275"/>
              <w:spacing w:line="240" w:lineRule="auto"/>
              <w:rPr>
                <w:color w:val="000000"/>
                <w:sz w:val="21"/>
                <w:szCs w:val="21"/>
              </w:rPr>
            </w:pPr>
            <w:r>
              <w:rPr>
                <w:color w:val="000000"/>
                <w:sz w:val="21"/>
                <w:szCs w:val="21"/>
              </w:rPr>
              <w:t>可吸入颗粒物（PM</w:t>
            </w:r>
            <w:r>
              <w:rPr>
                <w:color w:val="000000"/>
                <w:sz w:val="21"/>
                <w:szCs w:val="21"/>
                <w:vertAlign w:val="subscript"/>
              </w:rPr>
              <w:t>2.5</w:t>
            </w:r>
            <w:r>
              <w:rPr>
                <w:color w:val="000000"/>
                <w:sz w:val="21"/>
                <w:szCs w:val="21"/>
              </w:rPr>
              <w:t>）</w:t>
            </w:r>
          </w:p>
        </w:tc>
        <w:tc>
          <w:tcPr>
            <w:tcW w:w="2990" w:type="dxa"/>
            <w:tcBorders>
              <w:top w:val="single" w:color="000000" w:sz="4" w:space="0"/>
              <w:left w:val="single" w:color="000000" w:sz="4" w:space="0"/>
              <w:bottom w:val="single" w:color="000000" w:sz="4" w:space="0"/>
              <w:right w:val="single" w:color="000000" w:sz="4" w:space="0"/>
            </w:tcBorders>
            <w:noWrap w:val="0"/>
            <w:vAlign w:val="center"/>
          </w:tcPr>
          <w:p w14:paraId="1998390F">
            <w:pPr>
              <w:pStyle w:val="275"/>
              <w:spacing w:line="240" w:lineRule="auto"/>
              <w:rPr>
                <w:color w:val="000000"/>
                <w:sz w:val="21"/>
                <w:szCs w:val="21"/>
              </w:rPr>
            </w:pPr>
            <w:r>
              <w:rPr>
                <w:color w:val="000000"/>
                <w:sz w:val="21"/>
                <w:szCs w:val="21"/>
              </w:rPr>
              <w:t>年平均</w:t>
            </w:r>
          </w:p>
        </w:tc>
        <w:tc>
          <w:tcPr>
            <w:tcW w:w="2980" w:type="dxa"/>
            <w:tcBorders>
              <w:top w:val="single" w:color="000000" w:sz="4" w:space="0"/>
              <w:left w:val="single" w:color="000000" w:sz="4" w:space="0"/>
              <w:bottom w:val="single" w:color="000000" w:sz="4" w:space="0"/>
              <w:right w:val="single" w:color="000000" w:sz="4" w:space="0"/>
            </w:tcBorders>
            <w:noWrap w:val="0"/>
            <w:vAlign w:val="center"/>
          </w:tcPr>
          <w:p w14:paraId="57C6CCD3">
            <w:pPr>
              <w:pStyle w:val="271"/>
              <w:spacing w:line="240" w:lineRule="auto"/>
              <w:rPr>
                <w:color w:val="000000"/>
                <w:szCs w:val="21"/>
              </w:rPr>
            </w:pPr>
            <w:r>
              <w:rPr>
                <w:color w:val="000000"/>
                <w:szCs w:val="21"/>
              </w:rPr>
              <w:t>0.035</w:t>
            </w:r>
          </w:p>
        </w:tc>
      </w:tr>
      <w:tr w14:paraId="4E309AB4">
        <w:tblPrEx>
          <w:tblCellMar>
            <w:top w:w="0" w:type="dxa"/>
            <w:left w:w="108" w:type="dxa"/>
            <w:bottom w:w="0" w:type="dxa"/>
            <w:right w:w="108" w:type="dxa"/>
          </w:tblCellMar>
        </w:tblPrEx>
        <w:trPr>
          <w:cantSplit/>
          <w:trHeight w:val="353" w:hRule="atLeast"/>
        </w:trPr>
        <w:tc>
          <w:tcPr>
            <w:tcW w:w="2990" w:type="dxa"/>
            <w:vMerge w:val="continue"/>
            <w:tcBorders>
              <w:top w:val="single" w:color="000000" w:sz="4" w:space="0"/>
              <w:left w:val="single" w:color="000000" w:sz="4" w:space="0"/>
              <w:bottom w:val="single" w:color="000000" w:sz="4" w:space="0"/>
              <w:right w:val="single" w:color="000000" w:sz="4" w:space="0"/>
            </w:tcBorders>
            <w:noWrap w:val="0"/>
            <w:vAlign w:val="center"/>
          </w:tcPr>
          <w:p w14:paraId="2E7895D3">
            <w:pPr>
              <w:jc w:val="left"/>
              <w:rPr>
                <w:color w:val="000000"/>
                <w:szCs w:val="21"/>
              </w:rPr>
            </w:pPr>
          </w:p>
        </w:tc>
        <w:tc>
          <w:tcPr>
            <w:tcW w:w="2990" w:type="dxa"/>
            <w:tcBorders>
              <w:top w:val="single" w:color="000000" w:sz="4" w:space="0"/>
              <w:left w:val="single" w:color="000000" w:sz="4" w:space="0"/>
              <w:bottom w:val="single" w:color="000000" w:sz="4" w:space="0"/>
              <w:right w:val="single" w:color="000000" w:sz="4" w:space="0"/>
            </w:tcBorders>
            <w:noWrap w:val="0"/>
            <w:vAlign w:val="center"/>
          </w:tcPr>
          <w:p w14:paraId="097E76D0">
            <w:pPr>
              <w:pStyle w:val="275"/>
              <w:spacing w:line="240" w:lineRule="auto"/>
              <w:rPr>
                <w:color w:val="000000"/>
                <w:sz w:val="21"/>
                <w:szCs w:val="21"/>
              </w:rPr>
            </w:pPr>
            <w:r>
              <w:rPr>
                <w:color w:val="000000"/>
                <w:sz w:val="21"/>
                <w:szCs w:val="21"/>
              </w:rPr>
              <w:t>日平均</w:t>
            </w:r>
          </w:p>
        </w:tc>
        <w:tc>
          <w:tcPr>
            <w:tcW w:w="2980" w:type="dxa"/>
            <w:tcBorders>
              <w:top w:val="single" w:color="000000" w:sz="4" w:space="0"/>
              <w:left w:val="single" w:color="000000" w:sz="4" w:space="0"/>
              <w:bottom w:val="single" w:color="000000" w:sz="4" w:space="0"/>
              <w:right w:val="single" w:color="000000" w:sz="4" w:space="0"/>
            </w:tcBorders>
            <w:noWrap w:val="0"/>
            <w:vAlign w:val="center"/>
          </w:tcPr>
          <w:p w14:paraId="0112560D">
            <w:pPr>
              <w:pStyle w:val="271"/>
              <w:spacing w:line="240" w:lineRule="auto"/>
              <w:rPr>
                <w:color w:val="000000"/>
                <w:szCs w:val="21"/>
              </w:rPr>
            </w:pPr>
            <w:r>
              <w:rPr>
                <w:color w:val="000000"/>
                <w:szCs w:val="21"/>
              </w:rPr>
              <w:t>0.075</w:t>
            </w:r>
          </w:p>
        </w:tc>
      </w:tr>
      <w:tr w14:paraId="64640AE5">
        <w:tblPrEx>
          <w:tblCellMar>
            <w:top w:w="0" w:type="dxa"/>
            <w:left w:w="108" w:type="dxa"/>
            <w:bottom w:w="0" w:type="dxa"/>
            <w:right w:w="108" w:type="dxa"/>
          </w:tblCellMar>
        </w:tblPrEx>
        <w:trPr>
          <w:cantSplit/>
          <w:trHeight w:val="311" w:hRule="atLeast"/>
        </w:trPr>
        <w:tc>
          <w:tcPr>
            <w:tcW w:w="2990" w:type="dxa"/>
            <w:vMerge w:val="restart"/>
            <w:tcBorders>
              <w:top w:val="single" w:color="000000" w:sz="4" w:space="0"/>
              <w:left w:val="single" w:color="000000" w:sz="4" w:space="0"/>
              <w:bottom w:val="single" w:color="000000" w:sz="4" w:space="0"/>
              <w:right w:val="single" w:color="000000" w:sz="4" w:space="0"/>
            </w:tcBorders>
            <w:noWrap w:val="0"/>
            <w:vAlign w:val="center"/>
          </w:tcPr>
          <w:p w14:paraId="5E1666D2">
            <w:pPr>
              <w:pStyle w:val="275"/>
              <w:spacing w:line="240" w:lineRule="auto"/>
              <w:rPr>
                <w:color w:val="000000"/>
                <w:sz w:val="21"/>
                <w:szCs w:val="21"/>
              </w:rPr>
            </w:pPr>
            <w:r>
              <w:rPr>
                <w:color w:val="000000"/>
                <w:sz w:val="21"/>
                <w:szCs w:val="21"/>
              </w:rPr>
              <w:t>二氧化氮（NO</w:t>
            </w:r>
            <w:r>
              <w:rPr>
                <w:color w:val="000000"/>
                <w:sz w:val="21"/>
                <w:szCs w:val="21"/>
                <w:vertAlign w:val="subscript"/>
              </w:rPr>
              <w:t>2</w:t>
            </w:r>
            <w:r>
              <w:rPr>
                <w:color w:val="000000"/>
                <w:sz w:val="21"/>
                <w:szCs w:val="21"/>
              </w:rPr>
              <w:t>）</w:t>
            </w:r>
          </w:p>
        </w:tc>
        <w:tc>
          <w:tcPr>
            <w:tcW w:w="2990" w:type="dxa"/>
            <w:tcBorders>
              <w:top w:val="single" w:color="000000" w:sz="4" w:space="0"/>
              <w:left w:val="single" w:color="000000" w:sz="4" w:space="0"/>
              <w:bottom w:val="single" w:color="000000" w:sz="4" w:space="0"/>
              <w:right w:val="single" w:color="000000" w:sz="4" w:space="0"/>
            </w:tcBorders>
            <w:noWrap w:val="0"/>
            <w:vAlign w:val="center"/>
          </w:tcPr>
          <w:p w14:paraId="623FB0AD">
            <w:pPr>
              <w:pStyle w:val="271"/>
              <w:spacing w:line="240" w:lineRule="auto"/>
              <w:rPr>
                <w:color w:val="000000"/>
                <w:szCs w:val="21"/>
              </w:rPr>
            </w:pPr>
            <w:r>
              <w:rPr>
                <w:color w:val="000000"/>
                <w:szCs w:val="21"/>
              </w:rPr>
              <w:t>年平均</w:t>
            </w:r>
          </w:p>
        </w:tc>
        <w:tc>
          <w:tcPr>
            <w:tcW w:w="2980" w:type="dxa"/>
            <w:tcBorders>
              <w:top w:val="single" w:color="000000" w:sz="4" w:space="0"/>
              <w:left w:val="single" w:color="000000" w:sz="4" w:space="0"/>
              <w:bottom w:val="single" w:color="000000" w:sz="4" w:space="0"/>
              <w:right w:val="single" w:color="000000" w:sz="4" w:space="0"/>
            </w:tcBorders>
            <w:noWrap w:val="0"/>
            <w:vAlign w:val="center"/>
          </w:tcPr>
          <w:p w14:paraId="1949BEBE">
            <w:pPr>
              <w:pStyle w:val="271"/>
              <w:spacing w:line="240" w:lineRule="auto"/>
              <w:rPr>
                <w:color w:val="000000"/>
                <w:szCs w:val="21"/>
              </w:rPr>
            </w:pPr>
            <w:r>
              <w:rPr>
                <w:color w:val="000000"/>
                <w:szCs w:val="21"/>
              </w:rPr>
              <w:t>0.04</w:t>
            </w:r>
          </w:p>
        </w:tc>
      </w:tr>
      <w:tr w14:paraId="426BA937">
        <w:tblPrEx>
          <w:tblCellMar>
            <w:top w:w="0" w:type="dxa"/>
            <w:left w:w="108" w:type="dxa"/>
            <w:bottom w:w="0" w:type="dxa"/>
            <w:right w:w="108" w:type="dxa"/>
          </w:tblCellMar>
        </w:tblPrEx>
        <w:trPr>
          <w:cantSplit/>
          <w:trHeight w:val="311" w:hRule="atLeast"/>
        </w:trPr>
        <w:tc>
          <w:tcPr>
            <w:tcW w:w="2990" w:type="dxa"/>
            <w:vMerge w:val="continue"/>
            <w:tcBorders>
              <w:top w:val="single" w:color="000000" w:sz="4" w:space="0"/>
              <w:left w:val="single" w:color="000000" w:sz="4" w:space="0"/>
              <w:bottom w:val="single" w:color="000000" w:sz="4" w:space="0"/>
              <w:right w:val="single" w:color="000000" w:sz="4" w:space="0"/>
            </w:tcBorders>
            <w:noWrap w:val="0"/>
            <w:vAlign w:val="center"/>
          </w:tcPr>
          <w:p w14:paraId="0123132A">
            <w:pPr>
              <w:jc w:val="left"/>
              <w:rPr>
                <w:color w:val="000000"/>
                <w:szCs w:val="21"/>
              </w:rPr>
            </w:pPr>
          </w:p>
        </w:tc>
        <w:tc>
          <w:tcPr>
            <w:tcW w:w="2990" w:type="dxa"/>
            <w:tcBorders>
              <w:top w:val="single" w:color="000000" w:sz="4" w:space="0"/>
              <w:left w:val="single" w:color="000000" w:sz="4" w:space="0"/>
              <w:bottom w:val="single" w:color="000000" w:sz="4" w:space="0"/>
              <w:right w:val="single" w:color="000000" w:sz="4" w:space="0"/>
            </w:tcBorders>
            <w:noWrap w:val="0"/>
            <w:vAlign w:val="center"/>
          </w:tcPr>
          <w:p w14:paraId="69119EFD">
            <w:pPr>
              <w:pStyle w:val="271"/>
              <w:spacing w:line="240" w:lineRule="auto"/>
              <w:rPr>
                <w:color w:val="000000"/>
                <w:szCs w:val="21"/>
              </w:rPr>
            </w:pPr>
            <w:r>
              <w:rPr>
                <w:color w:val="000000"/>
                <w:szCs w:val="21"/>
              </w:rPr>
              <w:t>日平均</w:t>
            </w:r>
          </w:p>
        </w:tc>
        <w:tc>
          <w:tcPr>
            <w:tcW w:w="2980" w:type="dxa"/>
            <w:tcBorders>
              <w:top w:val="single" w:color="000000" w:sz="4" w:space="0"/>
              <w:left w:val="single" w:color="000000" w:sz="4" w:space="0"/>
              <w:bottom w:val="single" w:color="000000" w:sz="4" w:space="0"/>
              <w:right w:val="single" w:color="000000" w:sz="4" w:space="0"/>
            </w:tcBorders>
            <w:noWrap w:val="0"/>
            <w:vAlign w:val="center"/>
          </w:tcPr>
          <w:p w14:paraId="405B7B3E">
            <w:pPr>
              <w:pStyle w:val="271"/>
              <w:spacing w:line="240" w:lineRule="auto"/>
              <w:rPr>
                <w:color w:val="000000"/>
                <w:szCs w:val="21"/>
              </w:rPr>
            </w:pPr>
            <w:r>
              <w:rPr>
                <w:color w:val="000000"/>
                <w:szCs w:val="21"/>
              </w:rPr>
              <w:t>0.08</w:t>
            </w:r>
          </w:p>
        </w:tc>
      </w:tr>
      <w:tr w14:paraId="27530BAC">
        <w:tblPrEx>
          <w:tblCellMar>
            <w:top w:w="0" w:type="dxa"/>
            <w:left w:w="108" w:type="dxa"/>
            <w:bottom w:w="0" w:type="dxa"/>
            <w:right w:w="108" w:type="dxa"/>
          </w:tblCellMar>
        </w:tblPrEx>
        <w:trPr>
          <w:cantSplit/>
          <w:trHeight w:val="311" w:hRule="atLeast"/>
        </w:trPr>
        <w:tc>
          <w:tcPr>
            <w:tcW w:w="2990" w:type="dxa"/>
            <w:vMerge w:val="continue"/>
            <w:tcBorders>
              <w:top w:val="single" w:color="000000" w:sz="4" w:space="0"/>
              <w:left w:val="single" w:color="000000" w:sz="4" w:space="0"/>
              <w:bottom w:val="single" w:color="000000" w:sz="4" w:space="0"/>
              <w:right w:val="single" w:color="000000" w:sz="4" w:space="0"/>
            </w:tcBorders>
            <w:noWrap w:val="0"/>
            <w:vAlign w:val="center"/>
          </w:tcPr>
          <w:p w14:paraId="7F58078F">
            <w:pPr>
              <w:jc w:val="left"/>
              <w:rPr>
                <w:color w:val="000000"/>
                <w:szCs w:val="21"/>
              </w:rPr>
            </w:pPr>
          </w:p>
        </w:tc>
        <w:tc>
          <w:tcPr>
            <w:tcW w:w="2990" w:type="dxa"/>
            <w:tcBorders>
              <w:top w:val="single" w:color="000000" w:sz="4" w:space="0"/>
              <w:left w:val="single" w:color="000000" w:sz="4" w:space="0"/>
              <w:bottom w:val="single" w:color="000000" w:sz="4" w:space="0"/>
              <w:right w:val="single" w:color="000000" w:sz="4" w:space="0"/>
            </w:tcBorders>
            <w:noWrap w:val="0"/>
            <w:vAlign w:val="center"/>
          </w:tcPr>
          <w:p w14:paraId="2E9A0366">
            <w:pPr>
              <w:pStyle w:val="271"/>
              <w:spacing w:line="240" w:lineRule="auto"/>
              <w:rPr>
                <w:color w:val="000000"/>
                <w:szCs w:val="21"/>
              </w:rPr>
            </w:pPr>
            <w:r>
              <w:rPr>
                <w:color w:val="000000"/>
                <w:szCs w:val="21"/>
              </w:rPr>
              <w:t>1小时平均</w:t>
            </w:r>
          </w:p>
        </w:tc>
        <w:tc>
          <w:tcPr>
            <w:tcW w:w="2980" w:type="dxa"/>
            <w:tcBorders>
              <w:top w:val="single" w:color="000000" w:sz="4" w:space="0"/>
              <w:left w:val="single" w:color="000000" w:sz="4" w:space="0"/>
              <w:bottom w:val="single" w:color="000000" w:sz="4" w:space="0"/>
              <w:right w:val="single" w:color="000000" w:sz="4" w:space="0"/>
            </w:tcBorders>
            <w:noWrap w:val="0"/>
            <w:vAlign w:val="center"/>
          </w:tcPr>
          <w:p w14:paraId="7E6EDA64">
            <w:pPr>
              <w:pStyle w:val="271"/>
              <w:spacing w:line="240" w:lineRule="auto"/>
              <w:rPr>
                <w:color w:val="000000"/>
                <w:szCs w:val="21"/>
              </w:rPr>
            </w:pPr>
            <w:r>
              <w:rPr>
                <w:color w:val="000000"/>
                <w:szCs w:val="21"/>
              </w:rPr>
              <w:t>0.20</w:t>
            </w:r>
          </w:p>
        </w:tc>
      </w:tr>
      <w:tr w14:paraId="525A48D4">
        <w:tblPrEx>
          <w:tblCellMar>
            <w:top w:w="0" w:type="dxa"/>
            <w:left w:w="108" w:type="dxa"/>
            <w:bottom w:w="0" w:type="dxa"/>
            <w:right w:w="108" w:type="dxa"/>
          </w:tblCellMar>
        </w:tblPrEx>
        <w:trPr>
          <w:cantSplit/>
          <w:trHeight w:val="311" w:hRule="atLeast"/>
        </w:trPr>
        <w:tc>
          <w:tcPr>
            <w:tcW w:w="2990" w:type="dxa"/>
            <w:vMerge w:val="restart"/>
            <w:tcBorders>
              <w:top w:val="single" w:color="000000" w:sz="4" w:space="0"/>
              <w:left w:val="single" w:color="000000" w:sz="4" w:space="0"/>
              <w:bottom w:val="single" w:color="000000" w:sz="4" w:space="0"/>
              <w:right w:val="single" w:color="000000" w:sz="4" w:space="0"/>
            </w:tcBorders>
            <w:noWrap w:val="0"/>
            <w:vAlign w:val="center"/>
          </w:tcPr>
          <w:p w14:paraId="6B63138F">
            <w:pPr>
              <w:pStyle w:val="275"/>
              <w:spacing w:line="240" w:lineRule="auto"/>
              <w:rPr>
                <w:color w:val="000000"/>
                <w:sz w:val="21"/>
                <w:szCs w:val="21"/>
              </w:rPr>
            </w:pPr>
            <w:r>
              <w:rPr>
                <w:color w:val="000000"/>
                <w:sz w:val="21"/>
                <w:szCs w:val="21"/>
              </w:rPr>
              <w:t>二氧化硫（SO</w:t>
            </w:r>
            <w:r>
              <w:rPr>
                <w:color w:val="000000"/>
                <w:sz w:val="21"/>
                <w:szCs w:val="21"/>
                <w:vertAlign w:val="subscript"/>
              </w:rPr>
              <w:t>2</w:t>
            </w:r>
            <w:r>
              <w:rPr>
                <w:color w:val="000000"/>
                <w:sz w:val="21"/>
                <w:szCs w:val="21"/>
              </w:rPr>
              <w:t>）</w:t>
            </w:r>
          </w:p>
        </w:tc>
        <w:tc>
          <w:tcPr>
            <w:tcW w:w="2990" w:type="dxa"/>
            <w:tcBorders>
              <w:top w:val="single" w:color="000000" w:sz="4" w:space="0"/>
              <w:left w:val="single" w:color="000000" w:sz="4" w:space="0"/>
              <w:bottom w:val="single" w:color="000000" w:sz="4" w:space="0"/>
              <w:right w:val="single" w:color="000000" w:sz="4" w:space="0"/>
            </w:tcBorders>
            <w:noWrap w:val="0"/>
            <w:vAlign w:val="center"/>
          </w:tcPr>
          <w:p w14:paraId="2DB9A205">
            <w:pPr>
              <w:pStyle w:val="271"/>
              <w:spacing w:line="240" w:lineRule="auto"/>
              <w:rPr>
                <w:color w:val="000000"/>
                <w:szCs w:val="21"/>
              </w:rPr>
            </w:pPr>
            <w:r>
              <w:rPr>
                <w:color w:val="000000"/>
                <w:szCs w:val="21"/>
              </w:rPr>
              <w:t>年平均</w:t>
            </w:r>
          </w:p>
        </w:tc>
        <w:tc>
          <w:tcPr>
            <w:tcW w:w="2980" w:type="dxa"/>
            <w:tcBorders>
              <w:top w:val="single" w:color="000000" w:sz="4" w:space="0"/>
              <w:left w:val="single" w:color="000000" w:sz="4" w:space="0"/>
              <w:bottom w:val="single" w:color="000000" w:sz="4" w:space="0"/>
              <w:right w:val="single" w:color="000000" w:sz="4" w:space="0"/>
            </w:tcBorders>
            <w:noWrap w:val="0"/>
            <w:vAlign w:val="center"/>
          </w:tcPr>
          <w:p w14:paraId="2DD784B5">
            <w:pPr>
              <w:pStyle w:val="271"/>
              <w:spacing w:line="240" w:lineRule="auto"/>
              <w:rPr>
                <w:color w:val="000000"/>
                <w:szCs w:val="21"/>
              </w:rPr>
            </w:pPr>
            <w:r>
              <w:rPr>
                <w:color w:val="000000"/>
                <w:szCs w:val="21"/>
              </w:rPr>
              <w:t>0.06</w:t>
            </w:r>
          </w:p>
        </w:tc>
      </w:tr>
      <w:tr w14:paraId="0FE1738B">
        <w:tblPrEx>
          <w:tblCellMar>
            <w:top w:w="0" w:type="dxa"/>
            <w:left w:w="108" w:type="dxa"/>
            <w:bottom w:w="0" w:type="dxa"/>
            <w:right w:w="108" w:type="dxa"/>
          </w:tblCellMar>
        </w:tblPrEx>
        <w:trPr>
          <w:cantSplit/>
          <w:trHeight w:val="311" w:hRule="atLeast"/>
        </w:trPr>
        <w:tc>
          <w:tcPr>
            <w:tcW w:w="2990" w:type="dxa"/>
            <w:vMerge w:val="continue"/>
            <w:tcBorders>
              <w:top w:val="single" w:color="000000" w:sz="4" w:space="0"/>
              <w:left w:val="single" w:color="000000" w:sz="4" w:space="0"/>
              <w:bottom w:val="single" w:color="000000" w:sz="4" w:space="0"/>
              <w:right w:val="single" w:color="000000" w:sz="4" w:space="0"/>
            </w:tcBorders>
            <w:noWrap w:val="0"/>
            <w:vAlign w:val="center"/>
          </w:tcPr>
          <w:p w14:paraId="048C069A">
            <w:pPr>
              <w:jc w:val="left"/>
              <w:rPr>
                <w:color w:val="000000"/>
                <w:szCs w:val="21"/>
              </w:rPr>
            </w:pPr>
          </w:p>
        </w:tc>
        <w:tc>
          <w:tcPr>
            <w:tcW w:w="2990" w:type="dxa"/>
            <w:tcBorders>
              <w:top w:val="single" w:color="000000" w:sz="4" w:space="0"/>
              <w:left w:val="single" w:color="000000" w:sz="4" w:space="0"/>
              <w:bottom w:val="single" w:color="000000" w:sz="4" w:space="0"/>
              <w:right w:val="single" w:color="000000" w:sz="4" w:space="0"/>
            </w:tcBorders>
            <w:noWrap w:val="0"/>
            <w:vAlign w:val="center"/>
          </w:tcPr>
          <w:p w14:paraId="433FB194">
            <w:pPr>
              <w:pStyle w:val="271"/>
              <w:spacing w:line="240" w:lineRule="auto"/>
              <w:rPr>
                <w:color w:val="000000"/>
                <w:szCs w:val="21"/>
              </w:rPr>
            </w:pPr>
            <w:r>
              <w:rPr>
                <w:color w:val="000000"/>
                <w:szCs w:val="21"/>
              </w:rPr>
              <w:t>日平均</w:t>
            </w:r>
          </w:p>
        </w:tc>
        <w:tc>
          <w:tcPr>
            <w:tcW w:w="2980" w:type="dxa"/>
            <w:tcBorders>
              <w:top w:val="single" w:color="000000" w:sz="4" w:space="0"/>
              <w:left w:val="single" w:color="000000" w:sz="4" w:space="0"/>
              <w:bottom w:val="single" w:color="000000" w:sz="4" w:space="0"/>
              <w:right w:val="single" w:color="000000" w:sz="4" w:space="0"/>
            </w:tcBorders>
            <w:noWrap w:val="0"/>
            <w:vAlign w:val="center"/>
          </w:tcPr>
          <w:p w14:paraId="3A4C917F">
            <w:pPr>
              <w:pStyle w:val="271"/>
              <w:spacing w:line="240" w:lineRule="auto"/>
              <w:rPr>
                <w:color w:val="000000"/>
                <w:szCs w:val="21"/>
              </w:rPr>
            </w:pPr>
            <w:r>
              <w:rPr>
                <w:color w:val="000000"/>
                <w:szCs w:val="21"/>
              </w:rPr>
              <w:t>0.15</w:t>
            </w:r>
          </w:p>
        </w:tc>
      </w:tr>
      <w:tr w14:paraId="15601CCF">
        <w:tblPrEx>
          <w:tblCellMar>
            <w:top w:w="0" w:type="dxa"/>
            <w:left w:w="108" w:type="dxa"/>
            <w:bottom w:w="0" w:type="dxa"/>
            <w:right w:w="108" w:type="dxa"/>
          </w:tblCellMar>
        </w:tblPrEx>
        <w:trPr>
          <w:cantSplit/>
          <w:trHeight w:val="332" w:hRule="atLeast"/>
        </w:trPr>
        <w:tc>
          <w:tcPr>
            <w:tcW w:w="2990" w:type="dxa"/>
            <w:vMerge w:val="continue"/>
            <w:tcBorders>
              <w:top w:val="single" w:color="000000" w:sz="4" w:space="0"/>
              <w:left w:val="single" w:color="000000" w:sz="4" w:space="0"/>
              <w:bottom w:val="single" w:color="000000" w:sz="4" w:space="0"/>
              <w:right w:val="single" w:color="000000" w:sz="4" w:space="0"/>
            </w:tcBorders>
            <w:noWrap w:val="0"/>
            <w:vAlign w:val="center"/>
          </w:tcPr>
          <w:p w14:paraId="3811A858">
            <w:pPr>
              <w:jc w:val="left"/>
              <w:rPr>
                <w:color w:val="000000"/>
                <w:szCs w:val="21"/>
              </w:rPr>
            </w:pPr>
          </w:p>
        </w:tc>
        <w:tc>
          <w:tcPr>
            <w:tcW w:w="2990" w:type="dxa"/>
            <w:tcBorders>
              <w:top w:val="single" w:color="000000" w:sz="4" w:space="0"/>
              <w:left w:val="single" w:color="000000" w:sz="4" w:space="0"/>
              <w:bottom w:val="single" w:color="000000" w:sz="4" w:space="0"/>
              <w:right w:val="single" w:color="000000" w:sz="4" w:space="0"/>
            </w:tcBorders>
            <w:noWrap w:val="0"/>
            <w:vAlign w:val="center"/>
          </w:tcPr>
          <w:p w14:paraId="5A2CF689">
            <w:pPr>
              <w:pStyle w:val="271"/>
              <w:spacing w:line="240" w:lineRule="auto"/>
              <w:rPr>
                <w:color w:val="000000"/>
                <w:szCs w:val="21"/>
              </w:rPr>
            </w:pPr>
            <w:r>
              <w:rPr>
                <w:color w:val="000000"/>
                <w:szCs w:val="21"/>
              </w:rPr>
              <w:t>1小时平均</w:t>
            </w:r>
          </w:p>
        </w:tc>
        <w:tc>
          <w:tcPr>
            <w:tcW w:w="2980" w:type="dxa"/>
            <w:tcBorders>
              <w:top w:val="single" w:color="000000" w:sz="4" w:space="0"/>
              <w:left w:val="single" w:color="000000" w:sz="4" w:space="0"/>
              <w:bottom w:val="single" w:color="000000" w:sz="4" w:space="0"/>
              <w:right w:val="single" w:color="000000" w:sz="4" w:space="0"/>
            </w:tcBorders>
            <w:noWrap w:val="0"/>
            <w:vAlign w:val="center"/>
          </w:tcPr>
          <w:p w14:paraId="1ABCC310">
            <w:pPr>
              <w:pStyle w:val="271"/>
              <w:spacing w:line="240" w:lineRule="auto"/>
              <w:rPr>
                <w:color w:val="000000"/>
                <w:szCs w:val="21"/>
              </w:rPr>
            </w:pPr>
            <w:r>
              <w:rPr>
                <w:color w:val="000000"/>
                <w:szCs w:val="21"/>
              </w:rPr>
              <w:t>0.50</w:t>
            </w:r>
          </w:p>
        </w:tc>
      </w:tr>
    </w:tbl>
    <w:p w14:paraId="73FA8F5E">
      <w:pPr>
        <w:pStyle w:val="284"/>
        <w:spacing w:line="240" w:lineRule="auto"/>
        <w:rPr>
          <w:rFonts w:ascii="Times New Roman" w:hAnsi="Times New Roman" w:cs="Times New Roman"/>
          <w:color w:val="000000"/>
        </w:rPr>
      </w:pPr>
      <w:r>
        <w:rPr>
          <w:rFonts w:ascii="Times New Roman" w:hAnsi="Times New Roman" w:cs="Times New Roman"/>
          <w:color w:val="000000"/>
        </w:rPr>
        <w:t>表1.4-2  《工业企业设计卫生标准》（TJ36-79）表1</w:t>
      </w:r>
    </w:p>
    <w:tbl>
      <w:tblPr>
        <w:tblStyle w:val="27"/>
        <w:tblW w:w="0" w:type="auto"/>
        <w:tblInd w:w="0" w:type="dxa"/>
        <w:tblLayout w:type="fixed"/>
        <w:tblCellMar>
          <w:top w:w="0" w:type="dxa"/>
          <w:left w:w="108" w:type="dxa"/>
          <w:bottom w:w="0" w:type="dxa"/>
          <w:right w:w="108" w:type="dxa"/>
        </w:tblCellMar>
      </w:tblPr>
      <w:tblGrid>
        <w:gridCol w:w="2607"/>
        <w:gridCol w:w="6353"/>
      </w:tblGrid>
      <w:tr w14:paraId="7C478ACB">
        <w:tblPrEx>
          <w:tblCellMar>
            <w:top w:w="0" w:type="dxa"/>
            <w:left w:w="108" w:type="dxa"/>
            <w:bottom w:w="0" w:type="dxa"/>
            <w:right w:w="108" w:type="dxa"/>
          </w:tblCellMar>
        </w:tblPrEx>
        <w:trPr>
          <w:trHeight w:val="301" w:hRule="atLeast"/>
        </w:trPr>
        <w:tc>
          <w:tcPr>
            <w:tcW w:w="2607" w:type="dxa"/>
            <w:vMerge w:val="restart"/>
            <w:tcBorders>
              <w:top w:val="single" w:color="000000" w:sz="4" w:space="0"/>
              <w:left w:val="single" w:color="000000" w:sz="4" w:space="0"/>
              <w:bottom w:val="single" w:color="000000" w:sz="4" w:space="0"/>
              <w:right w:val="single" w:color="000000" w:sz="4" w:space="0"/>
            </w:tcBorders>
            <w:noWrap w:val="0"/>
            <w:vAlign w:val="center"/>
          </w:tcPr>
          <w:p w14:paraId="1E459625">
            <w:pPr>
              <w:pStyle w:val="275"/>
              <w:spacing w:line="240" w:lineRule="auto"/>
              <w:rPr>
                <w:b w:val="0"/>
                <w:color w:val="000000"/>
                <w:sz w:val="21"/>
                <w:szCs w:val="21"/>
              </w:rPr>
            </w:pPr>
            <w:r>
              <w:rPr>
                <w:b w:val="0"/>
                <w:color w:val="000000"/>
                <w:sz w:val="21"/>
                <w:szCs w:val="21"/>
              </w:rPr>
              <w:t>物质名称</w:t>
            </w:r>
          </w:p>
        </w:tc>
        <w:tc>
          <w:tcPr>
            <w:tcW w:w="6353" w:type="dxa"/>
            <w:tcBorders>
              <w:top w:val="single" w:color="000000" w:sz="4" w:space="0"/>
              <w:left w:val="single" w:color="000000" w:sz="4" w:space="0"/>
              <w:bottom w:val="single" w:color="000000" w:sz="4" w:space="0"/>
              <w:right w:val="single" w:color="000000" w:sz="4" w:space="0"/>
            </w:tcBorders>
            <w:noWrap w:val="0"/>
            <w:vAlign w:val="center"/>
          </w:tcPr>
          <w:p w14:paraId="3BB6707D">
            <w:pPr>
              <w:jc w:val="center"/>
              <w:rPr>
                <w:b/>
                <w:color w:val="000000"/>
                <w:szCs w:val="21"/>
              </w:rPr>
            </w:pPr>
            <w:r>
              <w:rPr>
                <w:b/>
                <w:color w:val="000000"/>
                <w:szCs w:val="21"/>
              </w:rPr>
              <w:t>最高容许浓度（毫克/立方米）</w:t>
            </w:r>
          </w:p>
        </w:tc>
      </w:tr>
      <w:tr w14:paraId="5A077AE2">
        <w:tblPrEx>
          <w:tblCellMar>
            <w:top w:w="0" w:type="dxa"/>
            <w:left w:w="108" w:type="dxa"/>
            <w:bottom w:w="0" w:type="dxa"/>
            <w:right w:w="108" w:type="dxa"/>
          </w:tblCellMar>
        </w:tblPrEx>
        <w:trPr>
          <w:trHeight w:val="301" w:hRule="atLeast"/>
        </w:trPr>
        <w:tc>
          <w:tcPr>
            <w:tcW w:w="2607" w:type="dxa"/>
            <w:vMerge w:val="continue"/>
            <w:tcBorders>
              <w:top w:val="single" w:color="000000" w:sz="4" w:space="0"/>
              <w:left w:val="single" w:color="000000" w:sz="4" w:space="0"/>
              <w:bottom w:val="single" w:color="000000" w:sz="4" w:space="0"/>
              <w:right w:val="single" w:color="000000" w:sz="4" w:space="0"/>
            </w:tcBorders>
            <w:noWrap w:val="0"/>
            <w:vAlign w:val="center"/>
          </w:tcPr>
          <w:p w14:paraId="3B248255">
            <w:pPr>
              <w:jc w:val="left"/>
              <w:rPr>
                <w:b/>
                <w:color w:val="000000"/>
                <w:szCs w:val="21"/>
              </w:rPr>
            </w:pPr>
          </w:p>
        </w:tc>
        <w:tc>
          <w:tcPr>
            <w:tcW w:w="6353" w:type="dxa"/>
            <w:tcBorders>
              <w:top w:val="single" w:color="000000" w:sz="4" w:space="0"/>
              <w:left w:val="single" w:color="000000" w:sz="4" w:space="0"/>
              <w:bottom w:val="single" w:color="000000" w:sz="4" w:space="0"/>
              <w:right w:val="single" w:color="000000" w:sz="4" w:space="0"/>
            </w:tcBorders>
            <w:noWrap w:val="0"/>
            <w:vAlign w:val="center"/>
          </w:tcPr>
          <w:p w14:paraId="312897E0">
            <w:pPr>
              <w:jc w:val="center"/>
              <w:rPr>
                <w:color w:val="000000"/>
                <w:szCs w:val="21"/>
              </w:rPr>
            </w:pPr>
            <w:r>
              <w:rPr>
                <w:color w:val="000000"/>
                <w:szCs w:val="21"/>
              </w:rPr>
              <w:t>一次</w:t>
            </w:r>
          </w:p>
        </w:tc>
      </w:tr>
      <w:tr w14:paraId="67B82D43">
        <w:tblPrEx>
          <w:tblCellMar>
            <w:top w:w="0" w:type="dxa"/>
            <w:left w:w="108" w:type="dxa"/>
            <w:bottom w:w="0" w:type="dxa"/>
            <w:right w:w="108" w:type="dxa"/>
          </w:tblCellMar>
        </w:tblPrEx>
        <w:trPr>
          <w:trHeight w:val="301" w:hRule="atLeast"/>
        </w:trPr>
        <w:tc>
          <w:tcPr>
            <w:tcW w:w="2607" w:type="dxa"/>
            <w:tcBorders>
              <w:top w:val="single" w:color="000000" w:sz="4" w:space="0"/>
              <w:left w:val="single" w:color="000000" w:sz="4" w:space="0"/>
              <w:bottom w:val="single" w:color="000000" w:sz="4" w:space="0"/>
              <w:right w:val="single" w:color="000000" w:sz="4" w:space="0"/>
            </w:tcBorders>
            <w:noWrap w:val="0"/>
            <w:vAlign w:val="center"/>
          </w:tcPr>
          <w:p w14:paraId="57E7EB7E">
            <w:pPr>
              <w:jc w:val="center"/>
              <w:rPr>
                <w:color w:val="000000"/>
                <w:szCs w:val="21"/>
              </w:rPr>
            </w:pPr>
            <w:r>
              <w:rPr>
                <w:color w:val="000000"/>
                <w:szCs w:val="21"/>
              </w:rPr>
              <w:t>氨</w:t>
            </w:r>
          </w:p>
        </w:tc>
        <w:tc>
          <w:tcPr>
            <w:tcW w:w="6353" w:type="dxa"/>
            <w:tcBorders>
              <w:top w:val="single" w:color="000000" w:sz="4" w:space="0"/>
              <w:left w:val="single" w:color="000000" w:sz="4" w:space="0"/>
              <w:bottom w:val="single" w:color="000000" w:sz="4" w:space="0"/>
              <w:right w:val="single" w:color="000000" w:sz="4" w:space="0"/>
            </w:tcBorders>
            <w:noWrap w:val="0"/>
            <w:vAlign w:val="center"/>
          </w:tcPr>
          <w:p w14:paraId="297251F6">
            <w:pPr>
              <w:jc w:val="center"/>
              <w:rPr>
                <w:color w:val="000000"/>
                <w:szCs w:val="21"/>
              </w:rPr>
            </w:pPr>
            <w:r>
              <w:rPr>
                <w:color w:val="000000"/>
                <w:szCs w:val="21"/>
              </w:rPr>
              <w:t>0.20</w:t>
            </w:r>
          </w:p>
        </w:tc>
      </w:tr>
      <w:tr w14:paraId="0660984E">
        <w:tblPrEx>
          <w:tblCellMar>
            <w:top w:w="0" w:type="dxa"/>
            <w:left w:w="108" w:type="dxa"/>
            <w:bottom w:w="0" w:type="dxa"/>
            <w:right w:w="108" w:type="dxa"/>
          </w:tblCellMar>
        </w:tblPrEx>
        <w:trPr>
          <w:trHeight w:val="326" w:hRule="atLeast"/>
        </w:trPr>
        <w:tc>
          <w:tcPr>
            <w:tcW w:w="2607" w:type="dxa"/>
            <w:tcBorders>
              <w:top w:val="single" w:color="000000" w:sz="4" w:space="0"/>
              <w:left w:val="single" w:color="000000" w:sz="4" w:space="0"/>
              <w:bottom w:val="single" w:color="000000" w:sz="4" w:space="0"/>
              <w:right w:val="single" w:color="000000" w:sz="4" w:space="0"/>
            </w:tcBorders>
            <w:noWrap w:val="0"/>
            <w:vAlign w:val="center"/>
          </w:tcPr>
          <w:p w14:paraId="56F0A361">
            <w:pPr>
              <w:jc w:val="center"/>
              <w:rPr>
                <w:color w:val="000000"/>
                <w:szCs w:val="21"/>
              </w:rPr>
            </w:pPr>
            <w:r>
              <w:rPr>
                <w:color w:val="000000"/>
                <w:szCs w:val="21"/>
              </w:rPr>
              <w:t>硫化氢</w:t>
            </w:r>
          </w:p>
        </w:tc>
        <w:tc>
          <w:tcPr>
            <w:tcW w:w="6353" w:type="dxa"/>
            <w:tcBorders>
              <w:top w:val="single" w:color="000000" w:sz="4" w:space="0"/>
              <w:left w:val="single" w:color="000000" w:sz="4" w:space="0"/>
              <w:bottom w:val="single" w:color="000000" w:sz="4" w:space="0"/>
              <w:right w:val="single" w:color="000000" w:sz="4" w:space="0"/>
            </w:tcBorders>
            <w:noWrap w:val="0"/>
            <w:vAlign w:val="center"/>
          </w:tcPr>
          <w:p w14:paraId="49C593A4">
            <w:pPr>
              <w:jc w:val="center"/>
              <w:rPr>
                <w:color w:val="000000"/>
                <w:szCs w:val="21"/>
              </w:rPr>
            </w:pPr>
            <w:r>
              <w:rPr>
                <w:color w:val="000000"/>
                <w:szCs w:val="21"/>
              </w:rPr>
              <w:t>0.01</w:t>
            </w:r>
          </w:p>
        </w:tc>
      </w:tr>
    </w:tbl>
    <w:p w14:paraId="346BA799">
      <w:pPr>
        <w:spacing w:line="360" w:lineRule="auto"/>
        <w:ind w:firstLine="561"/>
        <w:rPr>
          <w:color w:val="000000"/>
          <w:sz w:val="24"/>
        </w:rPr>
      </w:pPr>
      <w:r>
        <w:rPr>
          <w:color w:val="000000"/>
          <w:sz w:val="24"/>
        </w:rPr>
        <w:t>（2）地表水环境质量标准</w:t>
      </w:r>
    </w:p>
    <w:p w14:paraId="3425FCE2">
      <w:pPr>
        <w:spacing w:line="360" w:lineRule="auto"/>
        <w:ind w:firstLine="480"/>
        <w:rPr>
          <w:rFonts w:hint="eastAsia" w:ascii="宋体" w:hAnsi="宋体"/>
          <w:color w:val="000000"/>
          <w:sz w:val="24"/>
        </w:rPr>
      </w:pPr>
      <w:r>
        <w:rPr>
          <w:color w:val="000000"/>
          <w:sz w:val="24"/>
        </w:rPr>
        <w:t>距离本项目最近的水体</w:t>
      </w:r>
      <w:r>
        <w:rPr>
          <w:rFonts w:hint="eastAsia"/>
          <w:color w:val="000000"/>
          <w:sz w:val="24"/>
        </w:rPr>
        <w:t>为</w:t>
      </w:r>
      <w:r>
        <w:rPr>
          <w:color w:val="000000"/>
          <w:sz w:val="24"/>
        </w:rPr>
        <w:t>项目区</w:t>
      </w:r>
      <w:r>
        <w:rPr>
          <w:rFonts w:hint="eastAsia"/>
          <w:color w:val="000000"/>
          <w:sz w:val="24"/>
        </w:rPr>
        <w:t>西北</w:t>
      </w:r>
      <w:r>
        <w:rPr>
          <w:color w:val="000000"/>
          <w:sz w:val="24"/>
        </w:rPr>
        <w:t>侧约</w:t>
      </w:r>
      <w:r>
        <w:rPr>
          <w:rFonts w:hint="eastAsia"/>
          <w:color w:val="000000"/>
          <w:sz w:val="24"/>
        </w:rPr>
        <w:t>2.1km</w:t>
      </w:r>
      <w:r>
        <w:rPr>
          <w:color w:val="000000"/>
          <w:sz w:val="24"/>
        </w:rPr>
        <w:t>的</w:t>
      </w:r>
      <w:r>
        <w:rPr>
          <w:rFonts w:hint="eastAsia"/>
          <w:color w:val="000000"/>
          <w:sz w:val="24"/>
        </w:rPr>
        <w:t>芒市大河</w:t>
      </w:r>
      <w:r>
        <w:rPr>
          <w:color w:val="000000"/>
          <w:sz w:val="24"/>
        </w:rPr>
        <w:t>。项目产生的生活污水经化粪池</w:t>
      </w:r>
      <w:r>
        <w:rPr>
          <w:rFonts w:hint="eastAsia"/>
          <w:color w:val="000000"/>
          <w:sz w:val="24"/>
        </w:rPr>
        <w:t>处理后和医疗废水一同经自建</w:t>
      </w:r>
      <w:r>
        <w:rPr>
          <w:color w:val="000000"/>
          <w:sz w:val="24"/>
        </w:rPr>
        <w:t>污水处理站处理</w:t>
      </w:r>
      <w:r>
        <w:rPr>
          <w:rFonts w:hint="eastAsia"/>
          <w:color w:val="000000"/>
          <w:sz w:val="24"/>
        </w:rPr>
        <w:t>达标后</w:t>
      </w:r>
      <w:r>
        <w:rPr>
          <w:color w:val="000000"/>
          <w:sz w:val="24"/>
        </w:rPr>
        <w:t>排入周边市政</w:t>
      </w:r>
      <w:r>
        <w:rPr>
          <w:rFonts w:hint="eastAsia"/>
          <w:color w:val="000000"/>
          <w:sz w:val="24"/>
        </w:rPr>
        <w:t>污水</w:t>
      </w:r>
      <w:r>
        <w:rPr>
          <w:color w:val="000000"/>
          <w:sz w:val="24"/>
        </w:rPr>
        <w:t>管网，进入</w:t>
      </w:r>
      <w:r>
        <w:rPr>
          <w:rFonts w:hint="eastAsia"/>
          <w:color w:val="000000"/>
          <w:sz w:val="24"/>
        </w:rPr>
        <w:t>芒市污水处理厂</w:t>
      </w:r>
      <w:r>
        <w:rPr>
          <w:color w:val="000000"/>
          <w:sz w:val="24"/>
        </w:rPr>
        <w:t>。项目的排污水体为</w:t>
      </w:r>
      <w:r>
        <w:rPr>
          <w:rFonts w:hint="eastAsia"/>
          <w:color w:val="000000"/>
          <w:sz w:val="24"/>
        </w:rPr>
        <w:t>芒市大</w:t>
      </w:r>
      <w:r>
        <w:rPr>
          <w:color w:val="000000"/>
          <w:sz w:val="24"/>
        </w:rPr>
        <w:t>河</w:t>
      </w:r>
      <w:r>
        <w:rPr>
          <w:rFonts w:hint="eastAsia"/>
          <w:color w:val="000000"/>
          <w:sz w:val="24"/>
        </w:rPr>
        <w:t>，</w:t>
      </w:r>
      <w:r>
        <w:rPr>
          <w:rFonts w:hint="eastAsia" w:ascii="宋体" w:hAnsi="宋体"/>
          <w:color w:val="000000"/>
          <w:sz w:val="24"/>
        </w:rPr>
        <w:t>根据《云南省地表水环境功能区划》（2010-2020）芒市大河（木康--入瑞丽江口之间），水环境质量执行</w:t>
      </w:r>
      <w:r>
        <w:rPr>
          <w:rFonts w:ascii="宋体" w:hAnsi="宋体"/>
          <w:color w:val="000000"/>
          <w:sz w:val="24"/>
        </w:rPr>
        <w:t>GB3838-2002《地表水环境质量标准》</w:t>
      </w:r>
      <w:r>
        <w:rPr>
          <w:rFonts w:hint="eastAsia" w:ascii="宋体" w:hAnsi="宋体"/>
          <w:color w:val="000000"/>
          <w:sz w:val="24"/>
        </w:rPr>
        <w:t>Ⅲ</w:t>
      </w:r>
      <w:r>
        <w:rPr>
          <w:rFonts w:ascii="宋体" w:hAnsi="宋体"/>
          <w:color w:val="000000"/>
          <w:sz w:val="24"/>
        </w:rPr>
        <w:t>类</w:t>
      </w:r>
      <w:r>
        <w:rPr>
          <w:rFonts w:hint="eastAsia" w:ascii="宋体" w:hAnsi="宋体"/>
          <w:color w:val="000000"/>
          <w:sz w:val="24"/>
        </w:rPr>
        <w:t>标准。</w:t>
      </w:r>
      <w:r>
        <w:rPr>
          <w:rFonts w:ascii="宋体" w:hAnsi="宋体"/>
          <w:color w:val="000000"/>
          <w:sz w:val="24"/>
        </w:rPr>
        <w:t>具体标准见1.4-3。</w:t>
      </w:r>
    </w:p>
    <w:p w14:paraId="2EB752AE">
      <w:pPr>
        <w:ind w:firstLine="1797"/>
        <w:rPr>
          <w:rFonts w:hint="eastAsia"/>
          <w:b/>
          <w:color w:val="000000"/>
          <w:sz w:val="24"/>
        </w:rPr>
      </w:pPr>
      <w:r>
        <w:rPr>
          <w:rFonts w:hint="eastAsia"/>
          <w:b/>
          <w:color w:val="000000"/>
          <w:sz w:val="24"/>
        </w:rPr>
        <w:t>表1.4-3   地表水环境质量标准    单位：mg/L</w:t>
      </w:r>
    </w:p>
    <w:tbl>
      <w:tblPr>
        <w:tblStyle w:val="27"/>
        <w:tblW w:w="0" w:type="auto"/>
        <w:tblInd w:w="-108"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918"/>
        <w:gridCol w:w="1660"/>
        <w:gridCol w:w="1848"/>
        <w:gridCol w:w="4520"/>
      </w:tblGrid>
      <w:tr w14:paraId="16AFEDD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blHeader/>
        </w:trPr>
        <w:tc>
          <w:tcPr>
            <w:tcW w:w="918" w:type="dxa"/>
            <w:noWrap w:val="0"/>
            <w:vAlign w:val="center"/>
          </w:tcPr>
          <w:p w14:paraId="55DB44E9">
            <w:pPr>
              <w:jc w:val="center"/>
              <w:rPr>
                <w:rFonts w:hint="eastAsia" w:ascii="宋体" w:hAnsi="宋体"/>
                <w:color w:val="000000"/>
                <w:szCs w:val="21"/>
              </w:rPr>
            </w:pPr>
            <w:r>
              <w:rPr>
                <w:rFonts w:hint="eastAsia" w:ascii="宋体" w:hAnsi="宋体"/>
                <w:color w:val="000000"/>
                <w:szCs w:val="21"/>
              </w:rPr>
              <w:t>序号</w:t>
            </w:r>
          </w:p>
        </w:tc>
        <w:tc>
          <w:tcPr>
            <w:tcW w:w="1660" w:type="dxa"/>
            <w:noWrap w:val="0"/>
            <w:vAlign w:val="center"/>
          </w:tcPr>
          <w:p w14:paraId="5A4DAD5B">
            <w:pPr>
              <w:jc w:val="center"/>
              <w:rPr>
                <w:rFonts w:hint="eastAsia" w:ascii="宋体" w:hAnsi="宋体"/>
                <w:color w:val="000000"/>
                <w:szCs w:val="21"/>
              </w:rPr>
            </w:pPr>
            <w:r>
              <w:rPr>
                <w:rFonts w:hint="eastAsia" w:ascii="宋体" w:hAnsi="宋体"/>
                <w:color w:val="000000"/>
                <w:szCs w:val="21"/>
              </w:rPr>
              <w:t>参数</w:t>
            </w:r>
          </w:p>
        </w:tc>
        <w:tc>
          <w:tcPr>
            <w:tcW w:w="1848" w:type="dxa"/>
            <w:noWrap w:val="0"/>
            <w:vAlign w:val="center"/>
          </w:tcPr>
          <w:p w14:paraId="5931D794">
            <w:pPr>
              <w:jc w:val="center"/>
              <w:rPr>
                <w:rFonts w:hint="eastAsia" w:ascii="宋体" w:hAnsi="宋体"/>
                <w:color w:val="000000"/>
                <w:szCs w:val="21"/>
              </w:rPr>
            </w:pPr>
            <w:r>
              <w:rPr>
                <w:rFonts w:hint="eastAsia" w:ascii="宋体" w:hAnsi="宋体"/>
                <w:color w:val="000000"/>
                <w:szCs w:val="21"/>
              </w:rPr>
              <w:t>Ⅲ类标准值</w:t>
            </w:r>
          </w:p>
        </w:tc>
        <w:tc>
          <w:tcPr>
            <w:tcW w:w="4520" w:type="dxa"/>
            <w:noWrap w:val="0"/>
            <w:vAlign w:val="center"/>
          </w:tcPr>
          <w:p w14:paraId="4C8A7BA9">
            <w:pPr>
              <w:jc w:val="center"/>
              <w:rPr>
                <w:rFonts w:hint="eastAsia" w:ascii="宋体" w:hAnsi="宋体"/>
                <w:color w:val="000000"/>
                <w:szCs w:val="21"/>
              </w:rPr>
            </w:pPr>
            <w:r>
              <w:rPr>
                <w:rFonts w:hint="eastAsia" w:ascii="宋体" w:hAnsi="宋体"/>
                <w:color w:val="000000"/>
                <w:szCs w:val="21"/>
              </w:rPr>
              <w:t>标  准  来  源</w:t>
            </w:r>
          </w:p>
        </w:tc>
      </w:tr>
      <w:tr w14:paraId="74B39E3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Pr>
        <w:tc>
          <w:tcPr>
            <w:tcW w:w="918" w:type="dxa"/>
            <w:noWrap w:val="0"/>
            <w:vAlign w:val="center"/>
          </w:tcPr>
          <w:p w14:paraId="6BB8C92A">
            <w:pPr>
              <w:jc w:val="center"/>
              <w:rPr>
                <w:rFonts w:hint="eastAsia" w:ascii="宋体" w:hAnsi="宋体"/>
                <w:color w:val="000000"/>
                <w:szCs w:val="21"/>
              </w:rPr>
            </w:pPr>
            <w:r>
              <w:rPr>
                <w:rFonts w:hint="eastAsia" w:ascii="宋体" w:hAnsi="宋体"/>
                <w:color w:val="000000"/>
                <w:szCs w:val="21"/>
              </w:rPr>
              <w:t>1</w:t>
            </w:r>
          </w:p>
        </w:tc>
        <w:tc>
          <w:tcPr>
            <w:tcW w:w="1660" w:type="dxa"/>
            <w:noWrap w:val="0"/>
            <w:vAlign w:val="center"/>
          </w:tcPr>
          <w:p w14:paraId="0CDD52EF">
            <w:pPr>
              <w:jc w:val="center"/>
              <w:rPr>
                <w:rFonts w:hint="eastAsia" w:ascii="宋体" w:hAnsi="宋体"/>
                <w:color w:val="000000"/>
                <w:szCs w:val="21"/>
              </w:rPr>
            </w:pPr>
            <w:r>
              <w:rPr>
                <w:rFonts w:hint="eastAsia" w:ascii="宋体" w:hAnsi="宋体"/>
                <w:color w:val="000000"/>
                <w:szCs w:val="21"/>
              </w:rPr>
              <w:t>pH</w:t>
            </w:r>
          </w:p>
        </w:tc>
        <w:tc>
          <w:tcPr>
            <w:tcW w:w="1848" w:type="dxa"/>
            <w:noWrap w:val="0"/>
            <w:vAlign w:val="center"/>
          </w:tcPr>
          <w:p w14:paraId="34872997">
            <w:pPr>
              <w:jc w:val="center"/>
              <w:rPr>
                <w:rFonts w:hint="eastAsia" w:ascii="宋体" w:hAnsi="宋体"/>
                <w:color w:val="000000"/>
                <w:szCs w:val="21"/>
              </w:rPr>
            </w:pPr>
            <w:r>
              <w:rPr>
                <w:rFonts w:hint="eastAsia" w:ascii="宋体" w:hAnsi="宋体"/>
                <w:color w:val="000000"/>
                <w:szCs w:val="21"/>
              </w:rPr>
              <w:t>6～9</w:t>
            </w:r>
          </w:p>
        </w:tc>
        <w:tc>
          <w:tcPr>
            <w:tcW w:w="4520" w:type="dxa"/>
            <w:vMerge w:val="restart"/>
            <w:noWrap w:val="0"/>
            <w:vAlign w:val="center"/>
          </w:tcPr>
          <w:p w14:paraId="340A1ADC">
            <w:pPr>
              <w:jc w:val="center"/>
              <w:rPr>
                <w:rFonts w:hint="eastAsia" w:ascii="宋体" w:hAnsi="宋体"/>
                <w:color w:val="000000"/>
                <w:szCs w:val="21"/>
              </w:rPr>
            </w:pPr>
            <w:r>
              <w:rPr>
                <w:rFonts w:hint="eastAsia" w:ascii="宋体" w:hAnsi="宋体"/>
                <w:color w:val="000000"/>
                <w:szCs w:val="21"/>
              </w:rPr>
              <w:t>GB3838-2002《地表水环境质量标准》</w:t>
            </w:r>
          </w:p>
        </w:tc>
      </w:tr>
      <w:tr w14:paraId="6565183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12" w:hRule="atLeast"/>
        </w:trPr>
        <w:tc>
          <w:tcPr>
            <w:tcW w:w="918" w:type="dxa"/>
            <w:noWrap w:val="0"/>
            <w:vAlign w:val="center"/>
          </w:tcPr>
          <w:p w14:paraId="2A1CF82E">
            <w:pPr>
              <w:jc w:val="center"/>
              <w:rPr>
                <w:rFonts w:hint="eastAsia" w:ascii="宋体" w:hAnsi="宋体"/>
                <w:color w:val="000000"/>
                <w:szCs w:val="21"/>
              </w:rPr>
            </w:pPr>
            <w:r>
              <w:rPr>
                <w:rFonts w:hint="eastAsia" w:ascii="宋体" w:hAnsi="宋体"/>
                <w:color w:val="000000"/>
                <w:szCs w:val="21"/>
              </w:rPr>
              <w:t>2</w:t>
            </w:r>
          </w:p>
        </w:tc>
        <w:tc>
          <w:tcPr>
            <w:tcW w:w="1660" w:type="dxa"/>
            <w:noWrap w:val="0"/>
            <w:vAlign w:val="center"/>
          </w:tcPr>
          <w:p w14:paraId="1F834632">
            <w:pPr>
              <w:jc w:val="center"/>
              <w:rPr>
                <w:rFonts w:hint="eastAsia" w:ascii="宋体" w:hAnsi="宋体"/>
                <w:color w:val="000000"/>
                <w:szCs w:val="21"/>
                <w:vertAlign w:val="subscript"/>
              </w:rPr>
            </w:pPr>
            <w:r>
              <w:rPr>
                <w:rFonts w:hint="eastAsia" w:ascii="宋体" w:hAnsi="宋体"/>
                <w:color w:val="000000"/>
                <w:szCs w:val="21"/>
              </w:rPr>
              <w:t>COD</w:t>
            </w:r>
            <w:r>
              <w:rPr>
                <w:rFonts w:hint="eastAsia" w:ascii="宋体" w:hAnsi="宋体"/>
                <w:color w:val="000000"/>
                <w:szCs w:val="21"/>
                <w:vertAlign w:val="subscript"/>
              </w:rPr>
              <w:t>cr</w:t>
            </w:r>
          </w:p>
        </w:tc>
        <w:tc>
          <w:tcPr>
            <w:tcW w:w="1848" w:type="dxa"/>
            <w:noWrap w:val="0"/>
            <w:vAlign w:val="center"/>
          </w:tcPr>
          <w:p w14:paraId="6BBF0E10">
            <w:pPr>
              <w:jc w:val="center"/>
              <w:rPr>
                <w:rFonts w:ascii="宋体" w:hAnsi="宋体"/>
                <w:color w:val="000000"/>
                <w:szCs w:val="21"/>
              </w:rPr>
            </w:pPr>
            <w:r>
              <w:rPr>
                <w:rFonts w:hint="eastAsia" w:ascii="宋体" w:hAnsi="宋体"/>
                <w:color w:val="000000"/>
                <w:szCs w:val="21"/>
                <w:lang w:val="en-GB"/>
              </w:rPr>
              <w:t>≤20</w:t>
            </w:r>
          </w:p>
        </w:tc>
        <w:tc>
          <w:tcPr>
            <w:tcW w:w="4520" w:type="dxa"/>
            <w:vMerge w:val="continue"/>
            <w:noWrap w:val="0"/>
            <w:vAlign w:val="center"/>
          </w:tcPr>
          <w:p w14:paraId="0E224492">
            <w:pPr>
              <w:jc w:val="center"/>
              <w:rPr>
                <w:rFonts w:hint="eastAsia" w:ascii="宋体" w:hAnsi="宋体"/>
                <w:color w:val="000000"/>
                <w:szCs w:val="21"/>
              </w:rPr>
            </w:pPr>
          </w:p>
        </w:tc>
      </w:tr>
      <w:tr w14:paraId="72063E9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12" w:hRule="atLeast"/>
        </w:trPr>
        <w:tc>
          <w:tcPr>
            <w:tcW w:w="918" w:type="dxa"/>
            <w:noWrap w:val="0"/>
            <w:vAlign w:val="center"/>
          </w:tcPr>
          <w:p w14:paraId="73D3773F">
            <w:pPr>
              <w:jc w:val="center"/>
              <w:rPr>
                <w:rFonts w:hint="eastAsia" w:ascii="宋体" w:hAnsi="宋体"/>
                <w:color w:val="000000"/>
                <w:szCs w:val="21"/>
              </w:rPr>
            </w:pPr>
            <w:r>
              <w:rPr>
                <w:rFonts w:hint="eastAsia" w:ascii="宋体" w:hAnsi="宋体"/>
                <w:color w:val="000000"/>
                <w:szCs w:val="21"/>
              </w:rPr>
              <w:t>3</w:t>
            </w:r>
          </w:p>
        </w:tc>
        <w:tc>
          <w:tcPr>
            <w:tcW w:w="1660" w:type="dxa"/>
            <w:noWrap w:val="0"/>
            <w:vAlign w:val="center"/>
          </w:tcPr>
          <w:p w14:paraId="63D2ED84">
            <w:pPr>
              <w:jc w:val="center"/>
              <w:rPr>
                <w:rFonts w:hint="eastAsia" w:ascii="宋体" w:hAnsi="宋体"/>
                <w:color w:val="000000"/>
                <w:szCs w:val="21"/>
              </w:rPr>
            </w:pPr>
            <w:r>
              <w:rPr>
                <w:rFonts w:hint="eastAsia" w:ascii="宋体" w:hAnsi="宋体"/>
                <w:color w:val="000000"/>
                <w:szCs w:val="21"/>
              </w:rPr>
              <w:t>BOD</w:t>
            </w:r>
            <w:r>
              <w:rPr>
                <w:rFonts w:hint="eastAsia" w:ascii="宋体" w:hAnsi="宋体"/>
                <w:color w:val="000000"/>
                <w:szCs w:val="21"/>
                <w:vertAlign w:val="subscript"/>
              </w:rPr>
              <w:t>5</w:t>
            </w:r>
          </w:p>
        </w:tc>
        <w:tc>
          <w:tcPr>
            <w:tcW w:w="1848" w:type="dxa"/>
            <w:noWrap w:val="0"/>
            <w:vAlign w:val="center"/>
          </w:tcPr>
          <w:p w14:paraId="057F22D0">
            <w:pPr>
              <w:jc w:val="center"/>
              <w:rPr>
                <w:rFonts w:hint="eastAsia" w:ascii="宋体" w:hAnsi="宋体"/>
                <w:color w:val="000000"/>
                <w:szCs w:val="21"/>
              </w:rPr>
            </w:pPr>
            <w:r>
              <w:rPr>
                <w:rFonts w:hint="eastAsia" w:ascii="宋体" w:hAnsi="宋体"/>
                <w:color w:val="000000"/>
                <w:szCs w:val="21"/>
                <w:lang w:val="en-GB"/>
              </w:rPr>
              <w:t>≤</w:t>
            </w:r>
            <w:r>
              <w:rPr>
                <w:rFonts w:hint="eastAsia" w:ascii="宋体" w:hAnsi="宋体"/>
                <w:color w:val="000000"/>
                <w:szCs w:val="21"/>
              </w:rPr>
              <w:t>4</w:t>
            </w:r>
          </w:p>
        </w:tc>
        <w:tc>
          <w:tcPr>
            <w:tcW w:w="4520" w:type="dxa"/>
            <w:vMerge w:val="continue"/>
            <w:noWrap w:val="0"/>
            <w:vAlign w:val="center"/>
          </w:tcPr>
          <w:p w14:paraId="4C5733CF">
            <w:pPr>
              <w:jc w:val="center"/>
              <w:rPr>
                <w:rFonts w:hint="eastAsia" w:ascii="宋体" w:hAnsi="宋体"/>
                <w:color w:val="000000"/>
                <w:szCs w:val="21"/>
              </w:rPr>
            </w:pPr>
          </w:p>
        </w:tc>
      </w:tr>
      <w:tr w14:paraId="35FB283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12" w:hRule="atLeast"/>
        </w:trPr>
        <w:tc>
          <w:tcPr>
            <w:tcW w:w="918" w:type="dxa"/>
            <w:noWrap w:val="0"/>
            <w:vAlign w:val="center"/>
          </w:tcPr>
          <w:p w14:paraId="67CE3BB7">
            <w:pPr>
              <w:jc w:val="center"/>
              <w:rPr>
                <w:rFonts w:hint="eastAsia" w:ascii="宋体" w:hAnsi="宋体"/>
                <w:color w:val="000000"/>
                <w:szCs w:val="21"/>
              </w:rPr>
            </w:pPr>
            <w:r>
              <w:rPr>
                <w:rFonts w:hint="eastAsia" w:ascii="宋体" w:hAnsi="宋体"/>
                <w:color w:val="000000"/>
                <w:szCs w:val="21"/>
              </w:rPr>
              <w:t>4</w:t>
            </w:r>
          </w:p>
        </w:tc>
        <w:tc>
          <w:tcPr>
            <w:tcW w:w="1660" w:type="dxa"/>
            <w:noWrap w:val="0"/>
            <w:vAlign w:val="center"/>
          </w:tcPr>
          <w:p w14:paraId="50699431">
            <w:pPr>
              <w:jc w:val="center"/>
              <w:rPr>
                <w:rFonts w:hint="eastAsia" w:ascii="宋体" w:hAnsi="宋体"/>
                <w:color w:val="000000"/>
                <w:szCs w:val="21"/>
              </w:rPr>
            </w:pPr>
            <w:r>
              <w:rPr>
                <w:rFonts w:hint="eastAsia" w:ascii="宋体" w:hAnsi="宋体"/>
                <w:color w:val="000000"/>
                <w:szCs w:val="21"/>
              </w:rPr>
              <w:t>总磷</w:t>
            </w:r>
          </w:p>
        </w:tc>
        <w:tc>
          <w:tcPr>
            <w:tcW w:w="1848" w:type="dxa"/>
            <w:noWrap w:val="0"/>
            <w:vAlign w:val="center"/>
          </w:tcPr>
          <w:p w14:paraId="13667957">
            <w:pPr>
              <w:jc w:val="center"/>
              <w:rPr>
                <w:rFonts w:hint="eastAsia" w:ascii="宋体" w:hAnsi="宋体"/>
                <w:color w:val="000000"/>
                <w:szCs w:val="21"/>
                <w:lang w:val="en-GB"/>
              </w:rPr>
            </w:pPr>
            <w:r>
              <w:rPr>
                <w:rFonts w:hint="eastAsia" w:ascii="宋体" w:hAnsi="宋体"/>
                <w:color w:val="000000"/>
                <w:szCs w:val="21"/>
                <w:lang w:val="en-GB"/>
              </w:rPr>
              <w:t>≤</w:t>
            </w:r>
            <w:r>
              <w:rPr>
                <w:rFonts w:hint="eastAsia" w:ascii="宋体" w:hAnsi="宋体"/>
                <w:color w:val="000000"/>
                <w:szCs w:val="21"/>
              </w:rPr>
              <w:t>0.2</w:t>
            </w:r>
          </w:p>
        </w:tc>
        <w:tc>
          <w:tcPr>
            <w:tcW w:w="4520" w:type="dxa"/>
            <w:vMerge w:val="continue"/>
            <w:noWrap w:val="0"/>
            <w:vAlign w:val="center"/>
          </w:tcPr>
          <w:p w14:paraId="621937B8">
            <w:pPr>
              <w:jc w:val="center"/>
              <w:rPr>
                <w:rFonts w:hint="eastAsia" w:ascii="宋体" w:hAnsi="宋体"/>
                <w:color w:val="000000"/>
                <w:szCs w:val="21"/>
              </w:rPr>
            </w:pPr>
          </w:p>
        </w:tc>
      </w:tr>
      <w:tr w14:paraId="0121553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Pr>
        <w:tc>
          <w:tcPr>
            <w:tcW w:w="918" w:type="dxa"/>
            <w:noWrap w:val="0"/>
            <w:vAlign w:val="center"/>
          </w:tcPr>
          <w:p w14:paraId="554D1A6B">
            <w:pPr>
              <w:jc w:val="center"/>
              <w:rPr>
                <w:rFonts w:hint="eastAsia" w:ascii="宋体" w:hAnsi="宋体"/>
                <w:color w:val="000000"/>
                <w:szCs w:val="21"/>
              </w:rPr>
            </w:pPr>
            <w:r>
              <w:rPr>
                <w:rFonts w:hint="eastAsia" w:ascii="宋体" w:hAnsi="宋体"/>
                <w:color w:val="000000"/>
                <w:szCs w:val="21"/>
              </w:rPr>
              <w:t>5</w:t>
            </w:r>
          </w:p>
        </w:tc>
        <w:tc>
          <w:tcPr>
            <w:tcW w:w="1660" w:type="dxa"/>
            <w:noWrap w:val="0"/>
            <w:vAlign w:val="center"/>
          </w:tcPr>
          <w:p w14:paraId="59C8B1C7">
            <w:pPr>
              <w:jc w:val="center"/>
              <w:rPr>
                <w:rFonts w:hint="eastAsia" w:ascii="宋体" w:hAnsi="宋体"/>
                <w:color w:val="000000"/>
                <w:szCs w:val="21"/>
              </w:rPr>
            </w:pPr>
            <w:r>
              <w:rPr>
                <w:rFonts w:hint="eastAsia" w:ascii="宋体" w:hAnsi="宋体"/>
                <w:color w:val="000000"/>
                <w:szCs w:val="21"/>
              </w:rPr>
              <w:t>氨氮</w:t>
            </w:r>
          </w:p>
        </w:tc>
        <w:tc>
          <w:tcPr>
            <w:tcW w:w="1848" w:type="dxa"/>
            <w:noWrap w:val="0"/>
            <w:vAlign w:val="center"/>
          </w:tcPr>
          <w:p w14:paraId="3744A9A1">
            <w:pPr>
              <w:jc w:val="center"/>
              <w:rPr>
                <w:rFonts w:ascii="宋体" w:hAnsi="宋体"/>
                <w:color w:val="000000"/>
                <w:szCs w:val="21"/>
              </w:rPr>
            </w:pPr>
            <w:r>
              <w:rPr>
                <w:rFonts w:hint="eastAsia" w:ascii="宋体" w:hAnsi="宋体"/>
                <w:color w:val="000000"/>
                <w:szCs w:val="21"/>
              </w:rPr>
              <w:t>≤1.0</w:t>
            </w:r>
          </w:p>
        </w:tc>
        <w:tc>
          <w:tcPr>
            <w:tcW w:w="4520" w:type="dxa"/>
            <w:vMerge w:val="continue"/>
            <w:noWrap w:val="0"/>
            <w:vAlign w:val="center"/>
          </w:tcPr>
          <w:p w14:paraId="3F6F85D2">
            <w:pPr>
              <w:jc w:val="center"/>
              <w:rPr>
                <w:rFonts w:hint="eastAsia" w:ascii="宋体" w:hAnsi="宋体"/>
                <w:color w:val="000000"/>
                <w:szCs w:val="21"/>
              </w:rPr>
            </w:pPr>
          </w:p>
        </w:tc>
      </w:tr>
      <w:tr w14:paraId="5E67556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Pr>
        <w:tc>
          <w:tcPr>
            <w:tcW w:w="918" w:type="dxa"/>
            <w:noWrap w:val="0"/>
            <w:vAlign w:val="center"/>
          </w:tcPr>
          <w:p w14:paraId="3D3B47A8">
            <w:pPr>
              <w:jc w:val="center"/>
              <w:rPr>
                <w:rFonts w:hint="eastAsia" w:ascii="宋体" w:hAnsi="宋体"/>
                <w:color w:val="000000"/>
                <w:szCs w:val="21"/>
              </w:rPr>
            </w:pPr>
            <w:r>
              <w:rPr>
                <w:rFonts w:hint="eastAsia" w:ascii="宋体" w:hAnsi="宋体"/>
                <w:color w:val="000000"/>
                <w:szCs w:val="21"/>
              </w:rPr>
              <w:t>6</w:t>
            </w:r>
          </w:p>
        </w:tc>
        <w:tc>
          <w:tcPr>
            <w:tcW w:w="1660" w:type="dxa"/>
            <w:noWrap w:val="0"/>
            <w:vAlign w:val="center"/>
          </w:tcPr>
          <w:p w14:paraId="22E03636">
            <w:pPr>
              <w:jc w:val="center"/>
              <w:rPr>
                <w:rFonts w:hint="eastAsia" w:ascii="宋体" w:hAnsi="宋体"/>
                <w:color w:val="000000"/>
                <w:szCs w:val="21"/>
              </w:rPr>
            </w:pPr>
            <w:r>
              <w:rPr>
                <w:rFonts w:hint="eastAsia" w:ascii="宋体" w:hAnsi="宋体"/>
                <w:color w:val="000000"/>
                <w:szCs w:val="21"/>
              </w:rPr>
              <w:t>总氮</w:t>
            </w:r>
          </w:p>
        </w:tc>
        <w:tc>
          <w:tcPr>
            <w:tcW w:w="1848" w:type="dxa"/>
            <w:noWrap w:val="0"/>
            <w:vAlign w:val="center"/>
          </w:tcPr>
          <w:p w14:paraId="06F927C2">
            <w:pPr>
              <w:jc w:val="center"/>
              <w:rPr>
                <w:rFonts w:hint="eastAsia" w:ascii="宋体" w:hAnsi="宋体"/>
                <w:color w:val="000000"/>
                <w:szCs w:val="21"/>
              </w:rPr>
            </w:pPr>
            <w:r>
              <w:rPr>
                <w:rFonts w:hint="eastAsia" w:ascii="宋体" w:hAnsi="宋体"/>
                <w:color w:val="000000"/>
                <w:szCs w:val="21"/>
              </w:rPr>
              <w:t>≤1.0</w:t>
            </w:r>
          </w:p>
        </w:tc>
        <w:tc>
          <w:tcPr>
            <w:tcW w:w="4520" w:type="dxa"/>
            <w:vMerge w:val="continue"/>
            <w:noWrap w:val="0"/>
            <w:vAlign w:val="center"/>
          </w:tcPr>
          <w:p w14:paraId="635B43D6">
            <w:pPr>
              <w:jc w:val="center"/>
              <w:rPr>
                <w:rFonts w:hint="eastAsia" w:ascii="宋体" w:hAnsi="宋体"/>
                <w:color w:val="000000"/>
                <w:szCs w:val="21"/>
              </w:rPr>
            </w:pPr>
          </w:p>
        </w:tc>
      </w:tr>
      <w:tr w14:paraId="33F1A4B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Pr>
        <w:tc>
          <w:tcPr>
            <w:tcW w:w="918" w:type="dxa"/>
            <w:noWrap w:val="0"/>
            <w:vAlign w:val="center"/>
          </w:tcPr>
          <w:p w14:paraId="09DA5B80">
            <w:pPr>
              <w:jc w:val="center"/>
              <w:rPr>
                <w:rFonts w:hint="eastAsia" w:ascii="宋体" w:hAnsi="宋体"/>
                <w:color w:val="000000"/>
                <w:szCs w:val="21"/>
              </w:rPr>
            </w:pPr>
            <w:r>
              <w:rPr>
                <w:rFonts w:hint="eastAsia" w:ascii="宋体" w:hAnsi="宋体"/>
                <w:color w:val="000000"/>
                <w:szCs w:val="21"/>
              </w:rPr>
              <w:t>7</w:t>
            </w:r>
          </w:p>
        </w:tc>
        <w:tc>
          <w:tcPr>
            <w:tcW w:w="1660" w:type="dxa"/>
            <w:noWrap w:val="0"/>
            <w:vAlign w:val="center"/>
          </w:tcPr>
          <w:p w14:paraId="572BCA86">
            <w:pPr>
              <w:jc w:val="center"/>
              <w:rPr>
                <w:rFonts w:hint="eastAsia" w:ascii="宋体" w:hAnsi="宋体"/>
                <w:color w:val="000000"/>
                <w:szCs w:val="21"/>
              </w:rPr>
            </w:pPr>
            <w:r>
              <w:rPr>
                <w:rFonts w:hint="eastAsia" w:ascii="宋体" w:hAnsi="宋体"/>
                <w:color w:val="000000"/>
                <w:szCs w:val="21"/>
              </w:rPr>
              <w:t>石油类</w:t>
            </w:r>
          </w:p>
        </w:tc>
        <w:tc>
          <w:tcPr>
            <w:tcW w:w="1848" w:type="dxa"/>
            <w:noWrap w:val="0"/>
            <w:vAlign w:val="center"/>
          </w:tcPr>
          <w:p w14:paraId="1125E647">
            <w:pPr>
              <w:jc w:val="center"/>
              <w:rPr>
                <w:rFonts w:hint="eastAsia" w:ascii="宋体" w:hAnsi="宋体"/>
                <w:color w:val="000000"/>
                <w:szCs w:val="21"/>
              </w:rPr>
            </w:pPr>
            <w:r>
              <w:rPr>
                <w:rFonts w:hint="eastAsia" w:ascii="宋体" w:hAnsi="宋体"/>
                <w:color w:val="000000"/>
                <w:szCs w:val="21"/>
              </w:rPr>
              <w:t>≤0.05</w:t>
            </w:r>
          </w:p>
        </w:tc>
        <w:tc>
          <w:tcPr>
            <w:tcW w:w="4520" w:type="dxa"/>
            <w:vMerge w:val="continue"/>
            <w:noWrap w:val="0"/>
            <w:vAlign w:val="center"/>
          </w:tcPr>
          <w:p w14:paraId="6BB9D631">
            <w:pPr>
              <w:jc w:val="center"/>
              <w:rPr>
                <w:rFonts w:hint="eastAsia" w:ascii="宋体" w:hAnsi="宋体"/>
                <w:color w:val="000000"/>
                <w:szCs w:val="21"/>
              </w:rPr>
            </w:pPr>
          </w:p>
        </w:tc>
      </w:tr>
    </w:tbl>
    <w:p w14:paraId="5CB39D6A">
      <w:pPr>
        <w:spacing w:line="360" w:lineRule="auto"/>
        <w:ind w:firstLine="561"/>
        <w:rPr>
          <w:color w:val="000000"/>
          <w:sz w:val="24"/>
        </w:rPr>
      </w:pPr>
      <w:r>
        <w:rPr>
          <w:color w:val="000000"/>
          <w:sz w:val="24"/>
        </w:rPr>
        <w:t>（3）地下水环境质量标准</w:t>
      </w:r>
    </w:p>
    <w:p w14:paraId="06DF10C4">
      <w:pPr>
        <w:spacing w:line="360" w:lineRule="auto"/>
        <w:ind w:firstLine="561"/>
        <w:rPr>
          <w:color w:val="000000"/>
          <w:sz w:val="24"/>
        </w:rPr>
      </w:pPr>
      <w:r>
        <w:rPr>
          <w:color w:val="000000"/>
          <w:sz w:val="24"/>
        </w:rPr>
        <w:t>根据德宏州水资源可持续开发利用研究（云南省水文水资源局德宏分局）资料，项目所在区域地下水环境质量执行《地下水环境质量标准》（GB/T14848-93）Ⅲ类标准。具体标准见表1.4-4。</w:t>
      </w:r>
    </w:p>
    <w:p w14:paraId="1789DC02">
      <w:pPr>
        <w:spacing w:line="360" w:lineRule="auto"/>
        <w:ind w:firstLine="561"/>
        <w:rPr>
          <w:color w:val="000000"/>
          <w:sz w:val="24"/>
        </w:rPr>
      </w:pPr>
    </w:p>
    <w:p w14:paraId="2D39B913">
      <w:pPr>
        <w:spacing w:line="360" w:lineRule="auto"/>
        <w:ind w:firstLine="2489"/>
        <w:rPr>
          <w:b/>
          <w:color w:val="000000"/>
          <w:sz w:val="24"/>
        </w:rPr>
      </w:pPr>
      <w:r>
        <w:rPr>
          <w:b/>
          <w:color w:val="000000"/>
          <w:sz w:val="24"/>
        </w:rPr>
        <w:t>表1.4-4   地下水环境质量标准</w:t>
      </w:r>
    </w:p>
    <w:tbl>
      <w:tblPr>
        <w:tblStyle w:val="27"/>
        <w:tblW w:w="0" w:type="auto"/>
        <w:tblInd w:w="-108" w:type="dxa"/>
        <w:tblLayout w:type="fixed"/>
        <w:tblCellMar>
          <w:top w:w="0" w:type="dxa"/>
          <w:left w:w="108" w:type="dxa"/>
          <w:bottom w:w="0" w:type="dxa"/>
          <w:right w:w="108" w:type="dxa"/>
        </w:tblCellMar>
      </w:tblPr>
      <w:tblGrid>
        <w:gridCol w:w="4473"/>
        <w:gridCol w:w="4473"/>
      </w:tblGrid>
      <w:tr w14:paraId="6AD06CA6">
        <w:tblPrEx>
          <w:tblCellMar>
            <w:top w:w="0" w:type="dxa"/>
            <w:left w:w="108" w:type="dxa"/>
            <w:bottom w:w="0" w:type="dxa"/>
            <w:right w:w="108" w:type="dxa"/>
          </w:tblCellMar>
        </w:tblPrEx>
        <w:tc>
          <w:tcPr>
            <w:tcW w:w="4473" w:type="dxa"/>
            <w:tcBorders>
              <w:top w:val="single" w:color="000000" w:sz="4" w:space="0"/>
              <w:left w:val="single" w:color="000000" w:sz="4" w:space="0"/>
              <w:bottom w:val="single" w:color="000000" w:sz="4" w:space="0"/>
              <w:right w:val="single" w:color="000000" w:sz="4" w:space="0"/>
            </w:tcBorders>
            <w:noWrap w:val="0"/>
            <w:vAlign w:val="top"/>
          </w:tcPr>
          <w:p w14:paraId="3FFD0C6C">
            <w:pPr>
              <w:jc w:val="center"/>
              <w:rPr>
                <w:b/>
                <w:color w:val="000000"/>
                <w:szCs w:val="21"/>
              </w:rPr>
            </w:pPr>
            <w:r>
              <w:rPr>
                <w:b/>
                <w:color w:val="000000"/>
                <w:szCs w:val="21"/>
              </w:rPr>
              <w:t>评价项目</w:t>
            </w:r>
          </w:p>
        </w:tc>
        <w:tc>
          <w:tcPr>
            <w:tcW w:w="4473" w:type="dxa"/>
            <w:tcBorders>
              <w:top w:val="single" w:color="000000" w:sz="4" w:space="0"/>
              <w:left w:val="single" w:color="000000" w:sz="4" w:space="0"/>
              <w:bottom w:val="single" w:color="000000" w:sz="4" w:space="0"/>
              <w:right w:val="single" w:color="000000" w:sz="4" w:space="0"/>
            </w:tcBorders>
            <w:noWrap w:val="0"/>
            <w:vAlign w:val="top"/>
          </w:tcPr>
          <w:p w14:paraId="7BEA724E">
            <w:pPr>
              <w:jc w:val="center"/>
              <w:rPr>
                <w:b/>
                <w:color w:val="000000"/>
                <w:szCs w:val="21"/>
              </w:rPr>
            </w:pPr>
            <w:r>
              <w:rPr>
                <w:b/>
                <w:color w:val="000000"/>
                <w:szCs w:val="21"/>
              </w:rPr>
              <w:t>评价标准（mg/L）</w:t>
            </w:r>
          </w:p>
        </w:tc>
      </w:tr>
      <w:tr w14:paraId="271AB671">
        <w:tblPrEx>
          <w:tblCellMar>
            <w:top w:w="0" w:type="dxa"/>
            <w:left w:w="108" w:type="dxa"/>
            <w:bottom w:w="0" w:type="dxa"/>
            <w:right w:w="108" w:type="dxa"/>
          </w:tblCellMar>
        </w:tblPrEx>
        <w:tc>
          <w:tcPr>
            <w:tcW w:w="4473" w:type="dxa"/>
            <w:tcBorders>
              <w:top w:val="single" w:color="000000" w:sz="4" w:space="0"/>
              <w:left w:val="single" w:color="000000" w:sz="4" w:space="0"/>
              <w:bottom w:val="single" w:color="000000" w:sz="4" w:space="0"/>
              <w:right w:val="single" w:color="000000" w:sz="4" w:space="0"/>
            </w:tcBorders>
            <w:noWrap w:val="0"/>
            <w:vAlign w:val="top"/>
          </w:tcPr>
          <w:p w14:paraId="1E495424">
            <w:pPr>
              <w:jc w:val="center"/>
              <w:rPr>
                <w:color w:val="000000"/>
                <w:szCs w:val="21"/>
              </w:rPr>
            </w:pPr>
            <w:r>
              <w:rPr>
                <w:color w:val="000000"/>
                <w:szCs w:val="21"/>
              </w:rPr>
              <w:t>PH值</w:t>
            </w:r>
          </w:p>
        </w:tc>
        <w:tc>
          <w:tcPr>
            <w:tcW w:w="4473" w:type="dxa"/>
            <w:tcBorders>
              <w:top w:val="single" w:color="000000" w:sz="4" w:space="0"/>
              <w:left w:val="single" w:color="000000" w:sz="4" w:space="0"/>
              <w:bottom w:val="single" w:color="000000" w:sz="4" w:space="0"/>
              <w:right w:val="single" w:color="000000" w:sz="4" w:space="0"/>
            </w:tcBorders>
            <w:noWrap w:val="0"/>
            <w:vAlign w:val="top"/>
          </w:tcPr>
          <w:p w14:paraId="5051E451">
            <w:pPr>
              <w:jc w:val="center"/>
              <w:rPr>
                <w:color w:val="000000"/>
                <w:szCs w:val="21"/>
              </w:rPr>
            </w:pPr>
            <w:r>
              <w:rPr>
                <w:color w:val="000000"/>
                <w:szCs w:val="21"/>
              </w:rPr>
              <w:t>6.5～8.5</w:t>
            </w:r>
          </w:p>
        </w:tc>
      </w:tr>
      <w:tr w14:paraId="03A61C2C">
        <w:tblPrEx>
          <w:tblCellMar>
            <w:top w:w="0" w:type="dxa"/>
            <w:left w:w="108" w:type="dxa"/>
            <w:bottom w:w="0" w:type="dxa"/>
            <w:right w:w="108" w:type="dxa"/>
          </w:tblCellMar>
        </w:tblPrEx>
        <w:tc>
          <w:tcPr>
            <w:tcW w:w="4473" w:type="dxa"/>
            <w:tcBorders>
              <w:top w:val="single" w:color="000000" w:sz="4" w:space="0"/>
              <w:left w:val="single" w:color="000000" w:sz="4" w:space="0"/>
              <w:bottom w:val="single" w:color="000000" w:sz="4" w:space="0"/>
              <w:right w:val="single" w:color="000000" w:sz="4" w:space="0"/>
            </w:tcBorders>
            <w:noWrap w:val="0"/>
            <w:vAlign w:val="top"/>
          </w:tcPr>
          <w:p w14:paraId="4544B646">
            <w:pPr>
              <w:jc w:val="center"/>
              <w:rPr>
                <w:color w:val="000000"/>
                <w:szCs w:val="21"/>
              </w:rPr>
            </w:pPr>
            <w:r>
              <w:rPr>
                <w:color w:val="000000"/>
                <w:szCs w:val="21"/>
              </w:rPr>
              <w:t>氨氮</w:t>
            </w:r>
          </w:p>
        </w:tc>
        <w:tc>
          <w:tcPr>
            <w:tcW w:w="4473" w:type="dxa"/>
            <w:tcBorders>
              <w:top w:val="single" w:color="000000" w:sz="4" w:space="0"/>
              <w:left w:val="single" w:color="000000" w:sz="4" w:space="0"/>
              <w:bottom w:val="single" w:color="000000" w:sz="4" w:space="0"/>
              <w:right w:val="single" w:color="000000" w:sz="4" w:space="0"/>
            </w:tcBorders>
            <w:noWrap w:val="0"/>
            <w:vAlign w:val="top"/>
          </w:tcPr>
          <w:p w14:paraId="05C3CACE">
            <w:pPr>
              <w:jc w:val="center"/>
              <w:rPr>
                <w:color w:val="000000"/>
                <w:szCs w:val="21"/>
              </w:rPr>
            </w:pPr>
            <w:r>
              <w:rPr>
                <w:color w:val="000000"/>
                <w:szCs w:val="21"/>
              </w:rPr>
              <w:t>≤0.2</w:t>
            </w:r>
          </w:p>
        </w:tc>
      </w:tr>
      <w:tr w14:paraId="4B0149A6">
        <w:tblPrEx>
          <w:tblCellMar>
            <w:top w:w="0" w:type="dxa"/>
            <w:left w:w="108" w:type="dxa"/>
            <w:bottom w:w="0" w:type="dxa"/>
            <w:right w:w="108" w:type="dxa"/>
          </w:tblCellMar>
        </w:tblPrEx>
        <w:tc>
          <w:tcPr>
            <w:tcW w:w="4473" w:type="dxa"/>
            <w:tcBorders>
              <w:top w:val="single" w:color="000000" w:sz="4" w:space="0"/>
              <w:left w:val="single" w:color="000000" w:sz="4" w:space="0"/>
              <w:bottom w:val="single" w:color="000000" w:sz="4" w:space="0"/>
              <w:right w:val="single" w:color="000000" w:sz="4" w:space="0"/>
            </w:tcBorders>
            <w:noWrap w:val="0"/>
            <w:vAlign w:val="top"/>
          </w:tcPr>
          <w:p w14:paraId="2BD836F1">
            <w:pPr>
              <w:jc w:val="center"/>
              <w:rPr>
                <w:color w:val="000000"/>
                <w:szCs w:val="21"/>
              </w:rPr>
            </w:pPr>
            <w:r>
              <w:rPr>
                <w:color w:val="000000"/>
                <w:szCs w:val="21"/>
              </w:rPr>
              <w:t>硝酸盐</w:t>
            </w:r>
          </w:p>
        </w:tc>
        <w:tc>
          <w:tcPr>
            <w:tcW w:w="4473" w:type="dxa"/>
            <w:tcBorders>
              <w:top w:val="single" w:color="000000" w:sz="4" w:space="0"/>
              <w:left w:val="single" w:color="000000" w:sz="4" w:space="0"/>
              <w:bottom w:val="single" w:color="000000" w:sz="4" w:space="0"/>
              <w:right w:val="single" w:color="000000" w:sz="4" w:space="0"/>
            </w:tcBorders>
            <w:noWrap w:val="0"/>
            <w:vAlign w:val="top"/>
          </w:tcPr>
          <w:p w14:paraId="11176374">
            <w:pPr>
              <w:jc w:val="center"/>
              <w:rPr>
                <w:color w:val="000000"/>
                <w:szCs w:val="21"/>
              </w:rPr>
            </w:pPr>
            <w:r>
              <w:rPr>
                <w:color w:val="000000"/>
                <w:szCs w:val="21"/>
              </w:rPr>
              <w:t>≤20</w:t>
            </w:r>
          </w:p>
        </w:tc>
      </w:tr>
      <w:tr w14:paraId="7A27909D">
        <w:tblPrEx>
          <w:tblCellMar>
            <w:top w:w="0" w:type="dxa"/>
            <w:left w:w="108" w:type="dxa"/>
            <w:bottom w:w="0" w:type="dxa"/>
            <w:right w:w="108" w:type="dxa"/>
          </w:tblCellMar>
        </w:tblPrEx>
        <w:tc>
          <w:tcPr>
            <w:tcW w:w="4473" w:type="dxa"/>
            <w:tcBorders>
              <w:top w:val="single" w:color="000000" w:sz="4" w:space="0"/>
              <w:left w:val="single" w:color="000000" w:sz="4" w:space="0"/>
              <w:bottom w:val="single" w:color="000000" w:sz="4" w:space="0"/>
              <w:right w:val="single" w:color="000000" w:sz="4" w:space="0"/>
            </w:tcBorders>
            <w:noWrap w:val="0"/>
            <w:vAlign w:val="top"/>
          </w:tcPr>
          <w:p w14:paraId="7742381E">
            <w:pPr>
              <w:jc w:val="center"/>
              <w:rPr>
                <w:color w:val="000000"/>
                <w:szCs w:val="21"/>
              </w:rPr>
            </w:pPr>
            <w:r>
              <w:rPr>
                <w:color w:val="000000"/>
                <w:szCs w:val="21"/>
              </w:rPr>
              <w:t>亚硝酸盐</w:t>
            </w:r>
          </w:p>
        </w:tc>
        <w:tc>
          <w:tcPr>
            <w:tcW w:w="4473" w:type="dxa"/>
            <w:tcBorders>
              <w:top w:val="single" w:color="000000" w:sz="4" w:space="0"/>
              <w:left w:val="single" w:color="000000" w:sz="4" w:space="0"/>
              <w:bottom w:val="single" w:color="000000" w:sz="4" w:space="0"/>
              <w:right w:val="single" w:color="000000" w:sz="4" w:space="0"/>
            </w:tcBorders>
            <w:noWrap w:val="0"/>
            <w:vAlign w:val="top"/>
          </w:tcPr>
          <w:p w14:paraId="1A3F2822">
            <w:pPr>
              <w:jc w:val="center"/>
              <w:rPr>
                <w:color w:val="000000"/>
                <w:szCs w:val="21"/>
              </w:rPr>
            </w:pPr>
            <w:r>
              <w:rPr>
                <w:color w:val="000000"/>
                <w:szCs w:val="21"/>
              </w:rPr>
              <w:t>≤0.02</w:t>
            </w:r>
          </w:p>
        </w:tc>
      </w:tr>
      <w:tr w14:paraId="0C3F93B0">
        <w:tblPrEx>
          <w:tblCellMar>
            <w:top w:w="0" w:type="dxa"/>
            <w:left w:w="108" w:type="dxa"/>
            <w:bottom w:w="0" w:type="dxa"/>
            <w:right w:w="108" w:type="dxa"/>
          </w:tblCellMar>
        </w:tblPrEx>
        <w:tc>
          <w:tcPr>
            <w:tcW w:w="4473" w:type="dxa"/>
            <w:tcBorders>
              <w:top w:val="single" w:color="000000" w:sz="4" w:space="0"/>
              <w:left w:val="single" w:color="000000" w:sz="4" w:space="0"/>
              <w:bottom w:val="single" w:color="000000" w:sz="4" w:space="0"/>
              <w:right w:val="single" w:color="000000" w:sz="4" w:space="0"/>
            </w:tcBorders>
            <w:noWrap w:val="0"/>
            <w:vAlign w:val="top"/>
          </w:tcPr>
          <w:p w14:paraId="1B2CC3B5">
            <w:pPr>
              <w:jc w:val="center"/>
              <w:rPr>
                <w:color w:val="000000"/>
                <w:szCs w:val="21"/>
              </w:rPr>
            </w:pPr>
            <w:r>
              <w:rPr>
                <w:color w:val="000000"/>
                <w:szCs w:val="21"/>
              </w:rPr>
              <w:t>高锰酸钾指数</w:t>
            </w:r>
          </w:p>
        </w:tc>
        <w:tc>
          <w:tcPr>
            <w:tcW w:w="4473" w:type="dxa"/>
            <w:tcBorders>
              <w:top w:val="single" w:color="000000" w:sz="4" w:space="0"/>
              <w:left w:val="single" w:color="000000" w:sz="4" w:space="0"/>
              <w:bottom w:val="single" w:color="000000" w:sz="4" w:space="0"/>
              <w:right w:val="single" w:color="000000" w:sz="4" w:space="0"/>
            </w:tcBorders>
            <w:noWrap w:val="0"/>
            <w:vAlign w:val="top"/>
          </w:tcPr>
          <w:p w14:paraId="57A28F2C">
            <w:pPr>
              <w:jc w:val="center"/>
              <w:rPr>
                <w:color w:val="000000"/>
                <w:szCs w:val="21"/>
              </w:rPr>
            </w:pPr>
            <w:r>
              <w:rPr>
                <w:color w:val="000000"/>
                <w:szCs w:val="21"/>
              </w:rPr>
              <w:t>≤3.0</w:t>
            </w:r>
          </w:p>
        </w:tc>
      </w:tr>
      <w:tr w14:paraId="109FC57E">
        <w:tblPrEx>
          <w:tblCellMar>
            <w:top w:w="0" w:type="dxa"/>
            <w:left w:w="108" w:type="dxa"/>
            <w:bottom w:w="0" w:type="dxa"/>
            <w:right w:w="108" w:type="dxa"/>
          </w:tblCellMar>
        </w:tblPrEx>
        <w:tc>
          <w:tcPr>
            <w:tcW w:w="4473" w:type="dxa"/>
            <w:tcBorders>
              <w:top w:val="single" w:color="000000" w:sz="4" w:space="0"/>
              <w:left w:val="single" w:color="000000" w:sz="4" w:space="0"/>
              <w:bottom w:val="single" w:color="000000" w:sz="4" w:space="0"/>
              <w:right w:val="single" w:color="000000" w:sz="4" w:space="0"/>
            </w:tcBorders>
            <w:noWrap w:val="0"/>
            <w:vAlign w:val="top"/>
          </w:tcPr>
          <w:p w14:paraId="079132AC">
            <w:pPr>
              <w:jc w:val="center"/>
              <w:rPr>
                <w:color w:val="000000"/>
                <w:szCs w:val="21"/>
              </w:rPr>
            </w:pPr>
            <w:r>
              <w:rPr>
                <w:color w:val="000000"/>
                <w:szCs w:val="21"/>
              </w:rPr>
              <w:t>总大肠菌群</w:t>
            </w:r>
          </w:p>
        </w:tc>
        <w:tc>
          <w:tcPr>
            <w:tcW w:w="4473" w:type="dxa"/>
            <w:tcBorders>
              <w:top w:val="single" w:color="000000" w:sz="4" w:space="0"/>
              <w:left w:val="single" w:color="000000" w:sz="4" w:space="0"/>
              <w:bottom w:val="single" w:color="000000" w:sz="4" w:space="0"/>
              <w:right w:val="single" w:color="000000" w:sz="4" w:space="0"/>
            </w:tcBorders>
            <w:noWrap w:val="0"/>
            <w:vAlign w:val="top"/>
          </w:tcPr>
          <w:p w14:paraId="0FEAE32E">
            <w:pPr>
              <w:jc w:val="center"/>
              <w:rPr>
                <w:color w:val="000000"/>
                <w:szCs w:val="21"/>
              </w:rPr>
            </w:pPr>
            <w:r>
              <w:rPr>
                <w:color w:val="000000"/>
                <w:szCs w:val="21"/>
              </w:rPr>
              <w:t>≤3.0个/L</w:t>
            </w:r>
          </w:p>
        </w:tc>
      </w:tr>
    </w:tbl>
    <w:p w14:paraId="31886191">
      <w:pPr>
        <w:spacing w:line="360" w:lineRule="auto"/>
        <w:ind w:firstLine="561"/>
        <w:rPr>
          <w:color w:val="000000"/>
          <w:sz w:val="24"/>
        </w:rPr>
      </w:pPr>
      <w:r>
        <w:rPr>
          <w:color w:val="000000"/>
          <w:sz w:val="24"/>
        </w:rPr>
        <w:t>（4）噪声环境质量标准</w:t>
      </w:r>
    </w:p>
    <w:p w14:paraId="6285353C">
      <w:pPr>
        <w:spacing w:line="360" w:lineRule="auto"/>
        <w:ind w:firstLine="480"/>
        <w:rPr>
          <w:color w:val="000000"/>
          <w:sz w:val="24"/>
        </w:rPr>
      </w:pPr>
      <w:r>
        <w:rPr>
          <w:color w:val="000000"/>
          <w:sz w:val="24"/>
        </w:rPr>
        <w:t>项目所在地周边主要有</w:t>
      </w:r>
      <w:r>
        <w:rPr>
          <w:rFonts w:hint="eastAsia"/>
          <w:color w:val="000000"/>
          <w:sz w:val="24"/>
        </w:rPr>
        <w:t>泛亚壹城小区</w:t>
      </w:r>
      <w:r>
        <w:rPr>
          <w:color w:val="000000"/>
          <w:sz w:val="24"/>
        </w:rPr>
        <w:t>、</w:t>
      </w:r>
      <w:r>
        <w:rPr>
          <w:rFonts w:hint="eastAsia"/>
          <w:color w:val="000000"/>
          <w:sz w:val="24"/>
        </w:rPr>
        <w:t>芒核村</w:t>
      </w:r>
      <w:r>
        <w:rPr>
          <w:color w:val="000000"/>
          <w:sz w:val="24"/>
        </w:rPr>
        <w:t>、</w:t>
      </w:r>
      <w:r>
        <w:rPr>
          <w:rFonts w:hint="eastAsia"/>
          <w:color w:val="000000"/>
          <w:sz w:val="24"/>
        </w:rPr>
        <w:t>部分商住混合</w:t>
      </w:r>
      <w:r>
        <w:rPr>
          <w:color w:val="000000"/>
          <w:sz w:val="24"/>
        </w:rPr>
        <w:t>区，参照《城市区域环境噪声适用区划分技术规范》(GB/T15190-2014)，本项目所在区环境噪声执行《声环境质量标准》（GB3096-2008）2类标准；靠</w:t>
      </w:r>
      <w:r>
        <w:rPr>
          <w:rFonts w:hint="eastAsia"/>
          <w:color w:val="000000"/>
          <w:sz w:val="24"/>
        </w:rPr>
        <w:t>机场大道一侧</w:t>
      </w:r>
      <w:r>
        <w:rPr>
          <w:color w:val="000000"/>
          <w:sz w:val="24"/>
        </w:rPr>
        <w:t>30±5m范围内执行4a类标准。具体标准见表1.4-5。</w:t>
      </w:r>
    </w:p>
    <w:p w14:paraId="5F0F4419">
      <w:pPr>
        <w:spacing w:line="360" w:lineRule="auto"/>
        <w:ind w:firstLine="2489"/>
        <w:rPr>
          <w:b/>
          <w:color w:val="000000"/>
          <w:sz w:val="24"/>
        </w:rPr>
      </w:pPr>
      <w:r>
        <w:rPr>
          <w:b/>
          <w:color w:val="000000"/>
          <w:sz w:val="24"/>
        </w:rPr>
        <w:t>表1.4-5   声环境质量标准</w:t>
      </w:r>
    </w:p>
    <w:tbl>
      <w:tblPr>
        <w:tblStyle w:val="27"/>
        <w:tblW w:w="0" w:type="auto"/>
        <w:tblInd w:w="-108" w:type="dxa"/>
        <w:tblLayout w:type="fixed"/>
        <w:tblCellMar>
          <w:top w:w="0" w:type="dxa"/>
          <w:left w:w="108" w:type="dxa"/>
          <w:bottom w:w="0" w:type="dxa"/>
          <w:right w:w="108" w:type="dxa"/>
        </w:tblCellMar>
      </w:tblPr>
      <w:tblGrid>
        <w:gridCol w:w="1138"/>
        <w:gridCol w:w="3800"/>
        <w:gridCol w:w="1761"/>
        <w:gridCol w:w="2247"/>
      </w:tblGrid>
      <w:tr w14:paraId="10A32841">
        <w:tblPrEx>
          <w:tblCellMar>
            <w:top w:w="0" w:type="dxa"/>
            <w:left w:w="108" w:type="dxa"/>
            <w:bottom w:w="0" w:type="dxa"/>
            <w:right w:w="108" w:type="dxa"/>
          </w:tblCellMar>
        </w:tblPrEx>
        <w:trPr>
          <w:cantSplit/>
        </w:trPr>
        <w:tc>
          <w:tcPr>
            <w:tcW w:w="1138" w:type="dxa"/>
            <w:vMerge w:val="restart"/>
            <w:tcBorders>
              <w:top w:val="single" w:color="000000" w:sz="4" w:space="0"/>
              <w:left w:val="single" w:color="000000" w:sz="4" w:space="0"/>
              <w:bottom w:val="single" w:color="000000" w:sz="4" w:space="0"/>
              <w:right w:val="single" w:color="000000" w:sz="4" w:space="0"/>
            </w:tcBorders>
            <w:noWrap w:val="0"/>
            <w:vAlign w:val="center"/>
          </w:tcPr>
          <w:p w14:paraId="29E4956B">
            <w:pPr>
              <w:jc w:val="center"/>
              <w:rPr>
                <w:b/>
                <w:color w:val="000000"/>
                <w:szCs w:val="21"/>
              </w:rPr>
            </w:pPr>
            <w:r>
              <w:rPr>
                <w:b/>
                <w:color w:val="000000"/>
                <w:szCs w:val="21"/>
              </w:rPr>
              <w:t>类别</w:t>
            </w:r>
          </w:p>
        </w:tc>
        <w:tc>
          <w:tcPr>
            <w:tcW w:w="3800" w:type="dxa"/>
            <w:vMerge w:val="restart"/>
            <w:tcBorders>
              <w:top w:val="single" w:color="000000" w:sz="4" w:space="0"/>
              <w:left w:val="single" w:color="000000" w:sz="4" w:space="0"/>
              <w:bottom w:val="single" w:color="000000" w:sz="4" w:space="0"/>
              <w:right w:val="single" w:color="000000" w:sz="4" w:space="0"/>
            </w:tcBorders>
            <w:noWrap w:val="0"/>
            <w:vAlign w:val="center"/>
          </w:tcPr>
          <w:p w14:paraId="28456EE4">
            <w:pPr>
              <w:jc w:val="center"/>
              <w:rPr>
                <w:b/>
                <w:color w:val="000000"/>
                <w:szCs w:val="21"/>
              </w:rPr>
            </w:pPr>
            <w:r>
              <w:rPr>
                <w:b/>
                <w:color w:val="000000"/>
                <w:szCs w:val="21"/>
              </w:rPr>
              <w:t>适用区域</w:t>
            </w:r>
          </w:p>
        </w:tc>
        <w:tc>
          <w:tcPr>
            <w:tcW w:w="4008" w:type="dxa"/>
            <w:gridSpan w:val="2"/>
            <w:tcBorders>
              <w:top w:val="single" w:color="000000" w:sz="4" w:space="0"/>
              <w:left w:val="single" w:color="000000" w:sz="4" w:space="0"/>
              <w:bottom w:val="single" w:color="000000" w:sz="4" w:space="0"/>
              <w:right w:val="single" w:color="000000" w:sz="4" w:space="0"/>
            </w:tcBorders>
            <w:noWrap w:val="0"/>
            <w:vAlign w:val="center"/>
          </w:tcPr>
          <w:p w14:paraId="499AC6BA">
            <w:pPr>
              <w:jc w:val="center"/>
              <w:rPr>
                <w:b/>
                <w:color w:val="000000"/>
                <w:szCs w:val="21"/>
              </w:rPr>
            </w:pPr>
            <w:r>
              <w:rPr>
                <w:b/>
                <w:color w:val="000000"/>
                <w:szCs w:val="21"/>
              </w:rPr>
              <w:t>等效声级[dB(A)]</w:t>
            </w:r>
          </w:p>
        </w:tc>
      </w:tr>
      <w:tr w14:paraId="78AAF12A">
        <w:tblPrEx>
          <w:tblCellMar>
            <w:top w:w="0" w:type="dxa"/>
            <w:left w:w="108" w:type="dxa"/>
            <w:bottom w:w="0" w:type="dxa"/>
            <w:right w:w="108" w:type="dxa"/>
          </w:tblCellMar>
        </w:tblPrEx>
        <w:trPr>
          <w:cantSplit/>
        </w:trPr>
        <w:tc>
          <w:tcPr>
            <w:tcW w:w="1138" w:type="dxa"/>
            <w:vMerge w:val="continue"/>
            <w:tcBorders>
              <w:top w:val="single" w:color="000000" w:sz="4" w:space="0"/>
              <w:left w:val="single" w:color="000000" w:sz="4" w:space="0"/>
              <w:bottom w:val="single" w:color="000000" w:sz="4" w:space="0"/>
              <w:right w:val="single" w:color="000000" w:sz="4" w:space="0"/>
            </w:tcBorders>
            <w:noWrap w:val="0"/>
            <w:vAlign w:val="center"/>
          </w:tcPr>
          <w:p w14:paraId="0CD66D0A">
            <w:pPr>
              <w:jc w:val="left"/>
              <w:rPr>
                <w:b/>
                <w:color w:val="000000"/>
                <w:szCs w:val="21"/>
              </w:rPr>
            </w:pPr>
          </w:p>
        </w:tc>
        <w:tc>
          <w:tcPr>
            <w:tcW w:w="3800" w:type="dxa"/>
            <w:vMerge w:val="continue"/>
            <w:tcBorders>
              <w:top w:val="single" w:color="000000" w:sz="4" w:space="0"/>
              <w:left w:val="single" w:color="000000" w:sz="4" w:space="0"/>
              <w:bottom w:val="single" w:color="000000" w:sz="4" w:space="0"/>
              <w:right w:val="single" w:color="000000" w:sz="4" w:space="0"/>
            </w:tcBorders>
            <w:noWrap w:val="0"/>
            <w:vAlign w:val="center"/>
          </w:tcPr>
          <w:p w14:paraId="73DD73C8">
            <w:pPr>
              <w:jc w:val="left"/>
              <w:rPr>
                <w:b/>
                <w:color w:val="000000"/>
                <w:szCs w:val="21"/>
              </w:rPr>
            </w:pPr>
          </w:p>
        </w:tc>
        <w:tc>
          <w:tcPr>
            <w:tcW w:w="1761" w:type="dxa"/>
            <w:tcBorders>
              <w:top w:val="single" w:color="000000" w:sz="4" w:space="0"/>
              <w:left w:val="single" w:color="000000" w:sz="4" w:space="0"/>
              <w:bottom w:val="single" w:color="000000" w:sz="4" w:space="0"/>
              <w:right w:val="single" w:color="000000" w:sz="4" w:space="0"/>
            </w:tcBorders>
            <w:noWrap w:val="0"/>
            <w:vAlign w:val="center"/>
          </w:tcPr>
          <w:p w14:paraId="5C022428">
            <w:pPr>
              <w:jc w:val="center"/>
              <w:rPr>
                <w:color w:val="000000"/>
                <w:szCs w:val="21"/>
              </w:rPr>
            </w:pPr>
            <w:r>
              <w:rPr>
                <w:color w:val="000000"/>
                <w:szCs w:val="21"/>
              </w:rPr>
              <w:t>昼间</w:t>
            </w:r>
          </w:p>
        </w:tc>
        <w:tc>
          <w:tcPr>
            <w:tcW w:w="2247" w:type="dxa"/>
            <w:tcBorders>
              <w:top w:val="single" w:color="000000" w:sz="4" w:space="0"/>
              <w:left w:val="single" w:color="000000" w:sz="4" w:space="0"/>
              <w:bottom w:val="single" w:color="000000" w:sz="4" w:space="0"/>
              <w:right w:val="single" w:color="000000" w:sz="4" w:space="0"/>
            </w:tcBorders>
            <w:noWrap w:val="0"/>
            <w:vAlign w:val="center"/>
          </w:tcPr>
          <w:p w14:paraId="7DF533B3">
            <w:pPr>
              <w:jc w:val="center"/>
              <w:rPr>
                <w:color w:val="000000"/>
                <w:szCs w:val="21"/>
              </w:rPr>
            </w:pPr>
            <w:r>
              <w:rPr>
                <w:color w:val="000000"/>
                <w:szCs w:val="21"/>
              </w:rPr>
              <w:t>夜间</w:t>
            </w:r>
          </w:p>
        </w:tc>
      </w:tr>
      <w:tr w14:paraId="3B5C95B4">
        <w:tblPrEx>
          <w:tblCellMar>
            <w:top w:w="0" w:type="dxa"/>
            <w:left w:w="108" w:type="dxa"/>
            <w:bottom w:w="0" w:type="dxa"/>
            <w:right w:w="108" w:type="dxa"/>
          </w:tblCellMar>
        </w:tblPrEx>
        <w:tc>
          <w:tcPr>
            <w:tcW w:w="1138" w:type="dxa"/>
            <w:tcBorders>
              <w:top w:val="single" w:color="000000" w:sz="4" w:space="0"/>
              <w:left w:val="single" w:color="000000" w:sz="4" w:space="0"/>
              <w:bottom w:val="single" w:color="000000" w:sz="4" w:space="0"/>
              <w:right w:val="single" w:color="000000" w:sz="4" w:space="0"/>
            </w:tcBorders>
            <w:noWrap w:val="0"/>
            <w:vAlign w:val="center"/>
          </w:tcPr>
          <w:p w14:paraId="5613D361">
            <w:pPr>
              <w:jc w:val="center"/>
              <w:rPr>
                <w:color w:val="000000"/>
                <w:szCs w:val="21"/>
              </w:rPr>
            </w:pPr>
            <w:r>
              <w:rPr>
                <w:color w:val="000000"/>
                <w:szCs w:val="21"/>
              </w:rPr>
              <w:t>2类</w:t>
            </w:r>
          </w:p>
        </w:tc>
        <w:tc>
          <w:tcPr>
            <w:tcW w:w="3800" w:type="dxa"/>
            <w:tcBorders>
              <w:top w:val="single" w:color="000000" w:sz="4" w:space="0"/>
              <w:left w:val="single" w:color="000000" w:sz="4" w:space="0"/>
              <w:bottom w:val="single" w:color="000000" w:sz="4" w:space="0"/>
              <w:right w:val="single" w:color="000000" w:sz="4" w:space="0"/>
            </w:tcBorders>
            <w:noWrap w:val="0"/>
            <w:vAlign w:val="center"/>
          </w:tcPr>
          <w:p w14:paraId="04F82F18">
            <w:pPr>
              <w:jc w:val="center"/>
              <w:rPr>
                <w:color w:val="000000"/>
                <w:szCs w:val="21"/>
              </w:rPr>
            </w:pPr>
            <w:r>
              <w:rPr>
                <w:color w:val="000000"/>
                <w:szCs w:val="21"/>
              </w:rPr>
              <w:t>适用于居住、商业、工业混杂区</w:t>
            </w:r>
          </w:p>
        </w:tc>
        <w:tc>
          <w:tcPr>
            <w:tcW w:w="1761" w:type="dxa"/>
            <w:tcBorders>
              <w:top w:val="single" w:color="000000" w:sz="4" w:space="0"/>
              <w:left w:val="single" w:color="000000" w:sz="4" w:space="0"/>
              <w:bottom w:val="single" w:color="000000" w:sz="4" w:space="0"/>
              <w:right w:val="single" w:color="000000" w:sz="4" w:space="0"/>
            </w:tcBorders>
            <w:noWrap w:val="0"/>
            <w:vAlign w:val="center"/>
          </w:tcPr>
          <w:p w14:paraId="1A08DA47">
            <w:pPr>
              <w:jc w:val="center"/>
              <w:rPr>
                <w:color w:val="000000"/>
                <w:szCs w:val="21"/>
              </w:rPr>
            </w:pPr>
            <w:r>
              <w:rPr>
                <w:color w:val="000000"/>
                <w:szCs w:val="21"/>
              </w:rPr>
              <w:t>60</w:t>
            </w:r>
          </w:p>
        </w:tc>
        <w:tc>
          <w:tcPr>
            <w:tcW w:w="2247" w:type="dxa"/>
            <w:tcBorders>
              <w:top w:val="single" w:color="000000" w:sz="4" w:space="0"/>
              <w:left w:val="single" w:color="000000" w:sz="4" w:space="0"/>
              <w:bottom w:val="single" w:color="000000" w:sz="4" w:space="0"/>
              <w:right w:val="single" w:color="000000" w:sz="4" w:space="0"/>
            </w:tcBorders>
            <w:noWrap w:val="0"/>
            <w:vAlign w:val="center"/>
          </w:tcPr>
          <w:p w14:paraId="42C82912">
            <w:pPr>
              <w:jc w:val="center"/>
              <w:rPr>
                <w:color w:val="000000"/>
                <w:szCs w:val="21"/>
              </w:rPr>
            </w:pPr>
            <w:r>
              <w:rPr>
                <w:color w:val="000000"/>
                <w:szCs w:val="21"/>
              </w:rPr>
              <w:t>50</w:t>
            </w:r>
          </w:p>
        </w:tc>
      </w:tr>
      <w:tr w14:paraId="42B6BF9E">
        <w:tblPrEx>
          <w:tblCellMar>
            <w:top w:w="0" w:type="dxa"/>
            <w:left w:w="108" w:type="dxa"/>
            <w:bottom w:w="0" w:type="dxa"/>
            <w:right w:w="108" w:type="dxa"/>
          </w:tblCellMar>
        </w:tblPrEx>
        <w:tc>
          <w:tcPr>
            <w:tcW w:w="1138" w:type="dxa"/>
            <w:tcBorders>
              <w:top w:val="single" w:color="000000" w:sz="4" w:space="0"/>
              <w:left w:val="single" w:color="000000" w:sz="4" w:space="0"/>
              <w:bottom w:val="single" w:color="000000" w:sz="4" w:space="0"/>
              <w:right w:val="single" w:color="000000" w:sz="4" w:space="0"/>
            </w:tcBorders>
            <w:noWrap w:val="0"/>
            <w:vAlign w:val="center"/>
          </w:tcPr>
          <w:p w14:paraId="471E3B67">
            <w:pPr>
              <w:jc w:val="center"/>
              <w:rPr>
                <w:color w:val="000000"/>
                <w:szCs w:val="21"/>
              </w:rPr>
            </w:pPr>
            <w:r>
              <w:rPr>
                <w:color w:val="000000"/>
                <w:szCs w:val="21"/>
              </w:rPr>
              <w:t>4a类</w:t>
            </w:r>
          </w:p>
        </w:tc>
        <w:tc>
          <w:tcPr>
            <w:tcW w:w="3800" w:type="dxa"/>
            <w:tcBorders>
              <w:top w:val="single" w:color="000000" w:sz="4" w:space="0"/>
              <w:left w:val="single" w:color="000000" w:sz="4" w:space="0"/>
              <w:bottom w:val="single" w:color="000000" w:sz="4" w:space="0"/>
              <w:right w:val="single" w:color="000000" w:sz="4" w:space="0"/>
            </w:tcBorders>
            <w:noWrap w:val="0"/>
            <w:vAlign w:val="center"/>
          </w:tcPr>
          <w:p w14:paraId="6B0D89F4">
            <w:pPr>
              <w:jc w:val="center"/>
              <w:rPr>
                <w:color w:val="000000"/>
                <w:szCs w:val="21"/>
              </w:rPr>
            </w:pPr>
            <w:r>
              <w:rPr>
                <w:color w:val="000000"/>
              </w:rPr>
              <w:t>适用于交通干线道路两侧</w:t>
            </w:r>
          </w:p>
        </w:tc>
        <w:tc>
          <w:tcPr>
            <w:tcW w:w="1761" w:type="dxa"/>
            <w:tcBorders>
              <w:top w:val="single" w:color="000000" w:sz="4" w:space="0"/>
              <w:left w:val="single" w:color="000000" w:sz="4" w:space="0"/>
              <w:bottom w:val="single" w:color="000000" w:sz="4" w:space="0"/>
              <w:right w:val="single" w:color="000000" w:sz="4" w:space="0"/>
            </w:tcBorders>
            <w:noWrap w:val="0"/>
            <w:vAlign w:val="center"/>
          </w:tcPr>
          <w:p w14:paraId="1347B685">
            <w:pPr>
              <w:jc w:val="center"/>
              <w:rPr>
                <w:color w:val="000000"/>
                <w:szCs w:val="21"/>
              </w:rPr>
            </w:pPr>
            <w:r>
              <w:rPr>
                <w:color w:val="000000"/>
                <w:szCs w:val="21"/>
              </w:rPr>
              <w:t>70</w:t>
            </w:r>
          </w:p>
        </w:tc>
        <w:tc>
          <w:tcPr>
            <w:tcW w:w="2247" w:type="dxa"/>
            <w:tcBorders>
              <w:top w:val="single" w:color="000000" w:sz="4" w:space="0"/>
              <w:left w:val="single" w:color="000000" w:sz="4" w:space="0"/>
              <w:bottom w:val="single" w:color="000000" w:sz="4" w:space="0"/>
              <w:right w:val="single" w:color="000000" w:sz="4" w:space="0"/>
            </w:tcBorders>
            <w:noWrap w:val="0"/>
            <w:vAlign w:val="center"/>
          </w:tcPr>
          <w:p w14:paraId="3158306E">
            <w:pPr>
              <w:jc w:val="center"/>
              <w:rPr>
                <w:color w:val="000000"/>
                <w:szCs w:val="21"/>
              </w:rPr>
            </w:pPr>
            <w:r>
              <w:rPr>
                <w:color w:val="000000"/>
                <w:szCs w:val="21"/>
              </w:rPr>
              <w:t>55</w:t>
            </w:r>
          </w:p>
        </w:tc>
      </w:tr>
    </w:tbl>
    <w:p w14:paraId="26F27A05">
      <w:pPr>
        <w:pStyle w:val="183"/>
        <w:ind w:firstLine="472"/>
        <w:rPr>
          <w:rFonts w:eastAsia="仿宋_GB2312"/>
          <w:color w:val="000000"/>
          <w:sz w:val="24"/>
          <w:szCs w:val="24"/>
        </w:rPr>
      </w:pPr>
      <w:bookmarkStart w:id="59" w:name="_Toc217800766"/>
      <w:bookmarkEnd w:id="59"/>
      <w:bookmarkStart w:id="60" w:name="_Toc495500026"/>
      <w:r>
        <w:rPr>
          <w:rFonts w:eastAsia="仿宋_GB2312"/>
          <w:color w:val="000000"/>
          <w:sz w:val="24"/>
          <w:szCs w:val="24"/>
        </w:rPr>
        <w:t>1.4.2污染物排放标准</w:t>
      </w:r>
      <w:bookmarkEnd w:id="60"/>
    </w:p>
    <w:p w14:paraId="161BDDCA">
      <w:pPr>
        <w:spacing w:line="360" w:lineRule="auto"/>
        <w:ind w:firstLine="480"/>
        <w:rPr>
          <w:color w:val="000000"/>
          <w:sz w:val="24"/>
        </w:rPr>
      </w:pPr>
      <w:r>
        <w:rPr>
          <w:color w:val="000000"/>
          <w:sz w:val="24"/>
        </w:rPr>
        <w:t>（1）污水排放标准</w:t>
      </w:r>
    </w:p>
    <w:p w14:paraId="63F8B402">
      <w:pPr>
        <w:spacing w:line="360" w:lineRule="auto"/>
        <w:ind w:firstLine="480"/>
        <w:rPr>
          <w:color w:val="000000"/>
          <w:sz w:val="24"/>
        </w:rPr>
      </w:pPr>
      <w:r>
        <w:rPr>
          <w:color w:val="000000"/>
          <w:sz w:val="24"/>
        </w:rPr>
        <w:t>本项目建成后所产生的废水主要为医疗废水和生活污水，产生的生活污水经化粪池处理后同医疗废水一起经自建污水处理站处理后排入市政污水管网，废水执行《医疗机构水污染排放标准》（GB18466-2005）（表2中预处理标准）中的标准限值，具体标准值见表1.4-6。</w:t>
      </w:r>
    </w:p>
    <w:p w14:paraId="48D37F92">
      <w:pPr>
        <w:spacing w:line="360" w:lineRule="auto"/>
        <w:jc w:val="center"/>
        <w:rPr>
          <w:b/>
          <w:color w:val="000000"/>
          <w:sz w:val="24"/>
        </w:rPr>
      </w:pPr>
      <w:r>
        <w:rPr>
          <w:b/>
          <w:color w:val="000000"/>
          <w:sz w:val="24"/>
        </w:rPr>
        <w:t>表1.4-6  医疗机构水污染物排放限值</w:t>
      </w:r>
    </w:p>
    <w:tbl>
      <w:tblPr>
        <w:tblStyle w:val="27"/>
        <w:tblW w:w="0" w:type="auto"/>
        <w:tblInd w:w="0" w:type="dxa"/>
        <w:tblLayout w:type="fixed"/>
        <w:tblCellMar>
          <w:top w:w="0" w:type="dxa"/>
          <w:left w:w="108" w:type="dxa"/>
          <w:bottom w:w="0" w:type="dxa"/>
          <w:right w:w="108" w:type="dxa"/>
        </w:tblCellMar>
      </w:tblPr>
      <w:tblGrid>
        <w:gridCol w:w="757"/>
        <w:gridCol w:w="2459"/>
        <w:gridCol w:w="1442"/>
        <w:gridCol w:w="888"/>
        <w:gridCol w:w="1797"/>
        <w:gridCol w:w="1617"/>
      </w:tblGrid>
      <w:tr w14:paraId="79EB156C">
        <w:tblPrEx>
          <w:tblCellMar>
            <w:top w:w="0" w:type="dxa"/>
            <w:left w:w="108" w:type="dxa"/>
            <w:bottom w:w="0" w:type="dxa"/>
            <w:right w:w="108" w:type="dxa"/>
          </w:tblCellMar>
        </w:tblPrEx>
        <w:trPr>
          <w:trHeight w:val="152" w:hRule="atLeast"/>
        </w:trPr>
        <w:tc>
          <w:tcPr>
            <w:tcW w:w="757" w:type="dxa"/>
            <w:tcBorders>
              <w:top w:val="single" w:color="000000" w:sz="4" w:space="0"/>
              <w:left w:val="single" w:color="000000" w:sz="4" w:space="0"/>
              <w:bottom w:val="single" w:color="000000" w:sz="4" w:space="0"/>
              <w:right w:val="single" w:color="000000" w:sz="4" w:space="0"/>
            </w:tcBorders>
            <w:noWrap w:val="0"/>
            <w:vAlign w:val="center"/>
          </w:tcPr>
          <w:p w14:paraId="279B0779">
            <w:pPr>
              <w:jc w:val="center"/>
              <w:rPr>
                <w:b/>
                <w:color w:val="000000"/>
                <w:szCs w:val="21"/>
              </w:rPr>
            </w:pPr>
            <w:r>
              <w:rPr>
                <w:b/>
                <w:color w:val="000000"/>
                <w:szCs w:val="21"/>
              </w:rPr>
              <w:t>序号</w:t>
            </w:r>
          </w:p>
        </w:tc>
        <w:tc>
          <w:tcPr>
            <w:tcW w:w="2459" w:type="dxa"/>
            <w:tcBorders>
              <w:top w:val="single" w:color="000000" w:sz="4" w:space="0"/>
              <w:left w:val="single" w:color="000000" w:sz="4" w:space="0"/>
              <w:bottom w:val="single" w:color="000000" w:sz="4" w:space="0"/>
              <w:right w:val="single" w:color="000000" w:sz="4" w:space="0"/>
            </w:tcBorders>
            <w:noWrap w:val="0"/>
            <w:vAlign w:val="center"/>
          </w:tcPr>
          <w:p w14:paraId="23A183E6">
            <w:pPr>
              <w:jc w:val="center"/>
              <w:rPr>
                <w:b/>
                <w:color w:val="000000"/>
                <w:szCs w:val="21"/>
              </w:rPr>
            </w:pPr>
            <w:r>
              <w:rPr>
                <w:b/>
                <w:color w:val="000000"/>
                <w:szCs w:val="21"/>
              </w:rPr>
              <w:t>控制项目</w:t>
            </w:r>
          </w:p>
        </w:tc>
        <w:tc>
          <w:tcPr>
            <w:tcW w:w="1442" w:type="dxa"/>
            <w:tcBorders>
              <w:top w:val="single" w:color="000000" w:sz="4" w:space="0"/>
              <w:left w:val="single" w:color="000000" w:sz="4" w:space="0"/>
              <w:bottom w:val="single" w:color="000000" w:sz="4" w:space="0"/>
              <w:right w:val="single" w:color="000000" w:sz="4" w:space="0"/>
            </w:tcBorders>
            <w:noWrap w:val="0"/>
            <w:vAlign w:val="center"/>
          </w:tcPr>
          <w:p w14:paraId="16FDB459">
            <w:pPr>
              <w:jc w:val="center"/>
              <w:rPr>
                <w:b/>
                <w:color w:val="000000"/>
                <w:szCs w:val="21"/>
              </w:rPr>
            </w:pPr>
            <w:r>
              <w:rPr>
                <w:b/>
                <w:color w:val="000000"/>
                <w:szCs w:val="21"/>
              </w:rPr>
              <w:t>预处理标准</w:t>
            </w:r>
          </w:p>
        </w:tc>
        <w:tc>
          <w:tcPr>
            <w:tcW w:w="888" w:type="dxa"/>
            <w:tcBorders>
              <w:top w:val="single" w:color="000000" w:sz="4" w:space="0"/>
              <w:left w:val="single" w:color="000000" w:sz="4" w:space="0"/>
              <w:bottom w:val="single" w:color="000000" w:sz="4" w:space="0"/>
              <w:right w:val="single" w:color="000000" w:sz="4" w:space="0"/>
            </w:tcBorders>
            <w:noWrap w:val="0"/>
            <w:vAlign w:val="center"/>
          </w:tcPr>
          <w:p w14:paraId="597FB903">
            <w:pPr>
              <w:jc w:val="center"/>
              <w:rPr>
                <w:b/>
                <w:color w:val="000000"/>
                <w:szCs w:val="21"/>
              </w:rPr>
            </w:pPr>
            <w:r>
              <w:rPr>
                <w:b/>
                <w:color w:val="000000"/>
                <w:szCs w:val="21"/>
              </w:rPr>
              <w:t>序号</w:t>
            </w:r>
          </w:p>
        </w:tc>
        <w:tc>
          <w:tcPr>
            <w:tcW w:w="1797" w:type="dxa"/>
            <w:tcBorders>
              <w:top w:val="single" w:color="000000" w:sz="4" w:space="0"/>
              <w:left w:val="single" w:color="000000" w:sz="4" w:space="0"/>
              <w:bottom w:val="single" w:color="000000" w:sz="4" w:space="0"/>
              <w:right w:val="single" w:color="000000" w:sz="4" w:space="0"/>
            </w:tcBorders>
            <w:noWrap w:val="0"/>
            <w:vAlign w:val="center"/>
          </w:tcPr>
          <w:p w14:paraId="693CB74F">
            <w:pPr>
              <w:jc w:val="center"/>
              <w:rPr>
                <w:b/>
                <w:color w:val="000000"/>
                <w:szCs w:val="21"/>
              </w:rPr>
            </w:pPr>
            <w:r>
              <w:rPr>
                <w:b/>
                <w:color w:val="000000"/>
                <w:szCs w:val="21"/>
              </w:rPr>
              <w:t>控制项目</w:t>
            </w:r>
          </w:p>
        </w:tc>
        <w:tc>
          <w:tcPr>
            <w:tcW w:w="1617" w:type="dxa"/>
            <w:tcBorders>
              <w:top w:val="single" w:color="000000" w:sz="4" w:space="0"/>
              <w:left w:val="single" w:color="000000" w:sz="4" w:space="0"/>
              <w:bottom w:val="single" w:color="000000" w:sz="4" w:space="0"/>
              <w:right w:val="single" w:color="000000" w:sz="4" w:space="0"/>
            </w:tcBorders>
            <w:noWrap w:val="0"/>
            <w:vAlign w:val="center"/>
          </w:tcPr>
          <w:p w14:paraId="7E6C8F66">
            <w:pPr>
              <w:jc w:val="center"/>
              <w:rPr>
                <w:b/>
                <w:color w:val="000000"/>
                <w:szCs w:val="21"/>
              </w:rPr>
            </w:pPr>
            <w:r>
              <w:rPr>
                <w:b/>
                <w:color w:val="000000"/>
                <w:szCs w:val="21"/>
              </w:rPr>
              <w:t>预处理标准</w:t>
            </w:r>
          </w:p>
        </w:tc>
      </w:tr>
      <w:tr w14:paraId="3DFAB2DB">
        <w:tblPrEx>
          <w:tblCellMar>
            <w:top w:w="0" w:type="dxa"/>
            <w:left w:w="108" w:type="dxa"/>
            <w:bottom w:w="0" w:type="dxa"/>
            <w:right w:w="108" w:type="dxa"/>
          </w:tblCellMar>
        </w:tblPrEx>
        <w:trPr>
          <w:trHeight w:val="152" w:hRule="atLeast"/>
        </w:trPr>
        <w:tc>
          <w:tcPr>
            <w:tcW w:w="757" w:type="dxa"/>
            <w:tcBorders>
              <w:top w:val="single" w:color="000000" w:sz="4" w:space="0"/>
              <w:left w:val="single" w:color="000000" w:sz="4" w:space="0"/>
              <w:bottom w:val="single" w:color="000000" w:sz="4" w:space="0"/>
              <w:right w:val="single" w:color="000000" w:sz="4" w:space="0"/>
            </w:tcBorders>
            <w:noWrap w:val="0"/>
            <w:vAlign w:val="center"/>
          </w:tcPr>
          <w:p w14:paraId="0CD5C78A">
            <w:pPr>
              <w:jc w:val="center"/>
              <w:rPr>
                <w:color w:val="000000"/>
                <w:szCs w:val="21"/>
              </w:rPr>
            </w:pPr>
            <w:r>
              <w:rPr>
                <w:color w:val="000000"/>
                <w:szCs w:val="21"/>
              </w:rPr>
              <w:t>1</w:t>
            </w:r>
          </w:p>
        </w:tc>
        <w:tc>
          <w:tcPr>
            <w:tcW w:w="2459" w:type="dxa"/>
            <w:tcBorders>
              <w:top w:val="single" w:color="000000" w:sz="4" w:space="0"/>
              <w:left w:val="single" w:color="000000" w:sz="4" w:space="0"/>
              <w:bottom w:val="single" w:color="000000" w:sz="4" w:space="0"/>
              <w:right w:val="single" w:color="000000" w:sz="4" w:space="0"/>
            </w:tcBorders>
            <w:noWrap w:val="0"/>
            <w:vAlign w:val="center"/>
          </w:tcPr>
          <w:p w14:paraId="5E16D818">
            <w:pPr>
              <w:jc w:val="center"/>
              <w:rPr>
                <w:color w:val="000000"/>
                <w:szCs w:val="21"/>
              </w:rPr>
            </w:pPr>
            <w:r>
              <w:rPr>
                <w:color w:val="000000"/>
                <w:szCs w:val="21"/>
              </w:rPr>
              <w:t>pH</w:t>
            </w:r>
          </w:p>
        </w:tc>
        <w:tc>
          <w:tcPr>
            <w:tcW w:w="1442" w:type="dxa"/>
            <w:tcBorders>
              <w:top w:val="single" w:color="000000" w:sz="4" w:space="0"/>
              <w:left w:val="single" w:color="000000" w:sz="4" w:space="0"/>
              <w:bottom w:val="single" w:color="000000" w:sz="4" w:space="0"/>
              <w:right w:val="single" w:color="000000" w:sz="4" w:space="0"/>
            </w:tcBorders>
            <w:noWrap w:val="0"/>
            <w:vAlign w:val="center"/>
          </w:tcPr>
          <w:p w14:paraId="49BFDC92">
            <w:pPr>
              <w:jc w:val="center"/>
              <w:rPr>
                <w:color w:val="000000"/>
                <w:szCs w:val="21"/>
              </w:rPr>
            </w:pPr>
            <w:r>
              <w:rPr>
                <w:color w:val="000000"/>
                <w:szCs w:val="21"/>
              </w:rPr>
              <w:t>6-9</w:t>
            </w:r>
          </w:p>
        </w:tc>
        <w:tc>
          <w:tcPr>
            <w:tcW w:w="888" w:type="dxa"/>
            <w:tcBorders>
              <w:top w:val="single" w:color="000000" w:sz="4" w:space="0"/>
              <w:left w:val="single" w:color="000000" w:sz="4" w:space="0"/>
              <w:bottom w:val="single" w:color="000000" w:sz="4" w:space="0"/>
              <w:right w:val="single" w:color="000000" w:sz="4" w:space="0"/>
            </w:tcBorders>
            <w:noWrap w:val="0"/>
            <w:vAlign w:val="center"/>
          </w:tcPr>
          <w:p w14:paraId="30702D24">
            <w:pPr>
              <w:jc w:val="center"/>
              <w:rPr>
                <w:color w:val="000000"/>
                <w:szCs w:val="21"/>
              </w:rPr>
            </w:pPr>
            <w:r>
              <w:rPr>
                <w:color w:val="000000"/>
                <w:szCs w:val="21"/>
              </w:rPr>
              <w:t>13</w:t>
            </w:r>
          </w:p>
        </w:tc>
        <w:tc>
          <w:tcPr>
            <w:tcW w:w="1797" w:type="dxa"/>
            <w:tcBorders>
              <w:top w:val="single" w:color="000000" w:sz="4" w:space="0"/>
              <w:left w:val="single" w:color="000000" w:sz="4" w:space="0"/>
              <w:bottom w:val="single" w:color="000000" w:sz="4" w:space="0"/>
              <w:right w:val="single" w:color="000000" w:sz="4" w:space="0"/>
            </w:tcBorders>
            <w:noWrap w:val="0"/>
            <w:vAlign w:val="center"/>
          </w:tcPr>
          <w:p w14:paraId="5F8A7FB2">
            <w:pPr>
              <w:jc w:val="center"/>
              <w:rPr>
                <w:color w:val="000000"/>
                <w:szCs w:val="21"/>
              </w:rPr>
            </w:pPr>
            <w:r>
              <w:rPr>
                <w:color w:val="000000"/>
                <w:szCs w:val="21"/>
              </w:rPr>
              <w:t>挥发酚（mg/L）</w:t>
            </w:r>
          </w:p>
        </w:tc>
        <w:tc>
          <w:tcPr>
            <w:tcW w:w="1617" w:type="dxa"/>
            <w:tcBorders>
              <w:top w:val="single" w:color="000000" w:sz="4" w:space="0"/>
              <w:left w:val="single" w:color="000000" w:sz="4" w:space="0"/>
              <w:bottom w:val="single" w:color="000000" w:sz="4" w:space="0"/>
              <w:right w:val="single" w:color="000000" w:sz="4" w:space="0"/>
            </w:tcBorders>
            <w:noWrap w:val="0"/>
            <w:vAlign w:val="center"/>
          </w:tcPr>
          <w:p w14:paraId="3BD86867">
            <w:pPr>
              <w:jc w:val="center"/>
              <w:rPr>
                <w:color w:val="000000"/>
                <w:szCs w:val="21"/>
              </w:rPr>
            </w:pPr>
            <w:r>
              <w:rPr>
                <w:color w:val="000000"/>
                <w:szCs w:val="21"/>
              </w:rPr>
              <w:t>1.0</w:t>
            </w:r>
          </w:p>
        </w:tc>
      </w:tr>
      <w:tr w14:paraId="53680822">
        <w:tblPrEx>
          <w:tblCellMar>
            <w:top w:w="0" w:type="dxa"/>
            <w:left w:w="108" w:type="dxa"/>
            <w:bottom w:w="0" w:type="dxa"/>
            <w:right w:w="108" w:type="dxa"/>
          </w:tblCellMar>
        </w:tblPrEx>
        <w:trPr>
          <w:trHeight w:val="592" w:hRule="atLeast"/>
        </w:trPr>
        <w:tc>
          <w:tcPr>
            <w:tcW w:w="757" w:type="dxa"/>
            <w:tcBorders>
              <w:top w:val="single" w:color="000000" w:sz="4" w:space="0"/>
              <w:left w:val="single" w:color="000000" w:sz="4" w:space="0"/>
              <w:bottom w:val="single" w:color="000000" w:sz="4" w:space="0"/>
              <w:right w:val="single" w:color="000000" w:sz="4" w:space="0"/>
            </w:tcBorders>
            <w:noWrap w:val="0"/>
            <w:vAlign w:val="center"/>
          </w:tcPr>
          <w:p w14:paraId="6D45D226">
            <w:pPr>
              <w:jc w:val="center"/>
              <w:rPr>
                <w:color w:val="000000"/>
                <w:szCs w:val="21"/>
              </w:rPr>
            </w:pPr>
            <w:r>
              <w:rPr>
                <w:color w:val="000000"/>
                <w:szCs w:val="21"/>
              </w:rPr>
              <w:t>2</w:t>
            </w:r>
          </w:p>
        </w:tc>
        <w:tc>
          <w:tcPr>
            <w:tcW w:w="2459" w:type="dxa"/>
            <w:tcBorders>
              <w:top w:val="single" w:color="000000" w:sz="4" w:space="0"/>
              <w:left w:val="single" w:color="000000" w:sz="4" w:space="0"/>
              <w:bottom w:val="single" w:color="000000" w:sz="4" w:space="0"/>
              <w:right w:val="single" w:color="000000" w:sz="4" w:space="0"/>
            </w:tcBorders>
            <w:noWrap w:val="0"/>
            <w:vAlign w:val="center"/>
          </w:tcPr>
          <w:p w14:paraId="0BB33FFF">
            <w:pPr>
              <w:jc w:val="center"/>
              <w:rPr>
                <w:color w:val="000000"/>
                <w:szCs w:val="21"/>
              </w:rPr>
            </w:pPr>
            <w:r>
              <w:rPr>
                <w:color w:val="000000"/>
                <w:szCs w:val="21"/>
              </w:rPr>
              <w:t>化学需氧量（COD</w:t>
            </w:r>
            <w:r>
              <w:rPr>
                <w:rFonts w:hint="eastAsia"/>
                <w:color w:val="000000"/>
                <w:szCs w:val="21"/>
                <w:vertAlign w:val="subscript"/>
              </w:rPr>
              <w:t>cr</w:t>
            </w:r>
            <w:r>
              <w:rPr>
                <w:color w:val="000000"/>
                <w:szCs w:val="21"/>
              </w:rPr>
              <w:t>）</w:t>
            </w:r>
          </w:p>
          <w:p w14:paraId="345300E7">
            <w:pPr>
              <w:ind w:firstLine="420"/>
              <w:jc w:val="center"/>
              <w:rPr>
                <w:color w:val="000000"/>
                <w:szCs w:val="21"/>
              </w:rPr>
            </w:pPr>
            <w:r>
              <w:rPr>
                <w:color w:val="000000"/>
                <w:szCs w:val="21"/>
              </w:rPr>
              <w:t>浓度 （mg/L）</w:t>
            </w:r>
          </w:p>
          <w:p w14:paraId="6D052BBF">
            <w:pPr>
              <w:jc w:val="center"/>
              <w:rPr>
                <w:color w:val="000000"/>
                <w:szCs w:val="21"/>
              </w:rPr>
            </w:pPr>
            <w:r>
              <w:rPr>
                <w:color w:val="000000"/>
                <w:szCs w:val="21"/>
              </w:rPr>
              <w:t>最高允许排放负荷（g/床位）</w:t>
            </w:r>
          </w:p>
        </w:tc>
        <w:tc>
          <w:tcPr>
            <w:tcW w:w="1442" w:type="dxa"/>
            <w:tcBorders>
              <w:top w:val="single" w:color="000000" w:sz="4" w:space="0"/>
              <w:left w:val="single" w:color="000000" w:sz="4" w:space="0"/>
              <w:bottom w:val="single" w:color="000000" w:sz="4" w:space="0"/>
              <w:right w:val="single" w:color="000000" w:sz="4" w:space="0"/>
            </w:tcBorders>
            <w:noWrap w:val="0"/>
            <w:vAlign w:val="center"/>
          </w:tcPr>
          <w:p w14:paraId="44F01857">
            <w:pPr>
              <w:jc w:val="center"/>
              <w:rPr>
                <w:color w:val="000000"/>
                <w:szCs w:val="21"/>
              </w:rPr>
            </w:pPr>
          </w:p>
          <w:p w14:paraId="78282514">
            <w:pPr>
              <w:jc w:val="center"/>
              <w:rPr>
                <w:color w:val="000000"/>
                <w:szCs w:val="21"/>
              </w:rPr>
            </w:pPr>
            <w:r>
              <w:rPr>
                <w:color w:val="000000"/>
                <w:szCs w:val="21"/>
              </w:rPr>
              <w:t>250</w:t>
            </w:r>
          </w:p>
          <w:p w14:paraId="4EE57778">
            <w:pPr>
              <w:jc w:val="center"/>
              <w:rPr>
                <w:color w:val="000000"/>
                <w:szCs w:val="21"/>
              </w:rPr>
            </w:pPr>
            <w:r>
              <w:rPr>
                <w:color w:val="000000"/>
                <w:szCs w:val="21"/>
              </w:rPr>
              <w:t>250</w:t>
            </w:r>
          </w:p>
        </w:tc>
        <w:tc>
          <w:tcPr>
            <w:tcW w:w="888" w:type="dxa"/>
            <w:tcBorders>
              <w:top w:val="single" w:color="000000" w:sz="4" w:space="0"/>
              <w:left w:val="single" w:color="000000" w:sz="4" w:space="0"/>
              <w:bottom w:val="single" w:color="000000" w:sz="4" w:space="0"/>
              <w:right w:val="single" w:color="000000" w:sz="4" w:space="0"/>
            </w:tcBorders>
            <w:noWrap w:val="0"/>
            <w:vAlign w:val="center"/>
          </w:tcPr>
          <w:p w14:paraId="4B8950AE">
            <w:pPr>
              <w:jc w:val="center"/>
              <w:rPr>
                <w:color w:val="000000"/>
                <w:szCs w:val="21"/>
              </w:rPr>
            </w:pPr>
            <w:r>
              <w:rPr>
                <w:color w:val="000000"/>
                <w:szCs w:val="21"/>
              </w:rPr>
              <w:t>14</w:t>
            </w:r>
          </w:p>
        </w:tc>
        <w:tc>
          <w:tcPr>
            <w:tcW w:w="1797" w:type="dxa"/>
            <w:tcBorders>
              <w:top w:val="single" w:color="000000" w:sz="4" w:space="0"/>
              <w:left w:val="single" w:color="000000" w:sz="4" w:space="0"/>
              <w:bottom w:val="single" w:color="000000" w:sz="4" w:space="0"/>
              <w:right w:val="single" w:color="000000" w:sz="4" w:space="0"/>
            </w:tcBorders>
            <w:noWrap w:val="0"/>
            <w:vAlign w:val="center"/>
          </w:tcPr>
          <w:p w14:paraId="3C54E5ED">
            <w:pPr>
              <w:jc w:val="center"/>
              <w:rPr>
                <w:color w:val="000000"/>
                <w:szCs w:val="21"/>
              </w:rPr>
            </w:pPr>
            <w:r>
              <w:rPr>
                <w:rFonts w:hint="eastAsia"/>
                <w:color w:val="000000"/>
                <w:szCs w:val="21"/>
              </w:rPr>
              <w:t>总余氯（直接排入水体）</w:t>
            </w:r>
          </w:p>
        </w:tc>
        <w:tc>
          <w:tcPr>
            <w:tcW w:w="1617" w:type="dxa"/>
            <w:tcBorders>
              <w:top w:val="single" w:color="000000" w:sz="4" w:space="0"/>
              <w:left w:val="single" w:color="000000" w:sz="4" w:space="0"/>
              <w:bottom w:val="single" w:color="000000" w:sz="4" w:space="0"/>
              <w:right w:val="single" w:color="000000" w:sz="4" w:space="0"/>
            </w:tcBorders>
            <w:noWrap w:val="0"/>
            <w:vAlign w:val="center"/>
          </w:tcPr>
          <w:p w14:paraId="74829B18">
            <w:pPr>
              <w:jc w:val="center"/>
              <w:rPr>
                <w:color w:val="000000"/>
                <w:szCs w:val="21"/>
              </w:rPr>
            </w:pPr>
            <w:r>
              <w:rPr>
                <w:color w:val="000000"/>
                <w:szCs w:val="21"/>
              </w:rPr>
              <w:t>0.5</w:t>
            </w:r>
          </w:p>
        </w:tc>
      </w:tr>
      <w:tr w14:paraId="56FA7468">
        <w:tblPrEx>
          <w:tblCellMar>
            <w:top w:w="0" w:type="dxa"/>
            <w:left w:w="108" w:type="dxa"/>
            <w:bottom w:w="0" w:type="dxa"/>
            <w:right w:w="108" w:type="dxa"/>
          </w:tblCellMar>
        </w:tblPrEx>
        <w:trPr>
          <w:trHeight w:val="592" w:hRule="atLeast"/>
        </w:trPr>
        <w:tc>
          <w:tcPr>
            <w:tcW w:w="757" w:type="dxa"/>
            <w:tcBorders>
              <w:top w:val="single" w:color="000000" w:sz="4" w:space="0"/>
              <w:left w:val="single" w:color="000000" w:sz="4" w:space="0"/>
              <w:bottom w:val="single" w:color="000000" w:sz="4" w:space="0"/>
              <w:right w:val="single" w:color="000000" w:sz="4" w:space="0"/>
            </w:tcBorders>
            <w:noWrap w:val="0"/>
            <w:vAlign w:val="center"/>
          </w:tcPr>
          <w:p w14:paraId="3C036DAF">
            <w:pPr>
              <w:jc w:val="center"/>
              <w:rPr>
                <w:color w:val="000000"/>
                <w:szCs w:val="21"/>
              </w:rPr>
            </w:pPr>
            <w:r>
              <w:rPr>
                <w:color w:val="000000"/>
                <w:szCs w:val="21"/>
              </w:rPr>
              <w:t>3</w:t>
            </w:r>
          </w:p>
        </w:tc>
        <w:tc>
          <w:tcPr>
            <w:tcW w:w="2459" w:type="dxa"/>
            <w:tcBorders>
              <w:top w:val="single" w:color="000000" w:sz="4" w:space="0"/>
              <w:left w:val="single" w:color="000000" w:sz="4" w:space="0"/>
              <w:bottom w:val="single" w:color="000000" w:sz="4" w:space="0"/>
              <w:right w:val="single" w:color="000000" w:sz="4" w:space="0"/>
            </w:tcBorders>
            <w:noWrap w:val="0"/>
            <w:vAlign w:val="center"/>
          </w:tcPr>
          <w:p w14:paraId="3E1DE800">
            <w:pPr>
              <w:jc w:val="center"/>
              <w:rPr>
                <w:color w:val="000000"/>
                <w:szCs w:val="21"/>
              </w:rPr>
            </w:pPr>
            <w:r>
              <w:rPr>
                <w:color w:val="000000"/>
                <w:szCs w:val="21"/>
              </w:rPr>
              <w:t>生化需氧量（BOD</w:t>
            </w:r>
            <w:r>
              <w:rPr>
                <w:rFonts w:hint="eastAsia"/>
                <w:color w:val="000000"/>
                <w:szCs w:val="21"/>
                <w:vertAlign w:val="subscript"/>
              </w:rPr>
              <w:t>5</w:t>
            </w:r>
            <w:r>
              <w:rPr>
                <w:color w:val="000000"/>
                <w:szCs w:val="21"/>
              </w:rPr>
              <w:t>）</w:t>
            </w:r>
          </w:p>
          <w:p w14:paraId="7B21C64F">
            <w:pPr>
              <w:ind w:firstLine="420"/>
              <w:jc w:val="center"/>
              <w:rPr>
                <w:color w:val="000000"/>
                <w:szCs w:val="21"/>
              </w:rPr>
            </w:pPr>
            <w:r>
              <w:rPr>
                <w:color w:val="000000"/>
                <w:szCs w:val="21"/>
              </w:rPr>
              <w:t>浓度 （mg/L）</w:t>
            </w:r>
          </w:p>
          <w:p w14:paraId="74C43D12">
            <w:pPr>
              <w:jc w:val="center"/>
              <w:rPr>
                <w:color w:val="000000"/>
                <w:szCs w:val="21"/>
              </w:rPr>
            </w:pPr>
            <w:r>
              <w:rPr>
                <w:color w:val="000000"/>
                <w:szCs w:val="21"/>
              </w:rPr>
              <w:t>最高允许排放负荷（g/床位）</w:t>
            </w:r>
          </w:p>
        </w:tc>
        <w:tc>
          <w:tcPr>
            <w:tcW w:w="1442" w:type="dxa"/>
            <w:tcBorders>
              <w:top w:val="single" w:color="000000" w:sz="4" w:space="0"/>
              <w:left w:val="single" w:color="000000" w:sz="4" w:space="0"/>
              <w:bottom w:val="single" w:color="000000" w:sz="4" w:space="0"/>
              <w:right w:val="single" w:color="000000" w:sz="4" w:space="0"/>
            </w:tcBorders>
            <w:noWrap w:val="0"/>
            <w:vAlign w:val="center"/>
          </w:tcPr>
          <w:p w14:paraId="025E3AE8">
            <w:pPr>
              <w:jc w:val="center"/>
              <w:rPr>
                <w:color w:val="000000"/>
                <w:szCs w:val="21"/>
              </w:rPr>
            </w:pPr>
          </w:p>
          <w:p w14:paraId="67C2B0D0">
            <w:pPr>
              <w:jc w:val="center"/>
              <w:rPr>
                <w:color w:val="000000"/>
                <w:szCs w:val="21"/>
              </w:rPr>
            </w:pPr>
            <w:r>
              <w:rPr>
                <w:color w:val="000000"/>
                <w:szCs w:val="21"/>
              </w:rPr>
              <w:t>100</w:t>
            </w:r>
          </w:p>
          <w:p w14:paraId="1F33E364">
            <w:pPr>
              <w:jc w:val="center"/>
              <w:rPr>
                <w:color w:val="000000"/>
                <w:szCs w:val="21"/>
              </w:rPr>
            </w:pPr>
            <w:r>
              <w:rPr>
                <w:color w:val="000000"/>
                <w:szCs w:val="21"/>
              </w:rPr>
              <w:t>100</w:t>
            </w:r>
          </w:p>
        </w:tc>
        <w:tc>
          <w:tcPr>
            <w:tcW w:w="888" w:type="dxa"/>
            <w:tcBorders>
              <w:top w:val="single" w:color="000000" w:sz="4" w:space="0"/>
              <w:left w:val="single" w:color="000000" w:sz="4" w:space="0"/>
              <w:bottom w:val="single" w:color="000000" w:sz="4" w:space="0"/>
              <w:right w:val="single" w:color="000000" w:sz="4" w:space="0"/>
            </w:tcBorders>
            <w:noWrap w:val="0"/>
            <w:vAlign w:val="center"/>
          </w:tcPr>
          <w:p w14:paraId="36C9DD2B">
            <w:pPr>
              <w:jc w:val="center"/>
              <w:rPr>
                <w:color w:val="000000"/>
                <w:szCs w:val="21"/>
              </w:rPr>
            </w:pPr>
            <w:r>
              <w:rPr>
                <w:color w:val="000000"/>
                <w:szCs w:val="21"/>
              </w:rPr>
              <w:t>15</w:t>
            </w:r>
          </w:p>
        </w:tc>
        <w:tc>
          <w:tcPr>
            <w:tcW w:w="1797" w:type="dxa"/>
            <w:tcBorders>
              <w:top w:val="single" w:color="000000" w:sz="4" w:space="0"/>
              <w:left w:val="single" w:color="000000" w:sz="4" w:space="0"/>
              <w:bottom w:val="single" w:color="000000" w:sz="4" w:space="0"/>
              <w:right w:val="single" w:color="000000" w:sz="4" w:space="0"/>
            </w:tcBorders>
            <w:noWrap w:val="0"/>
            <w:vAlign w:val="center"/>
          </w:tcPr>
          <w:p w14:paraId="28828362">
            <w:pPr>
              <w:jc w:val="center"/>
              <w:rPr>
                <w:color w:val="000000"/>
                <w:szCs w:val="21"/>
              </w:rPr>
            </w:pPr>
            <w:r>
              <w:rPr>
                <w:color w:val="000000"/>
                <w:szCs w:val="21"/>
              </w:rPr>
              <w:t>总汞（mg/L）</w:t>
            </w:r>
          </w:p>
        </w:tc>
        <w:tc>
          <w:tcPr>
            <w:tcW w:w="1617" w:type="dxa"/>
            <w:tcBorders>
              <w:top w:val="single" w:color="000000" w:sz="4" w:space="0"/>
              <w:left w:val="single" w:color="000000" w:sz="4" w:space="0"/>
              <w:bottom w:val="single" w:color="000000" w:sz="4" w:space="0"/>
              <w:right w:val="single" w:color="000000" w:sz="4" w:space="0"/>
            </w:tcBorders>
            <w:noWrap w:val="0"/>
            <w:vAlign w:val="center"/>
          </w:tcPr>
          <w:p w14:paraId="69287A09">
            <w:pPr>
              <w:jc w:val="center"/>
              <w:rPr>
                <w:color w:val="000000"/>
                <w:szCs w:val="21"/>
              </w:rPr>
            </w:pPr>
            <w:r>
              <w:rPr>
                <w:color w:val="000000"/>
                <w:szCs w:val="21"/>
              </w:rPr>
              <w:t>0.05</w:t>
            </w:r>
          </w:p>
        </w:tc>
      </w:tr>
      <w:tr w14:paraId="31F43713">
        <w:tblPrEx>
          <w:tblCellMar>
            <w:top w:w="0" w:type="dxa"/>
            <w:left w:w="108" w:type="dxa"/>
            <w:bottom w:w="0" w:type="dxa"/>
            <w:right w:w="108" w:type="dxa"/>
          </w:tblCellMar>
        </w:tblPrEx>
        <w:trPr>
          <w:trHeight w:val="592" w:hRule="atLeast"/>
        </w:trPr>
        <w:tc>
          <w:tcPr>
            <w:tcW w:w="757" w:type="dxa"/>
            <w:tcBorders>
              <w:top w:val="single" w:color="000000" w:sz="4" w:space="0"/>
              <w:left w:val="single" w:color="000000" w:sz="4" w:space="0"/>
              <w:bottom w:val="single" w:color="000000" w:sz="4" w:space="0"/>
              <w:right w:val="single" w:color="000000" w:sz="4" w:space="0"/>
            </w:tcBorders>
            <w:noWrap w:val="0"/>
            <w:vAlign w:val="center"/>
          </w:tcPr>
          <w:p w14:paraId="79413C56">
            <w:pPr>
              <w:jc w:val="center"/>
              <w:rPr>
                <w:color w:val="000000"/>
                <w:szCs w:val="21"/>
              </w:rPr>
            </w:pPr>
            <w:r>
              <w:rPr>
                <w:color w:val="000000"/>
                <w:szCs w:val="21"/>
              </w:rPr>
              <w:t>4</w:t>
            </w:r>
          </w:p>
        </w:tc>
        <w:tc>
          <w:tcPr>
            <w:tcW w:w="2459" w:type="dxa"/>
            <w:tcBorders>
              <w:top w:val="single" w:color="000000" w:sz="4" w:space="0"/>
              <w:left w:val="single" w:color="000000" w:sz="4" w:space="0"/>
              <w:bottom w:val="single" w:color="000000" w:sz="4" w:space="0"/>
              <w:right w:val="single" w:color="000000" w:sz="4" w:space="0"/>
            </w:tcBorders>
            <w:noWrap w:val="0"/>
            <w:vAlign w:val="center"/>
          </w:tcPr>
          <w:p w14:paraId="0D0C5D75">
            <w:pPr>
              <w:jc w:val="center"/>
              <w:rPr>
                <w:color w:val="000000"/>
                <w:szCs w:val="21"/>
              </w:rPr>
            </w:pPr>
            <w:r>
              <w:rPr>
                <w:color w:val="000000"/>
                <w:szCs w:val="21"/>
              </w:rPr>
              <w:t>悬浮物（SS）</w:t>
            </w:r>
          </w:p>
          <w:p w14:paraId="75C28337">
            <w:pPr>
              <w:ind w:firstLine="420"/>
              <w:jc w:val="center"/>
              <w:rPr>
                <w:color w:val="000000"/>
                <w:szCs w:val="21"/>
              </w:rPr>
            </w:pPr>
            <w:r>
              <w:rPr>
                <w:color w:val="000000"/>
                <w:szCs w:val="21"/>
              </w:rPr>
              <w:t>浓度 （mg/L）</w:t>
            </w:r>
          </w:p>
          <w:p w14:paraId="7839E282">
            <w:pPr>
              <w:jc w:val="center"/>
              <w:rPr>
                <w:color w:val="000000"/>
                <w:szCs w:val="21"/>
              </w:rPr>
            </w:pPr>
            <w:r>
              <w:rPr>
                <w:color w:val="000000"/>
                <w:szCs w:val="21"/>
              </w:rPr>
              <w:t>最高允许排放负荷（g/床位）</w:t>
            </w:r>
          </w:p>
        </w:tc>
        <w:tc>
          <w:tcPr>
            <w:tcW w:w="1442" w:type="dxa"/>
            <w:tcBorders>
              <w:top w:val="single" w:color="000000" w:sz="4" w:space="0"/>
              <w:left w:val="single" w:color="000000" w:sz="4" w:space="0"/>
              <w:bottom w:val="single" w:color="000000" w:sz="4" w:space="0"/>
              <w:right w:val="single" w:color="000000" w:sz="4" w:space="0"/>
            </w:tcBorders>
            <w:noWrap w:val="0"/>
            <w:vAlign w:val="center"/>
          </w:tcPr>
          <w:p w14:paraId="1C00027C">
            <w:pPr>
              <w:jc w:val="center"/>
              <w:rPr>
                <w:color w:val="000000"/>
                <w:szCs w:val="21"/>
              </w:rPr>
            </w:pPr>
          </w:p>
          <w:p w14:paraId="1BD2CD5A">
            <w:pPr>
              <w:jc w:val="center"/>
              <w:rPr>
                <w:color w:val="000000"/>
                <w:szCs w:val="21"/>
              </w:rPr>
            </w:pPr>
            <w:r>
              <w:rPr>
                <w:color w:val="000000"/>
                <w:szCs w:val="21"/>
              </w:rPr>
              <w:t>60</w:t>
            </w:r>
          </w:p>
          <w:p w14:paraId="63E00CB9">
            <w:pPr>
              <w:jc w:val="center"/>
              <w:rPr>
                <w:color w:val="000000"/>
                <w:szCs w:val="21"/>
              </w:rPr>
            </w:pPr>
            <w:r>
              <w:rPr>
                <w:color w:val="000000"/>
                <w:szCs w:val="21"/>
              </w:rPr>
              <w:t>60</w:t>
            </w:r>
          </w:p>
        </w:tc>
        <w:tc>
          <w:tcPr>
            <w:tcW w:w="888" w:type="dxa"/>
            <w:tcBorders>
              <w:top w:val="single" w:color="000000" w:sz="4" w:space="0"/>
              <w:left w:val="single" w:color="000000" w:sz="4" w:space="0"/>
              <w:bottom w:val="single" w:color="000000" w:sz="4" w:space="0"/>
              <w:right w:val="single" w:color="000000" w:sz="4" w:space="0"/>
            </w:tcBorders>
            <w:noWrap w:val="0"/>
            <w:vAlign w:val="center"/>
          </w:tcPr>
          <w:p w14:paraId="4F690806">
            <w:pPr>
              <w:jc w:val="center"/>
              <w:rPr>
                <w:color w:val="000000"/>
                <w:szCs w:val="21"/>
              </w:rPr>
            </w:pPr>
            <w:r>
              <w:rPr>
                <w:color w:val="000000"/>
                <w:szCs w:val="21"/>
              </w:rPr>
              <w:t>16</w:t>
            </w:r>
          </w:p>
        </w:tc>
        <w:tc>
          <w:tcPr>
            <w:tcW w:w="1797" w:type="dxa"/>
            <w:tcBorders>
              <w:top w:val="single" w:color="000000" w:sz="4" w:space="0"/>
              <w:left w:val="single" w:color="000000" w:sz="4" w:space="0"/>
              <w:bottom w:val="single" w:color="000000" w:sz="4" w:space="0"/>
              <w:right w:val="single" w:color="000000" w:sz="4" w:space="0"/>
            </w:tcBorders>
            <w:noWrap w:val="0"/>
            <w:vAlign w:val="center"/>
          </w:tcPr>
          <w:p w14:paraId="16FEF3D6">
            <w:pPr>
              <w:jc w:val="center"/>
              <w:rPr>
                <w:color w:val="000000"/>
                <w:szCs w:val="21"/>
              </w:rPr>
            </w:pPr>
            <w:r>
              <w:rPr>
                <w:color w:val="000000"/>
                <w:szCs w:val="21"/>
              </w:rPr>
              <w:t>总镉</w:t>
            </w:r>
          </w:p>
        </w:tc>
        <w:tc>
          <w:tcPr>
            <w:tcW w:w="1617" w:type="dxa"/>
            <w:tcBorders>
              <w:top w:val="single" w:color="000000" w:sz="4" w:space="0"/>
              <w:left w:val="single" w:color="000000" w:sz="4" w:space="0"/>
              <w:bottom w:val="single" w:color="000000" w:sz="4" w:space="0"/>
              <w:right w:val="single" w:color="000000" w:sz="4" w:space="0"/>
            </w:tcBorders>
            <w:noWrap w:val="0"/>
            <w:vAlign w:val="center"/>
          </w:tcPr>
          <w:p w14:paraId="0F665E19">
            <w:pPr>
              <w:jc w:val="center"/>
              <w:rPr>
                <w:color w:val="000000"/>
                <w:szCs w:val="21"/>
              </w:rPr>
            </w:pPr>
            <w:r>
              <w:rPr>
                <w:color w:val="000000"/>
                <w:szCs w:val="21"/>
              </w:rPr>
              <w:t>0.1</w:t>
            </w:r>
          </w:p>
        </w:tc>
      </w:tr>
      <w:tr w14:paraId="73656AFC">
        <w:tblPrEx>
          <w:tblCellMar>
            <w:top w:w="0" w:type="dxa"/>
            <w:left w:w="108" w:type="dxa"/>
            <w:bottom w:w="0" w:type="dxa"/>
            <w:right w:w="108" w:type="dxa"/>
          </w:tblCellMar>
        </w:tblPrEx>
        <w:trPr>
          <w:trHeight w:val="181" w:hRule="atLeast"/>
        </w:trPr>
        <w:tc>
          <w:tcPr>
            <w:tcW w:w="757" w:type="dxa"/>
            <w:tcBorders>
              <w:top w:val="single" w:color="000000" w:sz="4" w:space="0"/>
              <w:left w:val="single" w:color="000000" w:sz="4" w:space="0"/>
              <w:bottom w:val="single" w:color="000000" w:sz="4" w:space="0"/>
              <w:right w:val="single" w:color="000000" w:sz="4" w:space="0"/>
            </w:tcBorders>
            <w:noWrap w:val="0"/>
            <w:vAlign w:val="center"/>
          </w:tcPr>
          <w:p w14:paraId="319BADE2">
            <w:pPr>
              <w:jc w:val="center"/>
              <w:rPr>
                <w:color w:val="000000"/>
                <w:szCs w:val="21"/>
              </w:rPr>
            </w:pPr>
            <w:r>
              <w:rPr>
                <w:rFonts w:hint="eastAsia"/>
                <w:color w:val="000000"/>
                <w:szCs w:val="21"/>
              </w:rPr>
              <w:t>5</w:t>
            </w:r>
          </w:p>
        </w:tc>
        <w:tc>
          <w:tcPr>
            <w:tcW w:w="2459" w:type="dxa"/>
            <w:tcBorders>
              <w:top w:val="single" w:color="000000" w:sz="4" w:space="0"/>
              <w:left w:val="single" w:color="000000" w:sz="4" w:space="0"/>
              <w:bottom w:val="single" w:color="000000" w:sz="4" w:space="0"/>
              <w:right w:val="single" w:color="000000" w:sz="4" w:space="0"/>
            </w:tcBorders>
            <w:noWrap w:val="0"/>
            <w:vAlign w:val="center"/>
          </w:tcPr>
          <w:p w14:paraId="412F6692">
            <w:pPr>
              <w:jc w:val="center"/>
              <w:rPr>
                <w:color w:val="000000"/>
                <w:szCs w:val="21"/>
              </w:rPr>
            </w:pPr>
            <w:r>
              <w:rPr>
                <w:rFonts w:hint="eastAsia"/>
                <w:color w:val="000000"/>
                <w:szCs w:val="21"/>
              </w:rPr>
              <w:t>氨氮</w:t>
            </w:r>
            <w:r>
              <w:rPr>
                <w:color w:val="000000"/>
                <w:szCs w:val="21"/>
              </w:rPr>
              <w:t>（mg/L）</w:t>
            </w:r>
          </w:p>
        </w:tc>
        <w:tc>
          <w:tcPr>
            <w:tcW w:w="1442" w:type="dxa"/>
            <w:tcBorders>
              <w:top w:val="single" w:color="000000" w:sz="4" w:space="0"/>
              <w:left w:val="single" w:color="000000" w:sz="4" w:space="0"/>
              <w:bottom w:val="single" w:color="000000" w:sz="4" w:space="0"/>
              <w:right w:val="single" w:color="000000" w:sz="4" w:space="0"/>
            </w:tcBorders>
            <w:noWrap w:val="0"/>
            <w:vAlign w:val="center"/>
          </w:tcPr>
          <w:p w14:paraId="310B3548">
            <w:pPr>
              <w:jc w:val="center"/>
              <w:rPr>
                <w:color w:val="000000"/>
                <w:szCs w:val="21"/>
              </w:rPr>
            </w:pPr>
            <w:r>
              <w:rPr>
                <w:color w:val="000000"/>
                <w:szCs w:val="21"/>
              </w:rPr>
              <w:t>-</w:t>
            </w:r>
          </w:p>
        </w:tc>
        <w:tc>
          <w:tcPr>
            <w:tcW w:w="888" w:type="dxa"/>
            <w:tcBorders>
              <w:top w:val="single" w:color="000000" w:sz="4" w:space="0"/>
              <w:left w:val="single" w:color="000000" w:sz="4" w:space="0"/>
              <w:bottom w:val="single" w:color="000000" w:sz="4" w:space="0"/>
              <w:right w:val="single" w:color="000000" w:sz="4" w:space="0"/>
            </w:tcBorders>
            <w:noWrap w:val="0"/>
            <w:vAlign w:val="center"/>
          </w:tcPr>
          <w:p w14:paraId="3E53CCB7">
            <w:pPr>
              <w:jc w:val="center"/>
              <w:rPr>
                <w:color w:val="000000"/>
                <w:szCs w:val="21"/>
              </w:rPr>
            </w:pPr>
            <w:r>
              <w:rPr>
                <w:color w:val="000000"/>
                <w:szCs w:val="21"/>
              </w:rPr>
              <w:t>17</w:t>
            </w:r>
          </w:p>
        </w:tc>
        <w:tc>
          <w:tcPr>
            <w:tcW w:w="1797" w:type="dxa"/>
            <w:tcBorders>
              <w:top w:val="single" w:color="000000" w:sz="4" w:space="0"/>
              <w:left w:val="single" w:color="000000" w:sz="4" w:space="0"/>
              <w:bottom w:val="single" w:color="000000" w:sz="4" w:space="0"/>
              <w:right w:val="single" w:color="000000" w:sz="4" w:space="0"/>
            </w:tcBorders>
            <w:noWrap w:val="0"/>
            <w:vAlign w:val="center"/>
          </w:tcPr>
          <w:p w14:paraId="586AAABB">
            <w:pPr>
              <w:jc w:val="center"/>
              <w:rPr>
                <w:color w:val="000000"/>
                <w:szCs w:val="21"/>
              </w:rPr>
            </w:pPr>
            <w:r>
              <w:rPr>
                <w:color w:val="000000"/>
                <w:szCs w:val="21"/>
              </w:rPr>
              <w:t>总铬</w:t>
            </w:r>
          </w:p>
        </w:tc>
        <w:tc>
          <w:tcPr>
            <w:tcW w:w="1617" w:type="dxa"/>
            <w:tcBorders>
              <w:top w:val="single" w:color="000000" w:sz="4" w:space="0"/>
              <w:left w:val="single" w:color="000000" w:sz="4" w:space="0"/>
              <w:bottom w:val="single" w:color="000000" w:sz="4" w:space="0"/>
              <w:right w:val="single" w:color="000000" w:sz="4" w:space="0"/>
            </w:tcBorders>
            <w:noWrap w:val="0"/>
            <w:vAlign w:val="center"/>
          </w:tcPr>
          <w:p w14:paraId="29515249">
            <w:pPr>
              <w:jc w:val="center"/>
              <w:rPr>
                <w:color w:val="000000"/>
                <w:szCs w:val="21"/>
              </w:rPr>
            </w:pPr>
            <w:r>
              <w:rPr>
                <w:color w:val="000000"/>
                <w:szCs w:val="21"/>
              </w:rPr>
              <w:t>1.5</w:t>
            </w:r>
          </w:p>
        </w:tc>
      </w:tr>
      <w:tr w14:paraId="5539CB6F">
        <w:tblPrEx>
          <w:tblCellMar>
            <w:top w:w="0" w:type="dxa"/>
            <w:left w:w="108" w:type="dxa"/>
            <w:bottom w:w="0" w:type="dxa"/>
            <w:right w:w="108" w:type="dxa"/>
          </w:tblCellMar>
        </w:tblPrEx>
        <w:trPr>
          <w:trHeight w:val="181" w:hRule="atLeast"/>
        </w:trPr>
        <w:tc>
          <w:tcPr>
            <w:tcW w:w="757" w:type="dxa"/>
            <w:tcBorders>
              <w:top w:val="single" w:color="000000" w:sz="4" w:space="0"/>
              <w:left w:val="single" w:color="000000" w:sz="4" w:space="0"/>
              <w:bottom w:val="single" w:color="000000" w:sz="4" w:space="0"/>
              <w:right w:val="single" w:color="000000" w:sz="4" w:space="0"/>
            </w:tcBorders>
            <w:noWrap w:val="0"/>
            <w:vAlign w:val="center"/>
          </w:tcPr>
          <w:p w14:paraId="4291F4EB">
            <w:pPr>
              <w:jc w:val="center"/>
              <w:rPr>
                <w:color w:val="000000"/>
                <w:szCs w:val="21"/>
              </w:rPr>
            </w:pPr>
            <w:r>
              <w:rPr>
                <w:color w:val="000000"/>
                <w:szCs w:val="21"/>
              </w:rPr>
              <w:t>6</w:t>
            </w:r>
          </w:p>
        </w:tc>
        <w:tc>
          <w:tcPr>
            <w:tcW w:w="2459" w:type="dxa"/>
            <w:tcBorders>
              <w:top w:val="single" w:color="000000" w:sz="4" w:space="0"/>
              <w:left w:val="single" w:color="000000" w:sz="4" w:space="0"/>
              <w:bottom w:val="single" w:color="000000" w:sz="4" w:space="0"/>
              <w:right w:val="single" w:color="000000" w:sz="4" w:space="0"/>
            </w:tcBorders>
            <w:noWrap w:val="0"/>
            <w:vAlign w:val="center"/>
          </w:tcPr>
          <w:p w14:paraId="655756FA">
            <w:pPr>
              <w:jc w:val="center"/>
              <w:rPr>
                <w:color w:val="000000"/>
                <w:szCs w:val="21"/>
              </w:rPr>
            </w:pPr>
            <w:r>
              <w:rPr>
                <w:color w:val="000000"/>
                <w:szCs w:val="21"/>
              </w:rPr>
              <w:t>动植物油（mg/L）</w:t>
            </w:r>
          </w:p>
        </w:tc>
        <w:tc>
          <w:tcPr>
            <w:tcW w:w="1442" w:type="dxa"/>
            <w:tcBorders>
              <w:top w:val="single" w:color="000000" w:sz="4" w:space="0"/>
              <w:left w:val="single" w:color="000000" w:sz="4" w:space="0"/>
              <w:bottom w:val="single" w:color="000000" w:sz="4" w:space="0"/>
              <w:right w:val="single" w:color="000000" w:sz="4" w:space="0"/>
            </w:tcBorders>
            <w:noWrap w:val="0"/>
            <w:vAlign w:val="center"/>
          </w:tcPr>
          <w:p w14:paraId="49EEAD48">
            <w:pPr>
              <w:jc w:val="center"/>
              <w:rPr>
                <w:color w:val="000000"/>
                <w:szCs w:val="21"/>
              </w:rPr>
            </w:pPr>
            <w:r>
              <w:rPr>
                <w:color w:val="000000"/>
                <w:szCs w:val="21"/>
              </w:rPr>
              <w:t>20</w:t>
            </w:r>
          </w:p>
        </w:tc>
        <w:tc>
          <w:tcPr>
            <w:tcW w:w="888" w:type="dxa"/>
            <w:tcBorders>
              <w:top w:val="single" w:color="000000" w:sz="4" w:space="0"/>
              <w:left w:val="single" w:color="000000" w:sz="4" w:space="0"/>
              <w:bottom w:val="single" w:color="000000" w:sz="4" w:space="0"/>
              <w:right w:val="single" w:color="000000" w:sz="4" w:space="0"/>
            </w:tcBorders>
            <w:noWrap w:val="0"/>
            <w:vAlign w:val="center"/>
          </w:tcPr>
          <w:p w14:paraId="44D78994">
            <w:pPr>
              <w:jc w:val="center"/>
              <w:rPr>
                <w:color w:val="000000"/>
                <w:szCs w:val="21"/>
              </w:rPr>
            </w:pPr>
            <w:r>
              <w:rPr>
                <w:color w:val="000000"/>
                <w:szCs w:val="21"/>
              </w:rPr>
              <w:t>18</w:t>
            </w:r>
          </w:p>
        </w:tc>
        <w:tc>
          <w:tcPr>
            <w:tcW w:w="1797" w:type="dxa"/>
            <w:tcBorders>
              <w:top w:val="single" w:color="000000" w:sz="4" w:space="0"/>
              <w:left w:val="single" w:color="000000" w:sz="4" w:space="0"/>
              <w:bottom w:val="single" w:color="000000" w:sz="4" w:space="0"/>
              <w:right w:val="single" w:color="000000" w:sz="4" w:space="0"/>
            </w:tcBorders>
            <w:noWrap w:val="0"/>
            <w:vAlign w:val="center"/>
          </w:tcPr>
          <w:p w14:paraId="18DFC2C1">
            <w:pPr>
              <w:jc w:val="center"/>
              <w:rPr>
                <w:color w:val="000000"/>
                <w:szCs w:val="21"/>
              </w:rPr>
            </w:pPr>
            <w:r>
              <w:rPr>
                <w:color w:val="000000"/>
                <w:szCs w:val="21"/>
              </w:rPr>
              <w:t>六价铬</w:t>
            </w:r>
          </w:p>
        </w:tc>
        <w:tc>
          <w:tcPr>
            <w:tcW w:w="1617" w:type="dxa"/>
            <w:tcBorders>
              <w:top w:val="single" w:color="000000" w:sz="4" w:space="0"/>
              <w:left w:val="single" w:color="000000" w:sz="4" w:space="0"/>
              <w:bottom w:val="single" w:color="000000" w:sz="4" w:space="0"/>
              <w:right w:val="single" w:color="000000" w:sz="4" w:space="0"/>
            </w:tcBorders>
            <w:noWrap w:val="0"/>
            <w:vAlign w:val="center"/>
          </w:tcPr>
          <w:p w14:paraId="38AA078D">
            <w:pPr>
              <w:jc w:val="center"/>
              <w:rPr>
                <w:color w:val="000000"/>
                <w:szCs w:val="21"/>
              </w:rPr>
            </w:pPr>
            <w:r>
              <w:rPr>
                <w:color w:val="000000"/>
                <w:szCs w:val="21"/>
              </w:rPr>
              <w:t>0.5</w:t>
            </w:r>
          </w:p>
        </w:tc>
      </w:tr>
      <w:tr w14:paraId="58A42684">
        <w:tblPrEx>
          <w:tblCellMar>
            <w:top w:w="0" w:type="dxa"/>
            <w:left w:w="108" w:type="dxa"/>
            <w:bottom w:w="0" w:type="dxa"/>
            <w:right w:w="108" w:type="dxa"/>
          </w:tblCellMar>
        </w:tblPrEx>
        <w:trPr>
          <w:trHeight w:val="181" w:hRule="atLeast"/>
        </w:trPr>
        <w:tc>
          <w:tcPr>
            <w:tcW w:w="757" w:type="dxa"/>
            <w:tcBorders>
              <w:top w:val="single" w:color="000000" w:sz="4" w:space="0"/>
              <w:left w:val="single" w:color="000000" w:sz="4" w:space="0"/>
              <w:bottom w:val="single" w:color="000000" w:sz="4" w:space="0"/>
              <w:right w:val="single" w:color="000000" w:sz="4" w:space="0"/>
            </w:tcBorders>
            <w:noWrap w:val="0"/>
            <w:vAlign w:val="center"/>
          </w:tcPr>
          <w:p w14:paraId="794C0378">
            <w:pPr>
              <w:jc w:val="center"/>
              <w:rPr>
                <w:color w:val="000000"/>
                <w:szCs w:val="21"/>
              </w:rPr>
            </w:pPr>
            <w:r>
              <w:rPr>
                <w:color w:val="000000"/>
                <w:szCs w:val="21"/>
              </w:rPr>
              <w:t>7</w:t>
            </w:r>
          </w:p>
        </w:tc>
        <w:tc>
          <w:tcPr>
            <w:tcW w:w="2459" w:type="dxa"/>
            <w:tcBorders>
              <w:top w:val="single" w:color="000000" w:sz="4" w:space="0"/>
              <w:left w:val="single" w:color="000000" w:sz="4" w:space="0"/>
              <w:bottom w:val="single" w:color="000000" w:sz="4" w:space="0"/>
              <w:right w:val="single" w:color="000000" w:sz="4" w:space="0"/>
            </w:tcBorders>
            <w:noWrap w:val="0"/>
            <w:vAlign w:val="center"/>
          </w:tcPr>
          <w:p w14:paraId="51D387CA">
            <w:pPr>
              <w:jc w:val="center"/>
              <w:rPr>
                <w:color w:val="000000"/>
                <w:szCs w:val="21"/>
              </w:rPr>
            </w:pPr>
            <w:r>
              <w:rPr>
                <w:color w:val="000000"/>
                <w:szCs w:val="21"/>
              </w:rPr>
              <w:t>石油类（mg/L）</w:t>
            </w:r>
          </w:p>
        </w:tc>
        <w:tc>
          <w:tcPr>
            <w:tcW w:w="1442" w:type="dxa"/>
            <w:tcBorders>
              <w:top w:val="single" w:color="000000" w:sz="4" w:space="0"/>
              <w:left w:val="single" w:color="000000" w:sz="4" w:space="0"/>
              <w:bottom w:val="single" w:color="000000" w:sz="4" w:space="0"/>
              <w:right w:val="single" w:color="000000" w:sz="4" w:space="0"/>
            </w:tcBorders>
            <w:noWrap w:val="0"/>
            <w:vAlign w:val="center"/>
          </w:tcPr>
          <w:p w14:paraId="60E82E69">
            <w:pPr>
              <w:jc w:val="center"/>
              <w:rPr>
                <w:color w:val="000000"/>
                <w:szCs w:val="21"/>
              </w:rPr>
            </w:pPr>
            <w:r>
              <w:rPr>
                <w:color w:val="000000"/>
                <w:szCs w:val="21"/>
              </w:rPr>
              <w:t>20</w:t>
            </w:r>
          </w:p>
        </w:tc>
        <w:tc>
          <w:tcPr>
            <w:tcW w:w="888" w:type="dxa"/>
            <w:tcBorders>
              <w:top w:val="single" w:color="000000" w:sz="4" w:space="0"/>
              <w:left w:val="single" w:color="000000" w:sz="4" w:space="0"/>
              <w:bottom w:val="single" w:color="000000" w:sz="4" w:space="0"/>
              <w:right w:val="single" w:color="000000" w:sz="4" w:space="0"/>
            </w:tcBorders>
            <w:noWrap w:val="0"/>
            <w:vAlign w:val="center"/>
          </w:tcPr>
          <w:p w14:paraId="24A746E5">
            <w:pPr>
              <w:jc w:val="center"/>
              <w:rPr>
                <w:color w:val="000000"/>
                <w:szCs w:val="21"/>
              </w:rPr>
            </w:pPr>
            <w:r>
              <w:rPr>
                <w:color w:val="000000"/>
                <w:szCs w:val="21"/>
              </w:rPr>
              <w:t>19</w:t>
            </w:r>
          </w:p>
        </w:tc>
        <w:tc>
          <w:tcPr>
            <w:tcW w:w="1797" w:type="dxa"/>
            <w:tcBorders>
              <w:top w:val="single" w:color="000000" w:sz="4" w:space="0"/>
              <w:left w:val="single" w:color="000000" w:sz="4" w:space="0"/>
              <w:bottom w:val="single" w:color="000000" w:sz="4" w:space="0"/>
              <w:right w:val="single" w:color="000000" w:sz="4" w:space="0"/>
            </w:tcBorders>
            <w:noWrap w:val="0"/>
            <w:vAlign w:val="center"/>
          </w:tcPr>
          <w:p w14:paraId="0ACB744D">
            <w:pPr>
              <w:jc w:val="center"/>
              <w:rPr>
                <w:color w:val="000000"/>
                <w:szCs w:val="21"/>
              </w:rPr>
            </w:pPr>
            <w:r>
              <w:rPr>
                <w:color w:val="000000"/>
                <w:szCs w:val="21"/>
              </w:rPr>
              <w:t>总砷</w:t>
            </w:r>
          </w:p>
        </w:tc>
        <w:tc>
          <w:tcPr>
            <w:tcW w:w="1617" w:type="dxa"/>
            <w:tcBorders>
              <w:top w:val="single" w:color="000000" w:sz="4" w:space="0"/>
              <w:left w:val="single" w:color="000000" w:sz="4" w:space="0"/>
              <w:bottom w:val="single" w:color="000000" w:sz="4" w:space="0"/>
              <w:right w:val="single" w:color="000000" w:sz="4" w:space="0"/>
            </w:tcBorders>
            <w:noWrap w:val="0"/>
            <w:vAlign w:val="center"/>
          </w:tcPr>
          <w:p w14:paraId="088C7F8A">
            <w:pPr>
              <w:jc w:val="center"/>
              <w:rPr>
                <w:color w:val="000000"/>
                <w:szCs w:val="21"/>
              </w:rPr>
            </w:pPr>
            <w:r>
              <w:rPr>
                <w:color w:val="000000"/>
                <w:szCs w:val="21"/>
              </w:rPr>
              <w:t>0.5</w:t>
            </w:r>
          </w:p>
        </w:tc>
      </w:tr>
      <w:tr w14:paraId="5FCBC93D">
        <w:tblPrEx>
          <w:tblCellMar>
            <w:top w:w="0" w:type="dxa"/>
            <w:left w:w="108" w:type="dxa"/>
            <w:bottom w:w="0" w:type="dxa"/>
            <w:right w:w="108" w:type="dxa"/>
          </w:tblCellMar>
        </w:tblPrEx>
        <w:trPr>
          <w:trHeight w:val="298" w:hRule="atLeast"/>
        </w:trPr>
        <w:tc>
          <w:tcPr>
            <w:tcW w:w="757" w:type="dxa"/>
            <w:tcBorders>
              <w:top w:val="single" w:color="000000" w:sz="4" w:space="0"/>
              <w:left w:val="single" w:color="000000" w:sz="4" w:space="0"/>
              <w:bottom w:val="single" w:color="000000" w:sz="4" w:space="0"/>
              <w:right w:val="single" w:color="000000" w:sz="4" w:space="0"/>
            </w:tcBorders>
            <w:noWrap w:val="0"/>
            <w:vAlign w:val="center"/>
          </w:tcPr>
          <w:p w14:paraId="33E02BEE">
            <w:pPr>
              <w:jc w:val="center"/>
              <w:rPr>
                <w:color w:val="000000"/>
                <w:szCs w:val="21"/>
              </w:rPr>
            </w:pPr>
            <w:r>
              <w:rPr>
                <w:color w:val="000000"/>
                <w:szCs w:val="21"/>
              </w:rPr>
              <w:t>8</w:t>
            </w:r>
          </w:p>
        </w:tc>
        <w:tc>
          <w:tcPr>
            <w:tcW w:w="2459" w:type="dxa"/>
            <w:tcBorders>
              <w:top w:val="single" w:color="000000" w:sz="4" w:space="0"/>
              <w:left w:val="single" w:color="000000" w:sz="4" w:space="0"/>
              <w:bottom w:val="single" w:color="000000" w:sz="4" w:space="0"/>
              <w:right w:val="single" w:color="000000" w:sz="4" w:space="0"/>
            </w:tcBorders>
            <w:noWrap w:val="0"/>
            <w:vAlign w:val="center"/>
          </w:tcPr>
          <w:p w14:paraId="1DD20462">
            <w:pPr>
              <w:jc w:val="center"/>
              <w:rPr>
                <w:color w:val="000000"/>
                <w:szCs w:val="21"/>
              </w:rPr>
            </w:pPr>
            <w:r>
              <w:rPr>
                <w:color w:val="000000"/>
                <w:szCs w:val="21"/>
              </w:rPr>
              <w:t>阴离子表面活性剂（mg/L）</w:t>
            </w:r>
          </w:p>
        </w:tc>
        <w:tc>
          <w:tcPr>
            <w:tcW w:w="1442" w:type="dxa"/>
            <w:tcBorders>
              <w:top w:val="single" w:color="000000" w:sz="4" w:space="0"/>
              <w:left w:val="single" w:color="000000" w:sz="4" w:space="0"/>
              <w:bottom w:val="single" w:color="000000" w:sz="4" w:space="0"/>
              <w:right w:val="single" w:color="000000" w:sz="4" w:space="0"/>
            </w:tcBorders>
            <w:noWrap w:val="0"/>
            <w:vAlign w:val="center"/>
          </w:tcPr>
          <w:p w14:paraId="0C552E60">
            <w:pPr>
              <w:jc w:val="center"/>
              <w:rPr>
                <w:color w:val="000000"/>
                <w:szCs w:val="21"/>
              </w:rPr>
            </w:pPr>
            <w:r>
              <w:rPr>
                <w:color w:val="000000"/>
                <w:szCs w:val="21"/>
              </w:rPr>
              <w:t>10</w:t>
            </w:r>
          </w:p>
        </w:tc>
        <w:tc>
          <w:tcPr>
            <w:tcW w:w="888" w:type="dxa"/>
            <w:tcBorders>
              <w:top w:val="single" w:color="000000" w:sz="4" w:space="0"/>
              <w:left w:val="single" w:color="000000" w:sz="4" w:space="0"/>
              <w:bottom w:val="single" w:color="000000" w:sz="4" w:space="0"/>
              <w:right w:val="single" w:color="000000" w:sz="4" w:space="0"/>
            </w:tcBorders>
            <w:noWrap w:val="0"/>
            <w:vAlign w:val="center"/>
          </w:tcPr>
          <w:p w14:paraId="56FDADD6">
            <w:pPr>
              <w:jc w:val="center"/>
              <w:rPr>
                <w:color w:val="000000"/>
                <w:szCs w:val="21"/>
              </w:rPr>
            </w:pPr>
            <w:r>
              <w:rPr>
                <w:color w:val="000000"/>
                <w:szCs w:val="21"/>
              </w:rPr>
              <w:t>20</w:t>
            </w:r>
          </w:p>
        </w:tc>
        <w:tc>
          <w:tcPr>
            <w:tcW w:w="1797" w:type="dxa"/>
            <w:tcBorders>
              <w:top w:val="single" w:color="000000" w:sz="4" w:space="0"/>
              <w:left w:val="single" w:color="000000" w:sz="4" w:space="0"/>
              <w:bottom w:val="single" w:color="000000" w:sz="4" w:space="0"/>
              <w:right w:val="single" w:color="000000" w:sz="4" w:space="0"/>
            </w:tcBorders>
            <w:noWrap w:val="0"/>
            <w:vAlign w:val="center"/>
          </w:tcPr>
          <w:p w14:paraId="2F738E42">
            <w:pPr>
              <w:jc w:val="center"/>
              <w:rPr>
                <w:color w:val="000000"/>
                <w:szCs w:val="21"/>
              </w:rPr>
            </w:pPr>
            <w:r>
              <w:rPr>
                <w:color w:val="000000"/>
                <w:szCs w:val="21"/>
              </w:rPr>
              <w:t>总铅</w:t>
            </w:r>
          </w:p>
        </w:tc>
        <w:tc>
          <w:tcPr>
            <w:tcW w:w="1617" w:type="dxa"/>
            <w:tcBorders>
              <w:top w:val="single" w:color="000000" w:sz="4" w:space="0"/>
              <w:left w:val="single" w:color="000000" w:sz="4" w:space="0"/>
              <w:bottom w:val="single" w:color="000000" w:sz="4" w:space="0"/>
              <w:right w:val="single" w:color="000000" w:sz="4" w:space="0"/>
            </w:tcBorders>
            <w:noWrap w:val="0"/>
            <w:vAlign w:val="center"/>
          </w:tcPr>
          <w:p w14:paraId="19C4EF20">
            <w:pPr>
              <w:jc w:val="center"/>
              <w:rPr>
                <w:color w:val="000000"/>
                <w:szCs w:val="21"/>
              </w:rPr>
            </w:pPr>
            <w:r>
              <w:rPr>
                <w:color w:val="000000"/>
                <w:szCs w:val="21"/>
              </w:rPr>
              <w:t>1.0</w:t>
            </w:r>
          </w:p>
        </w:tc>
      </w:tr>
      <w:tr w14:paraId="6F37C986">
        <w:tblPrEx>
          <w:tblCellMar>
            <w:top w:w="0" w:type="dxa"/>
            <w:left w:w="108" w:type="dxa"/>
            <w:bottom w:w="0" w:type="dxa"/>
            <w:right w:w="108" w:type="dxa"/>
          </w:tblCellMar>
        </w:tblPrEx>
        <w:trPr>
          <w:trHeight w:val="181" w:hRule="atLeast"/>
        </w:trPr>
        <w:tc>
          <w:tcPr>
            <w:tcW w:w="757" w:type="dxa"/>
            <w:tcBorders>
              <w:top w:val="single" w:color="000000" w:sz="4" w:space="0"/>
              <w:left w:val="single" w:color="000000" w:sz="4" w:space="0"/>
              <w:bottom w:val="single" w:color="000000" w:sz="4" w:space="0"/>
              <w:right w:val="single" w:color="000000" w:sz="4" w:space="0"/>
            </w:tcBorders>
            <w:noWrap w:val="0"/>
            <w:vAlign w:val="center"/>
          </w:tcPr>
          <w:p w14:paraId="6699CE01">
            <w:pPr>
              <w:jc w:val="center"/>
              <w:rPr>
                <w:color w:val="000000"/>
                <w:szCs w:val="21"/>
              </w:rPr>
            </w:pPr>
            <w:r>
              <w:rPr>
                <w:color w:val="000000"/>
                <w:szCs w:val="21"/>
              </w:rPr>
              <w:t>9</w:t>
            </w:r>
          </w:p>
        </w:tc>
        <w:tc>
          <w:tcPr>
            <w:tcW w:w="2459" w:type="dxa"/>
            <w:tcBorders>
              <w:top w:val="single" w:color="000000" w:sz="4" w:space="0"/>
              <w:left w:val="single" w:color="000000" w:sz="4" w:space="0"/>
              <w:bottom w:val="single" w:color="000000" w:sz="4" w:space="0"/>
              <w:right w:val="single" w:color="000000" w:sz="4" w:space="0"/>
            </w:tcBorders>
            <w:noWrap w:val="0"/>
            <w:vAlign w:val="center"/>
          </w:tcPr>
          <w:p w14:paraId="19F5A889">
            <w:pPr>
              <w:jc w:val="center"/>
              <w:rPr>
                <w:color w:val="000000"/>
                <w:szCs w:val="21"/>
              </w:rPr>
            </w:pPr>
            <w:r>
              <w:rPr>
                <w:color w:val="000000"/>
                <w:szCs w:val="21"/>
              </w:rPr>
              <w:t>色度（稀释倍数）</w:t>
            </w:r>
          </w:p>
        </w:tc>
        <w:tc>
          <w:tcPr>
            <w:tcW w:w="1442" w:type="dxa"/>
            <w:tcBorders>
              <w:top w:val="single" w:color="000000" w:sz="4" w:space="0"/>
              <w:left w:val="single" w:color="000000" w:sz="4" w:space="0"/>
              <w:bottom w:val="single" w:color="000000" w:sz="4" w:space="0"/>
              <w:right w:val="single" w:color="000000" w:sz="4" w:space="0"/>
            </w:tcBorders>
            <w:noWrap w:val="0"/>
            <w:vAlign w:val="center"/>
          </w:tcPr>
          <w:p w14:paraId="5A3614EA">
            <w:pPr>
              <w:jc w:val="center"/>
              <w:rPr>
                <w:color w:val="000000"/>
                <w:szCs w:val="21"/>
              </w:rPr>
            </w:pPr>
            <w:r>
              <w:rPr>
                <w:color w:val="000000"/>
                <w:szCs w:val="21"/>
              </w:rPr>
              <w:t>-</w:t>
            </w:r>
          </w:p>
        </w:tc>
        <w:tc>
          <w:tcPr>
            <w:tcW w:w="888" w:type="dxa"/>
            <w:tcBorders>
              <w:top w:val="single" w:color="000000" w:sz="4" w:space="0"/>
              <w:left w:val="single" w:color="000000" w:sz="4" w:space="0"/>
              <w:bottom w:val="single" w:color="000000" w:sz="4" w:space="0"/>
              <w:right w:val="single" w:color="000000" w:sz="4" w:space="0"/>
            </w:tcBorders>
            <w:noWrap w:val="0"/>
            <w:vAlign w:val="center"/>
          </w:tcPr>
          <w:p w14:paraId="191F34AD">
            <w:pPr>
              <w:jc w:val="center"/>
              <w:rPr>
                <w:color w:val="000000"/>
                <w:szCs w:val="21"/>
              </w:rPr>
            </w:pPr>
            <w:r>
              <w:rPr>
                <w:color w:val="000000"/>
                <w:szCs w:val="21"/>
              </w:rPr>
              <w:t>21</w:t>
            </w:r>
          </w:p>
        </w:tc>
        <w:tc>
          <w:tcPr>
            <w:tcW w:w="1797" w:type="dxa"/>
            <w:tcBorders>
              <w:top w:val="single" w:color="000000" w:sz="4" w:space="0"/>
              <w:left w:val="single" w:color="000000" w:sz="4" w:space="0"/>
              <w:bottom w:val="single" w:color="000000" w:sz="4" w:space="0"/>
              <w:right w:val="single" w:color="000000" w:sz="4" w:space="0"/>
            </w:tcBorders>
            <w:noWrap w:val="0"/>
            <w:vAlign w:val="center"/>
          </w:tcPr>
          <w:p w14:paraId="3671CE9B">
            <w:pPr>
              <w:jc w:val="center"/>
              <w:rPr>
                <w:color w:val="000000"/>
                <w:szCs w:val="21"/>
              </w:rPr>
            </w:pPr>
            <w:r>
              <w:rPr>
                <w:color w:val="000000"/>
                <w:szCs w:val="21"/>
              </w:rPr>
              <w:t>总银</w:t>
            </w:r>
          </w:p>
        </w:tc>
        <w:tc>
          <w:tcPr>
            <w:tcW w:w="1617" w:type="dxa"/>
            <w:tcBorders>
              <w:top w:val="single" w:color="000000" w:sz="4" w:space="0"/>
              <w:left w:val="single" w:color="000000" w:sz="4" w:space="0"/>
              <w:bottom w:val="single" w:color="000000" w:sz="4" w:space="0"/>
              <w:right w:val="single" w:color="000000" w:sz="4" w:space="0"/>
            </w:tcBorders>
            <w:noWrap w:val="0"/>
            <w:vAlign w:val="center"/>
          </w:tcPr>
          <w:p w14:paraId="3AD69F43">
            <w:pPr>
              <w:jc w:val="center"/>
              <w:rPr>
                <w:color w:val="000000"/>
                <w:szCs w:val="21"/>
              </w:rPr>
            </w:pPr>
            <w:r>
              <w:rPr>
                <w:color w:val="000000"/>
                <w:szCs w:val="21"/>
              </w:rPr>
              <w:t>0.5</w:t>
            </w:r>
          </w:p>
        </w:tc>
      </w:tr>
      <w:tr w14:paraId="5BFAF583">
        <w:tblPrEx>
          <w:tblCellMar>
            <w:top w:w="0" w:type="dxa"/>
            <w:left w:w="108" w:type="dxa"/>
            <w:bottom w:w="0" w:type="dxa"/>
            <w:right w:w="108" w:type="dxa"/>
          </w:tblCellMar>
        </w:tblPrEx>
        <w:trPr>
          <w:trHeight w:val="181" w:hRule="atLeast"/>
        </w:trPr>
        <w:tc>
          <w:tcPr>
            <w:tcW w:w="757" w:type="dxa"/>
            <w:tcBorders>
              <w:top w:val="single" w:color="000000" w:sz="4" w:space="0"/>
              <w:left w:val="single" w:color="000000" w:sz="4" w:space="0"/>
              <w:bottom w:val="single" w:color="000000" w:sz="4" w:space="0"/>
              <w:right w:val="single" w:color="000000" w:sz="4" w:space="0"/>
            </w:tcBorders>
            <w:noWrap w:val="0"/>
            <w:vAlign w:val="center"/>
          </w:tcPr>
          <w:p w14:paraId="1907FBD0">
            <w:pPr>
              <w:jc w:val="center"/>
              <w:rPr>
                <w:color w:val="000000"/>
                <w:szCs w:val="21"/>
              </w:rPr>
            </w:pPr>
            <w:r>
              <w:rPr>
                <w:color w:val="000000"/>
                <w:szCs w:val="21"/>
              </w:rPr>
              <w:t>10</w:t>
            </w:r>
          </w:p>
        </w:tc>
        <w:tc>
          <w:tcPr>
            <w:tcW w:w="2459" w:type="dxa"/>
            <w:tcBorders>
              <w:top w:val="single" w:color="000000" w:sz="4" w:space="0"/>
              <w:left w:val="single" w:color="000000" w:sz="4" w:space="0"/>
              <w:bottom w:val="single" w:color="000000" w:sz="4" w:space="0"/>
              <w:right w:val="single" w:color="000000" w:sz="4" w:space="0"/>
            </w:tcBorders>
            <w:noWrap w:val="0"/>
            <w:vAlign w:val="center"/>
          </w:tcPr>
          <w:p w14:paraId="341703B7">
            <w:pPr>
              <w:jc w:val="center"/>
              <w:rPr>
                <w:color w:val="000000"/>
                <w:szCs w:val="21"/>
              </w:rPr>
            </w:pPr>
            <w:r>
              <w:rPr>
                <w:color w:val="000000"/>
                <w:szCs w:val="21"/>
              </w:rPr>
              <w:t>粪大肠菌群数（MPN/L）</w:t>
            </w:r>
          </w:p>
        </w:tc>
        <w:tc>
          <w:tcPr>
            <w:tcW w:w="1442" w:type="dxa"/>
            <w:tcBorders>
              <w:top w:val="single" w:color="000000" w:sz="4" w:space="0"/>
              <w:left w:val="single" w:color="000000" w:sz="4" w:space="0"/>
              <w:bottom w:val="single" w:color="000000" w:sz="4" w:space="0"/>
              <w:right w:val="single" w:color="000000" w:sz="4" w:space="0"/>
            </w:tcBorders>
            <w:noWrap w:val="0"/>
            <w:vAlign w:val="center"/>
          </w:tcPr>
          <w:p w14:paraId="17D15ECF">
            <w:pPr>
              <w:jc w:val="center"/>
              <w:rPr>
                <w:color w:val="000000"/>
                <w:szCs w:val="21"/>
              </w:rPr>
            </w:pPr>
            <w:r>
              <w:rPr>
                <w:color w:val="000000"/>
                <w:szCs w:val="21"/>
              </w:rPr>
              <w:t>5000</w:t>
            </w:r>
          </w:p>
        </w:tc>
        <w:tc>
          <w:tcPr>
            <w:tcW w:w="888" w:type="dxa"/>
            <w:tcBorders>
              <w:top w:val="single" w:color="000000" w:sz="4" w:space="0"/>
              <w:left w:val="single" w:color="000000" w:sz="4" w:space="0"/>
              <w:bottom w:val="single" w:color="000000" w:sz="4" w:space="0"/>
              <w:right w:val="single" w:color="000000" w:sz="4" w:space="0"/>
            </w:tcBorders>
            <w:noWrap w:val="0"/>
            <w:vAlign w:val="center"/>
          </w:tcPr>
          <w:p w14:paraId="51E3D8F6">
            <w:pPr>
              <w:jc w:val="center"/>
              <w:rPr>
                <w:color w:val="000000"/>
                <w:szCs w:val="21"/>
              </w:rPr>
            </w:pPr>
            <w:r>
              <w:rPr>
                <w:color w:val="000000"/>
                <w:szCs w:val="21"/>
              </w:rPr>
              <w:t>22</w:t>
            </w:r>
          </w:p>
        </w:tc>
        <w:tc>
          <w:tcPr>
            <w:tcW w:w="1797" w:type="dxa"/>
            <w:tcBorders>
              <w:top w:val="single" w:color="000000" w:sz="4" w:space="0"/>
              <w:left w:val="single" w:color="000000" w:sz="4" w:space="0"/>
              <w:bottom w:val="single" w:color="000000" w:sz="4" w:space="0"/>
              <w:right w:val="single" w:color="000000" w:sz="4" w:space="0"/>
            </w:tcBorders>
            <w:noWrap w:val="0"/>
            <w:vAlign w:val="center"/>
          </w:tcPr>
          <w:p w14:paraId="44DE47CC">
            <w:pPr>
              <w:jc w:val="center"/>
              <w:rPr>
                <w:color w:val="000000"/>
                <w:szCs w:val="21"/>
              </w:rPr>
            </w:pPr>
            <w:r>
              <w:rPr>
                <w:rFonts w:hint="eastAsia"/>
                <w:color w:val="000000"/>
                <w:szCs w:val="21"/>
              </w:rPr>
              <w:t>总A(Bq/L)</w:t>
            </w:r>
          </w:p>
        </w:tc>
        <w:tc>
          <w:tcPr>
            <w:tcW w:w="1617" w:type="dxa"/>
            <w:tcBorders>
              <w:top w:val="single" w:color="000000" w:sz="4" w:space="0"/>
              <w:left w:val="single" w:color="000000" w:sz="4" w:space="0"/>
              <w:bottom w:val="single" w:color="000000" w:sz="4" w:space="0"/>
              <w:right w:val="single" w:color="000000" w:sz="4" w:space="0"/>
            </w:tcBorders>
            <w:noWrap w:val="0"/>
            <w:vAlign w:val="center"/>
          </w:tcPr>
          <w:p w14:paraId="70BD43DC">
            <w:pPr>
              <w:jc w:val="center"/>
              <w:rPr>
                <w:color w:val="000000"/>
                <w:szCs w:val="21"/>
              </w:rPr>
            </w:pPr>
            <w:r>
              <w:rPr>
                <w:color w:val="000000"/>
                <w:szCs w:val="21"/>
              </w:rPr>
              <w:t>1</w:t>
            </w:r>
          </w:p>
        </w:tc>
      </w:tr>
      <w:tr w14:paraId="529A5032">
        <w:tblPrEx>
          <w:tblCellMar>
            <w:top w:w="0" w:type="dxa"/>
            <w:left w:w="108" w:type="dxa"/>
            <w:bottom w:w="0" w:type="dxa"/>
            <w:right w:w="108" w:type="dxa"/>
          </w:tblCellMar>
        </w:tblPrEx>
        <w:trPr>
          <w:trHeight w:val="181" w:hRule="atLeast"/>
        </w:trPr>
        <w:tc>
          <w:tcPr>
            <w:tcW w:w="757" w:type="dxa"/>
            <w:tcBorders>
              <w:top w:val="single" w:color="000000" w:sz="4" w:space="0"/>
              <w:left w:val="single" w:color="000000" w:sz="4" w:space="0"/>
              <w:bottom w:val="single" w:color="000000" w:sz="4" w:space="0"/>
              <w:right w:val="single" w:color="000000" w:sz="4" w:space="0"/>
            </w:tcBorders>
            <w:noWrap w:val="0"/>
            <w:vAlign w:val="center"/>
          </w:tcPr>
          <w:p w14:paraId="5D0B6539">
            <w:pPr>
              <w:jc w:val="center"/>
              <w:rPr>
                <w:color w:val="000000"/>
                <w:szCs w:val="21"/>
              </w:rPr>
            </w:pPr>
            <w:r>
              <w:rPr>
                <w:color w:val="000000"/>
                <w:szCs w:val="21"/>
              </w:rPr>
              <w:t>11</w:t>
            </w:r>
          </w:p>
        </w:tc>
        <w:tc>
          <w:tcPr>
            <w:tcW w:w="2459" w:type="dxa"/>
            <w:tcBorders>
              <w:top w:val="single" w:color="000000" w:sz="4" w:space="0"/>
              <w:left w:val="single" w:color="000000" w:sz="4" w:space="0"/>
              <w:bottom w:val="single" w:color="000000" w:sz="4" w:space="0"/>
              <w:right w:val="single" w:color="000000" w:sz="4" w:space="0"/>
            </w:tcBorders>
            <w:noWrap w:val="0"/>
            <w:vAlign w:val="center"/>
          </w:tcPr>
          <w:p w14:paraId="06357D8D">
            <w:pPr>
              <w:jc w:val="center"/>
              <w:rPr>
                <w:color w:val="000000"/>
                <w:szCs w:val="21"/>
              </w:rPr>
            </w:pPr>
            <w:r>
              <w:rPr>
                <w:color w:val="000000"/>
                <w:szCs w:val="21"/>
              </w:rPr>
              <w:t>肠道致病菌</w:t>
            </w:r>
          </w:p>
        </w:tc>
        <w:tc>
          <w:tcPr>
            <w:tcW w:w="1442" w:type="dxa"/>
            <w:tcBorders>
              <w:top w:val="single" w:color="000000" w:sz="4" w:space="0"/>
              <w:left w:val="single" w:color="000000" w:sz="4" w:space="0"/>
              <w:bottom w:val="single" w:color="000000" w:sz="4" w:space="0"/>
              <w:right w:val="single" w:color="000000" w:sz="4" w:space="0"/>
            </w:tcBorders>
            <w:noWrap w:val="0"/>
            <w:vAlign w:val="center"/>
          </w:tcPr>
          <w:p w14:paraId="6AEF64AC">
            <w:pPr>
              <w:jc w:val="center"/>
              <w:rPr>
                <w:color w:val="000000"/>
                <w:szCs w:val="21"/>
              </w:rPr>
            </w:pPr>
            <w:r>
              <w:rPr>
                <w:color w:val="000000"/>
                <w:szCs w:val="21"/>
              </w:rPr>
              <w:t>-</w:t>
            </w:r>
          </w:p>
        </w:tc>
        <w:tc>
          <w:tcPr>
            <w:tcW w:w="888" w:type="dxa"/>
            <w:tcBorders>
              <w:top w:val="single" w:color="000000" w:sz="4" w:space="0"/>
              <w:left w:val="single" w:color="000000" w:sz="4" w:space="0"/>
              <w:bottom w:val="single" w:color="000000" w:sz="4" w:space="0"/>
              <w:right w:val="single" w:color="000000" w:sz="4" w:space="0"/>
            </w:tcBorders>
            <w:noWrap w:val="0"/>
            <w:vAlign w:val="center"/>
          </w:tcPr>
          <w:p w14:paraId="4A4D655D">
            <w:pPr>
              <w:jc w:val="center"/>
              <w:rPr>
                <w:color w:val="000000"/>
                <w:szCs w:val="21"/>
              </w:rPr>
            </w:pPr>
            <w:r>
              <w:rPr>
                <w:color w:val="000000"/>
                <w:szCs w:val="21"/>
              </w:rPr>
              <w:t>23</w:t>
            </w:r>
          </w:p>
        </w:tc>
        <w:tc>
          <w:tcPr>
            <w:tcW w:w="1797" w:type="dxa"/>
            <w:tcBorders>
              <w:top w:val="single" w:color="000000" w:sz="4" w:space="0"/>
              <w:left w:val="single" w:color="000000" w:sz="4" w:space="0"/>
              <w:bottom w:val="single" w:color="000000" w:sz="4" w:space="0"/>
              <w:right w:val="single" w:color="000000" w:sz="4" w:space="0"/>
            </w:tcBorders>
            <w:noWrap w:val="0"/>
            <w:vAlign w:val="center"/>
          </w:tcPr>
          <w:p w14:paraId="52386676">
            <w:pPr>
              <w:jc w:val="center"/>
              <w:rPr>
                <w:color w:val="000000"/>
                <w:szCs w:val="21"/>
              </w:rPr>
            </w:pPr>
            <w:r>
              <w:rPr>
                <w:rFonts w:hint="eastAsia"/>
                <w:color w:val="000000"/>
                <w:szCs w:val="21"/>
              </w:rPr>
              <w:t>总B(Bq/L)</w:t>
            </w:r>
          </w:p>
        </w:tc>
        <w:tc>
          <w:tcPr>
            <w:tcW w:w="1617" w:type="dxa"/>
            <w:tcBorders>
              <w:top w:val="single" w:color="000000" w:sz="4" w:space="0"/>
              <w:left w:val="single" w:color="000000" w:sz="4" w:space="0"/>
              <w:bottom w:val="single" w:color="000000" w:sz="4" w:space="0"/>
              <w:right w:val="single" w:color="000000" w:sz="4" w:space="0"/>
            </w:tcBorders>
            <w:noWrap w:val="0"/>
            <w:vAlign w:val="center"/>
          </w:tcPr>
          <w:p w14:paraId="79A5BAF1">
            <w:pPr>
              <w:jc w:val="center"/>
              <w:rPr>
                <w:color w:val="000000"/>
                <w:szCs w:val="21"/>
              </w:rPr>
            </w:pPr>
            <w:r>
              <w:rPr>
                <w:color w:val="000000"/>
                <w:szCs w:val="21"/>
              </w:rPr>
              <w:t>10</w:t>
            </w:r>
          </w:p>
        </w:tc>
      </w:tr>
      <w:tr w14:paraId="319E2396">
        <w:tblPrEx>
          <w:tblCellMar>
            <w:top w:w="0" w:type="dxa"/>
            <w:left w:w="108" w:type="dxa"/>
            <w:bottom w:w="0" w:type="dxa"/>
            <w:right w:w="108" w:type="dxa"/>
          </w:tblCellMar>
        </w:tblPrEx>
        <w:trPr>
          <w:trHeight w:val="181" w:hRule="atLeast"/>
        </w:trPr>
        <w:tc>
          <w:tcPr>
            <w:tcW w:w="757" w:type="dxa"/>
            <w:tcBorders>
              <w:top w:val="single" w:color="000000" w:sz="4" w:space="0"/>
              <w:left w:val="single" w:color="000000" w:sz="4" w:space="0"/>
              <w:bottom w:val="single" w:color="000000" w:sz="4" w:space="0"/>
              <w:right w:val="single" w:color="000000" w:sz="4" w:space="0"/>
            </w:tcBorders>
            <w:noWrap w:val="0"/>
            <w:vAlign w:val="center"/>
          </w:tcPr>
          <w:p w14:paraId="7A5C41D5">
            <w:pPr>
              <w:jc w:val="center"/>
              <w:rPr>
                <w:color w:val="000000"/>
                <w:szCs w:val="21"/>
              </w:rPr>
            </w:pPr>
            <w:r>
              <w:rPr>
                <w:color w:val="000000"/>
                <w:szCs w:val="21"/>
              </w:rPr>
              <w:t>12</w:t>
            </w:r>
          </w:p>
        </w:tc>
        <w:tc>
          <w:tcPr>
            <w:tcW w:w="2459" w:type="dxa"/>
            <w:tcBorders>
              <w:top w:val="single" w:color="000000" w:sz="4" w:space="0"/>
              <w:left w:val="single" w:color="000000" w:sz="4" w:space="0"/>
              <w:bottom w:val="single" w:color="000000" w:sz="4" w:space="0"/>
              <w:right w:val="single" w:color="000000" w:sz="4" w:space="0"/>
            </w:tcBorders>
            <w:noWrap w:val="0"/>
            <w:vAlign w:val="center"/>
          </w:tcPr>
          <w:p w14:paraId="4F129F7C">
            <w:pPr>
              <w:jc w:val="center"/>
              <w:rPr>
                <w:color w:val="000000"/>
                <w:szCs w:val="21"/>
              </w:rPr>
            </w:pPr>
            <w:r>
              <w:rPr>
                <w:color w:val="000000"/>
                <w:szCs w:val="21"/>
              </w:rPr>
              <w:t>肠道病毒</w:t>
            </w:r>
          </w:p>
        </w:tc>
        <w:tc>
          <w:tcPr>
            <w:tcW w:w="1442" w:type="dxa"/>
            <w:tcBorders>
              <w:top w:val="single" w:color="000000" w:sz="4" w:space="0"/>
              <w:left w:val="single" w:color="000000" w:sz="4" w:space="0"/>
              <w:bottom w:val="single" w:color="000000" w:sz="4" w:space="0"/>
              <w:right w:val="single" w:color="000000" w:sz="4" w:space="0"/>
            </w:tcBorders>
            <w:noWrap w:val="0"/>
            <w:vAlign w:val="center"/>
          </w:tcPr>
          <w:p w14:paraId="435E2E5A">
            <w:pPr>
              <w:jc w:val="center"/>
              <w:rPr>
                <w:color w:val="000000"/>
                <w:szCs w:val="21"/>
              </w:rPr>
            </w:pPr>
            <w:r>
              <w:rPr>
                <w:color w:val="000000"/>
                <w:szCs w:val="21"/>
              </w:rPr>
              <w:t>-</w:t>
            </w:r>
          </w:p>
        </w:tc>
        <w:tc>
          <w:tcPr>
            <w:tcW w:w="888" w:type="dxa"/>
            <w:tcBorders>
              <w:top w:val="single" w:color="000000" w:sz="4" w:space="0"/>
              <w:left w:val="single" w:color="000000" w:sz="4" w:space="0"/>
              <w:bottom w:val="single" w:color="000000" w:sz="4" w:space="0"/>
              <w:right w:val="single" w:color="000000" w:sz="4" w:space="0"/>
            </w:tcBorders>
            <w:noWrap w:val="0"/>
            <w:vAlign w:val="center"/>
          </w:tcPr>
          <w:p w14:paraId="4DF23E17">
            <w:pPr>
              <w:jc w:val="center"/>
              <w:rPr>
                <w:color w:val="000000"/>
                <w:szCs w:val="21"/>
              </w:rPr>
            </w:pPr>
            <w:r>
              <w:rPr>
                <w:color w:val="000000"/>
                <w:szCs w:val="21"/>
              </w:rPr>
              <w:t>24</w:t>
            </w:r>
          </w:p>
        </w:tc>
        <w:tc>
          <w:tcPr>
            <w:tcW w:w="1797" w:type="dxa"/>
            <w:tcBorders>
              <w:top w:val="single" w:color="000000" w:sz="4" w:space="0"/>
              <w:left w:val="single" w:color="000000" w:sz="4" w:space="0"/>
              <w:bottom w:val="single" w:color="000000" w:sz="4" w:space="0"/>
              <w:right w:val="single" w:color="000000" w:sz="4" w:space="0"/>
            </w:tcBorders>
            <w:noWrap w:val="0"/>
            <w:vAlign w:val="center"/>
          </w:tcPr>
          <w:p w14:paraId="3A1DD879">
            <w:pPr>
              <w:jc w:val="center"/>
              <w:rPr>
                <w:color w:val="000000"/>
                <w:szCs w:val="21"/>
              </w:rPr>
            </w:pPr>
            <w:r>
              <w:rPr>
                <w:rFonts w:hint="eastAsia"/>
                <w:color w:val="000000"/>
                <w:szCs w:val="21"/>
              </w:rPr>
              <w:t>总余氯</w:t>
            </w:r>
          </w:p>
        </w:tc>
        <w:tc>
          <w:tcPr>
            <w:tcW w:w="1617" w:type="dxa"/>
            <w:tcBorders>
              <w:top w:val="single" w:color="000000" w:sz="4" w:space="0"/>
              <w:left w:val="single" w:color="000000" w:sz="4" w:space="0"/>
              <w:bottom w:val="single" w:color="000000" w:sz="4" w:space="0"/>
              <w:right w:val="single" w:color="000000" w:sz="4" w:space="0"/>
            </w:tcBorders>
            <w:noWrap w:val="0"/>
            <w:vAlign w:val="center"/>
          </w:tcPr>
          <w:p w14:paraId="5EF95B12">
            <w:pPr>
              <w:jc w:val="center"/>
              <w:rPr>
                <w:color w:val="000000"/>
                <w:szCs w:val="21"/>
              </w:rPr>
            </w:pPr>
            <w:r>
              <w:rPr>
                <w:rFonts w:hint="eastAsia"/>
                <w:color w:val="000000"/>
                <w:szCs w:val="21"/>
              </w:rPr>
              <w:t>-</w:t>
            </w:r>
          </w:p>
        </w:tc>
      </w:tr>
      <w:tr w14:paraId="448E282C">
        <w:tblPrEx>
          <w:tblCellMar>
            <w:top w:w="0" w:type="dxa"/>
            <w:left w:w="108" w:type="dxa"/>
            <w:bottom w:w="0" w:type="dxa"/>
            <w:right w:w="108" w:type="dxa"/>
          </w:tblCellMar>
        </w:tblPrEx>
        <w:trPr>
          <w:trHeight w:val="202" w:hRule="atLeast"/>
        </w:trPr>
        <w:tc>
          <w:tcPr>
            <w:tcW w:w="8960" w:type="dxa"/>
            <w:gridSpan w:val="6"/>
            <w:tcBorders>
              <w:top w:val="single" w:color="000000" w:sz="4" w:space="0"/>
              <w:left w:val="single" w:color="000000" w:sz="4" w:space="0"/>
              <w:bottom w:val="single" w:color="000000" w:sz="4" w:space="0"/>
              <w:right w:val="single" w:color="000000" w:sz="4" w:space="0"/>
            </w:tcBorders>
            <w:noWrap w:val="0"/>
            <w:vAlign w:val="center"/>
          </w:tcPr>
          <w:p w14:paraId="462CC488">
            <w:pPr>
              <w:spacing w:line="360" w:lineRule="auto"/>
              <w:ind w:firstLine="420"/>
              <w:rPr>
                <w:color w:val="000000"/>
              </w:rPr>
            </w:pPr>
            <w:r>
              <w:rPr>
                <w:color w:val="000000"/>
              </w:rPr>
              <w:t>注：1）采用含氯消毒剂消毒的工艺控制要求为：</w:t>
            </w:r>
          </w:p>
          <w:p w14:paraId="73030756">
            <w:pPr>
              <w:spacing w:line="360" w:lineRule="auto"/>
              <w:ind w:firstLine="420"/>
              <w:rPr>
                <w:color w:val="000000"/>
              </w:rPr>
            </w:pPr>
            <w:r>
              <w:rPr>
                <w:color w:val="000000"/>
              </w:rPr>
              <w:t>一级标准：消毒接触池接触时间≥1h，接触池出口总余氯3-10mg/L。</w:t>
            </w:r>
          </w:p>
          <w:p w14:paraId="40A8E637">
            <w:pPr>
              <w:spacing w:line="360" w:lineRule="auto"/>
              <w:ind w:firstLine="420"/>
              <w:rPr>
                <w:color w:val="000000"/>
              </w:rPr>
            </w:pPr>
            <w:r>
              <w:rPr>
                <w:color w:val="000000"/>
              </w:rPr>
              <w:t>二级标准：消毒接触池接触时间≥1h，接触池出口总余氯2-8mg/L。</w:t>
            </w:r>
          </w:p>
          <w:p w14:paraId="50670DB8">
            <w:pPr>
              <w:spacing w:line="360" w:lineRule="auto"/>
              <w:ind w:firstLine="420"/>
              <w:rPr>
                <w:color w:val="000000"/>
              </w:rPr>
            </w:pPr>
            <w:r>
              <w:rPr>
                <w:color w:val="000000"/>
              </w:rPr>
              <w:t>2）采用其他消毒剂对总余氯不作要求。</w:t>
            </w:r>
          </w:p>
        </w:tc>
      </w:tr>
    </w:tbl>
    <w:p w14:paraId="74CBB44F">
      <w:pPr>
        <w:ind w:left="-108"/>
        <w:jc w:val="left"/>
        <w:rPr>
          <w:color w:val="000000"/>
        </w:rPr>
      </w:pPr>
    </w:p>
    <w:p w14:paraId="0150E7D0">
      <w:pPr>
        <w:ind w:firstLine="360"/>
        <w:rPr>
          <w:color w:val="000000"/>
          <w:sz w:val="24"/>
        </w:rPr>
      </w:pPr>
      <w:r>
        <w:rPr>
          <w:color w:val="000000"/>
          <w:sz w:val="24"/>
        </w:rPr>
        <w:t>（2）废气排放标准</w:t>
      </w:r>
    </w:p>
    <w:p w14:paraId="68A0D403">
      <w:pPr>
        <w:spacing w:line="360" w:lineRule="auto"/>
        <w:ind w:firstLine="480"/>
        <w:rPr>
          <w:color w:val="000000"/>
          <w:sz w:val="24"/>
        </w:rPr>
      </w:pPr>
      <w:r>
        <w:rPr>
          <w:color w:val="000000"/>
          <w:sz w:val="24"/>
        </w:rPr>
        <w:t>a．施工期大气污染物无组织排放执行《大气污染物综合排放标准》（GB16297-1996）中的无组织排放监控浓度限值，即：颗粒物周界外浓度最高点1.0mg/Nm</w:t>
      </w:r>
      <w:r>
        <w:rPr>
          <w:color w:val="000000"/>
          <w:sz w:val="24"/>
          <w:vertAlign w:val="superscript"/>
        </w:rPr>
        <w:t>3</w:t>
      </w:r>
      <w:r>
        <w:rPr>
          <w:color w:val="000000"/>
          <w:sz w:val="24"/>
        </w:rPr>
        <w:t>。</w:t>
      </w:r>
    </w:p>
    <w:p w14:paraId="574890AC">
      <w:pPr>
        <w:spacing w:line="360" w:lineRule="auto"/>
        <w:ind w:firstLine="480"/>
        <w:rPr>
          <w:color w:val="000000"/>
          <w:sz w:val="24"/>
        </w:rPr>
      </w:pPr>
      <w:r>
        <w:rPr>
          <w:color w:val="000000"/>
          <w:sz w:val="24"/>
        </w:rPr>
        <w:t>b．污水处理站、化粪池主要产生氨气、硫化氢、氯气和臭气等恶臭气体，《医疗机构水污染物排放标准》（GB18466－2005）表3中相关规定。具体标准值见表1.4-7。</w:t>
      </w:r>
    </w:p>
    <w:p w14:paraId="4C484A70">
      <w:pPr>
        <w:jc w:val="center"/>
        <w:rPr>
          <w:b/>
          <w:color w:val="000000"/>
          <w:sz w:val="24"/>
        </w:rPr>
      </w:pPr>
      <w:r>
        <w:rPr>
          <w:b/>
          <w:color w:val="000000"/>
          <w:sz w:val="24"/>
        </w:rPr>
        <w:t>表1.4-7  污水处理系统周边大气污染物最高允许浓度</w:t>
      </w:r>
    </w:p>
    <w:tbl>
      <w:tblPr>
        <w:tblStyle w:val="27"/>
        <w:tblW w:w="0" w:type="auto"/>
        <w:tblInd w:w="-108" w:type="dxa"/>
        <w:tblLayout w:type="fixed"/>
        <w:tblCellMar>
          <w:top w:w="0" w:type="dxa"/>
          <w:left w:w="108" w:type="dxa"/>
          <w:bottom w:w="0" w:type="dxa"/>
          <w:right w:w="108" w:type="dxa"/>
        </w:tblCellMar>
      </w:tblPr>
      <w:tblGrid>
        <w:gridCol w:w="1171"/>
        <w:gridCol w:w="5039"/>
        <w:gridCol w:w="2750"/>
      </w:tblGrid>
      <w:tr w14:paraId="1AB9F05C">
        <w:tblPrEx>
          <w:tblCellMar>
            <w:top w:w="0" w:type="dxa"/>
            <w:left w:w="108" w:type="dxa"/>
            <w:bottom w:w="0" w:type="dxa"/>
            <w:right w:w="108" w:type="dxa"/>
          </w:tblCellMar>
        </w:tblPrEx>
        <w:trPr>
          <w:trHeight w:val="409" w:hRule="atLeast"/>
        </w:trPr>
        <w:tc>
          <w:tcPr>
            <w:tcW w:w="1171" w:type="dxa"/>
            <w:tcBorders>
              <w:top w:val="single" w:color="000000" w:sz="4" w:space="0"/>
              <w:left w:val="single" w:color="000000" w:sz="4" w:space="0"/>
              <w:bottom w:val="single" w:color="000000" w:sz="4" w:space="0"/>
              <w:right w:val="single" w:color="000000" w:sz="4" w:space="0"/>
            </w:tcBorders>
            <w:noWrap w:val="0"/>
            <w:vAlign w:val="center"/>
          </w:tcPr>
          <w:p w14:paraId="433E5531">
            <w:pPr>
              <w:jc w:val="center"/>
              <w:rPr>
                <w:b/>
                <w:color w:val="000000"/>
                <w:szCs w:val="21"/>
              </w:rPr>
            </w:pPr>
            <w:r>
              <w:rPr>
                <w:b/>
                <w:color w:val="000000"/>
                <w:szCs w:val="21"/>
              </w:rPr>
              <w:t>序号</w:t>
            </w:r>
          </w:p>
        </w:tc>
        <w:tc>
          <w:tcPr>
            <w:tcW w:w="5039" w:type="dxa"/>
            <w:tcBorders>
              <w:top w:val="single" w:color="000000" w:sz="4" w:space="0"/>
              <w:left w:val="single" w:color="000000" w:sz="4" w:space="0"/>
              <w:bottom w:val="single" w:color="000000" w:sz="4" w:space="0"/>
              <w:right w:val="single" w:color="000000" w:sz="4" w:space="0"/>
            </w:tcBorders>
            <w:noWrap w:val="0"/>
            <w:vAlign w:val="center"/>
          </w:tcPr>
          <w:p w14:paraId="37486BDF">
            <w:pPr>
              <w:jc w:val="center"/>
              <w:rPr>
                <w:b/>
                <w:color w:val="000000"/>
                <w:szCs w:val="21"/>
              </w:rPr>
            </w:pPr>
            <w:r>
              <w:rPr>
                <w:b/>
                <w:color w:val="000000"/>
                <w:szCs w:val="21"/>
              </w:rPr>
              <w:t>控制项目</w:t>
            </w:r>
          </w:p>
        </w:tc>
        <w:tc>
          <w:tcPr>
            <w:tcW w:w="2750" w:type="dxa"/>
            <w:tcBorders>
              <w:top w:val="single" w:color="000000" w:sz="4" w:space="0"/>
              <w:left w:val="single" w:color="000000" w:sz="4" w:space="0"/>
              <w:bottom w:val="single" w:color="000000" w:sz="4" w:space="0"/>
              <w:right w:val="single" w:color="000000" w:sz="4" w:space="0"/>
            </w:tcBorders>
            <w:noWrap w:val="0"/>
            <w:vAlign w:val="center"/>
          </w:tcPr>
          <w:p w14:paraId="058F704D">
            <w:pPr>
              <w:jc w:val="center"/>
              <w:rPr>
                <w:b/>
                <w:color w:val="000000"/>
                <w:szCs w:val="21"/>
              </w:rPr>
            </w:pPr>
            <w:r>
              <w:rPr>
                <w:b/>
                <w:color w:val="000000"/>
                <w:szCs w:val="21"/>
              </w:rPr>
              <w:t>标准值</w:t>
            </w:r>
          </w:p>
        </w:tc>
      </w:tr>
      <w:tr w14:paraId="3F172862">
        <w:tblPrEx>
          <w:tblCellMar>
            <w:top w:w="0" w:type="dxa"/>
            <w:left w:w="108" w:type="dxa"/>
            <w:bottom w:w="0" w:type="dxa"/>
            <w:right w:w="108" w:type="dxa"/>
          </w:tblCellMar>
        </w:tblPrEx>
        <w:trPr>
          <w:trHeight w:val="409" w:hRule="atLeast"/>
        </w:trPr>
        <w:tc>
          <w:tcPr>
            <w:tcW w:w="1171" w:type="dxa"/>
            <w:tcBorders>
              <w:top w:val="single" w:color="000000" w:sz="4" w:space="0"/>
              <w:left w:val="single" w:color="000000" w:sz="4" w:space="0"/>
              <w:bottom w:val="single" w:color="000000" w:sz="4" w:space="0"/>
              <w:right w:val="single" w:color="000000" w:sz="4" w:space="0"/>
            </w:tcBorders>
            <w:noWrap w:val="0"/>
            <w:vAlign w:val="center"/>
          </w:tcPr>
          <w:p w14:paraId="6B5353FE">
            <w:pPr>
              <w:jc w:val="center"/>
              <w:rPr>
                <w:color w:val="000000"/>
                <w:szCs w:val="21"/>
              </w:rPr>
            </w:pPr>
            <w:r>
              <w:rPr>
                <w:color w:val="000000"/>
                <w:szCs w:val="21"/>
              </w:rPr>
              <w:t>1</w:t>
            </w:r>
          </w:p>
        </w:tc>
        <w:tc>
          <w:tcPr>
            <w:tcW w:w="5039" w:type="dxa"/>
            <w:tcBorders>
              <w:top w:val="single" w:color="000000" w:sz="4" w:space="0"/>
              <w:left w:val="single" w:color="000000" w:sz="4" w:space="0"/>
              <w:bottom w:val="single" w:color="000000" w:sz="4" w:space="0"/>
              <w:right w:val="single" w:color="000000" w:sz="4" w:space="0"/>
            </w:tcBorders>
            <w:noWrap w:val="0"/>
            <w:vAlign w:val="center"/>
          </w:tcPr>
          <w:p w14:paraId="5DD2F6E4">
            <w:pPr>
              <w:jc w:val="center"/>
              <w:rPr>
                <w:color w:val="000000"/>
                <w:szCs w:val="21"/>
              </w:rPr>
            </w:pPr>
            <w:r>
              <w:rPr>
                <w:color w:val="000000"/>
                <w:szCs w:val="21"/>
              </w:rPr>
              <w:t>氨/（mg/m</w:t>
            </w:r>
            <w:r>
              <w:rPr>
                <w:color w:val="000000"/>
                <w:szCs w:val="21"/>
                <w:vertAlign w:val="superscript"/>
              </w:rPr>
              <w:t>3</w:t>
            </w:r>
            <w:r>
              <w:rPr>
                <w:color w:val="000000"/>
                <w:szCs w:val="21"/>
              </w:rPr>
              <w:t>）</w:t>
            </w:r>
          </w:p>
        </w:tc>
        <w:tc>
          <w:tcPr>
            <w:tcW w:w="2750" w:type="dxa"/>
            <w:tcBorders>
              <w:top w:val="single" w:color="000000" w:sz="4" w:space="0"/>
              <w:left w:val="single" w:color="000000" w:sz="4" w:space="0"/>
              <w:bottom w:val="single" w:color="000000" w:sz="4" w:space="0"/>
              <w:right w:val="single" w:color="000000" w:sz="4" w:space="0"/>
            </w:tcBorders>
            <w:noWrap w:val="0"/>
            <w:vAlign w:val="center"/>
          </w:tcPr>
          <w:p w14:paraId="2793C87F">
            <w:pPr>
              <w:jc w:val="center"/>
              <w:rPr>
                <w:color w:val="000000"/>
                <w:szCs w:val="21"/>
              </w:rPr>
            </w:pPr>
            <w:r>
              <w:rPr>
                <w:color w:val="000000"/>
                <w:szCs w:val="21"/>
              </w:rPr>
              <w:t>1.0</w:t>
            </w:r>
          </w:p>
        </w:tc>
      </w:tr>
      <w:tr w14:paraId="375D5360">
        <w:tblPrEx>
          <w:tblCellMar>
            <w:top w:w="0" w:type="dxa"/>
            <w:left w:w="108" w:type="dxa"/>
            <w:bottom w:w="0" w:type="dxa"/>
            <w:right w:w="108" w:type="dxa"/>
          </w:tblCellMar>
        </w:tblPrEx>
        <w:trPr>
          <w:trHeight w:val="409" w:hRule="atLeast"/>
        </w:trPr>
        <w:tc>
          <w:tcPr>
            <w:tcW w:w="1171" w:type="dxa"/>
            <w:tcBorders>
              <w:top w:val="single" w:color="000000" w:sz="4" w:space="0"/>
              <w:left w:val="single" w:color="000000" w:sz="4" w:space="0"/>
              <w:bottom w:val="single" w:color="000000" w:sz="4" w:space="0"/>
              <w:right w:val="single" w:color="000000" w:sz="4" w:space="0"/>
            </w:tcBorders>
            <w:noWrap w:val="0"/>
            <w:vAlign w:val="center"/>
          </w:tcPr>
          <w:p w14:paraId="0A9647C6">
            <w:pPr>
              <w:jc w:val="center"/>
              <w:rPr>
                <w:color w:val="000000"/>
                <w:szCs w:val="21"/>
              </w:rPr>
            </w:pPr>
            <w:r>
              <w:rPr>
                <w:color w:val="000000"/>
                <w:szCs w:val="21"/>
              </w:rPr>
              <w:t>2</w:t>
            </w:r>
          </w:p>
        </w:tc>
        <w:tc>
          <w:tcPr>
            <w:tcW w:w="5039" w:type="dxa"/>
            <w:tcBorders>
              <w:top w:val="single" w:color="000000" w:sz="4" w:space="0"/>
              <w:left w:val="single" w:color="000000" w:sz="4" w:space="0"/>
              <w:bottom w:val="single" w:color="000000" w:sz="4" w:space="0"/>
              <w:right w:val="single" w:color="000000" w:sz="4" w:space="0"/>
            </w:tcBorders>
            <w:noWrap w:val="0"/>
            <w:vAlign w:val="center"/>
          </w:tcPr>
          <w:p w14:paraId="4A66B7CB">
            <w:pPr>
              <w:jc w:val="center"/>
              <w:rPr>
                <w:color w:val="000000"/>
                <w:szCs w:val="21"/>
              </w:rPr>
            </w:pPr>
            <w:r>
              <w:rPr>
                <w:color w:val="000000"/>
                <w:szCs w:val="21"/>
              </w:rPr>
              <w:t>硫化氢/（mg/m</w:t>
            </w:r>
            <w:r>
              <w:rPr>
                <w:color w:val="000000"/>
                <w:szCs w:val="21"/>
                <w:vertAlign w:val="superscript"/>
              </w:rPr>
              <w:t>3</w:t>
            </w:r>
            <w:r>
              <w:rPr>
                <w:color w:val="000000"/>
                <w:szCs w:val="21"/>
              </w:rPr>
              <w:t>）</w:t>
            </w:r>
          </w:p>
        </w:tc>
        <w:tc>
          <w:tcPr>
            <w:tcW w:w="2750" w:type="dxa"/>
            <w:tcBorders>
              <w:top w:val="single" w:color="000000" w:sz="4" w:space="0"/>
              <w:left w:val="single" w:color="000000" w:sz="4" w:space="0"/>
              <w:bottom w:val="single" w:color="000000" w:sz="4" w:space="0"/>
              <w:right w:val="single" w:color="000000" w:sz="4" w:space="0"/>
            </w:tcBorders>
            <w:noWrap w:val="0"/>
            <w:vAlign w:val="center"/>
          </w:tcPr>
          <w:p w14:paraId="4AD4C3A0">
            <w:pPr>
              <w:jc w:val="center"/>
              <w:rPr>
                <w:color w:val="000000"/>
                <w:szCs w:val="21"/>
              </w:rPr>
            </w:pPr>
            <w:r>
              <w:rPr>
                <w:color w:val="000000"/>
                <w:szCs w:val="21"/>
              </w:rPr>
              <w:t>0.03</w:t>
            </w:r>
          </w:p>
        </w:tc>
      </w:tr>
      <w:tr w14:paraId="74BD5164">
        <w:tblPrEx>
          <w:tblCellMar>
            <w:top w:w="0" w:type="dxa"/>
            <w:left w:w="108" w:type="dxa"/>
            <w:bottom w:w="0" w:type="dxa"/>
            <w:right w:w="108" w:type="dxa"/>
          </w:tblCellMar>
        </w:tblPrEx>
        <w:trPr>
          <w:trHeight w:val="409" w:hRule="atLeast"/>
        </w:trPr>
        <w:tc>
          <w:tcPr>
            <w:tcW w:w="1171" w:type="dxa"/>
            <w:tcBorders>
              <w:top w:val="single" w:color="000000" w:sz="4" w:space="0"/>
              <w:left w:val="single" w:color="000000" w:sz="4" w:space="0"/>
              <w:bottom w:val="single" w:color="000000" w:sz="4" w:space="0"/>
              <w:right w:val="single" w:color="000000" w:sz="4" w:space="0"/>
            </w:tcBorders>
            <w:noWrap w:val="0"/>
            <w:vAlign w:val="center"/>
          </w:tcPr>
          <w:p w14:paraId="1C76C0E4">
            <w:pPr>
              <w:jc w:val="center"/>
              <w:rPr>
                <w:color w:val="000000"/>
                <w:szCs w:val="21"/>
              </w:rPr>
            </w:pPr>
            <w:r>
              <w:rPr>
                <w:color w:val="000000"/>
                <w:szCs w:val="21"/>
              </w:rPr>
              <w:t>3</w:t>
            </w:r>
          </w:p>
        </w:tc>
        <w:tc>
          <w:tcPr>
            <w:tcW w:w="5039" w:type="dxa"/>
            <w:tcBorders>
              <w:top w:val="single" w:color="000000" w:sz="4" w:space="0"/>
              <w:left w:val="single" w:color="000000" w:sz="4" w:space="0"/>
              <w:bottom w:val="single" w:color="000000" w:sz="4" w:space="0"/>
              <w:right w:val="single" w:color="000000" w:sz="4" w:space="0"/>
            </w:tcBorders>
            <w:noWrap w:val="0"/>
            <w:vAlign w:val="center"/>
          </w:tcPr>
          <w:p w14:paraId="36E546EF">
            <w:pPr>
              <w:jc w:val="center"/>
              <w:rPr>
                <w:color w:val="000000"/>
                <w:szCs w:val="21"/>
              </w:rPr>
            </w:pPr>
            <w:r>
              <w:rPr>
                <w:color w:val="000000"/>
                <w:szCs w:val="21"/>
              </w:rPr>
              <w:t>臭气浓度/（无量纲）</w:t>
            </w:r>
          </w:p>
        </w:tc>
        <w:tc>
          <w:tcPr>
            <w:tcW w:w="2750" w:type="dxa"/>
            <w:tcBorders>
              <w:top w:val="single" w:color="000000" w:sz="4" w:space="0"/>
              <w:left w:val="single" w:color="000000" w:sz="4" w:space="0"/>
              <w:bottom w:val="single" w:color="000000" w:sz="4" w:space="0"/>
              <w:right w:val="single" w:color="000000" w:sz="4" w:space="0"/>
            </w:tcBorders>
            <w:noWrap w:val="0"/>
            <w:vAlign w:val="center"/>
          </w:tcPr>
          <w:p w14:paraId="1AC6ABD1">
            <w:pPr>
              <w:jc w:val="center"/>
              <w:rPr>
                <w:color w:val="000000"/>
                <w:szCs w:val="21"/>
              </w:rPr>
            </w:pPr>
            <w:r>
              <w:rPr>
                <w:color w:val="000000"/>
                <w:szCs w:val="21"/>
              </w:rPr>
              <w:t>10</w:t>
            </w:r>
          </w:p>
        </w:tc>
      </w:tr>
      <w:tr w14:paraId="1E408517">
        <w:tblPrEx>
          <w:tblCellMar>
            <w:top w:w="0" w:type="dxa"/>
            <w:left w:w="108" w:type="dxa"/>
            <w:bottom w:w="0" w:type="dxa"/>
            <w:right w:w="108" w:type="dxa"/>
          </w:tblCellMar>
        </w:tblPrEx>
        <w:trPr>
          <w:trHeight w:val="409" w:hRule="atLeast"/>
        </w:trPr>
        <w:tc>
          <w:tcPr>
            <w:tcW w:w="1171" w:type="dxa"/>
            <w:tcBorders>
              <w:top w:val="single" w:color="000000" w:sz="4" w:space="0"/>
              <w:left w:val="single" w:color="000000" w:sz="4" w:space="0"/>
              <w:bottom w:val="single" w:color="000000" w:sz="4" w:space="0"/>
              <w:right w:val="single" w:color="000000" w:sz="4" w:space="0"/>
            </w:tcBorders>
            <w:noWrap w:val="0"/>
            <w:vAlign w:val="center"/>
          </w:tcPr>
          <w:p w14:paraId="619A42D7">
            <w:pPr>
              <w:jc w:val="center"/>
              <w:rPr>
                <w:color w:val="000000"/>
                <w:szCs w:val="21"/>
              </w:rPr>
            </w:pPr>
            <w:r>
              <w:rPr>
                <w:color w:val="000000"/>
                <w:szCs w:val="21"/>
              </w:rPr>
              <w:t>4</w:t>
            </w:r>
          </w:p>
        </w:tc>
        <w:tc>
          <w:tcPr>
            <w:tcW w:w="5039" w:type="dxa"/>
            <w:tcBorders>
              <w:top w:val="single" w:color="000000" w:sz="4" w:space="0"/>
              <w:left w:val="single" w:color="000000" w:sz="4" w:space="0"/>
              <w:bottom w:val="single" w:color="000000" w:sz="4" w:space="0"/>
              <w:right w:val="single" w:color="000000" w:sz="4" w:space="0"/>
            </w:tcBorders>
            <w:noWrap w:val="0"/>
            <w:vAlign w:val="center"/>
          </w:tcPr>
          <w:p w14:paraId="521FA20C">
            <w:pPr>
              <w:jc w:val="center"/>
              <w:rPr>
                <w:color w:val="000000"/>
                <w:szCs w:val="21"/>
              </w:rPr>
            </w:pPr>
            <w:r>
              <w:rPr>
                <w:color w:val="000000"/>
                <w:szCs w:val="21"/>
              </w:rPr>
              <w:t>氯气/（mg/m</w:t>
            </w:r>
            <w:r>
              <w:rPr>
                <w:color w:val="000000"/>
                <w:szCs w:val="21"/>
                <w:vertAlign w:val="superscript"/>
              </w:rPr>
              <w:t>3</w:t>
            </w:r>
            <w:r>
              <w:rPr>
                <w:color w:val="000000"/>
                <w:szCs w:val="21"/>
              </w:rPr>
              <w:t>）</w:t>
            </w:r>
          </w:p>
        </w:tc>
        <w:tc>
          <w:tcPr>
            <w:tcW w:w="2750" w:type="dxa"/>
            <w:tcBorders>
              <w:top w:val="single" w:color="000000" w:sz="4" w:space="0"/>
              <w:left w:val="single" w:color="000000" w:sz="4" w:space="0"/>
              <w:bottom w:val="single" w:color="000000" w:sz="4" w:space="0"/>
              <w:right w:val="single" w:color="000000" w:sz="4" w:space="0"/>
            </w:tcBorders>
            <w:noWrap w:val="0"/>
            <w:vAlign w:val="center"/>
          </w:tcPr>
          <w:p w14:paraId="75383BA6">
            <w:pPr>
              <w:jc w:val="center"/>
              <w:rPr>
                <w:color w:val="000000"/>
                <w:szCs w:val="21"/>
              </w:rPr>
            </w:pPr>
            <w:r>
              <w:rPr>
                <w:color w:val="000000"/>
                <w:szCs w:val="21"/>
              </w:rPr>
              <w:t>0.1</w:t>
            </w:r>
          </w:p>
        </w:tc>
      </w:tr>
      <w:tr w14:paraId="4F503CB3">
        <w:tblPrEx>
          <w:tblCellMar>
            <w:top w:w="0" w:type="dxa"/>
            <w:left w:w="108" w:type="dxa"/>
            <w:bottom w:w="0" w:type="dxa"/>
            <w:right w:w="108" w:type="dxa"/>
          </w:tblCellMar>
        </w:tblPrEx>
        <w:trPr>
          <w:trHeight w:val="449" w:hRule="atLeast"/>
        </w:trPr>
        <w:tc>
          <w:tcPr>
            <w:tcW w:w="1171" w:type="dxa"/>
            <w:tcBorders>
              <w:top w:val="single" w:color="000000" w:sz="4" w:space="0"/>
              <w:left w:val="single" w:color="000000" w:sz="4" w:space="0"/>
              <w:bottom w:val="single" w:color="000000" w:sz="4" w:space="0"/>
              <w:right w:val="single" w:color="000000" w:sz="4" w:space="0"/>
            </w:tcBorders>
            <w:noWrap w:val="0"/>
            <w:vAlign w:val="center"/>
          </w:tcPr>
          <w:p w14:paraId="3ECC5587">
            <w:pPr>
              <w:jc w:val="center"/>
              <w:rPr>
                <w:color w:val="000000"/>
                <w:szCs w:val="21"/>
              </w:rPr>
            </w:pPr>
            <w:r>
              <w:rPr>
                <w:color w:val="000000"/>
                <w:szCs w:val="21"/>
              </w:rPr>
              <w:t>5</w:t>
            </w:r>
          </w:p>
        </w:tc>
        <w:tc>
          <w:tcPr>
            <w:tcW w:w="5039" w:type="dxa"/>
            <w:tcBorders>
              <w:top w:val="single" w:color="000000" w:sz="4" w:space="0"/>
              <w:left w:val="single" w:color="000000" w:sz="4" w:space="0"/>
              <w:bottom w:val="single" w:color="000000" w:sz="4" w:space="0"/>
              <w:right w:val="single" w:color="000000" w:sz="4" w:space="0"/>
            </w:tcBorders>
            <w:noWrap w:val="0"/>
            <w:vAlign w:val="center"/>
          </w:tcPr>
          <w:p w14:paraId="4EC4FC97">
            <w:pPr>
              <w:jc w:val="center"/>
              <w:rPr>
                <w:color w:val="000000"/>
                <w:szCs w:val="21"/>
              </w:rPr>
            </w:pPr>
            <w:r>
              <w:rPr>
                <w:color w:val="000000"/>
                <w:szCs w:val="21"/>
              </w:rPr>
              <w:t>甲烷/（指处理系统内最高体积百分数/%）</w:t>
            </w:r>
          </w:p>
        </w:tc>
        <w:tc>
          <w:tcPr>
            <w:tcW w:w="2750" w:type="dxa"/>
            <w:tcBorders>
              <w:top w:val="single" w:color="000000" w:sz="4" w:space="0"/>
              <w:left w:val="single" w:color="000000" w:sz="4" w:space="0"/>
              <w:bottom w:val="single" w:color="000000" w:sz="4" w:space="0"/>
              <w:right w:val="single" w:color="000000" w:sz="4" w:space="0"/>
            </w:tcBorders>
            <w:noWrap w:val="0"/>
            <w:vAlign w:val="center"/>
          </w:tcPr>
          <w:p w14:paraId="30D487DA">
            <w:pPr>
              <w:jc w:val="center"/>
              <w:rPr>
                <w:color w:val="000000"/>
                <w:szCs w:val="21"/>
              </w:rPr>
            </w:pPr>
            <w:r>
              <w:rPr>
                <w:color w:val="000000"/>
                <w:szCs w:val="21"/>
              </w:rPr>
              <w:t>1</w:t>
            </w:r>
          </w:p>
        </w:tc>
      </w:tr>
    </w:tbl>
    <w:p w14:paraId="1D388F0D">
      <w:pPr>
        <w:ind w:firstLine="360"/>
        <w:rPr>
          <w:color w:val="000000"/>
          <w:sz w:val="24"/>
        </w:rPr>
      </w:pPr>
      <w:bookmarkStart w:id="61" w:name="_Toc369709467"/>
      <w:bookmarkEnd w:id="61"/>
      <w:r>
        <w:rPr>
          <w:color w:val="000000"/>
          <w:sz w:val="24"/>
        </w:rPr>
        <w:t>（3）噪声</w:t>
      </w:r>
    </w:p>
    <w:p w14:paraId="7CB24E68">
      <w:pPr>
        <w:spacing w:line="360" w:lineRule="auto"/>
        <w:ind w:firstLine="480"/>
        <w:rPr>
          <w:color w:val="000000"/>
          <w:sz w:val="24"/>
        </w:rPr>
      </w:pPr>
      <w:r>
        <w:rPr>
          <w:color w:val="000000"/>
          <w:sz w:val="24"/>
        </w:rPr>
        <w:t>a．施工期噪声执行《建筑施工场界环境噪声排放标准》（GB12523-2011）。</w:t>
      </w:r>
    </w:p>
    <w:p w14:paraId="344648B3">
      <w:pPr>
        <w:ind w:firstLine="1193"/>
        <w:rPr>
          <w:b/>
          <w:color w:val="000000"/>
          <w:sz w:val="24"/>
        </w:rPr>
      </w:pPr>
      <w:r>
        <w:rPr>
          <w:b/>
          <w:color w:val="000000"/>
          <w:sz w:val="24"/>
        </w:rPr>
        <w:t>表1.4-</w:t>
      </w:r>
      <w:r>
        <w:rPr>
          <w:rFonts w:hint="eastAsia"/>
          <w:b/>
          <w:color w:val="000000"/>
          <w:sz w:val="24"/>
        </w:rPr>
        <w:t xml:space="preserve">8 </w:t>
      </w:r>
      <w:r>
        <w:rPr>
          <w:b/>
          <w:color w:val="000000"/>
          <w:sz w:val="24"/>
        </w:rPr>
        <w:t xml:space="preserve">  建筑施工场界环境噪声排放标准    单位：Leq dB（A）</w:t>
      </w:r>
    </w:p>
    <w:tbl>
      <w:tblPr>
        <w:tblStyle w:val="27"/>
        <w:tblW w:w="0" w:type="auto"/>
        <w:tblInd w:w="0" w:type="dxa"/>
        <w:tblLayout w:type="fixed"/>
        <w:tblCellMar>
          <w:top w:w="0" w:type="dxa"/>
          <w:left w:w="108" w:type="dxa"/>
          <w:bottom w:w="0" w:type="dxa"/>
          <w:right w:w="108" w:type="dxa"/>
        </w:tblCellMar>
      </w:tblPr>
      <w:tblGrid>
        <w:gridCol w:w="2904"/>
        <w:gridCol w:w="1977"/>
        <w:gridCol w:w="4099"/>
      </w:tblGrid>
      <w:tr w14:paraId="64B6D41E">
        <w:tblPrEx>
          <w:tblCellMar>
            <w:top w:w="0" w:type="dxa"/>
            <w:left w:w="108" w:type="dxa"/>
            <w:bottom w:w="0" w:type="dxa"/>
            <w:right w:w="108" w:type="dxa"/>
          </w:tblCellMar>
        </w:tblPrEx>
        <w:trPr>
          <w:trHeight w:val="358" w:hRule="atLeast"/>
        </w:trPr>
        <w:tc>
          <w:tcPr>
            <w:tcW w:w="2904" w:type="dxa"/>
            <w:vMerge w:val="restart"/>
            <w:tcBorders>
              <w:top w:val="single" w:color="000000" w:sz="8" w:space="0"/>
              <w:left w:val="single" w:color="000000" w:sz="8" w:space="0"/>
              <w:bottom w:val="single" w:color="000000" w:sz="6" w:space="0"/>
              <w:right w:val="single" w:color="000000" w:sz="6" w:space="0"/>
            </w:tcBorders>
            <w:noWrap w:val="0"/>
            <w:vAlign w:val="center"/>
          </w:tcPr>
          <w:p w14:paraId="5DFA5EF8">
            <w:pPr>
              <w:ind w:right="-108"/>
              <w:jc w:val="center"/>
              <w:rPr>
                <w:b/>
                <w:color w:val="000000"/>
              </w:rPr>
            </w:pPr>
            <w:r>
              <w:rPr>
                <w:b/>
                <w:color w:val="000000"/>
              </w:rPr>
              <w:t>施工阶段</w:t>
            </w:r>
          </w:p>
        </w:tc>
        <w:tc>
          <w:tcPr>
            <w:tcW w:w="6076" w:type="dxa"/>
            <w:gridSpan w:val="2"/>
            <w:tcBorders>
              <w:top w:val="single" w:color="000000" w:sz="8" w:space="0"/>
              <w:left w:val="single" w:color="000000" w:sz="6" w:space="0"/>
              <w:bottom w:val="single" w:color="000000" w:sz="6" w:space="0"/>
              <w:right w:val="single" w:color="000000" w:sz="8" w:space="0"/>
            </w:tcBorders>
            <w:noWrap w:val="0"/>
            <w:vAlign w:val="center"/>
          </w:tcPr>
          <w:p w14:paraId="6ED1D1D8">
            <w:pPr>
              <w:ind w:right="560"/>
              <w:jc w:val="center"/>
              <w:rPr>
                <w:b/>
                <w:color w:val="000000"/>
              </w:rPr>
            </w:pPr>
            <w:r>
              <w:rPr>
                <w:b/>
                <w:color w:val="000000"/>
              </w:rPr>
              <w:t>噪声限值</w:t>
            </w:r>
          </w:p>
        </w:tc>
      </w:tr>
      <w:tr w14:paraId="5CE45AC5">
        <w:tblPrEx>
          <w:tblCellMar>
            <w:top w:w="0" w:type="dxa"/>
            <w:left w:w="108" w:type="dxa"/>
            <w:bottom w:w="0" w:type="dxa"/>
            <w:right w:w="108" w:type="dxa"/>
          </w:tblCellMar>
        </w:tblPrEx>
        <w:trPr>
          <w:trHeight w:val="348" w:hRule="atLeast"/>
        </w:trPr>
        <w:tc>
          <w:tcPr>
            <w:tcW w:w="2904" w:type="dxa"/>
            <w:vMerge w:val="continue"/>
            <w:tcBorders>
              <w:top w:val="single" w:color="000000" w:sz="6" w:space="0"/>
              <w:left w:val="single" w:color="000000" w:sz="8" w:space="0"/>
              <w:bottom w:val="single" w:color="000000" w:sz="6" w:space="0"/>
              <w:right w:val="single" w:color="000000" w:sz="6" w:space="0"/>
            </w:tcBorders>
            <w:noWrap w:val="0"/>
            <w:vAlign w:val="center"/>
          </w:tcPr>
          <w:p w14:paraId="55E9AB01">
            <w:pPr>
              <w:jc w:val="left"/>
              <w:rPr>
                <w:b/>
                <w:color w:val="000000"/>
              </w:rPr>
            </w:pPr>
          </w:p>
        </w:tc>
        <w:tc>
          <w:tcPr>
            <w:tcW w:w="1977" w:type="dxa"/>
            <w:tcBorders>
              <w:top w:val="single" w:color="000000" w:sz="6" w:space="0"/>
              <w:left w:val="single" w:color="000000" w:sz="6" w:space="0"/>
              <w:bottom w:val="single" w:color="000000" w:sz="6" w:space="0"/>
              <w:right w:val="single" w:color="000000" w:sz="6" w:space="0"/>
            </w:tcBorders>
            <w:noWrap w:val="0"/>
            <w:vAlign w:val="center"/>
          </w:tcPr>
          <w:p w14:paraId="4AD7E3FC">
            <w:pPr>
              <w:jc w:val="center"/>
              <w:rPr>
                <w:color w:val="000000"/>
              </w:rPr>
            </w:pPr>
            <w:r>
              <w:rPr>
                <w:color w:val="000000"/>
              </w:rPr>
              <w:t>昼间</w:t>
            </w:r>
          </w:p>
        </w:tc>
        <w:tc>
          <w:tcPr>
            <w:tcW w:w="4099" w:type="dxa"/>
            <w:tcBorders>
              <w:top w:val="single" w:color="000000" w:sz="6" w:space="0"/>
              <w:left w:val="single" w:color="000000" w:sz="6" w:space="0"/>
              <w:bottom w:val="single" w:color="000000" w:sz="6" w:space="0"/>
              <w:right w:val="single" w:color="000000" w:sz="8" w:space="0"/>
            </w:tcBorders>
            <w:noWrap w:val="0"/>
            <w:vAlign w:val="center"/>
          </w:tcPr>
          <w:p w14:paraId="1B57B650">
            <w:pPr>
              <w:ind w:right="-51"/>
              <w:jc w:val="center"/>
              <w:rPr>
                <w:color w:val="000000"/>
              </w:rPr>
            </w:pPr>
            <w:r>
              <w:rPr>
                <w:color w:val="000000"/>
              </w:rPr>
              <w:t>夜间</w:t>
            </w:r>
          </w:p>
        </w:tc>
      </w:tr>
      <w:tr w14:paraId="2C89167C">
        <w:tblPrEx>
          <w:tblCellMar>
            <w:top w:w="0" w:type="dxa"/>
            <w:left w:w="108" w:type="dxa"/>
            <w:bottom w:w="0" w:type="dxa"/>
            <w:right w:w="108" w:type="dxa"/>
          </w:tblCellMar>
        </w:tblPrEx>
        <w:trPr>
          <w:trHeight w:val="385" w:hRule="atLeast"/>
        </w:trPr>
        <w:tc>
          <w:tcPr>
            <w:tcW w:w="2904" w:type="dxa"/>
            <w:vMerge w:val="continue"/>
            <w:tcBorders>
              <w:top w:val="single" w:color="000000" w:sz="6" w:space="0"/>
              <w:left w:val="single" w:color="000000" w:sz="8" w:space="0"/>
              <w:bottom w:val="single" w:color="000000" w:sz="8" w:space="0"/>
              <w:right w:val="single" w:color="000000" w:sz="6" w:space="0"/>
            </w:tcBorders>
            <w:noWrap w:val="0"/>
            <w:vAlign w:val="center"/>
          </w:tcPr>
          <w:p w14:paraId="3C8A3825">
            <w:pPr>
              <w:jc w:val="left"/>
              <w:rPr>
                <w:color w:val="000000"/>
              </w:rPr>
            </w:pPr>
          </w:p>
        </w:tc>
        <w:tc>
          <w:tcPr>
            <w:tcW w:w="1977" w:type="dxa"/>
            <w:tcBorders>
              <w:top w:val="single" w:color="000000" w:sz="6" w:space="0"/>
              <w:left w:val="single" w:color="000000" w:sz="6" w:space="0"/>
              <w:bottom w:val="single" w:color="000000" w:sz="8" w:space="0"/>
              <w:right w:val="single" w:color="000000" w:sz="6" w:space="0"/>
            </w:tcBorders>
            <w:noWrap w:val="0"/>
            <w:vAlign w:val="center"/>
          </w:tcPr>
          <w:p w14:paraId="5D12E000">
            <w:pPr>
              <w:jc w:val="center"/>
              <w:rPr>
                <w:color w:val="000000"/>
              </w:rPr>
            </w:pPr>
            <w:r>
              <w:rPr>
                <w:color w:val="000000"/>
              </w:rPr>
              <w:t>70</w:t>
            </w:r>
          </w:p>
        </w:tc>
        <w:tc>
          <w:tcPr>
            <w:tcW w:w="4099" w:type="dxa"/>
            <w:tcBorders>
              <w:top w:val="single" w:color="000000" w:sz="6" w:space="0"/>
              <w:left w:val="single" w:color="000000" w:sz="6" w:space="0"/>
              <w:bottom w:val="single" w:color="000000" w:sz="8" w:space="0"/>
              <w:right w:val="single" w:color="000000" w:sz="8" w:space="0"/>
            </w:tcBorders>
            <w:noWrap w:val="0"/>
            <w:vAlign w:val="center"/>
          </w:tcPr>
          <w:p w14:paraId="78B1C694">
            <w:pPr>
              <w:ind w:right="-51"/>
              <w:jc w:val="center"/>
              <w:rPr>
                <w:color w:val="000000"/>
              </w:rPr>
            </w:pPr>
            <w:r>
              <w:rPr>
                <w:color w:val="000000"/>
              </w:rPr>
              <w:t>55</w:t>
            </w:r>
          </w:p>
        </w:tc>
      </w:tr>
    </w:tbl>
    <w:p w14:paraId="16DE0A37">
      <w:pPr>
        <w:rPr>
          <w:b/>
          <w:color w:val="000000"/>
          <w:sz w:val="24"/>
        </w:rPr>
      </w:pPr>
    </w:p>
    <w:p w14:paraId="5786B814">
      <w:pPr>
        <w:spacing w:line="360" w:lineRule="auto"/>
        <w:ind w:firstLine="480"/>
        <w:rPr>
          <w:color w:val="000000"/>
          <w:sz w:val="24"/>
        </w:rPr>
      </w:pPr>
      <w:r>
        <w:rPr>
          <w:color w:val="000000"/>
          <w:sz w:val="24"/>
        </w:rPr>
        <w:t>b.项目运营期执行《工业企业厂界环境噪声排放标准》GB12348－2008中的2类标准，靠</w:t>
      </w:r>
      <w:r>
        <w:rPr>
          <w:rFonts w:hint="eastAsia"/>
          <w:color w:val="000000"/>
          <w:sz w:val="24"/>
        </w:rPr>
        <w:t>机场大道</w:t>
      </w:r>
      <w:r>
        <w:rPr>
          <w:color w:val="000000"/>
          <w:sz w:val="24"/>
        </w:rPr>
        <w:t>一侧</w:t>
      </w:r>
      <w:r>
        <w:rPr>
          <w:rFonts w:hint="eastAsia"/>
          <w:color w:val="000000"/>
          <w:sz w:val="24"/>
        </w:rPr>
        <w:t>35m范围内</w:t>
      </w:r>
      <w:r>
        <w:rPr>
          <w:color w:val="000000"/>
          <w:sz w:val="24"/>
        </w:rPr>
        <w:t>执行4类标准。标准值见表1.4-</w:t>
      </w:r>
      <w:r>
        <w:rPr>
          <w:rFonts w:hint="eastAsia"/>
          <w:color w:val="000000"/>
          <w:sz w:val="24"/>
        </w:rPr>
        <w:t>9</w:t>
      </w:r>
      <w:r>
        <w:rPr>
          <w:color w:val="000000"/>
          <w:sz w:val="24"/>
        </w:rPr>
        <w:t>。</w:t>
      </w:r>
    </w:p>
    <w:p w14:paraId="7A34B179">
      <w:pPr>
        <w:ind w:firstLine="1687"/>
        <w:rPr>
          <w:b/>
          <w:color w:val="000000"/>
          <w:sz w:val="24"/>
        </w:rPr>
      </w:pPr>
      <w:r>
        <w:rPr>
          <w:b/>
          <w:color w:val="000000"/>
          <w:sz w:val="24"/>
        </w:rPr>
        <w:t>表1.4-</w:t>
      </w:r>
      <w:r>
        <w:rPr>
          <w:rFonts w:hint="eastAsia"/>
          <w:b/>
          <w:color w:val="000000"/>
          <w:sz w:val="24"/>
        </w:rPr>
        <w:t>9</w:t>
      </w:r>
      <w:r>
        <w:rPr>
          <w:b/>
          <w:color w:val="000000"/>
          <w:sz w:val="24"/>
        </w:rPr>
        <w:t xml:space="preserve">  工业企业厂界环境噪声排放标准</w:t>
      </w:r>
    </w:p>
    <w:tbl>
      <w:tblPr>
        <w:tblStyle w:val="27"/>
        <w:tblW w:w="0" w:type="auto"/>
        <w:tblInd w:w="-108" w:type="dxa"/>
        <w:tblLayout w:type="fixed"/>
        <w:tblCellMar>
          <w:top w:w="0" w:type="dxa"/>
          <w:left w:w="108" w:type="dxa"/>
          <w:bottom w:w="0" w:type="dxa"/>
          <w:right w:w="108" w:type="dxa"/>
        </w:tblCellMar>
      </w:tblPr>
      <w:tblGrid>
        <w:gridCol w:w="1044"/>
        <w:gridCol w:w="4336"/>
        <w:gridCol w:w="1800"/>
        <w:gridCol w:w="1800"/>
      </w:tblGrid>
      <w:tr w14:paraId="4E1668E9">
        <w:tblPrEx>
          <w:tblCellMar>
            <w:top w:w="0" w:type="dxa"/>
            <w:left w:w="108" w:type="dxa"/>
            <w:bottom w:w="0" w:type="dxa"/>
            <w:right w:w="108" w:type="dxa"/>
          </w:tblCellMar>
        </w:tblPrEx>
        <w:trPr>
          <w:cantSplit/>
          <w:trHeight w:val="333" w:hRule="atLeast"/>
        </w:trPr>
        <w:tc>
          <w:tcPr>
            <w:tcW w:w="1044" w:type="dxa"/>
            <w:vMerge w:val="restart"/>
            <w:tcBorders>
              <w:top w:val="single" w:color="000000" w:sz="4" w:space="0"/>
              <w:left w:val="single" w:color="000000" w:sz="4" w:space="0"/>
              <w:bottom w:val="single" w:color="000000" w:sz="4" w:space="0"/>
              <w:right w:val="single" w:color="000000" w:sz="4" w:space="0"/>
            </w:tcBorders>
            <w:noWrap w:val="0"/>
            <w:vAlign w:val="center"/>
          </w:tcPr>
          <w:p w14:paraId="7B28AC1A">
            <w:pPr>
              <w:jc w:val="center"/>
              <w:rPr>
                <w:b/>
                <w:color w:val="000000"/>
                <w:szCs w:val="21"/>
              </w:rPr>
            </w:pPr>
            <w:r>
              <w:rPr>
                <w:b/>
                <w:color w:val="000000"/>
                <w:szCs w:val="21"/>
              </w:rPr>
              <w:t>类别</w:t>
            </w:r>
          </w:p>
        </w:tc>
        <w:tc>
          <w:tcPr>
            <w:tcW w:w="4336" w:type="dxa"/>
            <w:vMerge w:val="restart"/>
            <w:tcBorders>
              <w:top w:val="single" w:color="000000" w:sz="4" w:space="0"/>
              <w:left w:val="single" w:color="000000" w:sz="4" w:space="0"/>
              <w:bottom w:val="single" w:color="000000" w:sz="4" w:space="0"/>
              <w:right w:val="single" w:color="000000" w:sz="4" w:space="0"/>
            </w:tcBorders>
            <w:noWrap w:val="0"/>
            <w:vAlign w:val="center"/>
          </w:tcPr>
          <w:p w14:paraId="2F8FF994">
            <w:pPr>
              <w:jc w:val="center"/>
              <w:rPr>
                <w:b/>
                <w:color w:val="000000"/>
                <w:szCs w:val="21"/>
              </w:rPr>
            </w:pPr>
            <w:r>
              <w:rPr>
                <w:b/>
                <w:color w:val="000000"/>
                <w:szCs w:val="21"/>
              </w:rPr>
              <w:t>适用区域</w:t>
            </w:r>
          </w:p>
        </w:tc>
        <w:tc>
          <w:tcPr>
            <w:tcW w:w="3600" w:type="dxa"/>
            <w:gridSpan w:val="2"/>
            <w:tcBorders>
              <w:top w:val="single" w:color="000000" w:sz="4" w:space="0"/>
              <w:left w:val="single" w:color="000000" w:sz="4" w:space="0"/>
              <w:bottom w:val="single" w:color="000000" w:sz="4" w:space="0"/>
              <w:right w:val="single" w:color="000000" w:sz="4" w:space="0"/>
            </w:tcBorders>
            <w:noWrap w:val="0"/>
            <w:vAlign w:val="center"/>
          </w:tcPr>
          <w:p w14:paraId="6CE95BA8">
            <w:pPr>
              <w:jc w:val="center"/>
              <w:rPr>
                <w:b/>
                <w:color w:val="000000"/>
                <w:szCs w:val="21"/>
              </w:rPr>
            </w:pPr>
            <w:r>
              <w:rPr>
                <w:b/>
                <w:color w:val="000000"/>
                <w:szCs w:val="21"/>
              </w:rPr>
              <w:t>等效声级[dB(A)]</w:t>
            </w:r>
          </w:p>
        </w:tc>
      </w:tr>
      <w:tr w14:paraId="6DAC7A19">
        <w:tblPrEx>
          <w:tblCellMar>
            <w:top w:w="0" w:type="dxa"/>
            <w:left w:w="108" w:type="dxa"/>
            <w:bottom w:w="0" w:type="dxa"/>
            <w:right w:w="108" w:type="dxa"/>
          </w:tblCellMar>
        </w:tblPrEx>
        <w:trPr>
          <w:cantSplit/>
          <w:trHeight w:val="333" w:hRule="atLeast"/>
        </w:trPr>
        <w:tc>
          <w:tcPr>
            <w:tcW w:w="1044" w:type="dxa"/>
            <w:vMerge w:val="continue"/>
            <w:tcBorders>
              <w:top w:val="single" w:color="000000" w:sz="4" w:space="0"/>
              <w:left w:val="single" w:color="000000" w:sz="4" w:space="0"/>
              <w:bottom w:val="single" w:color="000000" w:sz="4" w:space="0"/>
              <w:right w:val="single" w:color="000000" w:sz="4" w:space="0"/>
            </w:tcBorders>
            <w:noWrap w:val="0"/>
            <w:vAlign w:val="center"/>
          </w:tcPr>
          <w:p w14:paraId="27A5CEEF">
            <w:pPr>
              <w:jc w:val="left"/>
              <w:rPr>
                <w:b/>
                <w:color w:val="000000"/>
                <w:szCs w:val="21"/>
              </w:rPr>
            </w:pPr>
          </w:p>
        </w:tc>
        <w:tc>
          <w:tcPr>
            <w:tcW w:w="4336" w:type="dxa"/>
            <w:vMerge w:val="continue"/>
            <w:tcBorders>
              <w:top w:val="single" w:color="000000" w:sz="4" w:space="0"/>
              <w:left w:val="single" w:color="000000" w:sz="4" w:space="0"/>
              <w:bottom w:val="single" w:color="000000" w:sz="4" w:space="0"/>
              <w:right w:val="single" w:color="000000" w:sz="4" w:space="0"/>
            </w:tcBorders>
            <w:noWrap w:val="0"/>
            <w:vAlign w:val="center"/>
          </w:tcPr>
          <w:p w14:paraId="18FA878C">
            <w:pPr>
              <w:jc w:val="left"/>
              <w:rPr>
                <w:b/>
                <w:color w:val="000000"/>
                <w:szCs w:val="21"/>
              </w:rPr>
            </w:pPr>
          </w:p>
        </w:tc>
        <w:tc>
          <w:tcPr>
            <w:tcW w:w="1800" w:type="dxa"/>
            <w:tcBorders>
              <w:top w:val="single" w:color="000000" w:sz="4" w:space="0"/>
              <w:left w:val="single" w:color="000000" w:sz="4" w:space="0"/>
              <w:bottom w:val="single" w:color="000000" w:sz="4" w:space="0"/>
              <w:right w:val="single" w:color="000000" w:sz="4" w:space="0"/>
            </w:tcBorders>
            <w:noWrap w:val="0"/>
            <w:vAlign w:val="center"/>
          </w:tcPr>
          <w:p w14:paraId="3C921C53">
            <w:pPr>
              <w:jc w:val="center"/>
              <w:rPr>
                <w:color w:val="000000"/>
                <w:szCs w:val="21"/>
              </w:rPr>
            </w:pPr>
            <w:r>
              <w:rPr>
                <w:color w:val="000000"/>
                <w:szCs w:val="21"/>
              </w:rPr>
              <w:t>昼间</w:t>
            </w:r>
          </w:p>
        </w:tc>
        <w:tc>
          <w:tcPr>
            <w:tcW w:w="1800" w:type="dxa"/>
            <w:tcBorders>
              <w:top w:val="single" w:color="000000" w:sz="4" w:space="0"/>
              <w:left w:val="single" w:color="000000" w:sz="4" w:space="0"/>
              <w:bottom w:val="single" w:color="000000" w:sz="4" w:space="0"/>
              <w:right w:val="single" w:color="000000" w:sz="4" w:space="0"/>
            </w:tcBorders>
            <w:noWrap w:val="0"/>
            <w:vAlign w:val="center"/>
          </w:tcPr>
          <w:p w14:paraId="42DD4C90">
            <w:pPr>
              <w:jc w:val="center"/>
              <w:rPr>
                <w:color w:val="000000"/>
                <w:szCs w:val="21"/>
              </w:rPr>
            </w:pPr>
            <w:r>
              <w:rPr>
                <w:color w:val="000000"/>
                <w:szCs w:val="21"/>
              </w:rPr>
              <w:t>夜间</w:t>
            </w:r>
          </w:p>
        </w:tc>
      </w:tr>
      <w:tr w14:paraId="6034D3BD">
        <w:tblPrEx>
          <w:tblCellMar>
            <w:top w:w="0" w:type="dxa"/>
            <w:left w:w="108" w:type="dxa"/>
            <w:bottom w:w="0" w:type="dxa"/>
            <w:right w:w="108" w:type="dxa"/>
          </w:tblCellMar>
        </w:tblPrEx>
        <w:trPr>
          <w:trHeight w:val="333" w:hRule="atLeast"/>
        </w:trPr>
        <w:tc>
          <w:tcPr>
            <w:tcW w:w="1044" w:type="dxa"/>
            <w:tcBorders>
              <w:top w:val="single" w:color="000000" w:sz="4" w:space="0"/>
              <w:left w:val="single" w:color="000000" w:sz="4" w:space="0"/>
              <w:bottom w:val="single" w:color="000000" w:sz="4" w:space="0"/>
              <w:right w:val="single" w:color="000000" w:sz="4" w:space="0"/>
            </w:tcBorders>
            <w:noWrap w:val="0"/>
            <w:vAlign w:val="center"/>
          </w:tcPr>
          <w:p w14:paraId="4DBD6963">
            <w:pPr>
              <w:jc w:val="center"/>
              <w:rPr>
                <w:color w:val="000000"/>
                <w:szCs w:val="21"/>
              </w:rPr>
            </w:pPr>
            <w:r>
              <w:rPr>
                <w:color w:val="000000"/>
                <w:szCs w:val="21"/>
              </w:rPr>
              <w:t>2类</w:t>
            </w:r>
          </w:p>
        </w:tc>
        <w:tc>
          <w:tcPr>
            <w:tcW w:w="4336" w:type="dxa"/>
            <w:tcBorders>
              <w:top w:val="single" w:color="000000" w:sz="4" w:space="0"/>
              <w:left w:val="single" w:color="000000" w:sz="4" w:space="0"/>
              <w:bottom w:val="single" w:color="000000" w:sz="4" w:space="0"/>
              <w:right w:val="single" w:color="000000" w:sz="4" w:space="0"/>
            </w:tcBorders>
            <w:noWrap w:val="0"/>
            <w:vAlign w:val="center"/>
          </w:tcPr>
          <w:p w14:paraId="39728364">
            <w:pPr>
              <w:jc w:val="center"/>
              <w:rPr>
                <w:color w:val="000000"/>
                <w:szCs w:val="21"/>
              </w:rPr>
            </w:pPr>
            <w:r>
              <w:rPr>
                <w:color w:val="000000"/>
                <w:szCs w:val="21"/>
              </w:rPr>
              <w:t>适用于居住、商业、工业混杂区</w:t>
            </w:r>
          </w:p>
        </w:tc>
        <w:tc>
          <w:tcPr>
            <w:tcW w:w="1800" w:type="dxa"/>
            <w:tcBorders>
              <w:top w:val="single" w:color="000000" w:sz="4" w:space="0"/>
              <w:left w:val="single" w:color="000000" w:sz="4" w:space="0"/>
              <w:bottom w:val="single" w:color="000000" w:sz="4" w:space="0"/>
              <w:right w:val="single" w:color="000000" w:sz="4" w:space="0"/>
            </w:tcBorders>
            <w:noWrap w:val="0"/>
            <w:vAlign w:val="center"/>
          </w:tcPr>
          <w:p w14:paraId="4B580783">
            <w:pPr>
              <w:jc w:val="center"/>
              <w:rPr>
                <w:color w:val="000000"/>
                <w:szCs w:val="21"/>
              </w:rPr>
            </w:pPr>
            <w:r>
              <w:rPr>
                <w:color w:val="000000"/>
                <w:szCs w:val="21"/>
              </w:rPr>
              <w:t>60</w:t>
            </w:r>
          </w:p>
        </w:tc>
        <w:tc>
          <w:tcPr>
            <w:tcW w:w="1800" w:type="dxa"/>
            <w:tcBorders>
              <w:top w:val="single" w:color="000000" w:sz="4" w:space="0"/>
              <w:left w:val="single" w:color="000000" w:sz="4" w:space="0"/>
              <w:bottom w:val="single" w:color="000000" w:sz="4" w:space="0"/>
              <w:right w:val="single" w:color="000000" w:sz="4" w:space="0"/>
            </w:tcBorders>
            <w:noWrap w:val="0"/>
            <w:vAlign w:val="center"/>
          </w:tcPr>
          <w:p w14:paraId="71E6E620">
            <w:pPr>
              <w:jc w:val="center"/>
              <w:rPr>
                <w:color w:val="000000"/>
                <w:szCs w:val="21"/>
              </w:rPr>
            </w:pPr>
            <w:r>
              <w:rPr>
                <w:color w:val="000000"/>
                <w:szCs w:val="21"/>
              </w:rPr>
              <w:t>50</w:t>
            </w:r>
          </w:p>
        </w:tc>
      </w:tr>
      <w:tr w14:paraId="7BDCC354">
        <w:tblPrEx>
          <w:tblCellMar>
            <w:top w:w="0" w:type="dxa"/>
            <w:left w:w="108" w:type="dxa"/>
            <w:bottom w:w="0" w:type="dxa"/>
            <w:right w:w="108" w:type="dxa"/>
          </w:tblCellMar>
        </w:tblPrEx>
        <w:trPr>
          <w:trHeight w:val="360" w:hRule="atLeast"/>
        </w:trPr>
        <w:tc>
          <w:tcPr>
            <w:tcW w:w="1044" w:type="dxa"/>
            <w:tcBorders>
              <w:top w:val="single" w:color="000000" w:sz="4" w:space="0"/>
              <w:left w:val="single" w:color="000000" w:sz="4" w:space="0"/>
              <w:bottom w:val="single" w:color="000000" w:sz="4" w:space="0"/>
              <w:right w:val="single" w:color="000000" w:sz="4" w:space="0"/>
            </w:tcBorders>
            <w:noWrap w:val="0"/>
            <w:vAlign w:val="center"/>
          </w:tcPr>
          <w:p w14:paraId="1A19A44D">
            <w:pPr>
              <w:jc w:val="center"/>
              <w:rPr>
                <w:color w:val="000000"/>
                <w:szCs w:val="21"/>
              </w:rPr>
            </w:pPr>
            <w:r>
              <w:rPr>
                <w:color w:val="000000"/>
                <w:szCs w:val="21"/>
              </w:rPr>
              <w:t>4类</w:t>
            </w:r>
          </w:p>
        </w:tc>
        <w:tc>
          <w:tcPr>
            <w:tcW w:w="4336" w:type="dxa"/>
            <w:tcBorders>
              <w:top w:val="single" w:color="000000" w:sz="4" w:space="0"/>
              <w:left w:val="single" w:color="000000" w:sz="4" w:space="0"/>
              <w:bottom w:val="single" w:color="000000" w:sz="4" w:space="0"/>
              <w:right w:val="single" w:color="000000" w:sz="4" w:space="0"/>
            </w:tcBorders>
            <w:noWrap w:val="0"/>
            <w:vAlign w:val="center"/>
          </w:tcPr>
          <w:p w14:paraId="4A3E6F87">
            <w:pPr>
              <w:jc w:val="center"/>
              <w:rPr>
                <w:color w:val="000000"/>
                <w:szCs w:val="21"/>
              </w:rPr>
            </w:pPr>
            <w:r>
              <w:rPr>
                <w:color w:val="000000"/>
              </w:rPr>
              <w:t>适用于城市道路交通干线两侧区域</w:t>
            </w:r>
          </w:p>
        </w:tc>
        <w:tc>
          <w:tcPr>
            <w:tcW w:w="1800" w:type="dxa"/>
            <w:tcBorders>
              <w:top w:val="single" w:color="000000" w:sz="4" w:space="0"/>
              <w:left w:val="single" w:color="000000" w:sz="4" w:space="0"/>
              <w:bottom w:val="single" w:color="000000" w:sz="4" w:space="0"/>
              <w:right w:val="single" w:color="000000" w:sz="4" w:space="0"/>
            </w:tcBorders>
            <w:noWrap w:val="0"/>
            <w:vAlign w:val="center"/>
          </w:tcPr>
          <w:p w14:paraId="12F13BF1">
            <w:pPr>
              <w:jc w:val="center"/>
              <w:rPr>
                <w:color w:val="000000"/>
                <w:szCs w:val="21"/>
              </w:rPr>
            </w:pPr>
            <w:r>
              <w:rPr>
                <w:color w:val="000000"/>
                <w:szCs w:val="21"/>
              </w:rPr>
              <w:t>70</w:t>
            </w:r>
          </w:p>
        </w:tc>
        <w:tc>
          <w:tcPr>
            <w:tcW w:w="1800" w:type="dxa"/>
            <w:tcBorders>
              <w:top w:val="single" w:color="000000" w:sz="4" w:space="0"/>
              <w:left w:val="single" w:color="000000" w:sz="4" w:space="0"/>
              <w:bottom w:val="single" w:color="000000" w:sz="4" w:space="0"/>
              <w:right w:val="single" w:color="000000" w:sz="4" w:space="0"/>
            </w:tcBorders>
            <w:noWrap w:val="0"/>
            <w:vAlign w:val="center"/>
          </w:tcPr>
          <w:p w14:paraId="1852FB71">
            <w:pPr>
              <w:jc w:val="center"/>
              <w:rPr>
                <w:color w:val="000000"/>
                <w:szCs w:val="21"/>
              </w:rPr>
            </w:pPr>
            <w:r>
              <w:rPr>
                <w:color w:val="000000"/>
                <w:szCs w:val="21"/>
              </w:rPr>
              <w:t>55</w:t>
            </w:r>
          </w:p>
        </w:tc>
      </w:tr>
    </w:tbl>
    <w:p w14:paraId="4C3CFA37">
      <w:pPr>
        <w:spacing w:line="360" w:lineRule="auto"/>
        <w:ind w:firstLine="480"/>
        <w:rPr>
          <w:color w:val="000000"/>
          <w:sz w:val="24"/>
        </w:rPr>
      </w:pPr>
    </w:p>
    <w:p w14:paraId="348CF7B9">
      <w:pPr>
        <w:spacing w:line="360" w:lineRule="auto"/>
        <w:ind w:firstLine="480"/>
        <w:rPr>
          <w:color w:val="000000"/>
          <w:sz w:val="24"/>
        </w:rPr>
      </w:pPr>
      <w:r>
        <w:rPr>
          <w:color w:val="000000"/>
          <w:sz w:val="24"/>
        </w:rPr>
        <w:t>（4）固体废弃物</w:t>
      </w:r>
    </w:p>
    <w:p w14:paraId="4FC0BF88">
      <w:pPr>
        <w:spacing w:line="360" w:lineRule="auto"/>
        <w:ind w:firstLine="480"/>
        <w:rPr>
          <w:color w:val="000000"/>
          <w:sz w:val="24"/>
        </w:rPr>
      </w:pPr>
      <w:r>
        <w:rPr>
          <w:color w:val="000000"/>
          <w:sz w:val="24"/>
        </w:rPr>
        <w:t>本项目运营期产生的实验固废执行《医疗废物管理条例》中华人民共和国国务院令（第380号）、《医疗废物专用包装袋、容器和警示标志标准》（HJ421-2008）及《危险废物贮存污染控制标准》(GB18597-2013)；生活垃圾执行GB16889-2008《生活垃圾填埋场污染控制标准》。</w:t>
      </w:r>
    </w:p>
    <w:p w14:paraId="62104D4D">
      <w:pPr>
        <w:spacing w:line="360" w:lineRule="auto"/>
        <w:ind w:firstLine="480"/>
        <w:rPr>
          <w:color w:val="000000"/>
          <w:sz w:val="24"/>
        </w:rPr>
      </w:pPr>
      <w:r>
        <w:rPr>
          <w:rFonts w:hint="eastAsia"/>
          <w:color w:val="000000"/>
          <w:sz w:val="24"/>
        </w:rPr>
        <w:t>污水处理站</w:t>
      </w:r>
      <w:r>
        <w:rPr>
          <w:color w:val="000000"/>
          <w:sz w:val="24"/>
        </w:rPr>
        <w:t>、化粪池污泥：执行GB18466－2005《医疗机构水污染物排放标准》中4.3控制和处置要求：</w:t>
      </w:r>
      <w:r>
        <w:rPr>
          <w:rFonts w:hint="eastAsia"/>
          <w:color w:val="000000"/>
          <w:sz w:val="24"/>
        </w:rPr>
        <w:t>污水处理站污泥</w:t>
      </w:r>
      <w:r>
        <w:rPr>
          <w:color w:val="000000"/>
          <w:sz w:val="24"/>
        </w:rPr>
        <w:t>和化粪池污泥按危险废物进行处理处置；污泥清掏前达到表4医疗污泥排放标准值要求，标准值详见表</w:t>
      </w:r>
      <w:r>
        <w:rPr>
          <w:rFonts w:hint="eastAsia"/>
          <w:color w:val="000000"/>
          <w:sz w:val="24"/>
        </w:rPr>
        <w:t>1.4-12</w:t>
      </w:r>
      <w:r>
        <w:rPr>
          <w:color w:val="000000"/>
          <w:sz w:val="24"/>
        </w:rPr>
        <w:t>。</w:t>
      </w:r>
    </w:p>
    <w:p w14:paraId="73AD5A6E">
      <w:pPr>
        <w:jc w:val="center"/>
        <w:rPr>
          <w:b/>
          <w:color w:val="000000"/>
          <w:sz w:val="24"/>
        </w:rPr>
      </w:pPr>
      <w:r>
        <w:rPr>
          <w:b/>
          <w:color w:val="000000"/>
          <w:sz w:val="24"/>
        </w:rPr>
        <w:t>表1.4-12  医疗机构污泥控制标准值</w:t>
      </w:r>
    </w:p>
    <w:tbl>
      <w:tblPr>
        <w:tblStyle w:val="27"/>
        <w:tblW w:w="0" w:type="auto"/>
        <w:tblInd w:w="-108" w:type="dxa"/>
        <w:tblLayout w:type="fixed"/>
        <w:tblCellMar>
          <w:top w:w="0" w:type="dxa"/>
          <w:left w:w="108" w:type="dxa"/>
          <w:bottom w:w="0" w:type="dxa"/>
          <w:right w:w="108" w:type="dxa"/>
        </w:tblCellMar>
      </w:tblPr>
      <w:tblGrid>
        <w:gridCol w:w="1967"/>
        <w:gridCol w:w="1770"/>
        <w:gridCol w:w="1235"/>
        <w:gridCol w:w="1211"/>
        <w:gridCol w:w="1208"/>
        <w:gridCol w:w="1555"/>
      </w:tblGrid>
      <w:tr w14:paraId="18CB68F5">
        <w:tblPrEx>
          <w:tblCellMar>
            <w:top w:w="0" w:type="dxa"/>
            <w:left w:w="108" w:type="dxa"/>
            <w:bottom w:w="0" w:type="dxa"/>
            <w:right w:w="108" w:type="dxa"/>
          </w:tblCellMar>
        </w:tblPrEx>
        <w:trPr>
          <w:trHeight w:val="361" w:hRule="atLeast"/>
        </w:trPr>
        <w:tc>
          <w:tcPr>
            <w:tcW w:w="1967" w:type="dxa"/>
            <w:tcBorders>
              <w:top w:val="single" w:color="000000" w:sz="4" w:space="0"/>
              <w:left w:val="single" w:color="000000" w:sz="4" w:space="0"/>
              <w:bottom w:val="single" w:color="000000" w:sz="4" w:space="0"/>
              <w:right w:val="single" w:color="000000" w:sz="4" w:space="0"/>
            </w:tcBorders>
            <w:noWrap w:val="0"/>
            <w:vAlign w:val="center"/>
          </w:tcPr>
          <w:p w14:paraId="06381F19">
            <w:pPr>
              <w:jc w:val="center"/>
              <w:rPr>
                <w:b/>
                <w:color w:val="000000"/>
                <w:szCs w:val="21"/>
              </w:rPr>
            </w:pPr>
            <w:r>
              <w:rPr>
                <w:b/>
                <w:color w:val="000000"/>
                <w:szCs w:val="21"/>
              </w:rPr>
              <w:t>医疗机构类别</w:t>
            </w:r>
          </w:p>
        </w:tc>
        <w:tc>
          <w:tcPr>
            <w:tcW w:w="1770" w:type="dxa"/>
            <w:tcBorders>
              <w:top w:val="single" w:color="000000" w:sz="4" w:space="0"/>
              <w:left w:val="single" w:color="000000" w:sz="4" w:space="0"/>
              <w:bottom w:val="single" w:color="000000" w:sz="4" w:space="0"/>
              <w:right w:val="single" w:color="000000" w:sz="4" w:space="0"/>
            </w:tcBorders>
            <w:noWrap w:val="0"/>
            <w:vAlign w:val="center"/>
          </w:tcPr>
          <w:p w14:paraId="223B1BC4">
            <w:pPr>
              <w:jc w:val="center"/>
              <w:rPr>
                <w:b/>
                <w:color w:val="000000"/>
                <w:szCs w:val="21"/>
              </w:rPr>
            </w:pPr>
            <w:r>
              <w:rPr>
                <w:b/>
                <w:color w:val="000000"/>
                <w:szCs w:val="21"/>
              </w:rPr>
              <w:t>粪大肠菌群数（MPN/g）</w:t>
            </w:r>
          </w:p>
        </w:tc>
        <w:tc>
          <w:tcPr>
            <w:tcW w:w="1235" w:type="dxa"/>
            <w:tcBorders>
              <w:top w:val="single" w:color="000000" w:sz="4" w:space="0"/>
              <w:left w:val="single" w:color="000000" w:sz="4" w:space="0"/>
              <w:bottom w:val="single" w:color="000000" w:sz="4" w:space="0"/>
              <w:right w:val="single" w:color="000000" w:sz="4" w:space="0"/>
            </w:tcBorders>
            <w:noWrap w:val="0"/>
            <w:vAlign w:val="center"/>
          </w:tcPr>
          <w:p w14:paraId="3BBE40AE">
            <w:pPr>
              <w:jc w:val="center"/>
              <w:rPr>
                <w:b/>
                <w:color w:val="000000"/>
                <w:szCs w:val="21"/>
              </w:rPr>
            </w:pPr>
            <w:r>
              <w:rPr>
                <w:b/>
                <w:color w:val="000000"/>
                <w:szCs w:val="21"/>
              </w:rPr>
              <w:t>肠道致病菌</w:t>
            </w:r>
          </w:p>
        </w:tc>
        <w:tc>
          <w:tcPr>
            <w:tcW w:w="1211" w:type="dxa"/>
            <w:tcBorders>
              <w:top w:val="single" w:color="000000" w:sz="4" w:space="0"/>
              <w:left w:val="single" w:color="000000" w:sz="4" w:space="0"/>
              <w:bottom w:val="single" w:color="000000" w:sz="4" w:space="0"/>
              <w:right w:val="single" w:color="000000" w:sz="4" w:space="0"/>
            </w:tcBorders>
            <w:noWrap w:val="0"/>
            <w:vAlign w:val="center"/>
          </w:tcPr>
          <w:p w14:paraId="7C3D9C86">
            <w:pPr>
              <w:jc w:val="center"/>
              <w:rPr>
                <w:b/>
                <w:color w:val="000000"/>
                <w:szCs w:val="21"/>
              </w:rPr>
            </w:pPr>
            <w:r>
              <w:rPr>
                <w:b/>
                <w:color w:val="000000"/>
                <w:szCs w:val="21"/>
              </w:rPr>
              <w:t>肠道病毒</w:t>
            </w:r>
          </w:p>
        </w:tc>
        <w:tc>
          <w:tcPr>
            <w:tcW w:w="1208" w:type="dxa"/>
            <w:tcBorders>
              <w:top w:val="single" w:color="000000" w:sz="4" w:space="0"/>
              <w:left w:val="single" w:color="000000" w:sz="4" w:space="0"/>
              <w:bottom w:val="single" w:color="000000" w:sz="4" w:space="0"/>
              <w:right w:val="single" w:color="000000" w:sz="4" w:space="0"/>
            </w:tcBorders>
            <w:noWrap w:val="0"/>
            <w:vAlign w:val="center"/>
          </w:tcPr>
          <w:p w14:paraId="7404BEBD">
            <w:pPr>
              <w:jc w:val="center"/>
              <w:rPr>
                <w:b/>
                <w:color w:val="000000"/>
                <w:szCs w:val="21"/>
              </w:rPr>
            </w:pPr>
            <w:r>
              <w:rPr>
                <w:b/>
                <w:color w:val="000000"/>
                <w:szCs w:val="21"/>
              </w:rPr>
              <w:t>结核杆菌</w:t>
            </w:r>
          </w:p>
        </w:tc>
        <w:tc>
          <w:tcPr>
            <w:tcW w:w="1555" w:type="dxa"/>
            <w:tcBorders>
              <w:top w:val="single" w:color="000000" w:sz="4" w:space="0"/>
              <w:left w:val="single" w:color="000000" w:sz="4" w:space="0"/>
              <w:bottom w:val="single" w:color="000000" w:sz="4" w:space="0"/>
              <w:right w:val="single" w:color="000000" w:sz="4" w:space="0"/>
            </w:tcBorders>
            <w:noWrap w:val="0"/>
            <w:vAlign w:val="center"/>
          </w:tcPr>
          <w:p w14:paraId="31A9ACE0">
            <w:pPr>
              <w:jc w:val="center"/>
              <w:rPr>
                <w:b/>
                <w:color w:val="000000"/>
                <w:szCs w:val="21"/>
              </w:rPr>
            </w:pPr>
            <w:r>
              <w:rPr>
                <w:b/>
                <w:color w:val="000000"/>
                <w:szCs w:val="21"/>
              </w:rPr>
              <w:t>蛔虫卵死亡率(%)</w:t>
            </w:r>
          </w:p>
        </w:tc>
      </w:tr>
      <w:tr w14:paraId="3D0240EC">
        <w:tblPrEx>
          <w:tblCellMar>
            <w:top w:w="0" w:type="dxa"/>
            <w:left w:w="108" w:type="dxa"/>
            <w:bottom w:w="0" w:type="dxa"/>
            <w:right w:w="108" w:type="dxa"/>
          </w:tblCellMar>
        </w:tblPrEx>
        <w:trPr>
          <w:trHeight w:val="398" w:hRule="atLeast"/>
        </w:trPr>
        <w:tc>
          <w:tcPr>
            <w:tcW w:w="1967" w:type="dxa"/>
            <w:tcBorders>
              <w:top w:val="single" w:color="000000" w:sz="4" w:space="0"/>
              <w:left w:val="single" w:color="000000" w:sz="4" w:space="0"/>
              <w:bottom w:val="single" w:color="000000" w:sz="4" w:space="0"/>
              <w:right w:val="single" w:color="000000" w:sz="4" w:space="0"/>
            </w:tcBorders>
            <w:noWrap w:val="0"/>
            <w:vAlign w:val="center"/>
          </w:tcPr>
          <w:p w14:paraId="3E4F5747">
            <w:pPr>
              <w:jc w:val="center"/>
              <w:rPr>
                <w:color w:val="000000"/>
                <w:szCs w:val="21"/>
              </w:rPr>
            </w:pPr>
            <w:r>
              <w:rPr>
                <w:rFonts w:hint="eastAsia"/>
                <w:color w:val="000000"/>
                <w:szCs w:val="21"/>
              </w:rPr>
              <w:t>综合性</w:t>
            </w:r>
            <w:r>
              <w:rPr>
                <w:color w:val="000000"/>
                <w:szCs w:val="21"/>
              </w:rPr>
              <w:t>医疗机构</w:t>
            </w:r>
          </w:p>
        </w:tc>
        <w:tc>
          <w:tcPr>
            <w:tcW w:w="1770" w:type="dxa"/>
            <w:tcBorders>
              <w:top w:val="single" w:color="000000" w:sz="4" w:space="0"/>
              <w:left w:val="single" w:color="000000" w:sz="4" w:space="0"/>
              <w:bottom w:val="single" w:color="000000" w:sz="4" w:space="0"/>
              <w:right w:val="single" w:color="000000" w:sz="4" w:space="0"/>
            </w:tcBorders>
            <w:noWrap w:val="0"/>
            <w:vAlign w:val="center"/>
          </w:tcPr>
          <w:p w14:paraId="2CF387C9">
            <w:pPr>
              <w:jc w:val="center"/>
              <w:rPr>
                <w:color w:val="000000"/>
                <w:szCs w:val="21"/>
              </w:rPr>
            </w:pPr>
            <w:r>
              <w:rPr>
                <w:color w:val="000000"/>
                <w:szCs w:val="21"/>
              </w:rPr>
              <w:t>≤100</w:t>
            </w:r>
          </w:p>
        </w:tc>
        <w:tc>
          <w:tcPr>
            <w:tcW w:w="1235" w:type="dxa"/>
            <w:tcBorders>
              <w:top w:val="single" w:color="000000" w:sz="4" w:space="0"/>
              <w:left w:val="single" w:color="000000" w:sz="4" w:space="0"/>
              <w:bottom w:val="single" w:color="000000" w:sz="4" w:space="0"/>
              <w:right w:val="single" w:color="000000" w:sz="4" w:space="0"/>
            </w:tcBorders>
            <w:noWrap w:val="0"/>
            <w:vAlign w:val="center"/>
          </w:tcPr>
          <w:p w14:paraId="5813BCDA">
            <w:pPr>
              <w:jc w:val="center"/>
              <w:rPr>
                <w:color w:val="000000"/>
                <w:szCs w:val="21"/>
              </w:rPr>
            </w:pPr>
            <w:r>
              <w:rPr>
                <w:color w:val="000000"/>
                <w:szCs w:val="21"/>
              </w:rPr>
              <w:t>-</w:t>
            </w:r>
          </w:p>
        </w:tc>
        <w:tc>
          <w:tcPr>
            <w:tcW w:w="1211" w:type="dxa"/>
            <w:tcBorders>
              <w:top w:val="single" w:color="000000" w:sz="4" w:space="0"/>
              <w:left w:val="single" w:color="000000" w:sz="4" w:space="0"/>
              <w:bottom w:val="single" w:color="000000" w:sz="4" w:space="0"/>
              <w:right w:val="single" w:color="000000" w:sz="4" w:space="0"/>
            </w:tcBorders>
            <w:noWrap w:val="0"/>
            <w:vAlign w:val="center"/>
          </w:tcPr>
          <w:p w14:paraId="393497B0">
            <w:pPr>
              <w:jc w:val="center"/>
              <w:rPr>
                <w:color w:val="000000"/>
                <w:szCs w:val="21"/>
              </w:rPr>
            </w:pPr>
            <w:r>
              <w:rPr>
                <w:color w:val="000000"/>
                <w:szCs w:val="21"/>
              </w:rPr>
              <w:t>-</w:t>
            </w:r>
          </w:p>
        </w:tc>
        <w:tc>
          <w:tcPr>
            <w:tcW w:w="1208" w:type="dxa"/>
            <w:tcBorders>
              <w:top w:val="single" w:color="000000" w:sz="4" w:space="0"/>
              <w:left w:val="single" w:color="000000" w:sz="4" w:space="0"/>
              <w:bottom w:val="single" w:color="000000" w:sz="4" w:space="0"/>
              <w:right w:val="single" w:color="000000" w:sz="4" w:space="0"/>
            </w:tcBorders>
            <w:noWrap w:val="0"/>
            <w:vAlign w:val="center"/>
          </w:tcPr>
          <w:p w14:paraId="55365AFE">
            <w:pPr>
              <w:jc w:val="center"/>
              <w:rPr>
                <w:color w:val="000000"/>
                <w:szCs w:val="21"/>
              </w:rPr>
            </w:pPr>
            <w:r>
              <w:rPr>
                <w:color w:val="000000"/>
                <w:szCs w:val="21"/>
              </w:rPr>
              <w:t>-</w:t>
            </w:r>
          </w:p>
        </w:tc>
        <w:tc>
          <w:tcPr>
            <w:tcW w:w="1555" w:type="dxa"/>
            <w:tcBorders>
              <w:top w:val="single" w:color="000000" w:sz="4" w:space="0"/>
              <w:left w:val="single" w:color="000000" w:sz="4" w:space="0"/>
              <w:bottom w:val="single" w:color="000000" w:sz="4" w:space="0"/>
              <w:right w:val="single" w:color="000000" w:sz="4" w:space="0"/>
            </w:tcBorders>
            <w:noWrap w:val="0"/>
            <w:vAlign w:val="center"/>
          </w:tcPr>
          <w:p w14:paraId="2F252C00">
            <w:pPr>
              <w:jc w:val="center"/>
              <w:rPr>
                <w:color w:val="000000"/>
                <w:szCs w:val="21"/>
              </w:rPr>
            </w:pPr>
            <w:r>
              <w:rPr>
                <w:color w:val="000000"/>
                <w:szCs w:val="21"/>
              </w:rPr>
              <w:t>&gt;95</w:t>
            </w:r>
          </w:p>
        </w:tc>
      </w:tr>
    </w:tbl>
    <w:p w14:paraId="611A0435">
      <w:pPr>
        <w:spacing w:line="360" w:lineRule="auto"/>
        <w:ind w:firstLine="480"/>
        <w:rPr>
          <w:color w:val="000000"/>
          <w:sz w:val="24"/>
        </w:rPr>
      </w:pPr>
      <w:r>
        <w:rPr>
          <w:color w:val="000000"/>
          <w:sz w:val="24"/>
        </w:rPr>
        <w:t xml:space="preserve">（5）其它标准 </w:t>
      </w:r>
    </w:p>
    <w:p w14:paraId="7804C6DD">
      <w:pPr>
        <w:spacing w:line="360" w:lineRule="auto"/>
        <w:ind w:firstLine="480"/>
        <w:rPr>
          <w:color w:val="000000"/>
          <w:sz w:val="24"/>
        </w:rPr>
      </w:pPr>
      <w:r>
        <w:rPr>
          <w:color w:val="000000"/>
          <w:sz w:val="24"/>
        </w:rPr>
        <w:t>本项目评价过程中涉及的其它标准还有：《建筑施工现场环境与卫生标准》（JGJ146-2004）。</w:t>
      </w:r>
    </w:p>
    <w:p w14:paraId="777F2258">
      <w:pPr>
        <w:pStyle w:val="182"/>
        <w:ind w:firstLine="275"/>
        <w:rPr>
          <w:rFonts w:ascii="Times New Roman" w:hAnsi="Times New Roman" w:eastAsia="仿宋_GB2312" w:cs="Times New Roman"/>
          <w:color w:val="000000"/>
          <w:sz w:val="28"/>
          <w:szCs w:val="28"/>
        </w:rPr>
      </w:pPr>
      <w:bookmarkStart w:id="62" w:name="_Toc217800767"/>
      <w:bookmarkEnd w:id="62"/>
      <w:bookmarkStart w:id="63" w:name="_Toc495500027"/>
      <w:r>
        <w:rPr>
          <w:rFonts w:ascii="Times New Roman" w:hAnsi="Times New Roman" w:eastAsia="仿宋_GB2312" w:cs="Times New Roman"/>
          <w:color w:val="000000"/>
          <w:sz w:val="28"/>
          <w:szCs w:val="28"/>
        </w:rPr>
        <w:t>1.5评价等级及评价范围</w:t>
      </w:r>
      <w:bookmarkEnd w:id="63"/>
    </w:p>
    <w:p w14:paraId="689E0DAE">
      <w:pPr>
        <w:pStyle w:val="183"/>
        <w:ind w:firstLine="472"/>
        <w:rPr>
          <w:rFonts w:eastAsia="仿宋_GB2312"/>
          <w:color w:val="000000"/>
          <w:sz w:val="24"/>
          <w:szCs w:val="24"/>
        </w:rPr>
      </w:pPr>
      <w:bookmarkStart w:id="64" w:name="_Toc217800768"/>
      <w:bookmarkEnd w:id="64"/>
      <w:bookmarkStart w:id="65" w:name="_Toc143085314"/>
      <w:bookmarkEnd w:id="65"/>
      <w:bookmarkStart w:id="66" w:name="_Toc495500028"/>
      <w:r>
        <w:rPr>
          <w:rFonts w:eastAsia="仿宋_GB2312"/>
          <w:color w:val="000000"/>
          <w:sz w:val="24"/>
          <w:szCs w:val="24"/>
        </w:rPr>
        <w:t>1.5.1评价等级</w:t>
      </w:r>
      <w:bookmarkEnd w:id="66"/>
    </w:p>
    <w:p w14:paraId="147FEA5E">
      <w:pPr>
        <w:spacing w:line="360" w:lineRule="auto"/>
        <w:ind w:firstLine="480"/>
        <w:rPr>
          <w:color w:val="000000"/>
          <w:sz w:val="24"/>
        </w:rPr>
      </w:pPr>
      <w:r>
        <w:rPr>
          <w:color w:val="000000"/>
          <w:sz w:val="24"/>
        </w:rPr>
        <w:t>（1）地表水环境影响评价等级</w:t>
      </w:r>
    </w:p>
    <w:p w14:paraId="4485826E">
      <w:pPr>
        <w:spacing w:line="360" w:lineRule="auto"/>
        <w:ind w:firstLine="480"/>
        <w:rPr>
          <w:color w:val="000000"/>
          <w:sz w:val="24"/>
        </w:rPr>
      </w:pPr>
      <w:r>
        <w:rPr>
          <w:color w:val="000000"/>
          <w:sz w:val="24"/>
        </w:rPr>
        <w:t>本项目建成运营后废水主要污染物为粪大肠菌群、pH、COD</w:t>
      </w:r>
      <w:r>
        <w:rPr>
          <w:color w:val="000000"/>
          <w:sz w:val="24"/>
          <w:vertAlign w:val="subscript"/>
        </w:rPr>
        <w:t>cr</w:t>
      </w:r>
      <w:r>
        <w:rPr>
          <w:color w:val="000000"/>
          <w:sz w:val="24"/>
        </w:rPr>
        <w:t>、BOD</w:t>
      </w:r>
      <w:r>
        <w:rPr>
          <w:color w:val="000000"/>
          <w:sz w:val="24"/>
          <w:vertAlign w:val="subscript"/>
        </w:rPr>
        <w:t>5</w:t>
      </w:r>
      <w:r>
        <w:rPr>
          <w:color w:val="000000"/>
          <w:sz w:val="24"/>
        </w:rPr>
        <w:t>、NH</w:t>
      </w:r>
      <w:r>
        <w:rPr>
          <w:color w:val="000000"/>
          <w:sz w:val="24"/>
          <w:vertAlign w:val="subscript"/>
        </w:rPr>
        <w:t>3</w:t>
      </w:r>
      <w:r>
        <w:rPr>
          <w:color w:val="000000"/>
          <w:sz w:val="24"/>
        </w:rPr>
        <w:t>-N、磷酸盐等。污水经处理后水质复杂程度较为简单，项目外排最终的排污水体为</w:t>
      </w:r>
      <w:r>
        <w:rPr>
          <w:rFonts w:hint="eastAsia"/>
          <w:color w:val="000000"/>
          <w:sz w:val="24"/>
        </w:rPr>
        <w:t>芒市大</w:t>
      </w:r>
      <w:r>
        <w:rPr>
          <w:color w:val="000000"/>
          <w:sz w:val="24"/>
        </w:rPr>
        <w:t>河。</w:t>
      </w:r>
      <w:r>
        <w:rPr>
          <w:rFonts w:hint="eastAsia" w:ascii="宋体" w:hAnsi="宋体"/>
          <w:color w:val="000000"/>
          <w:sz w:val="24"/>
        </w:rPr>
        <w:t>根据《云南省地表水环境功能区划》（2010-2020）芒市大河（木康--入瑞丽江口之间），水环境质量执行</w:t>
      </w:r>
      <w:r>
        <w:rPr>
          <w:rFonts w:ascii="宋体" w:hAnsi="宋体"/>
          <w:color w:val="000000"/>
          <w:sz w:val="24"/>
        </w:rPr>
        <w:t>GB3838-2002《地表水环境质量标准》</w:t>
      </w:r>
      <w:r>
        <w:rPr>
          <w:rFonts w:hint="eastAsia" w:ascii="宋体" w:hAnsi="宋体"/>
          <w:color w:val="000000"/>
          <w:sz w:val="24"/>
        </w:rPr>
        <w:t>Ⅲ</w:t>
      </w:r>
      <w:r>
        <w:rPr>
          <w:rFonts w:ascii="宋体" w:hAnsi="宋体"/>
          <w:color w:val="000000"/>
          <w:sz w:val="24"/>
        </w:rPr>
        <w:t>类</w:t>
      </w:r>
      <w:r>
        <w:rPr>
          <w:rFonts w:hint="eastAsia" w:ascii="宋体" w:hAnsi="宋体"/>
          <w:color w:val="000000"/>
          <w:sz w:val="24"/>
        </w:rPr>
        <w:t>标准。</w:t>
      </w:r>
      <w:r>
        <w:rPr>
          <w:rFonts w:cs="仿宋_GB2312"/>
          <w:color w:val="000000"/>
          <w:sz w:val="24"/>
        </w:rPr>
        <w:t>根据《环境影响评价技术导则》</w:t>
      </w:r>
      <w:r>
        <w:rPr>
          <w:color w:val="000000"/>
          <w:sz w:val="24"/>
        </w:rPr>
        <w:t>HJ/T2.3-93之规定的地面水环境影响评价级别的判定方法，确定本项目地表水环评工作等级为三级。（详见表1.5-1）。</w:t>
      </w:r>
    </w:p>
    <w:p w14:paraId="040C2B0E">
      <w:pPr>
        <w:spacing w:line="360" w:lineRule="auto"/>
        <w:jc w:val="center"/>
        <w:rPr>
          <w:color w:val="000000"/>
          <w:sz w:val="24"/>
        </w:rPr>
      </w:pPr>
      <w:r>
        <w:rPr>
          <w:b/>
          <w:color w:val="000000"/>
          <w:sz w:val="24"/>
        </w:rPr>
        <w:t>表1.5-1    地表水环境影响评价工作等级的判定</w:t>
      </w:r>
    </w:p>
    <w:tbl>
      <w:tblPr>
        <w:tblStyle w:val="27"/>
        <w:tblW w:w="0" w:type="auto"/>
        <w:tblInd w:w="-360" w:type="dxa"/>
        <w:tblLayout w:type="fixed"/>
        <w:tblCellMar>
          <w:top w:w="0" w:type="dxa"/>
          <w:left w:w="108" w:type="dxa"/>
          <w:bottom w:w="0" w:type="dxa"/>
          <w:right w:w="108" w:type="dxa"/>
        </w:tblCellMar>
      </w:tblPr>
      <w:tblGrid>
        <w:gridCol w:w="1976"/>
        <w:gridCol w:w="1437"/>
        <w:gridCol w:w="1616"/>
        <w:gridCol w:w="1437"/>
        <w:gridCol w:w="1257"/>
        <w:gridCol w:w="1437"/>
      </w:tblGrid>
      <w:tr w14:paraId="6C648E50">
        <w:tblPrEx>
          <w:tblCellMar>
            <w:top w:w="0" w:type="dxa"/>
            <w:left w:w="108" w:type="dxa"/>
            <w:bottom w:w="0" w:type="dxa"/>
            <w:right w:w="108" w:type="dxa"/>
          </w:tblCellMar>
        </w:tblPrEx>
        <w:trPr>
          <w:trHeight w:val="847" w:hRule="atLeast"/>
        </w:trPr>
        <w:tc>
          <w:tcPr>
            <w:tcW w:w="1976" w:type="dxa"/>
            <w:tcBorders>
              <w:top w:val="single" w:color="000000" w:sz="2" w:space="0"/>
              <w:left w:val="single" w:color="000000" w:sz="2" w:space="0"/>
              <w:bottom w:val="single" w:color="000000" w:sz="2" w:space="0"/>
              <w:right w:val="single" w:color="000000" w:sz="2" w:space="0"/>
            </w:tcBorders>
            <w:noWrap w:val="0"/>
            <w:vAlign w:val="top"/>
          </w:tcPr>
          <w:p w14:paraId="56627F32">
            <w:pPr>
              <w:jc w:val="right"/>
              <w:rPr>
                <w:b/>
                <w:color w:val="000000"/>
                <w:szCs w:val="21"/>
              </w:rPr>
            </w:pPr>
            <w:r>
              <w:rPr>
                <w:b/>
                <w:color w:val="000000"/>
                <w:szCs w:val="21"/>
              </w:rPr>
              <w:t>判定内容</w:t>
            </w:r>
          </w:p>
          <w:p w14:paraId="178F9120">
            <w:pPr>
              <w:jc w:val="center"/>
              <w:rPr>
                <w:b/>
                <w:color w:val="000000"/>
                <w:szCs w:val="21"/>
              </w:rPr>
            </w:pPr>
          </w:p>
          <w:p w14:paraId="396217C5">
            <w:pPr>
              <w:jc w:val="left"/>
              <w:rPr>
                <w:b/>
                <w:color w:val="000000"/>
                <w:szCs w:val="21"/>
              </w:rPr>
            </w:pPr>
            <w:r>
              <w:rPr>
                <w:b/>
                <w:color w:val="000000"/>
                <w:szCs w:val="21"/>
              </w:rPr>
              <w:t>对照</w:t>
            </w:r>
          </w:p>
        </w:tc>
        <w:tc>
          <w:tcPr>
            <w:tcW w:w="1437" w:type="dxa"/>
            <w:tcBorders>
              <w:top w:val="single" w:color="000000" w:sz="2" w:space="0"/>
              <w:left w:val="single" w:color="000000" w:sz="2" w:space="0"/>
              <w:bottom w:val="single" w:color="000000" w:sz="2" w:space="0"/>
              <w:right w:val="single" w:color="000000" w:sz="2" w:space="0"/>
            </w:tcBorders>
            <w:noWrap w:val="0"/>
            <w:vAlign w:val="center"/>
          </w:tcPr>
          <w:p w14:paraId="2E34E73C">
            <w:pPr>
              <w:jc w:val="center"/>
              <w:rPr>
                <w:b/>
                <w:color w:val="000000"/>
                <w:szCs w:val="21"/>
              </w:rPr>
            </w:pPr>
            <w:r>
              <w:rPr>
                <w:b/>
                <w:color w:val="000000"/>
                <w:szCs w:val="21"/>
              </w:rPr>
              <w:t>建设项目污水排放量（m</w:t>
            </w:r>
            <w:r>
              <w:rPr>
                <w:b/>
                <w:color w:val="000000"/>
                <w:szCs w:val="21"/>
                <w:vertAlign w:val="superscript"/>
              </w:rPr>
              <w:t>3</w:t>
            </w:r>
            <w:r>
              <w:rPr>
                <w:b/>
                <w:color w:val="000000"/>
                <w:szCs w:val="21"/>
              </w:rPr>
              <w:t>/d）</w:t>
            </w:r>
          </w:p>
        </w:tc>
        <w:tc>
          <w:tcPr>
            <w:tcW w:w="1616" w:type="dxa"/>
            <w:tcBorders>
              <w:top w:val="single" w:color="000000" w:sz="2" w:space="0"/>
              <w:left w:val="single" w:color="000000" w:sz="2" w:space="0"/>
              <w:bottom w:val="single" w:color="000000" w:sz="2" w:space="0"/>
              <w:right w:val="single" w:color="000000" w:sz="2" w:space="0"/>
            </w:tcBorders>
            <w:noWrap w:val="0"/>
            <w:vAlign w:val="center"/>
          </w:tcPr>
          <w:p w14:paraId="3F625B62">
            <w:pPr>
              <w:jc w:val="center"/>
              <w:rPr>
                <w:b/>
                <w:color w:val="000000"/>
                <w:szCs w:val="21"/>
              </w:rPr>
            </w:pPr>
            <w:r>
              <w:rPr>
                <w:b/>
                <w:color w:val="000000"/>
                <w:szCs w:val="21"/>
              </w:rPr>
              <w:t>建设项目污水水质复杂程度</w:t>
            </w:r>
          </w:p>
        </w:tc>
        <w:tc>
          <w:tcPr>
            <w:tcW w:w="1437" w:type="dxa"/>
            <w:tcBorders>
              <w:top w:val="single" w:color="000000" w:sz="2" w:space="0"/>
              <w:left w:val="single" w:color="000000" w:sz="2" w:space="0"/>
              <w:bottom w:val="single" w:color="000000" w:sz="2" w:space="0"/>
              <w:right w:val="single" w:color="000000" w:sz="2" w:space="0"/>
            </w:tcBorders>
            <w:noWrap w:val="0"/>
            <w:vAlign w:val="center"/>
          </w:tcPr>
          <w:p w14:paraId="7D4B8543">
            <w:pPr>
              <w:jc w:val="center"/>
              <w:rPr>
                <w:b/>
                <w:color w:val="000000"/>
                <w:szCs w:val="21"/>
              </w:rPr>
            </w:pPr>
            <w:r>
              <w:rPr>
                <w:b/>
                <w:color w:val="000000"/>
                <w:szCs w:val="21"/>
              </w:rPr>
              <w:t>地面水水域规模（大小规模）</w:t>
            </w:r>
          </w:p>
        </w:tc>
        <w:tc>
          <w:tcPr>
            <w:tcW w:w="1257" w:type="dxa"/>
            <w:tcBorders>
              <w:top w:val="single" w:color="000000" w:sz="2" w:space="0"/>
              <w:left w:val="single" w:color="000000" w:sz="2" w:space="0"/>
              <w:bottom w:val="single" w:color="000000" w:sz="2" w:space="0"/>
              <w:right w:val="single" w:color="000000" w:sz="2" w:space="0"/>
            </w:tcBorders>
            <w:noWrap w:val="0"/>
            <w:vAlign w:val="center"/>
          </w:tcPr>
          <w:p w14:paraId="0811014E">
            <w:pPr>
              <w:jc w:val="center"/>
              <w:rPr>
                <w:b/>
                <w:color w:val="000000"/>
                <w:szCs w:val="21"/>
              </w:rPr>
            </w:pPr>
            <w:r>
              <w:rPr>
                <w:b/>
                <w:color w:val="000000"/>
                <w:szCs w:val="21"/>
              </w:rPr>
              <w:t>地面水水质要求（水质类别）</w:t>
            </w:r>
          </w:p>
        </w:tc>
        <w:tc>
          <w:tcPr>
            <w:tcW w:w="1437" w:type="dxa"/>
            <w:tcBorders>
              <w:top w:val="single" w:color="000000" w:sz="2" w:space="0"/>
              <w:left w:val="single" w:color="000000" w:sz="2" w:space="0"/>
              <w:bottom w:val="single" w:color="000000" w:sz="2" w:space="0"/>
              <w:right w:val="single" w:color="000000" w:sz="2" w:space="0"/>
            </w:tcBorders>
            <w:noWrap w:val="0"/>
            <w:vAlign w:val="center"/>
          </w:tcPr>
          <w:p w14:paraId="7DDA9FCB">
            <w:pPr>
              <w:jc w:val="center"/>
              <w:rPr>
                <w:b/>
                <w:color w:val="000000"/>
                <w:szCs w:val="21"/>
              </w:rPr>
            </w:pPr>
            <w:r>
              <w:rPr>
                <w:b/>
                <w:color w:val="000000"/>
                <w:szCs w:val="21"/>
              </w:rPr>
              <w:t>环境影响评价工作等级</w:t>
            </w:r>
          </w:p>
        </w:tc>
      </w:tr>
      <w:tr w14:paraId="678834CF">
        <w:tblPrEx>
          <w:tblCellMar>
            <w:top w:w="0" w:type="dxa"/>
            <w:left w:w="108" w:type="dxa"/>
            <w:bottom w:w="0" w:type="dxa"/>
            <w:right w:w="108" w:type="dxa"/>
          </w:tblCellMar>
        </w:tblPrEx>
        <w:trPr>
          <w:trHeight w:val="1402" w:hRule="atLeast"/>
        </w:trPr>
        <w:tc>
          <w:tcPr>
            <w:tcW w:w="1976" w:type="dxa"/>
            <w:tcBorders>
              <w:top w:val="single" w:color="000000" w:sz="2" w:space="0"/>
              <w:left w:val="single" w:color="000000" w:sz="2" w:space="0"/>
              <w:bottom w:val="single" w:color="000000" w:sz="2" w:space="0"/>
              <w:right w:val="single" w:color="000000" w:sz="2" w:space="0"/>
            </w:tcBorders>
            <w:noWrap w:val="0"/>
            <w:vAlign w:val="top"/>
          </w:tcPr>
          <w:p w14:paraId="0FB59136">
            <w:pPr>
              <w:jc w:val="center"/>
              <w:rPr>
                <w:color w:val="000000"/>
                <w:szCs w:val="21"/>
              </w:rPr>
            </w:pPr>
            <w:r>
              <w:rPr>
                <w:color w:val="000000"/>
                <w:szCs w:val="21"/>
              </w:rPr>
              <w:t>《环境影响评价技术导则——地面水环境》规定三级评价工作等级的判定条件</w:t>
            </w:r>
          </w:p>
        </w:tc>
        <w:tc>
          <w:tcPr>
            <w:tcW w:w="1437" w:type="dxa"/>
            <w:tcBorders>
              <w:top w:val="single" w:color="000000" w:sz="2" w:space="0"/>
              <w:left w:val="single" w:color="000000" w:sz="2" w:space="0"/>
              <w:bottom w:val="single" w:color="000000" w:sz="2" w:space="0"/>
              <w:right w:val="single" w:color="000000" w:sz="2" w:space="0"/>
            </w:tcBorders>
            <w:noWrap w:val="0"/>
            <w:vAlign w:val="center"/>
          </w:tcPr>
          <w:p w14:paraId="260BD79C">
            <w:pPr>
              <w:jc w:val="center"/>
              <w:rPr>
                <w:color w:val="000000"/>
                <w:szCs w:val="21"/>
              </w:rPr>
            </w:pPr>
            <w:r>
              <w:rPr>
                <w:color w:val="000000"/>
                <w:szCs w:val="21"/>
              </w:rPr>
              <w:t>＜1000</w:t>
            </w:r>
          </w:p>
        </w:tc>
        <w:tc>
          <w:tcPr>
            <w:tcW w:w="1616" w:type="dxa"/>
            <w:tcBorders>
              <w:top w:val="single" w:color="000000" w:sz="2" w:space="0"/>
              <w:left w:val="single" w:color="000000" w:sz="2" w:space="0"/>
              <w:bottom w:val="single" w:color="000000" w:sz="2" w:space="0"/>
              <w:right w:val="single" w:color="000000" w:sz="2" w:space="0"/>
            </w:tcBorders>
            <w:noWrap w:val="0"/>
            <w:vAlign w:val="center"/>
          </w:tcPr>
          <w:p w14:paraId="224ECED9">
            <w:pPr>
              <w:jc w:val="center"/>
              <w:rPr>
                <w:color w:val="000000"/>
                <w:szCs w:val="21"/>
              </w:rPr>
            </w:pPr>
            <w:r>
              <w:rPr>
                <w:color w:val="000000"/>
                <w:szCs w:val="21"/>
              </w:rPr>
              <w:t>简单（污染物类型数=1，预测浓度的水质参数数目&lt;7）</w:t>
            </w:r>
          </w:p>
        </w:tc>
        <w:tc>
          <w:tcPr>
            <w:tcW w:w="1437" w:type="dxa"/>
            <w:tcBorders>
              <w:top w:val="single" w:color="000000" w:sz="2" w:space="0"/>
              <w:left w:val="single" w:color="000000" w:sz="2" w:space="0"/>
              <w:bottom w:val="single" w:color="000000" w:sz="2" w:space="0"/>
              <w:right w:val="single" w:color="000000" w:sz="2" w:space="0"/>
            </w:tcBorders>
            <w:noWrap w:val="0"/>
            <w:vAlign w:val="center"/>
          </w:tcPr>
          <w:p w14:paraId="3F2121CC">
            <w:pPr>
              <w:jc w:val="center"/>
              <w:rPr>
                <w:color w:val="000000"/>
                <w:szCs w:val="21"/>
              </w:rPr>
            </w:pPr>
            <w:r>
              <w:rPr>
                <w:color w:val="000000"/>
                <w:szCs w:val="21"/>
              </w:rPr>
              <w:t>中、小河</w:t>
            </w:r>
          </w:p>
        </w:tc>
        <w:tc>
          <w:tcPr>
            <w:tcW w:w="1257" w:type="dxa"/>
            <w:tcBorders>
              <w:top w:val="single" w:color="000000" w:sz="2" w:space="0"/>
              <w:left w:val="single" w:color="000000" w:sz="2" w:space="0"/>
              <w:bottom w:val="single" w:color="000000" w:sz="2" w:space="0"/>
              <w:right w:val="single" w:color="000000" w:sz="2" w:space="0"/>
            </w:tcBorders>
            <w:noWrap w:val="0"/>
            <w:vAlign w:val="center"/>
          </w:tcPr>
          <w:p w14:paraId="079FBAA2">
            <w:pPr>
              <w:jc w:val="center"/>
              <w:rPr>
                <w:color w:val="000000"/>
                <w:szCs w:val="21"/>
              </w:rPr>
            </w:pPr>
            <w:r>
              <w:rPr>
                <w:color w:val="000000"/>
                <w:szCs w:val="21"/>
              </w:rPr>
              <w:t>Ⅰ——Ⅳ</w:t>
            </w:r>
          </w:p>
        </w:tc>
        <w:tc>
          <w:tcPr>
            <w:tcW w:w="1437" w:type="dxa"/>
            <w:tcBorders>
              <w:top w:val="single" w:color="000000" w:sz="2" w:space="0"/>
              <w:left w:val="single" w:color="000000" w:sz="2" w:space="0"/>
              <w:bottom w:val="single" w:color="000000" w:sz="2" w:space="0"/>
              <w:right w:val="single" w:color="000000" w:sz="2" w:space="0"/>
            </w:tcBorders>
            <w:noWrap w:val="0"/>
            <w:vAlign w:val="center"/>
          </w:tcPr>
          <w:p w14:paraId="7A76D271">
            <w:pPr>
              <w:jc w:val="center"/>
              <w:rPr>
                <w:color w:val="000000"/>
                <w:szCs w:val="21"/>
              </w:rPr>
            </w:pPr>
            <w:r>
              <w:rPr>
                <w:color w:val="000000"/>
                <w:szCs w:val="21"/>
              </w:rPr>
              <w:t>三级</w:t>
            </w:r>
          </w:p>
        </w:tc>
      </w:tr>
      <w:tr w14:paraId="2EE53BF5">
        <w:tblPrEx>
          <w:tblCellMar>
            <w:top w:w="0" w:type="dxa"/>
            <w:left w:w="108" w:type="dxa"/>
            <w:bottom w:w="0" w:type="dxa"/>
            <w:right w:w="108" w:type="dxa"/>
          </w:tblCellMar>
        </w:tblPrEx>
        <w:trPr>
          <w:trHeight w:val="848" w:hRule="atLeast"/>
        </w:trPr>
        <w:tc>
          <w:tcPr>
            <w:tcW w:w="1976" w:type="dxa"/>
            <w:tcBorders>
              <w:top w:val="single" w:color="000000" w:sz="2" w:space="0"/>
              <w:left w:val="single" w:color="000000" w:sz="2" w:space="0"/>
              <w:bottom w:val="single" w:color="000000" w:sz="2" w:space="0"/>
              <w:right w:val="single" w:color="000000" w:sz="2" w:space="0"/>
            </w:tcBorders>
            <w:noWrap w:val="0"/>
            <w:vAlign w:val="center"/>
          </w:tcPr>
          <w:p w14:paraId="5F1E0A8B">
            <w:pPr>
              <w:jc w:val="center"/>
              <w:rPr>
                <w:rFonts w:hint="eastAsia"/>
                <w:color w:val="000000"/>
                <w:szCs w:val="21"/>
              </w:rPr>
            </w:pPr>
            <w:r>
              <w:rPr>
                <w:rFonts w:hint="eastAsia" w:cs="宋体"/>
                <w:color w:val="000000"/>
                <w:szCs w:val="21"/>
              </w:rPr>
              <w:t>芒市妇幼保健院迁建项目</w:t>
            </w:r>
          </w:p>
        </w:tc>
        <w:tc>
          <w:tcPr>
            <w:tcW w:w="1437" w:type="dxa"/>
            <w:tcBorders>
              <w:top w:val="single" w:color="000000" w:sz="2" w:space="0"/>
              <w:left w:val="single" w:color="000000" w:sz="2" w:space="0"/>
              <w:bottom w:val="single" w:color="000000" w:sz="2" w:space="0"/>
              <w:right w:val="single" w:color="000000" w:sz="2" w:space="0"/>
            </w:tcBorders>
            <w:noWrap w:val="0"/>
            <w:vAlign w:val="center"/>
          </w:tcPr>
          <w:p w14:paraId="16AC4A38">
            <w:pPr>
              <w:jc w:val="center"/>
              <w:rPr>
                <w:rFonts w:hint="eastAsia"/>
                <w:color w:val="000000"/>
                <w:szCs w:val="21"/>
              </w:rPr>
            </w:pPr>
            <w:r>
              <w:rPr>
                <w:rFonts w:hint="eastAsia"/>
                <w:color w:val="000000"/>
                <w:szCs w:val="21"/>
              </w:rPr>
              <w:t>102.553</w:t>
            </w:r>
          </w:p>
        </w:tc>
        <w:tc>
          <w:tcPr>
            <w:tcW w:w="1616" w:type="dxa"/>
            <w:tcBorders>
              <w:top w:val="single" w:color="000000" w:sz="2" w:space="0"/>
              <w:left w:val="single" w:color="000000" w:sz="2" w:space="0"/>
              <w:bottom w:val="single" w:color="000000" w:sz="2" w:space="0"/>
              <w:right w:val="single" w:color="000000" w:sz="2" w:space="0"/>
            </w:tcBorders>
            <w:noWrap w:val="0"/>
            <w:vAlign w:val="center"/>
          </w:tcPr>
          <w:p w14:paraId="4BB8C088">
            <w:pPr>
              <w:jc w:val="center"/>
              <w:rPr>
                <w:color w:val="000000"/>
                <w:szCs w:val="21"/>
              </w:rPr>
            </w:pPr>
            <w:r>
              <w:rPr>
                <w:color w:val="000000"/>
                <w:szCs w:val="21"/>
              </w:rPr>
              <w:t>简单</w:t>
            </w:r>
          </w:p>
        </w:tc>
        <w:tc>
          <w:tcPr>
            <w:tcW w:w="1437" w:type="dxa"/>
            <w:tcBorders>
              <w:top w:val="single" w:color="000000" w:sz="2" w:space="0"/>
              <w:left w:val="single" w:color="000000" w:sz="2" w:space="0"/>
              <w:bottom w:val="single" w:color="000000" w:sz="2" w:space="0"/>
              <w:right w:val="single" w:color="000000" w:sz="2" w:space="0"/>
            </w:tcBorders>
            <w:noWrap w:val="0"/>
            <w:vAlign w:val="center"/>
          </w:tcPr>
          <w:p w14:paraId="1DD3E963">
            <w:pPr>
              <w:jc w:val="center"/>
              <w:rPr>
                <w:color w:val="000000"/>
                <w:szCs w:val="21"/>
              </w:rPr>
            </w:pPr>
            <w:r>
              <w:rPr>
                <w:color w:val="000000"/>
                <w:szCs w:val="21"/>
              </w:rPr>
              <w:t>属中河</w:t>
            </w:r>
          </w:p>
        </w:tc>
        <w:tc>
          <w:tcPr>
            <w:tcW w:w="1257" w:type="dxa"/>
            <w:tcBorders>
              <w:top w:val="single" w:color="000000" w:sz="2" w:space="0"/>
              <w:left w:val="single" w:color="000000" w:sz="2" w:space="0"/>
              <w:bottom w:val="single" w:color="000000" w:sz="2" w:space="0"/>
              <w:right w:val="single" w:color="000000" w:sz="2" w:space="0"/>
            </w:tcBorders>
            <w:noWrap w:val="0"/>
            <w:vAlign w:val="center"/>
          </w:tcPr>
          <w:p w14:paraId="3266C0D7">
            <w:pPr>
              <w:jc w:val="center"/>
              <w:rPr>
                <w:color w:val="000000"/>
                <w:szCs w:val="21"/>
              </w:rPr>
            </w:pPr>
            <w:r>
              <w:rPr>
                <w:color w:val="000000"/>
                <w:szCs w:val="21"/>
              </w:rPr>
              <w:t>Ⅲ类水域</w:t>
            </w:r>
          </w:p>
        </w:tc>
        <w:tc>
          <w:tcPr>
            <w:tcW w:w="1437" w:type="dxa"/>
            <w:tcBorders>
              <w:top w:val="single" w:color="000000" w:sz="2" w:space="0"/>
              <w:left w:val="single" w:color="000000" w:sz="2" w:space="0"/>
              <w:bottom w:val="single" w:color="000000" w:sz="2" w:space="0"/>
              <w:right w:val="single" w:color="000000" w:sz="2" w:space="0"/>
            </w:tcBorders>
            <w:noWrap w:val="0"/>
            <w:vAlign w:val="center"/>
          </w:tcPr>
          <w:p w14:paraId="310B09A3">
            <w:pPr>
              <w:jc w:val="center"/>
              <w:rPr>
                <w:color w:val="000000"/>
                <w:szCs w:val="21"/>
              </w:rPr>
            </w:pPr>
            <w:r>
              <w:rPr>
                <w:color w:val="000000"/>
                <w:szCs w:val="21"/>
              </w:rPr>
              <w:t>三级</w:t>
            </w:r>
          </w:p>
        </w:tc>
      </w:tr>
    </w:tbl>
    <w:p w14:paraId="632785EE">
      <w:pPr>
        <w:spacing w:line="360" w:lineRule="auto"/>
        <w:ind w:firstLine="480"/>
        <w:rPr>
          <w:color w:val="000000"/>
          <w:sz w:val="24"/>
        </w:rPr>
      </w:pPr>
      <w:r>
        <w:rPr>
          <w:color w:val="000000"/>
          <w:sz w:val="24"/>
        </w:rPr>
        <w:t>（2）地下水环境影响评价等级</w:t>
      </w:r>
    </w:p>
    <w:p w14:paraId="2BE0C8D5">
      <w:pPr>
        <w:spacing w:line="360" w:lineRule="auto"/>
        <w:ind w:firstLine="480"/>
        <w:rPr>
          <w:color w:val="000000"/>
          <w:sz w:val="24"/>
        </w:rPr>
      </w:pPr>
      <w:r>
        <w:rPr>
          <w:color w:val="000000"/>
          <w:sz w:val="24"/>
        </w:rPr>
        <w:t>按《环境影响评价技术导则地下水环境》（H610-2011）的分级标准，本项目属于2类建设项目，根据导则表7判别本项目给水</w:t>
      </w:r>
      <w:r>
        <w:rPr>
          <w:rFonts w:hint="eastAsia"/>
          <w:color w:val="000000"/>
          <w:sz w:val="24"/>
        </w:rPr>
        <w:t>144.85</w:t>
      </w:r>
      <w:r>
        <w:rPr>
          <w:color w:val="000000"/>
          <w:sz w:val="24"/>
        </w:rPr>
        <w:t>m</w:t>
      </w:r>
      <w:r>
        <w:rPr>
          <w:color w:val="000000"/>
          <w:sz w:val="24"/>
          <w:vertAlign w:val="superscript"/>
        </w:rPr>
        <w:t>3</w:t>
      </w:r>
      <w:r>
        <w:rPr>
          <w:color w:val="000000"/>
          <w:sz w:val="24"/>
        </w:rPr>
        <w:t>/d，排水</w:t>
      </w:r>
      <w:r>
        <w:rPr>
          <w:rFonts w:hint="eastAsia"/>
          <w:color w:val="000000"/>
          <w:sz w:val="24"/>
        </w:rPr>
        <w:t>102.553</w:t>
      </w:r>
      <w:r>
        <w:rPr>
          <w:color w:val="000000"/>
          <w:sz w:val="24"/>
        </w:rPr>
        <w:t>m</w:t>
      </w:r>
      <w:r>
        <w:rPr>
          <w:color w:val="000000"/>
          <w:sz w:val="24"/>
          <w:vertAlign w:val="superscript"/>
        </w:rPr>
        <w:t>3</w:t>
      </w:r>
      <w:r>
        <w:rPr>
          <w:color w:val="000000"/>
          <w:sz w:val="24"/>
        </w:rPr>
        <w:t>/d，属于小规模；根据表8判别本项目水位影响范围小于0.5km，属于水位影响范围小；根据表9判别本项目地下水不在敏感区域；根据表10判别本项目不会造成区域水位下降产生的地面沉降、地裂缝、岩溶塌陷等不利的环境水文地质现象故判别为弱。（详见表1.5-2）。</w:t>
      </w:r>
    </w:p>
    <w:p w14:paraId="2A89C8AC">
      <w:pPr>
        <w:spacing w:line="360" w:lineRule="auto"/>
        <w:jc w:val="center"/>
        <w:rPr>
          <w:color w:val="000000"/>
          <w:sz w:val="24"/>
        </w:rPr>
      </w:pPr>
      <w:r>
        <w:rPr>
          <w:b/>
          <w:color w:val="000000"/>
          <w:sz w:val="24"/>
        </w:rPr>
        <w:t>表1.5-2 项目地下水环境影响评价工作等级的判定</w:t>
      </w:r>
    </w:p>
    <w:tbl>
      <w:tblPr>
        <w:tblStyle w:val="27"/>
        <w:tblW w:w="0" w:type="auto"/>
        <w:tblInd w:w="-108" w:type="dxa"/>
        <w:tblLayout w:type="fixed"/>
        <w:tblCellMar>
          <w:top w:w="0" w:type="dxa"/>
          <w:left w:w="108" w:type="dxa"/>
          <w:bottom w:w="0" w:type="dxa"/>
          <w:right w:w="108" w:type="dxa"/>
        </w:tblCellMar>
      </w:tblPr>
      <w:tblGrid>
        <w:gridCol w:w="1908"/>
        <w:gridCol w:w="1906"/>
        <w:gridCol w:w="1789"/>
        <w:gridCol w:w="1789"/>
        <w:gridCol w:w="1790"/>
      </w:tblGrid>
      <w:tr w14:paraId="0F5E6F01">
        <w:tblPrEx>
          <w:tblCellMar>
            <w:top w:w="0" w:type="dxa"/>
            <w:left w:w="108" w:type="dxa"/>
            <w:bottom w:w="0" w:type="dxa"/>
            <w:right w:w="108" w:type="dxa"/>
          </w:tblCellMar>
        </w:tblPrEx>
        <w:tc>
          <w:tcPr>
            <w:tcW w:w="1908" w:type="dxa"/>
            <w:tcBorders>
              <w:top w:val="single" w:color="000000" w:sz="4" w:space="0"/>
              <w:left w:val="single" w:color="000000" w:sz="4" w:space="0"/>
              <w:bottom w:val="single" w:color="000000" w:sz="4" w:space="0"/>
              <w:right w:val="single" w:color="000000" w:sz="4" w:space="0"/>
            </w:tcBorders>
            <w:noWrap w:val="0"/>
            <w:vAlign w:val="center"/>
          </w:tcPr>
          <w:p w14:paraId="217CD199">
            <w:pPr>
              <w:jc w:val="center"/>
              <w:rPr>
                <w:b/>
                <w:color w:val="000000"/>
                <w:szCs w:val="21"/>
              </w:rPr>
            </w:pPr>
            <w:r>
              <w:rPr>
                <w:b/>
                <w:color w:val="000000"/>
                <w:szCs w:val="21"/>
              </w:rPr>
              <w:t>评价级别</w:t>
            </w:r>
          </w:p>
        </w:tc>
        <w:tc>
          <w:tcPr>
            <w:tcW w:w="1906" w:type="dxa"/>
            <w:tcBorders>
              <w:top w:val="single" w:color="000000" w:sz="4" w:space="0"/>
              <w:left w:val="single" w:color="000000" w:sz="4" w:space="0"/>
              <w:bottom w:val="single" w:color="000000" w:sz="4" w:space="0"/>
              <w:right w:val="single" w:color="000000" w:sz="4" w:space="0"/>
            </w:tcBorders>
            <w:noWrap w:val="0"/>
            <w:vAlign w:val="center"/>
          </w:tcPr>
          <w:p w14:paraId="364F6B9B">
            <w:pPr>
              <w:jc w:val="center"/>
              <w:rPr>
                <w:b/>
                <w:color w:val="000000"/>
                <w:szCs w:val="21"/>
              </w:rPr>
            </w:pPr>
            <w:r>
              <w:rPr>
                <w:b/>
                <w:color w:val="000000"/>
                <w:szCs w:val="21"/>
              </w:rPr>
              <w:t>建设项目供水、排水规模</w:t>
            </w:r>
          </w:p>
        </w:tc>
        <w:tc>
          <w:tcPr>
            <w:tcW w:w="1789" w:type="dxa"/>
            <w:tcBorders>
              <w:top w:val="single" w:color="000000" w:sz="4" w:space="0"/>
              <w:left w:val="single" w:color="000000" w:sz="4" w:space="0"/>
              <w:bottom w:val="single" w:color="000000" w:sz="4" w:space="0"/>
              <w:right w:val="single" w:color="000000" w:sz="4" w:space="0"/>
            </w:tcBorders>
            <w:noWrap w:val="0"/>
            <w:vAlign w:val="center"/>
          </w:tcPr>
          <w:p w14:paraId="3745E75E">
            <w:pPr>
              <w:jc w:val="center"/>
              <w:rPr>
                <w:b/>
                <w:color w:val="000000"/>
                <w:szCs w:val="21"/>
              </w:rPr>
            </w:pPr>
            <w:r>
              <w:rPr>
                <w:b/>
                <w:color w:val="000000"/>
                <w:szCs w:val="21"/>
              </w:rPr>
              <w:t>建设项目引起地下水水位变化区域范围</w:t>
            </w:r>
          </w:p>
        </w:tc>
        <w:tc>
          <w:tcPr>
            <w:tcW w:w="1789" w:type="dxa"/>
            <w:tcBorders>
              <w:top w:val="single" w:color="000000" w:sz="4" w:space="0"/>
              <w:left w:val="single" w:color="000000" w:sz="4" w:space="0"/>
              <w:bottom w:val="single" w:color="000000" w:sz="4" w:space="0"/>
              <w:right w:val="single" w:color="000000" w:sz="4" w:space="0"/>
            </w:tcBorders>
            <w:noWrap w:val="0"/>
            <w:vAlign w:val="center"/>
          </w:tcPr>
          <w:p w14:paraId="57885A63">
            <w:pPr>
              <w:jc w:val="center"/>
              <w:rPr>
                <w:b/>
                <w:color w:val="000000"/>
                <w:szCs w:val="21"/>
              </w:rPr>
            </w:pPr>
            <w:r>
              <w:rPr>
                <w:b/>
                <w:color w:val="000000"/>
                <w:szCs w:val="21"/>
              </w:rPr>
              <w:t>建设项目场地地下水敏感程度</w:t>
            </w:r>
          </w:p>
        </w:tc>
        <w:tc>
          <w:tcPr>
            <w:tcW w:w="1790" w:type="dxa"/>
            <w:tcBorders>
              <w:top w:val="single" w:color="000000" w:sz="4" w:space="0"/>
              <w:left w:val="single" w:color="000000" w:sz="4" w:space="0"/>
              <w:bottom w:val="single" w:color="000000" w:sz="4" w:space="0"/>
              <w:right w:val="single" w:color="000000" w:sz="4" w:space="0"/>
            </w:tcBorders>
            <w:noWrap w:val="0"/>
            <w:vAlign w:val="center"/>
          </w:tcPr>
          <w:p w14:paraId="0F82326F">
            <w:pPr>
              <w:jc w:val="center"/>
              <w:rPr>
                <w:b/>
                <w:color w:val="000000"/>
                <w:szCs w:val="21"/>
              </w:rPr>
            </w:pPr>
            <w:r>
              <w:rPr>
                <w:b/>
                <w:color w:val="000000"/>
                <w:szCs w:val="21"/>
              </w:rPr>
              <w:t>建设项目造成的环境水文地质问题大小</w:t>
            </w:r>
          </w:p>
        </w:tc>
      </w:tr>
      <w:tr w14:paraId="48F63F63">
        <w:tblPrEx>
          <w:tblCellMar>
            <w:top w:w="0" w:type="dxa"/>
            <w:left w:w="108" w:type="dxa"/>
            <w:bottom w:w="0" w:type="dxa"/>
            <w:right w:w="108" w:type="dxa"/>
          </w:tblCellMar>
        </w:tblPrEx>
        <w:tc>
          <w:tcPr>
            <w:tcW w:w="1908" w:type="dxa"/>
            <w:tcBorders>
              <w:top w:val="single" w:color="000000" w:sz="4" w:space="0"/>
              <w:left w:val="single" w:color="000000" w:sz="4" w:space="0"/>
              <w:bottom w:val="single" w:color="000000" w:sz="4" w:space="0"/>
              <w:right w:val="single" w:color="000000" w:sz="4" w:space="0"/>
            </w:tcBorders>
            <w:noWrap w:val="0"/>
            <w:vAlign w:val="center"/>
          </w:tcPr>
          <w:p w14:paraId="17F4775E">
            <w:pPr>
              <w:jc w:val="center"/>
              <w:rPr>
                <w:color w:val="000000"/>
                <w:szCs w:val="21"/>
              </w:rPr>
            </w:pPr>
            <w:r>
              <w:rPr>
                <w:color w:val="000000"/>
                <w:szCs w:val="21"/>
              </w:rPr>
              <w:t>《环境影响评价技术导则——地下水环境》规定三级评价工作等级的判定条件</w:t>
            </w:r>
          </w:p>
        </w:tc>
        <w:tc>
          <w:tcPr>
            <w:tcW w:w="1906" w:type="dxa"/>
            <w:tcBorders>
              <w:top w:val="single" w:color="000000" w:sz="4" w:space="0"/>
              <w:left w:val="single" w:color="000000" w:sz="4" w:space="0"/>
              <w:bottom w:val="single" w:color="000000" w:sz="4" w:space="0"/>
              <w:right w:val="single" w:color="000000" w:sz="4" w:space="0"/>
            </w:tcBorders>
            <w:noWrap w:val="0"/>
            <w:vAlign w:val="center"/>
          </w:tcPr>
          <w:p w14:paraId="5C4DB449">
            <w:pPr>
              <w:jc w:val="center"/>
              <w:rPr>
                <w:color w:val="000000"/>
                <w:szCs w:val="21"/>
              </w:rPr>
            </w:pPr>
            <w:r>
              <w:rPr>
                <w:color w:val="000000"/>
                <w:szCs w:val="21"/>
              </w:rPr>
              <w:t>≤0.2（万m</w:t>
            </w:r>
            <w:r>
              <w:rPr>
                <w:color w:val="000000"/>
                <w:szCs w:val="21"/>
                <w:vertAlign w:val="superscript"/>
              </w:rPr>
              <w:t>3</w:t>
            </w:r>
            <w:r>
              <w:rPr>
                <w:color w:val="000000"/>
                <w:szCs w:val="21"/>
              </w:rPr>
              <w:t>/d）</w:t>
            </w:r>
          </w:p>
        </w:tc>
        <w:tc>
          <w:tcPr>
            <w:tcW w:w="1789" w:type="dxa"/>
            <w:tcBorders>
              <w:top w:val="single" w:color="000000" w:sz="4" w:space="0"/>
              <w:left w:val="single" w:color="000000" w:sz="4" w:space="0"/>
              <w:bottom w:val="single" w:color="000000" w:sz="4" w:space="0"/>
              <w:right w:val="single" w:color="000000" w:sz="4" w:space="0"/>
            </w:tcBorders>
            <w:noWrap w:val="0"/>
            <w:vAlign w:val="center"/>
          </w:tcPr>
          <w:p w14:paraId="031306E7">
            <w:pPr>
              <w:jc w:val="center"/>
              <w:rPr>
                <w:color w:val="000000"/>
                <w:szCs w:val="21"/>
              </w:rPr>
            </w:pPr>
            <w:r>
              <w:rPr>
                <w:color w:val="000000"/>
                <w:szCs w:val="21"/>
              </w:rPr>
              <w:t>≤0.5km</w:t>
            </w:r>
          </w:p>
        </w:tc>
        <w:tc>
          <w:tcPr>
            <w:tcW w:w="1789" w:type="dxa"/>
            <w:tcBorders>
              <w:top w:val="single" w:color="000000" w:sz="4" w:space="0"/>
              <w:left w:val="single" w:color="000000" w:sz="4" w:space="0"/>
              <w:bottom w:val="single" w:color="000000" w:sz="4" w:space="0"/>
              <w:right w:val="single" w:color="000000" w:sz="4" w:space="0"/>
            </w:tcBorders>
            <w:noWrap w:val="0"/>
            <w:vAlign w:val="center"/>
          </w:tcPr>
          <w:p w14:paraId="72B6A5E8">
            <w:pPr>
              <w:jc w:val="center"/>
              <w:rPr>
                <w:color w:val="000000"/>
                <w:szCs w:val="21"/>
              </w:rPr>
            </w:pPr>
            <w:r>
              <w:rPr>
                <w:color w:val="000000"/>
                <w:szCs w:val="21"/>
              </w:rPr>
              <w:t>不敏感</w:t>
            </w:r>
          </w:p>
        </w:tc>
        <w:tc>
          <w:tcPr>
            <w:tcW w:w="1790" w:type="dxa"/>
            <w:tcBorders>
              <w:top w:val="single" w:color="000000" w:sz="4" w:space="0"/>
              <w:left w:val="single" w:color="000000" w:sz="4" w:space="0"/>
              <w:bottom w:val="single" w:color="000000" w:sz="4" w:space="0"/>
              <w:right w:val="single" w:color="000000" w:sz="4" w:space="0"/>
            </w:tcBorders>
            <w:noWrap w:val="0"/>
            <w:vAlign w:val="center"/>
          </w:tcPr>
          <w:p w14:paraId="68EC6284">
            <w:pPr>
              <w:jc w:val="center"/>
              <w:rPr>
                <w:color w:val="000000"/>
                <w:szCs w:val="21"/>
              </w:rPr>
            </w:pPr>
            <w:r>
              <w:rPr>
                <w:color w:val="000000"/>
                <w:szCs w:val="21"/>
              </w:rPr>
              <w:t>弱</w:t>
            </w:r>
          </w:p>
        </w:tc>
      </w:tr>
      <w:tr w14:paraId="1DF05B33">
        <w:tblPrEx>
          <w:tblCellMar>
            <w:top w:w="0" w:type="dxa"/>
            <w:left w:w="108" w:type="dxa"/>
            <w:bottom w:w="0" w:type="dxa"/>
            <w:right w:w="108" w:type="dxa"/>
          </w:tblCellMar>
        </w:tblPrEx>
        <w:tc>
          <w:tcPr>
            <w:tcW w:w="1908" w:type="dxa"/>
            <w:tcBorders>
              <w:top w:val="single" w:color="000000" w:sz="4" w:space="0"/>
              <w:left w:val="single" w:color="000000" w:sz="4" w:space="0"/>
              <w:bottom w:val="single" w:color="000000" w:sz="4" w:space="0"/>
              <w:right w:val="single" w:color="000000" w:sz="4" w:space="0"/>
            </w:tcBorders>
            <w:noWrap w:val="0"/>
            <w:vAlign w:val="center"/>
          </w:tcPr>
          <w:p w14:paraId="64F5BBF5">
            <w:pPr>
              <w:jc w:val="center"/>
              <w:rPr>
                <w:rFonts w:hint="eastAsia"/>
                <w:color w:val="000000"/>
                <w:szCs w:val="21"/>
              </w:rPr>
            </w:pPr>
            <w:r>
              <w:rPr>
                <w:rFonts w:hint="eastAsia" w:cs="宋体"/>
                <w:color w:val="000000"/>
                <w:szCs w:val="21"/>
              </w:rPr>
              <w:t>芒市妇幼保健院迁建项目</w:t>
            </w:r>
          </w:p>
        </w:tc>
        <w:tc>
          <w:tcPr>
            <w:tcW w:w="1906" w:type="dxa"/>
            <w:tcBorders>
              <w:top w:val="single" w:color="000000" w:sz="4" w:space="0"/>
              <w:left w:val="single" w:color="000000" w:sz="4" w:space="0"/>
              <w:bottom w:val="single" w:color="000000" w:sz="4" w:space="0"/>
              <w:right w:val="single" w:color="000000" w:sz="4" w:space="0"/>
            </w:tcBorders>
            <w:noWrap w:val="0"/>
            <w:vAlign w:val="center"/>
          </w:tcPr>
          <w:p w14:paraId="53E92A81">
            <w:pPr>
              <w:jc w:val="center"/>
              <w:rPr>
                <w:color w:val="000000"/>
                <w:szCs w:val="21"/>
              </w:rPr>
            </w:pPr>
            <w:r>
              <w:rPr>
                <w:color w:val="000000"/>
                <w:szCs w:val="21"/>
              </w:rPr>
              <w:t>给水</w:t>
            </w:r>
            <w:r>
              <w:rPr>
                <w:rFonts w:hint="eastAsia"/>
                <w:color w:val="000000"/>
                <w:szCs w:val="21"/>
              </w:rPr>
              <w:t>144.85</w:t>
            </w:r>
            <w:r>
              <w:rPr>
                <w:color w:val="000000"/>
                <w:szCs w:val="21"/>
              </w:rPr>
              <w:t>m</w:t>
            </w:r>
            <w:r>
              <w:rPr>
                <w:color w:val="000000"/>
                <w:szCs w:val="21"/>
                <w:vertAlign w:val="superscript"/>
              </w:rPr>
              <w:t>3</w:t>
            </w:r>
            <w:r>
              <w:rPr>
                <w:color w:val="000000"/>
                <w:szCs w:val="21"/>
              </w:rPr>
              <w:t>/d，</w:t>
            </w:r>
          </w:p>
          <w:p w14:paraId="4E547D7F">
            <w:pPr>
              <w:jc w:val="center"/>
              <w:rPr>
                <w:color w:val="000000"/>
                <w:szCs w:val="21"/>
              </w:rPr>
            </w:pPr>
            <w:r>
              <w:rPr>
                <w:color w:val="000000"/>
                <w:szCs w:val="21"/>
              </w:rPr>
              <w:t>排水</w:t>
            </w:r>
            <w:r>
              <w:rPr>
                <w:rFonts w:hint="eastAsia"/>
                <w:color w:val="000000"/>
                <w:szCs w:val="21"/>
              </w:rPr>
              <w:t>102.553</w:t>
            </w:r>
            <w:r>
              <w:rPr>
                <w:color w:val="000000"/>
                <w:szCs w:val="21"/>
              </w:rPr>
              <w:t>m</w:t>
            </w:r>
            <w:r>
              <w:rPr>
                <w:color w:val="000000"/>
                <w:szCs w:val="21"/>
                <w:vertAlign w:val="superscript"/>
              </w:rPr>
              <w:t>3</w:t>
            </w:r>
            <w:r>
              <w:rPr>
                <w:color w:val="000000"/>
                <w:szCs w:val="21"/>
              </w:rPr>
              <w:t>/d</w:t>
            </w:r>
          </w:p>
        </w:tc>
        <w:tc>
          <w:tcPr>
            <w:tcW w:w="1789" w:type="dxa"/>
            <w:tcBorders>
              <w:top w:val="single" w:color="000000" w:sz="4" w:space="0"/>
              <w:left w:val="single" w:color="000000" w:sz="4" w:space="0"/>
              <w:bottom w:val="single" w:color="000000" w:sz="4" w:space="0"/>
              <w:right w:val="single" w:color="000000" w:sz="4" w:space="0"/>
            </w:tcBorders>
            <w:noWrap w:val="0"/>
            <w:vAlign w:val="center"/>
          </w:tcPr>
          <w:p w14:paraId="2C971C2F">
            <w:pPr>
              <w:jc w:val="center"/>
              <w:rPr>
                <w:color w:val="000000"/>
                <w:szCs w:val="21"/>
              </w:rPr>
            </w:pPr>
            <w:r>
              <w:rPr>
                <w:color w:val="000000"/>
                <w:szCs w:val="21"/>
              </w:rPr>
              <w:t>≤0.5km</w:t>
            </w:r>
          </w:p>
        </w:tc>
        <w:tc>
          <w:tcPr>
            <w:tcW w:w="1789" w:type="dxa"/>
            <w:tcBorders>
              <w:top w:val="single" w:color="000000" w:sz="4" w:space="0"/>
              <w:left w:val="single" w:color="000000" w:sz="4" w:space="0"/>
              <w:bottom w:val="single" w:color="000000" w:sz="4" w:space="0"/>
              <w:right w:val="single" w:color="000000" w:sz="4" w:space="0"/>
            </w:tcBorders>
            <w:noWrap w:val="0"/>
            <w:vAlign w:val="center"/>
          </w:tcPr>
          <w:p w14:paraId="6831415D">
            <w:pPr>
              <w:jc w:val="center"/>
              <w:rPr>
                <w:color w:val="000000"/>
                <w:szCs w:val="21"/>
              </w:rPr>
            </w:pPr>
            <w:r>
              <w:rPr>
                <w:color w:val="000000"/>
                <w:szCs w:val="21"/>
              </w:rPr>
              <w:t>不敏感</w:t>
            </w:r>
          </w:p>
        </w:tc>
        <w:tc>
          <w:tcPr>
            <w:tcW w:w="1790" w:type="dxa"/>
            <w:tcBorders>
              <w:top w:val="single" w:color="000000" w:sz="4" w:space="0"/>
              <w:left w:val="single" w:color="000000" w:sz="4" w:space="0"/>
              <w:bottom w:val="single" w:color="000000" w:sz="4" w:space="0"/>
              <w:right w:val="single" w:color="000000" w:sz="4" w:space="0"/>
            </w:tcBorders>
            <w:noWrap w:val="0"/>
            <w:vAlign w:val="center"/>
          </w:tcPr>
          <w:p w14:paraId="36012EB9">
            <w:pPr>
              <w:jc w:val="center"/>
              <w:rPr>
                <w:color w:val="000000"/>
                <w:szCs w:val="21"/>
              </w:rPr>
            </w:pPr>
            <w:r>
              <w:rPr>
                <w:color w:val="000000"/>
                <w:szCs w:val="21"/>
              </w:rPr>
              <w:t>弱</w:t>
            </w:r>
          </w:p>
        </w:tc>
      </w:tr>
    </w:tbl>
    <w:p w14:paraId="386E241C">
      <w:pPr>
        <w:spacing w:line="360" w:lineRule="auto"/>
        <w:ind w:firstLine="480"/>
        <w:rPr>
          <w:b/>
          <w:color w:val="000000"/>
          <w:sz w:val="24"/>
        </w:rPr>
      </w:pPr>
      <w:r>
        <w:rPr>
          <w:color w:val="000000"/>
          <w:sz w:val="24"/>
        </w:rPr>
        <w:t>根据上表1.5-2地下水环境影响评价工作等级的判定内容，确定本项目对地下水环境影响评价等级定为2类建设项目中的三级。</w:t>
      </w:r>
    </w:p>
    <w:p w14:paraId="784064A5">
      <w:pPr>
        <w:spacing w:line="360" w:lineRule="auto"/>
        <w:ind w:firstLine="480"/>
        <w:rPr>
          <w:color w:val="000000"/>
          <w:sz w:val="24"/>
        </w:rPr>
      </w:pPr>
      <w:r>
        <w:rPr>
          <w:color w:val="000000"/>
          <w:sz w:val="24"/>
        </w:rPr>
        <w:t>（3）大气环境影响评价等级</w:t>
      </w:r>
    </w:p>
    <w:p w14:paraId="29633CAC">
      <w:pPr>
        <w:spacing w:line="360" w:lineRule="auto"/>
        <w:ind w:firstLine="480"/>
        <w:rPr>
          <w:color w:val="000000"/>
          <w:sz w:val="24"/>
        </w:rPr>
      </w:pPr>
      <w:r>
        <w:rPr>
          <w:rFonts w:hint="eastAsia" w:ascii="宋体" w:hAnsi="宋体"/>
          <w:color w:val="000000"/>
          <w:sz w:val="24"/>
        </w:rPr>
        <w:t>项目院内</w:t>
      </w:r>
      <w:r>
        <w:rPr>
          <w:color w:val="000000"/>
          <w:sz w:val="24"/>
        </w:rPr>
        <w:t>使用太阳能及采用电能等清洁能源，项目不设燃油、燃煤锅炉，项目区内没有烟尘、二氧化硫等大气污染物排放，运营期主要大气污染物为污水处理设施异味及汽车尾气。根据《环境影响评价技术导则  大气环境》（HJ/T2.2-2008）规定的评价工作级别的划分原则和方法，结合本项目实际，大气环境影响评价仅作一般性分析，</w:t>
      </w:r>
      <w:r>
        <w:rPr>
          <w:rFonts w:hint="eastAsia" w:ascii="宋体" w:hAnsi="宋体"/>
          <w:color w:val="000000"/>
          <w:sz w:val="24"/>
        </w:rPr>
        <w:t>重点对项目食堂油烟废气规范化处理排放及污水处理设施异味防治进行分析。</w:t>
      </w:r>
    </w:p>
    <w:p w14:paraId="6718BA94">
      <w:pPr>
        <w:spacing w:line="360" w:lineRule="auto"/>
        <w:ind w:firstLine="480"/>
        <w:rPr>
          <w:color w:val="000000"/>
          <w:sz w:val="24"/>
        </w:rPr>
      </w:pPr>
      <w:bookmarkStart w:id="67" w:name="_Toc369792503"/>
      <w:bookmarkEnd w:id="67"/>
      <w:bookmarkStart w:id="68" w:name="_Toc369709656"/>
      <w:bookmarkEnd w:id="68"/>
      <w:bookmarkStart w:id="69" w:name="_Toc369709470"/>
      <w:bookmarkEnd w:id="69"/>
      <w:r>
        <w:rPr>
          <w:color w:val="000000"/>
          <w:sz w:val="24"/>
        </w:rPr>
        <w:t>（4）声环境影响评价等级</w:t>
      </w:r>
    </w:p>
    <w:p w14:paraId="23480A3C">
      <w:pPr>
        <w:spacing w:line="360" w:lineRule="auto"/>
        <w:ind w:firstLine="480"/>
        <w:rPr>
          <w:color w:val="000000"/>
          <w:sz w:val="24"/>
        </w:rPr>
      </w:pPr>
      <w:r>
        <w:rPr>
          <w:color w:val="000000"/>
          <w:sz w:val="24"/>
        </w:rPr>
        <w:t>本项目评价区域为《声环境质量标准》规定的2类标准区域，通过对该工程产噪情况分析，建设项目评价500m范围内有部分居民敏感目标，根据《环境影响评价技术导则  声环境》（HJ2.4-2009），确定本项目的施工噪声影响评价等级为二级评价，重点对施工期噪声影响进行分析。</w:t>
      </w:r>
    </w:p>
    <w:p w14:paraId="645F0CE2">
      <w:pPr>
        <w:spacing w:line="360" w:lineRule="auto"/>
        <w:ind w:firstLine="480"/>
        <w:rPr>
          <w:color w:val="000000"/>
          <w:sz w:val="24"/>
        </w:rPr>
      </w:pPr>
      <w:r>
        <w:rPr>
          <w:color w:val="000000"/>
          <w:sz w:val="24"/>
        </w:rPr>
        <w:t>（5）环境风险评价等级</w:t>
      </w:r>
    </w:p>
    <w:p w14:paraId="762AA2BF">
      <w:pPr>
        <w:spacing w:line="360" w:lineRule="auto"/>
        <w:ind w:firstLine="480"/>
        <w:rPr>
          <w:color w:val="000000"/>
          <w:sz w:val="24"/>
        </w:rPr>
      </w:pPr>
      <w:r>
        <w:rPr>
          <w:color w:val="000000"/>
          <w:sz w:val="24"/>
        </w:rPr>
        <w:t>本项目环境风险影响主要在运营期中产生，风险主要包括：污水处理站、化粪池故障造成污水事故性排放。本项目评价根据《建设项目环境风险评价技术导则》（HJ/T169-2004），确定本项目的环境风险评价等级设为二级。</w:t>
      </w:r>
    </w:p>
    <w:p w14:paraId="394C858D">
      <w:pPr>
        <w:spacing w:line="360" w:lineRule="auto"/>
        <w:ind w:firstLine="480"/>
        <w:rPr>
          <w:color w:val="000000"/>
          <w:sz w:val="24"/>
        </w:rPr>
      </w:pPr>
      <w:bookmarkStart w:id="70" w:name="_Toc369709471"/>
      <w:bookmarkEnd w:id="70"/>
      <w:bookmarkStart w:id="71" w:name="_Toc369792504"/>
      <w:bookmarkEnd w:id="71"/>
      <w:bookmarkStart w:id="72" w:name="_Toc369709657"/>
      <w:bookmarkEnd w:id="72"/>
      <w:r>
        <w:rPr>
          <w:color w:val="000000"/>
          <w:sz w:val="24"/>
        </w:rPr>
        <w:t>（6）固体废弃物</w:t>
      </w:r>
    </w:p>
    <w:p w14:paraId="7AD74616">
      <w:pPr>
        <w:spacing w:line="360" w:lineRule="auto"/>
        <w:ind w:firstLine="480"/>
        <w:rPr>
          <w:color w:val="000000"/>
          <w:sz w:val="24"/>
        </w:rPr>
      </w:pPr>
      <w:r>
        <w:rPr>
          <w:rFonts w:hint="eastAsia" w:ascii="宋体" w:hAnsi="宋体"/>
          <w:color w:val="000000"/>
          <w:sz w:val="24"/>
        </w:rPr>
        <w:t>项目在营运过程中涉及的固体废弃物主要为医疗固体废弃物和污水处理站污泥等危险固体废弃物，因此对其进行重点分析。（从环评导则来看固废不设评价等级）。</w:t>
      </w:r>
    </w:p>
    <w:p w14:paraId="5F93A43F">
      <w:pPr>
        <w:spacing w:line="360" w:lineRule="auto"/>
        <w:ind w:firstLine="480"/>
        <w:rPr>
          <w:color w:val="000000"/>
          <w:sz w:val="24"/>
        </w:rPr>
      </w:pPr>
      <w:r>
        <w:rPr>
          <w:color w:val="000000"/>
          <w:sz w:val="24"/>
        </w:rPr>
        <w:t>（7）生态环境</w:t>
      </w:r>
    </w:p>
    <w:p w14:paraId="510642B2">
      <w:pPr>
        <w:spacing w:line="360" w:lineRule="auto"/>
        <w:ind w:firstLine="480"/>
        <w:rPr>
          <w:rFonts w:hint="eastAsia" w:ascii="宋体" w:hAnsi="宋体"/>
          <w:color w:val="000000"/>
          <w:sz w:val="24"/>
        </w:rPr>
      </w:pPr>
      <w:r>
        <w:rPr>
          <w:rFonts w:hint="eastAsia" w:ascii="宋体" w:hAnsi="宋体"/>
          <w:color w:val="000000"/>
          <w:sz w:val="24"/>
        </w:rPr>
        <w:t>本项目占地类型（用途）为城镇单一住宅用地，现被调规为医疗卫生用地。施工占地对生态环境的影响仅作简单分析。</w:t>
      </w:r>
    </w:p>
    <w:p w14:paraId="2B1ABF57">
      <w:pPr>
        <w:pStyle w:val="183"/>
        <w:ind w:firstLine="472"/>
        <w:rPr>
          <w:rFonts w:eastAsia="仿宋_GB2312"/>
          <w:color w:val="000000"/>
          <w:sz w:val="24"/>
          <w:szCs w:val="24"/>
        </w:rPr>
      </w:pPr>
      <w:bookmarkStart w:id="73" w:name="_Toc217800769"/>
      <w:bookmarkEnd w:id="73"/>
      <w:bookmarkStart w:id="74" w:name="_Toc495500029"/>
      <w:r>
        <w:rPr>
          <w:rFonts w:eastAsia="仿宋_GB2312"/>
          <w:color w:val="000000"/>
          <w:sz w:val="24"/>
          <w:szCs w:val="24"/>
        </w:rPr>
        <w:t>1.5.2评价范围</w:t>
      </w:r>
      <w:bookmarkEnd w:id="74"/>
    </w:p>
    <w:p w14:paraId="65346156">
      <w:pPr>
        <w:spacing w:line="360" w:lineRule="auto"/>
        <w:ind w:firstLine="480"/>
        <w:rPr>
          <w:color w:val="000000"/>
          <w:sz w:val="24"/>
        </w:rPr>
      </w:pPr>
      <w:r>
        <w:rPr>
          <w:color w:val="000000"/>
          <w:sz w:val="24"/>
        </w:rPr>
        <w:t>（1）地表水环境评价范围</w:t>
      </w:r>
    </w:p>
    <w:p w14:paraId="6539F9F6">
      <w:pPr>
        <w:spacing w:line="360" w:lineRule="auto"/>
        <w:ind w:firstLine="480"/>
        <w:rPr>
          <w:color w:val="000000"/>
          <w:sz w:val="24"/>
        </w:rPr>
      </w:pPr>
      <w:r>
        <w:rPr>
          <w:color w:val="000000"/>
          <w:sz w:val="24"/>
        </w:rPr>
        <w:t>本项目产生的污水经污水处理系统处理后进入市政污水管网。地表水的评价范围为</w:t>
      </w:r>
      <w:r>
        <w:rPr>
          <w:rFonts w:hint="eastAsia" w:cs="宋体"/>
          <w:color w:val="000000"/>
          <w:sz w:val="24"/>
        </w:rPr>
        <w:t>芒市妇幼保健院迁建项目</w:t>
      </w:r>
      <w:r>
        <w:rPr>
          <w:color w:val="000000"/>
          <w:sz w:val="24"/>
        </w:rPr>
        <w:t>总排口到入市政污水管网口。</w:t>
      </w:r>
    </w:p>
    <w:p w14:paraId="2911CDA0">
      <w:pPr>
        <w:spacing w:line="360" w:lineRule="auto"/>
        <w:ind w:firstLine="480"/>
        <w:rPr>
          <w:color w:val="000000"/>
          <w:sz w:val="24"/>
        </w:rPr>
      </w:pPr>
      <w:bookmarkStart w:id="75" w:name="_Toc369709659"/>
      <w:bookmarkEnd w:id="75"/>
      <w:bookmarkStart w:id="76" w:name="_Toc369709473"/>
      <w:bookmarkEnd w:id="76"/>
      <w:bookmarkStart w:id="77" w:name="_Toc369792506"/>
      <w:bookmarkEnd w:id="77"/>
      <w:r>
        <w:rPr>
          <w:color w:val="000000"/>
          <w:sz w:val="24"/>
        </w:rPr>
        <w:t>（2）环境空气评价范围</w:t>
      </w:r>
    </w:p>
    <w:p w14:paraId="576EAA5F">
      <w:pPr>
        <w:spacing w:line="360" w:lineRule="auto"/>
        <w:ind w:firstLine="480"/>
        <w:rPr>
          <w:color w:val="000000"/>
          <w:sz w:val="24"/>
        </w:rPr>
      </w:pPr>
      <w:r>
        <w:rPr>
          <w:color w:val="000000"/>
          <w:sz w:val="24"/>
        </w:rPr>
        <w:t>大气评价范围以大气污染物排放源为中心边长5km的矩形。</w:t>
      </w:r>
    </w:p>
    <w:p w14:paraId="03E2BBAD">
      <w:pPr>
        <w:spacing w:line="360" w:lineRule="auto"/>
        <w:ind w:firstLine="480"/>
        <w:rPr>
          <w:color w:val="000000"/>
          <w:sz w:val="24"/>
        </w:rPr>
      </w:pPr>
      <w:bookmarkStart w:id="78" w:name="_Toc369792507"/>
      <w:bookmarkEnd w:id="78"/>
      <w:bookmarkStart w:id="79" w:name="_Toc369709660"/>
      <w:bookmarkEnd w:id="79"/>
      <w:bookmarkStart w:id="80" w:name="_Toc369709474"/>
      <w:bookmarkEnd w:id="80"/>
      <w:r>
        <w:rPr>
          <w:color w:val="000000"/>
          <w:sz w:val="24"/>
        </w:rPr>
        <w:t>（3）声环境的评价范围</w:t>
      </w:r>
    </w:p>
    <w:p w14:paraId="4B235585">
      <w:pPr>
        <w:spacing w:line="360" w:lineRule="auto"/>
        <w:ind w:firstLine="480"/>
        <w:rPr>
          <w:color w:val="000000"/>
          <w:sz w:val="24"/>
        </w:rPr>
      </w:pPr>
      <w:r>
        <w:rPr>
          <w:color w:val="000000"/>
          <w:sz w:val="24"/>
        </w:rPr>
        <w:t>声环境的评价范围为项目场界外延200m区域范围内。</w:t>
      </w:r>
    </w:p>
    <w:p w14:paraId="6CF75851">
      <w:pPr>
        <w:spacing w:line="360" w:lineRule="auto"/>
        <w:ind w:firstLine="480"/>
        <w:rPr>
          <w:color w:val="000000"/>
          <w:sz w:val="24"/>
        </w:rPr>
      </w:pPr>
      <w:r>
        <w:rPr>
          <w:color w:val="000000"/>
          <w:sz w:val="24"/>
        </w:rPr>
        <w:t>（4）生态环境评价范围</w:t>
      </w:r>
    </w:p>
    <w:p w14:paraId="69CA1504">
      <w:pPr>
        <w:spacing w:line="360" w:lineRule="auto"/>
        <w:ind w:firstLine="480"/>
        <w:rPr>
          <w:color w:val="000000"/>
          <w:sz w:val="24"/>
        </w:rPr>
      </w:pPr>
      <w:r>
        <w:rPr>
          <w:color w:val="000000"/>
          <w:sz w:val="24"/>
        </w:rPr>
        <w:t>项目场址外延200m区域范围</w:t>
      </w:r>
    </w:p>
    <w:p w14:paraId="743A7380">
      <w:pPr>
        <w:spacing w:line="360" w:lineRule="auto"/>
        <w:ind w:firstLine="480"/>
        <w:rPr>
          <w:color w:val="000000"/>
          <w:sz w:val="24"/>
        </w:rPr>
      </w:pPr>
      <w:r>
        <w:rPr>
          <w:color w:val="000000"/>
          <w:sz w:val="24"/>
        </w:rPr>
        <w:t>具体详见附图</w:t>
      </w:r>
      <w:r>
        <w:rPr>
          <w:rFonts w:hint="eastAsia"/>
          <w:color w:val="000000"/>
          <w:sz w:val="24"/>
        </w:rPr>
        <w:t>3</w:t>
      </w:r>
      <w:r>
        <w:rPr>
          <w:color w:val="000000"/>
          <w:sz w:val="24"/>
        </w:rPr>
        <w:t>项目评价范围图。</w:t>
      </w:r>
    </w:p>
    <w:p w14:paraId="2F31C63F">
      <w:pPr>
        <w:pStyle w:val="182"/>
        <w:ind w:firstLine="275"/>
        <w:rPr>
          <w:rFonts w:ascii="Times New Roman" w:hAnsi="Times New Roman" w:eastAsia="仿宋_GB2312" w:cs="Times New Roman"/>
          <w:color w:val="000000"/>
          <w:sz w:val="28"/>
          <w:szCs w:val="28"/>
        </w:rPr>
      </w:pPr>
      <w:bookmarkStart w:id="81" w:name="_Toc217711292"/>
      <w:bookmarkEnd w:id="81"/>
      <w:bookmarkStart w:id="82" w:name="_Toc495500030"/>
      <w:r>
        <w:rPr>
          <w:rFonts w:ascii="Times New Roman" w:hAnsi="Times New Roman" w:eastAsia="仿宋_GB2312" w:cs="Times New Roman"/>
          <w:color w:val="000000"/>
          <w:sz w:val="28"/>
          <w:szCs w:val="28"/>
        </w:rPr>
        <w:t>1.6环境保护目标</w:t>
      </w:r>
      <w:bookmarkEnd w:id="82"/>
    </w:p>
    <w:p w14:paraId="06B2F2FA">
      <w:pPr>
        <w:spacing w:line="360" w:lineRule="auto"/>
        <w:ind w:firstLine="480"/>
        <w:rPr>
          <w:color w:val="000000"/>
          <w:sz w:val="24"/>
        </w:rPr>
      </w:pPr>
      <w:r>
        <w:rPr>
          <w:color w:val="000000"/>
          <w:sz w:val="24"/>
        </w:rPr>
        <w:t>根据项目性质和周围环境特征，确定评价范围内的主要居民点及排污水体作为环境保护对象。项目周边关系示意图具体详见附图2。主要保护目标详见表1.6-1所示。</w:t>
      </w:r>
    </w:p>
    <w:p w14:paraId="27F6EC04">
      <w:pPr>
        <w:spacing w:line="360" w:lineRule="auto"/>
        <w:jc w:val="center"/>
        <w:rPr>
          <w:b/>
          <w:color w:val="000000"/>
          <w:sz w:val="24"/>
        </w:rPr>
      </w:pPr>
      <w:r>
        <w:rPr>
          <w:b/>
          <w:color w:val="000000"/>
          <w:sz w:val="24"/>
        </w:rPr>
        <w:t>表1.6-1  环境保护目标一览表</w:t>
      </w:r>
    </w:p>
    <w:tbl>
      <w:tblPr>
        <w:tblStyle w:val="27"/>
        <w:tblW w:w="0" w:type="auto"/>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57" w:type="dxa"/>
          <w:bottom w:w="0" w:type="dxa"/>
          <w:right w:w="57" w:type="dxa"/>
        </w:tblCellMar>
      </w:tblPr>
      <w:tblGrid>
        <w:gridCol w:w="660"/>
        <w:gridCol w:w="1473"/>
        <w:gridCol w:w="1324"/>
        <w:gridCol w:w="1714"/>
        <w:gridCol w:w="3509"/>
      </w:tblGrid>
      <w:tr w14:paraId="71FAC4E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cantSplit/>
          <w:trHeight w:val="199" w:hRule="atLeast"/>
        </w:trPr>
        <w:tc>
          <w:tcPr>
            <w:tcW w:w="660" w:type="dxa"/>
            <w:noWrap w:val="0"/>
            <w:vAlign w:val="center"/>
          </w:tcPr>
          <w:p w14:paraId="10608354">
            <w:pPr>
              <w:jc w:val="center"/>
              <w:rPr>
                <w:rFonts w:hint="eastAsia"/>
                <w:b/>
                <w:color w:val="000000"/>
                <w:szCs w:val="21"/>
              </w:rPr>
            </w:pPr>
            <w:r>
              <w:rPr>
                <w:rFonts w:hint="eastAsia"/>
                <w:b/>
                <w:color w:val="000000"/>
                <w:szCs w:val="21"/>
              </w:rPr>
              <w:t>序号</w:t>
            </w:r>
          </w:p>
        </w:tc>
        <w:tc>
          <w:tcPr>
            <w:tcW w:w="1473" w:type="dxa"/>
            <w:noWrap w:val="0"/>
            <w:vAlign w:val="center"/>
          </w:tcPr>
          <w:p w14:paraId="6AE272A9">
            <w:pPr>
              <w:jc w:val="center"/>
              <w:rPr>
                <w:rFonts w:hint="eastAsia"/>
                <w:b/>
                <w:color w:val="000000"/>
                <w:szCs w:val="21"/>
              </w:rPr>
            </w:pPr>
            <w:r>
              <w:rPr>
                <w:rFonts w:hint="eastAsia"/>
                <w:b/>
                <w:color w:val="000000"/>
                <w:szCs w:val="21"/>
              </w:rPr>
              <w:t>保护目标名称</w:t>
            </w:r>
          </w:p>
        </w:tc>
        <w:tc>
          <w:tcPr>
            <w:tcW w:w="1324" w:type="dxa"/>
            <w:noWrap w:val="0"/>
            <w:vAlign w:val="center"/>
          </w:tcPr>
          <w:p w14:paraId="6A20D4C8">
            <w:pPr>
              <w:jc w:val="center"/>
              <w:rPr>
                <w:rFonts w:hint="eastAsia"/>
                <w:b/>
                <w:color w:val="000000"/>
                <w:szCs w:val="21"/>
              </w:rPr>
            </w:pPr>
            <w:r>
              <w:rPr>
                <w:rFonts w:hint="eastAsia"/>
                <w:b/>
                <w:color w:val="000000"/>
                <w:szCs w:val="21"/>
              </w:rPr>
              <w:t>方位、距离</w:t>
            </w:r>
          </w:p>
        </w:tc>
        <w:tc>
          <w:tcPr>
            <w:tcW w:w="1714" w:type="dxa"/>
            <w:noWrap w:val="0"/>
            <w:vAlign w:val="center"/>
          </w:tcPr>
          <w:p w14:paraId="4B7E90AE">
            <w:pPr>
              <w:jc w:val="center"/>
              <w:rPr>
                <w:rFonts w:hint="eastAsia"/>
                <w:b/>
                <w:bCs/>
                <w:color w:val="000000"/>
                <w:szCs w:val="21"/>
              </w:rPr>
            </w:pPr>
            <w:r>
              <w:rPr>
                <w:rFonts w:hint="eastAsia"/>
                <w:b/>
                <w:color w:val="000000"/>
                <w:szCs w:val="21"/>
              </w:rPr>
              <w:t>人数（</w:t>
            </w:r>
            <w:r>
              <w:rPr>
                <w:rFonts w:hint="eastAsia"/>
                <w:color w:val="000000"/>
                <w:szCs w:val="21"/>
              </w:rPr>
              <w:t>人</w:t>
            </w:r>
            <w:r>
              <w:rPr>
                <w:rFonts w:hint="eastAsia"/>
                <w:b/>
                <w:bCs/>
                <w:color w:val="000000"/>
                <w:szCs w:val="21"/>
              </w:rPr>
              <w:t>）</w:t>
            </w:r>
          </w:p>
        </w:tc>
        <w:tc>
          <w:tcPr>
            <w:tcW w:w="3509" w:type="dxa"/>
            <w:noWrap w:val="0"/>
            <w:vAlign w:val="center"/>
          </w:tcPr>
          <w:p w14:paraId="2812A68A">
            <w:pPr>
              <w:jc w:val="center"/>
              <w:rPr>
                <w:rFonts w:hint="eastAsia"/>
                <w:b/>
                <w:color w:val="000000"/>
                <w:szCs w:val="21"/>
              </w:rPr>
            </w:pPr>
            <w:r>
              <w:rPr>
                <w:rFonts w:hint="eastAsia"/>
                <w:b/>
                <w:color w:val="000000"/>
                <w:szCs w:val="21"/>
              </w:rPr>
              <w:t>保护目标及其级别</w:t>
            </w:r>
          </w:p>
        </w:tc>
      </w:tr>
      <w:tr w14:paraId="39D79EC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cantSplit/>
          <w:trHeight w:val="298" w:hRule="atLeast"/>
        </w:trPr>
        <w:tc>
          <w:tcPr>
            <w:tcW w:w="660" w:type="dxa"/>
            <w:noWrap w:val="0"/>
            <w:vAlign w:val="center"/>
          </w:tcPr>
          <w:p w14:paraId="71471C04">
            <w:pPr>
              <w:jc w:val="center"/>
              <w:rPr>
                <w:rFonts w:hint="eastAsia"/>
                <w:color w:val="000000"/>
                <w:szCs w:val="21"/>
              </w:rPr>
            </w:pPr>
            <w:r>
              <w:rPr>
                <w:rFonts w:hint="eastAsia"/>
                <w:color w:val="000000"/>
                <w:szCs w:val="21"/>
              </w:rPr>
              <w:t>1</w:t>
            </w:r>
          </w:p>
        </w:tc>
        <w:tc>
          <w:tcPr>
            <w:tcW w:w="1473" w:type="dxa"/>
            <w:noWrap w:val="0"/>
            <w:vAlign w:val="center"/>
          </w:tcPr>
          <w:p w14:paraId="78F884E7">
            <w:pPr>
              <w:jc w:val="center"/>
              <w:rPr>
                <w:rFonts w:hint="eastAsia"/>
                <w:color w:val="000000"/>
                <w:szCs w:val="21"/>
              </w:rPr>
            </w:pPr>
            <w:r>
              <w:rPr>
                <w:rFonts w:hint="eastAsia"/>
                <w:color w:val="000000"/>
                <w:szCs w:val="21"/>
              </w:rPr>
              <w:t>泛亚壹城小区</w:t>
            </w:r>
          </w:p>
        </w:tc>
        <w:tc>
          <w:tcPr>
            <w:tcW w:w="1324" w:type="dxa"/>
            <w:noWrap w:val="0"/>
            <w:vAlign w:val="center"/>
          </w:tcPr>
          <w:p w14:paraId="14C3D583">
            <w:pPr>
              <w:jc w:val="center"/>
              <w:rPr>
                <w:rFonts w:hint="eastAsia"/>
                <w:color w:val="000000"/>
                <w:szCs w:val="21"/>
              </w:rPr>
            </w:pPr>
            <w:r>
              <w:rPr>
                <w:rFonts w:hint="eastAsia"/>
                <w:color w:val="000000"/>
                <w:szCs w:val="21"/>
              </w:rPr>
              <w:t>南面，55m</w:t>
            </w:r>
          </w:p>
        </w:tc>
        <w:tc>
          <w:tcPr>
            <w:tcW w:w="1714" w:type="dxa"/>
            <w:noWrap w:val="0"/>
            <w:vAlign w:val="center"/>
          </w:tcPr>
          <w:p w14:paraId="4A619568">
            <w:pPr>
              <w:jc w:val="center"/>
              <w:rPr>
                <w:rFonts w:hint="eastAsia"/>
                <w:color w:val="000000"/>
                <w:szCs w:val="21"/>
              </w:rPr>
            </w:pPr>
            <w:r>
              <w:rPr>
                <w:rFonts w:hint="eastAsia"/>
                <w:color w:val="000000"/>
                <w:szCs w:val="21"/>
              </w:rPr>
              <w:t>1200</w:t>
            </w:r>
          </w:p>
        </w:tc>
        <w:tc>
          <w:tcPr>
            <w:tcW w:w="3509" w:type="dxa"/>
            <w:vMerge w:val="restart"/>
            <w:noWrap w:val="0"/>
            <w:vAlign w:val="center"/>
          </w:tcPr>
          <w:p w14:paraId="568331E4">
            <w:pPr>
              <w:jc w:val="center"/>
              <w:rPr>
                <w:rFonts w:hint="eastAsia"/>
                <w:color w:val="000000"/>
                <w:szCs w:val="21"/>
              </w:rPr>
            </w:pPr>
            <w:r>
              <w:rPr>
                <w:rFonts w:hint="eastAsia"/>
                <w:color w:val="000000"/>
                <w:szCs w:val="21"/>
              </w:rPr>
              <w:t>GB3096-2008《声环境质量标准》2类,4a类标准，GB3095-2012《环境空气质量标准》二级标准</w:t>
            </w:r>
          </w:p>
        </w:tc>
      </w:tr>
      <w:tr w14:paraId="57D213C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cantSplit/>
          <w:trHeight w:val="379" w:hRule="atLeast"/>
        </w:trPr>
        <w:tc>
          <w:tcPr>
            <w:tcW w:w="660" w:type="dxa"/>
            <w:noWrap w:val="0"/>
            <w:vAlign w:val="center"/>
          </w:tcPr>
          <w:p w14:paraId="3F1B7555">
            <w:pPr>
              <w:jc w:val="center"/>
              <w:rPr>
                <w:rFonts w:hint="eastAsia"/>
                <w:color w:val="000000"/>
                <w:szCs w:val="21"/>
              </w:rPr>
            </w:pPr>
            <w:r>
              <w:rPr>
                <w:rFonts w:hint="eastAsia"/>
                <w:color w:val="000000"/>
                <w:szCs w:val="21"/>
              </w:rPr>
              <w:t>2</w:t>
            </w:r>
          </w:p>
        </w:tc>
        <w:tc>
          <w:tcPr>
            <w:tcW w:w="1473" w:type="dxa"/>
            <w:noWrap w:val="0"/>
            <w:vAlign w:val="center"/>
          </w:tcPr>
          <w:p w14:paraId="0EF4C65D">
            <w:pPr>
              <w:jc w:val="center"/>
              <w:rPr>
                <w:rFonts w:hint="eastAsia"/>
                <w:color w:val="000000"/>
                <w:szCs w:val="21"/>
              </w:rPr>
            </w:pPr>
            <w:r>
              <w:rPr>
                <w:rFonts w:hint="eastAsia"/>
                <w:color w:val="000000"/>
                <w:szCs w:val="21"/>
              </w:rPr>
              <w:t>芒核村</w:t>
            </w:r>
          </w:p>
        </w:tc>
        <w:tc>
          <w:tcPr>
            <w:tcW w:w="1324" w:type="dxa"/>
            <w:noWrap w:val="0"/>
            <w:vAlign w:val="center"/>
          </w:tcPr>
          <w:p w14:paraId="09480F69">
            <w:pPr>
              <w:jc w:val="center"/>
              <w:rPr>
                <w:rFonts w:hint="eastAsia"/>
                <w:color w:val="000000"/>
                <w:szCs w:val="21"/>
              </w:rPr>
            </w:pPr>
            <w:r>
              <w:rPr>
                <w:rFonts w:hint="eastAsia"/>
                <w:color w:val="000000"/>
                <w:szCs w:val="21"/>
              </w:rPr>
              <w:t>北面，165m</w:t>
            </w:r>
          </w:p>
        </w:tc>
        <w:tc>
          <w:tcPr>
            <w:tcW w:w="1714" w:type="dxa"/>
            <w:noWrap w:val="0"/>
            <w:vAlign w:val="center"/>
          </w:tcPr>
          <w:p w14:paraId="20123A15">
            <w:pPr>
              <w:jc w:val="center"/>
              <w:rPr>
                <w:rFonts w:hint="eastAsia"/>
                <w:color w:val="000000"/>
                <w:szCs w:val="21"/>
              </w:rPr>
            </w:pPr>
            <w:r>
              <w:rPr>
                <w:rFonts w:hint="eastAsia"/>
                <w:color w:val="000000"/>
                <w:szCs w:val="21"/>
              </w:rPr>
              <w:t>286</w:t>
            </w:r>
          </w:p>
        </w:tc>
        <w:tc>
          <w:tcPr>
            <w:tcW w:w="3509" w:type="dxa"/>
            <w:vMerge w:val="continue"/>
            <w:noWrap w:val="0"/>
            <w:vAlign w:val="center"/>
          </w:tcPr>
          <w:p w14:paraId="3A302B43">
            <w:pPr>
              <w:jc w:val="left"/>
              <w:rPr>
                <w:rFonts w:hint="eastAsia"/>
                <w:color w:val="000000"/>
                <w:szCs w:val="21"/>
              </w:rPr>
            </w:pPr>
          </w:p>
        </w:tc>
      </w:tr>
      <w:tr w14:paraId="1A6737A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cantSplit/>
          <w:trHeight w:val="379" w:hRule="atLeast"/>
        </w:trPr>
        <w:tc>
          <w:tcPr>
            <w:tcW w:w="660" w:type="dxa"/>
            <w:noWrap w:val="0"/>
            <w:vAlign w:val="center"/>
          </w:tcPr>
          <w:p w14:paraId="142EBCCC">
            <w:pPr>
              <w:jc w:val="center"/>
              <w:rPr>
                <w:rFonts w:hint="eastAsia"/>
                <w:color w:val="000000"/>
                <w:szCs w:val="21"/>
              </w:rPr>
            </w:pPr>
            <w:r>
              <w:rPr>
                <w:color w:val="000000"/>
                <w:szCs w:val="21"/>
              </w:rPr>
              <w:t>3</w:t>
            </w:r>
          </w:p>
        </w:tc>
        <w:tc>
          <w:tcPr>
            <w:tcW w:w="1473" w:type="dxa"/>
            <w:noWrap w:val="0"/>
            <w:vAlign w:val="center"/>
          </w:tcPr>
          <w:p w14:paraId="074DC3B1">
            <w:pPr>
              <w:jc w:val="center"/>
              <w:rPr>
                <w:rFonts w:hint="eastAsia"/>
                <w:color w:val="000000"/>
                <w:szCs w:val="21"/>
              </w:rPr>
            </w:pPr>
            <w:r>
              <w:rPr>
                <w:rFonts w:hint="eastAsia"/>
                <w:color w:val="000000"/>
                <w:szCs w:val="21"/>
              </w:rPr>
              <w:t>军事管理基地</w:t>
            </w:r>
          </w:p>
        </w:tc>
        <w:tc>
          <w:tcPr>
            <w:tcW w:w="1324" w:type="dxa"/>
            <w:noWrap w:val="0"/>
            <w:vAlign w:val="center"/>
          </w:tcPr>
          <w:p w14:paraId="72BB6D1C">
            <w:pPr>
              <w:jc w:val="center"/>
              <w:rPr>
                <w:rFonts w:hint="eastAsia"/>
                <w:color w:val="000000"/>
                <w:szCs w:val="21"/>
              </w:rPr>
            </w:pPr>
            <w:r>
              <w:rPr>
                <w:rFonts w:hint="eastAsia"/>
                <w:color w:val="000000"/>
                <w:szCs w:val="21"/>
              </w:rPr>
              <w:t>东南面150m</w:t>
            </w:r>
          </w:p>
        </w:tc>
        <w:tc>
          <w:tcPr>
            <w:tcW w:w="1714" w:type="dxa"/>
            <w:noWrap w:val="0"/>
            <w:vAlign w:val="center"/>
          </w:tcPr>
          <w:p w14:paraId="216B0B52">
            <w:pPr>
              <w:jc w:val="center"/>
              <w:rPr>
                <w:rFonts w:hint="eastAsia"/>
                <w:color w:val="000000"/>
                <w:szCs w:val="21"/>
              </w:rPr>
            </w:pPr>
            <w:r>
              <w:rPr>
                <w:color w:val="000000"/>
                <w:szCs w:val="21"/>
              </w:rPr>
              <w:t>/</w:t>
            </w:r>
          </w:p>
        </w:tc>
        <w:tc>
          <w:tcPr>
            <w:tcW w:w="3509" w:type="dxa"/>
            <w:vMerge w:val="continue"/>
            <w:noWrap w:val="0"/>
            <w:vAlign w:val="center"/>
          </w:tcPr>
          <w:p w14:paraId="5F402C23">
            <w:pPr>
              <w:jc w:val="left"/>
              <w:rPr>
                <w:rFonts w:hint="eastAsia"/>
                <w:color w:val="000000"/>
                <w:szCs w:val="21"/>
              </w:rPr>
            </w:pPr>
          </w:p>
        </w:tc>
      </w:tr>
      <w:tr w14:paraId="35B094B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cantSplit/>
          <w:trHeight w:val="345" w:hRule="atLeast"/>
        </w:trPr>
        <w:tc>
          <w:tcPr>
            <w:tcW w:w="660" w:type="dxa"/>
            <w:vMerge w:val="restart"/>
            <w:noWrap w:val="0"/>
            <w:vAlign w:val="center"/>
          </w:tcPr>
          <w:p w14:paraId="57C7664B">
            <w:pPr>
              <w:jc w:val="center"/>
              <w:rPr>
                <w:rFonts w:hint="eastAsia"/>
                <w:color w:val="000000"/>
                <w:szCs w:val="21"/>
              </w:rPr>
            </w:pPr>
            <w:r>
              <w:rPr>
                <w:rFonts w:hint="eastAsia"/>
                <w:color w:val="000000"/>
                <w:szCs w:val="21"/>
              </w:rPr>
              <w:t>4</w:t>
            </w:r>
          </w:p>
        </w:tc>
        <w:tc>
          <w:tcPr>
            <w:tcW w:w="1473" w:type="dxa"/>
            <w:vMerge w:val="restart"/>
            <w:noWrap w:val="0"/>
            <w:vAlign w:val="center"/>
          </w:tcPr>
          <w:p w14:paraId="330550F1">
            <w:pPr>
              <w:jc w:val="center"/>
              <w:rPr>
                <w:rFonts w:hint="eastAsia"/>
                <w:color w:val="000000"/>
                <w:szCs w:val="21"/>
              </w:rPr>
            </w:pPr>
            <w:bookmarkStart w:id="83" w:name="OLE_LINK12"/>
            <w:bookmarkEnd w:id="83"/>
            <w:r>
              <w:rPr>
                <w:rFonts w:hint="eastAsia"/>
                <w:color w:val="000000"/>
                <w:szCs w:val="21"/>
              </w:rPr>
              <w:t>商住混合区</w:t>
            </w:r>
          </w:p>
        </w:tc>
        <w:tc>
          <w:tcPr>
            <w:tcW w:w="1324" w:type="dxa"/>
            <w:noWrap w:val="0"/>
            <w:vAlign w:val="center"/>
          </w:tcPr>
          <w:p w14:paraId="50445B0F">
            <w:pPr>
              <w:jc w:val="center"/>
              <w:rPr>
                <w:rFonts w:hint="eastAsia"/>
                <w:color w:val="000000"/>
                <w:szCs w:val="21"/>
              </w:rPr>
            </w:pPr>
            <w:r>
              <w:rPr>
                <w:rFonts w:hint="eastAsia"/>
                <w:color w:val="000000"/>
                <w:szCs w:val="21"/>
              </w:rPr>
              <w:t>东面，35m</w:t>
            </w:r>
          </w:p>
        </w:tc>
        <w:tc>
          <w:tcPr>
            <w:tcW w:w="1714" w:type="dxa"/>
            <w:noWrap w:val="0"/>
            <w:vAlign w:val="center"/>
          </w:tcPr>
          <w:p w14:paraId="1D13E555">
            <w:pPr>
              <w:jc w:val="center"/>
              <w:rPr>
                <w:rFonts w:hint="eastAsia"/>
                <w:color w:val="000000"/>
                <w:szCs w:val="21"/>
              </w:rPr>
            </w:pPr>
            <w:r>
              <w:rPr>
                <w:rFonts w:hint="eastAsia"/>
                <w:color w:val="000000"/>
                <w:szCs w:val="21"/>
              </w:rPr>
              <w:t>125</w:t>
            </w:r>
          </w:p>
        </w:tc>
        <w:tc>
          <w:tcPr>
            <w:tcW w:w="3509" w:type="dxa"/>
            <w:vMerge w:val="continue"/>
            <w:noWrap w:val="0"/>
            <w:vAlign w:val="center"/>
          </w:tcPr>
          <w:p w14:paraId="1A9035D9">
            <w:pPr>
              <w:jc w:val="left"/>
              <w:rPr>
                <w:rFonts w:hint="eastAsia"/>
                <w:color w:val="000000"/>
                <w:szCs w:val="21"/>
              </w:rPr>
            </w:pPr>
          </w:p>
        </w:tc>
      </w:tr>
      <w:tr w14:paraId="10D3AFE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cantSplit/>
          <w:trHeight w:val="393" w:hRule="atLeast"/>
        </w:trPr>
        <w:tc>
          <w:tcPr>
            <w:tcW w:w="660" w:type="dxa"/>
            <w:vMerge w:val="continue"/>
            <w:noWrap w:val="0"/>
            <w:vAlign w:val="center"/>
          </w:tcPr>
          <w:p w14:paraId="2B5C4330">
            <w:pPr>
              <w:jc w:val="center"/>
              <w:rPr>
                <w:rFonts w:cs="宋体"/>
                <w:color w:val="000000"/>
                <w:szCs w:val="21"/>
              </w:rPr>
            </w:pPr>
          </w:p>
        </w:tc>
        <w:tc>
          <w:tcPr>
            <w:tcW w:w="1473" w:type="dxa"/>
            <w:vMerge w:val="continue"/>
            <w:noWrap w:val="0"/>
            <w:vAlign w:val="center"/>
          </w:tcPr>
          <w:p w14:paraId="39D4A086">
            <w:pPr>
              <w:jc w:val="center"/>
              <w:rPr>
                <w:color w:val="000000"/>
                <w:szCs w:val="21"/>
              </w:rPr>
            </w:pPr>
          </w:p>
        </w:tc>
        <w:tc>
          <w:tcPr>
            <w:tcW w:w="1324" w:type="dxa"/>
            <w:noWrap w:val="0"/>
            <w:vAlign w:val="center"/>
          </w:tcPr>
          <w:p w14:paraId="3CF1807B">
            <w:pPr>
              <w:jc w:val="center"/>
              <w:rPr>
                <w:rFonts w:hint="eastAsia"/>
                <w:color w:val="000000"/>
                <w:szCs w:val="21"/>
              </w:rPr>
            </w:pPr>
            <w:r>
              <w:rPr>
                <w:rFonts w:hint="eastAsia"/>
                <w:color w:val="000000"/>
                <w:szCs w:val="21"/>
              </w:rPr>
              <w:t>北面，15m</w:t>
            </w:r>
          </w:p>
        </w:tc>
        <w:tc>
          <w:tcPr>
            <w:tcW w:w="1714" w:type="dxa"/>
            <w:noWrap w:val="0"/>
            <w:vAlign w:val="center"/>
          </w:tcPr>
          <w:p w14:paraId="15D5ABD8">
            <w:pPr>
              <w:jc w:val="center"/>
              <w:rPr>
                <w:rFonts w:hint="eastAsia"/>
                <w:color w:val="000000"/>
                <w:szCs w:val="21"/>
              </w:rPr>
            </w:pPr>
            <w:r>
              <w:rPr>
                <w:rFonts w:hint="eastAsia"/>
                <w:color w:val="000000"/>
                <w:szCs w:val="21"/>
              </w:rPr>
              <w:t>23</w:t>
            </w:r>
          </w:p>
        </w:tc>
        <w:tc>
          <w:tcPr>
            <w:tcW w:w="3509" w:type="dxa"/>
            <w:vMerge w:val="continue"/>
            <w:noWrap w:val="0"/>
            <w:vAlign w:val="center"/>
          </w:tcPr>
          <w:p w14:paraId="432C10D6">
            <w:pPr>
              <w:jc w:val="center"/>
              <w:rPr>
                <w:rFonts w:hint="eastAsia"/>
                <w:color w:val="000000"/>
                <w:szCs w:val="21"/>
              </w:rPr>
            </w:pPr>
          </w:p>
        </w:tc>
      </w:tr>
      <w:tr w14:paraId="714FE57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cantSplit/>
          <w:trHeight w:val="393" w:hRule="atLeast"/>
        </w:trPr>
        <w:tc>
          <w:tcPr>
            <w:tcW w:w="660" w:type="dxa"/>
            <w:vMerge w:val="continue"/>
            <w:noWrap w:val="0"/>
            <w:vAlign w:val="center"/>
          </w:tcPr>
          <w:p w14:paraId="03CD02C0">
            <w:pPr>
              <w:jc w:val="center"/>
              <w:rPr>
                <w:rFonts w:cs="宋体"/>
                <w:color w:val="000000"/>
                <w:szCs w:val="21"/>
              </w:rPr>
            </w:pPr>
          </w:p>
        </w:tc>
        <w:tc>
          <w:tcPr>
            <w:tcW w:w="1473" w:type="dxa"/>
            <w:vMerge w:val="continue"/>
            <w:noWrap w:val="0"/>
            <w:vAlign w:val="center"/>
          </w:tcPr>
          <w:p w14:paraId="1D1D38F6">
            <w:pPr>
              <w:jc w:val="center"/>
              <w:rPr>
                <w:color w:val="000000"/>
                <w:szCs w:val="21"/>
              </w:rPr>
            </w:pPr>
          </w:p>
        </w:tc>
        <w:tc>
          <w:tcPr>
            <w:tcW w:w="1324" w:type="dxa"/>
            <w:noWrap w:val="0"/>
            <w:vAlign w:val="center"/>
          </w:tcPr>
          <w:p w14:paraId="3465EA25">
            <w:pPr>
              <w:jc w:val="center"/>
              <w:rPr>
                <w:rFonts w:hint="eastAsia"/>
                <w:color w:val="000000"/>
                <w:szCs w:val="21"/>
              </w:rPr>
            </w:pPr>
            <w:r>
              <w:rPr>
                <w:rFonts w:hint="eastAsia"/>
                <w:color w:val="000000"/>
                <w:szCs w:val="21"/>
              </w:rPr>
              <w:t>北面，25m</w:t>
            </w:r>
          </w:p>
        </w:tc>
        <w:tc>
          <w:tcPr>
            <w:tcW w:w="1714" w:type="dxa"/>
            <w:noWrap w:val="0"/>
            <w:vAlign w:val="center"/>
          </w:tcPr>
          <w:p w14:paraId="262BCF32">
            <w:pPr>
              <w:jc w:val="center"/>
              <w:rPr>
                <w:rFonts w:hint="eastAsia"/>
                <w:color w:val="000000"/>
                <w:szCs w:val="21"/>
              </w:rPr>
            </w:pPr>
            <w:r>
              <w:rPr>
                <w:rFonts w:hint="eastAsia"/>
                <w:color w:val="000000"/>
                <w:szCs w:val="21"/>
              </w:rPr>
              <w:t>28</w:t>
            </w:r>
          </w:p>
        </w:tc>
        <w:tc>
          <w:tcPr>
            <w:tcW w:w="3509" w:type="dxa"/>
            <w:vMerge w:val="continue"/>
            <w:noWrap w:val="0"/>
            <w:vAlign w:val="center"/>
          </w:tcPr>
          <w:p w14:paraId="3D3BC745">
            <w:pPr>
              <w:jc w:val="center"/>
              <w:rPr>
                <w:rFonts w:hint="eastAsia"/>
                <w:color w:val="000000"/>
                <w:szCs w:val="21"/>
              </w:rPr>
            </w:pPr>
          </w:p>
        </w:tc>
      </w:tr>
      <w:tr w14:paraId="7A7209A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cantSplit/>
          <w:trHeight w:val="800" w:hRule="atLeast"/>
        </w:trPr>
        <w:tc>
          <w:tcPr>
            <w:tcW w:w="660" w:type="dxa"/>
            <w:noWrap w:val="0"/>
            <w:vAlign w:val="center"/>
          </w:tcPr>
          <w:p w14:paraId="3DD5FA4A">
            <w:pPr>
              <w:jc w:val="center"/>
              <w:rPr>
                <w:rFonts w:hint="eastAsia" w:cs="宋体"/>
                <w:color w:val="000000"/>
                <w:szCs w:val="21"/>
              </w:rPr>
            </w:pPr>
            <w:r>
              <w:rPr>
                <w:rFonts w:hint="eastAsia" w:cs="宋体"/>
                <w:color w:val="000000"/>
                <w:szCs w:val="21"/>
              </w:rPr>
              <w:t>5</w:t>
            </w:r>
          </w:p>
        </w:tc>
        <w:tc>
          <w:tcPr>
            <w:tcW w:w="1473" w:type="dxa"/>
            <w:noWrap w:val="0"/>
            <w:vAlign w:val="center"/>
          </w:tcPr>
          <w:p w14:paraId="6C33CB0A">
            <w:pPr>
              <w:jc w:val="center"/>
              <w:rPr>
                <w:rFonts w:hint="eastAsia"/>
                <w:color w:val="000000"/>
                <w:szCs w:val="21"/>
              </w:rPr>
            </w:pPr>
            <w:r>
              <w:rPr>
                <w:rFonts w:hint="eastAsia"/>
                <w:color w:val="000000"/>
                <w:szCs w:val="21"/>
              </w:rPr>
              <w:t>芒市大河</w:t>
            </w:r>
          </w:p>
        </w:tc>
        <w:tc>
          <w:tcPr>
            <w:tcW w:w="1324" w:type="dxa"/>
            <w:noWrap w:val="0"/>
            <w:vAlign w:val="center"/>
          </w:tcPr>
          <w:p w14:paraId="27B81234">
            <w:pPr>
              <w:jc w:val="center"/>
              <w:rPr>
                <w:rFonts w:hint="eastAsia"/>
                <w:color w:val="000000"/>
                <w:szCs w:val="21"/>
              </w:rPr>
            </w:pPr>
            <w:r>
              <w:rPr>
                <w:rFonts w:hint="eastAsia"/>
                <w:color w:val="000000"/>
                <w:szCs w:val="21"/>
              </w:rPr>
              <w:t>西</w:t>
            </w:r>
            <w:r>
              <w:rPr>
                <w:color w:val="000000"/>
                <w:szCs w:val="21"/>
              </w:rPr>
              <w:t>北面</w:t>
            </w:r>
            <w:r>
              <w:rPr>
                <w:rFonts w:hint="eastAsia"/>
                <w:color w:val="000000"/>
                <w:szCs w:val="21"/>
              </w:rPr>
              <w:t>2.1km</w:t>
            </w:r>
          </w:p>
        </w:tc>
        <w:tc>
          <w:tcPr>
            <w:tcW w:w="1714" w:type="dxa"/>
            <w:noWrap w:val="0"/>
            <w:vAlign w:val="center"/>
          </w:tcPr>
          <w:p w14:paraId="4F90B76C">
            <w:pPr>
              <w:jc w:val="center"/>
              <w:rPr>
                <w:color w:val="000000"/>
                <w:szCs w:val="21"/>
              </w:rPr>
            </w:pPr>
            <w:r>
              <w:rPr>
                <w:color w:val="000000"/>
                <w:szCs w:val="21"/>
              </w:rPr>
              <w:t>/</w:t>
            </w:r>
          </w:p>
        </w:tc>
        <w:tc>
          <w:tcPr>
            <w:tcW w:w="3509" w:type="dxa"/>
            <w:noWrap w:val="0"/>
            <w:vAlign w:val="center"/>
          </w:tcPr>
          <w:p w14:paraId="2D31078D">
            <w:pPr>
              <w:jc w:val="center"/>
              <w:rPr>
                <w:rFonts w:hint="eastAsia"/>
                <w:color w:val="000000"/>
                <w:szCs w:val="21"/>
              </w:rPr>
            </w:pPr>
            <w:r>
              <w:rPr>
                <w:rFonts w:hint="eastAsia"/>
                <w:color w:val="000000"/>
                <w:szCs w:val="21"/>
              </w:rPr>
              <w:t>GB3838-2002《地表水环境质量标准》Ⅲ类水标准</w:t>
            </w:r>
          </w:p>
        </w:tc>
      </w:tr>
    </w:tbl>
    <w:p w14:paraId="62857B1B">
      <w:pPr>
        <w:pStyle w:val="182"/>
        <w:rPr>
          <w:rFonts w:ascii="Times New Roman" w:hAnsi="Times New Roman" w:eastAsia="仿宋_GB2312" w:cs="Times New Roman"/>
          <w:color w:val="000000"/>
          <w:sz w:val="28"/>
          <w:szCs w:val="28"/>
        </w:rPr>
      </w:pPr>
      <w:bookmarkStart w:id="84" w:name="_Toc217711293"/>
      <w:bookmarkEnd w:id="84"/>
      <w:bookmarkStart w:id="85" w:name="_Toc495500031"/>
      <w:r>
        <w:rPr>
          <w:rFonts w:ascii="Times New Roman" w:hAnsi="Times New Roman" w:eastAsia="仿宋_GB2312" w:cs="Times New Roman"/>
          <w:color w:val="000000"/>
          <w:sz w:val="28"/>
          <w:szCs w:val="28"/>
        </w:rPr>
        <w:t>1.7评价内容、评价重点及主要评价因子</w:t>
      </w:r>
      <w:bookmarkEnd w:id="85"/>
    </w:p>
    <w:p w14:paraId="0D1890E7">
      <w:pPr>
        <w:pStyle w:val="183"/>
        <w:ind w:firstLine="472"/>
        <w:rPr>
          <w:rFonts w:eastAsia="仿宋_GB2312"/>
          <w:color w:val="000000"/>
          <w:sz w:val="24"/>
          <w:szCs w:val="24"/>
        </w:rPr>
      </w:pPr>
      <w:bookmarkStart w:id="86" w:name="_Toc217711294"/>
      <w:bookmarkEnd w:id="86"/>
      <w:bookmarkStart w:id="87" w:name="_Toc143085321"/>
      <w:bookmarkEnd w:id="87"/>
      <w:bookmarkStart w:id="88" w:name="_Toc495500032"/>
      <w:r>
        <w:rPr>
          <w:rFonts w:eastAsia="仿宋_GB2312"/>
          <w:color w:val="000000"/>
          <w:sz w:val="24"/>
          <w:szCs w:val="24"/>
        </w:rPr>
        <w:t>1.7.1评价内容</w:t>
      </w:r>
      <w:bookmarkEnd w:id="88"/>
    </w:p>
    <w:p w14:paraId="1EF22CA6">
      <w:pPr>
        <w:spacing w:line="360" w:lineRule="auto"/>
        <w:ind w:firstLine="480"/>
        <w:rPr>
          <w:color w:val="000000"/>
          <w:sz w:val="24"/>
        </w:rPr>
      </w:pPr>
      <w:r>
        <w:rPr>
          <w:color w:val="000000"/>
          <w:sz w:val="24"/>
        </w:rPr>
        <w:t>（1）对项目所在区域内环境质量现状进行调查，根据所得的资料、数据，对评价范围内环境质量现状进行分析评价，掌握项目所在区域的污染现状、环境质量现状；</w:t>
      </w:r>
    </w:p>
    <w:p w14:paraId="42D1BCA7">
      <w:pPr>
        <w:spacing w:line="360" w:lineRule="auto"/>
        <w:ind w:firstLine="480"/>
        <w:rPr>
          <w:color w:val="000000"/>
          <w:sz w:val="24"/>
        </w:rPr>
      </w:pPr>
      <w:r>
        <w:rPr>
          <w:color w:val="000000"/>
          <w:sz w:val="24"/>
        </w:rPr>
        <w:t>（2）对项目进行工程分析，确定项目的工程内容、项目施工期和营运期可能造成的环境影响、核算污染物排放总量；</w:t>
      </w:r>
    </w:p>
    <w:p w14:paraId="0F2F59F6">
      <w:pPr>
        <w:spacing w:line="360" w:lineRule="auto"/>
        <w:ind w:firstLine="480"/>
        <w:rPr>
          <w:color w:val="000000"/>
          <w:sz w:val="24"/>
        </w:rPr>
      </w:pPr>
      <w:r>
        <w:rPr>
          <w:color w:val="000000"/>
          <w:sz w:val="24"/>
        </w:rPr>
        <w:t>（3）根据工程分析，选择对环境危害大、不利影响较突出的环境影响因子进行评价，预测项目建设对环境的影响范围和程度，并提出相应的污染防治措施；</w:t>
      </w:r>
    </w:p>
    <w:p w14:paraId="7B7C28FB">
      <w:pPr>
        <w:spacing w:line="360" w:lineRule="auto"/>
        <w:ind w:firstLine="480"/>
        <w:rPr>
          <w:color w:val="000000"/>
          <w:sz w:val="24"/>
        </w:rPr>
      </w:pPr>
      <w:r>
        <w:rPr>
          <w:color w:val="000000"/>
          <w:sz w:val="24"/>
        </w:rPr>
        <w:t>（4）根据当地环保部门对环境的要求，结合项目的实际情况，给出项目污染物总量控制的建议；</w:t>
      </w:r>
    </w:p>
    <w:p w14:paraId="2C52BF26">
      <w:pPr>
        <w:spacing w:line="360" w:lineRule="auto"/>
        <w:ind w:firstLine="480"/>
        <w:rPr>
          <w:color w:val="000000"/>
          <w:sz w:val="24"/>
        </w:rPr>
      </w:pPr>
      <w:bookmarkStart w:id="89" w:name="_Toc369709664"/>
      <w:bookmarkEnd w:id="89"/>
      <w:bookmarkStart w:id="90" w:name="_Toc369709478"/>
      <w:bookmarkEnd w:id="90"/>
      <w:bookmarkStart w:id="91" w:name="_Toc369792511"/>
      <w:bookmarkEnd w:id="91"/>
      <w:r>
        <w:rPr>
          <w:color w:val="000000"/>
          <w:sz w:val="24"/>
        </w:rPr>
        <w:t>（5）对项目污染防治措施及对策进行分析评述；</w:t>
      </w:r>
    </w:p>
    <w:p w14:paraId="02E64260">
      <w:pPr>
        <w:spacing w:line="360" w:lineRule="auto"/>
        <w:ind w:firstLine="480"/>
        <w:rPr>
          <w:color w:val="000000"/>
          <w:sz w:val="24"/>
        </w:rPr>
      </w:pPr>
      <w:r>
        <w:rPr>
          <w:color w:val="000000"/>
          <w:sz w:val="24"/>
        </w:rPr>
        <w:t>（6）进行公众参与调查，了解公众对当地环境现状和该项目建设的态度及环境保护的要求；</w:t>
      </w:r>
    </w:p>
    <w:p w14:paraId="1DCE8049">
      <w:pPr>
        <w:spacing w:line="360" w:lineRule="auto"/>
        <w:ind w:firstLine="480"/>
        <w:rPr>
          <w:color w:val="000000"/>
          <w:sz w:val="24"/>
        </w:rPr>
      </w:pPr>
      <w:r>
        <w:rPr>
          <w:color w:val="000000"/>
          <w:sz w:val="24"/>
        </w:rPr>
        <w:t>（7）进行环境经济损益分析，论证项目建设在经济、社会和环境效益三方面的统一性；</w:t>
      </w:r>
    </w:p>
    <w:p w14:paraId="1B913F6B">
      <w:pPr>
        <w:spacing w:line="360" w:lineRule="auto"/>
        <w:ind w:firstLine="480"/>
        <w:rPr>
          <w:color w:val="000000"/>
          <w:sz w:val="24"/>
        </w:rPr>
      </w:pPr>
      <w:bookmarkStart w:id="92" w:name="_Toc369792512"/>
      <w:bookmarkEnd w:id="92"/>
      <w:bookmarkStart w:id="93" w:name="_Toc369709665"/>
      <w:bookmarkEnd w:id="93"/>
      <w:bookmarkStart w:id="94" w:name="_Toc369709479"/>
      <w:bookmarkEnd w:id="94"/>
      <w:r>
        <w:rPr>
          <w:color w:val="000000"/>
          <w:sz w:val="24"/>
        </w:rPr>
        <w:t>（8）根据项目建设的实际情况，提出项目环境管理与环境监测建议；</w:t>
      </w:r>
    </w:p>
    <w:p w14:paraId="72B543DC">
      <w:pPr>
        <w:spacing w:line="360" w:lineRule="auto"/>
        <w:ind w:firstLine="480"/>
        <w:rPr>
          <w:color w:val="000000"/>
          <w:sz w:val="24"/>
        </w:rPr>
      </w:pPr>
      <w:r>
        <w:rPr>
          <w:color w:val="000000"/>
          <w:sz w:val="24"/>
        </w:rPr>
        <w:t>（9）通过以上评价，给出项目建设是否可行的结论，并针对环境保护提出合理化措施及建议。</w:t>
      </w:r>
    </w:p>
    <w:p w14:paraId="3423E492">
      <w:pPr>
        <w:pStyle w:val="183"/>
        <w:ind w:firstLine="472"/>
        <w:rPr>
          <w:rFonts w:eastAsia="仿宋_GB2312"/>
          <w:color w:val="000000"/>
          <w:sz w:val="24"/>
          <w:szCs w:val="24"/>
        </w:rPr>
      </w:pPr>
      <w:bookmarkStart w:id="95" w:name="_Toc217711295"/>
      <w:bookmarkEnd w:id="95"/>
      <w:bookmarkStart w:id="96" w:name="_Toc495500033"/>
      <w:r>
        <w:rPr>
          <w:rFonts w:eastAsia="仿宋_GB2312"/>
          <w:color w:val="000000"/>
          <w:sz w:val="24"/>
          <w:szCs w:val="24"/>
        </w:rPr>
        <w:t>1.7.2评价重点及评价时段</w:t>
      </w:r>
      <w:bookmarkEnd w:id="96"/>
    </w:p>
    <w:p w14:paraId="2DBB3DC7">
      <w:pPr>
        <w:spacing w:line="360" w:lineRule="auto"/>
        <w:ind w:firstLine="480"/>
        <w:rPr>
          <w:color w:val="000000"/>
          <w:sz w:val="24"/>
        </w:rPr>
      </w:pPr>
      <w:r>
        <w:rPr>
          <w:color w:val="000000"/>
          <w:sz w:val="24"/>
        </w:rPr>
        <w:t>根据本项目的工程特征和环境特点，确定本项目施工期以扬尘及噪声影响评价为重点；</w:t>
      </w:r>
      <w:r>
        <w:rPr>
          <w:rFonts w:hint="eastAsia" w:ascii="宋体" w:hAnsi="宋体"/>
          <w:color w:val="000000"/>
          <w:sz w:val="24"/>
        </w:rPr>
        <w:t>运营期以医疗废水和医疗固体废物影响评价为重点。</w:t>
      </w:r>
    </w:p>
    <w:p w14:paraId="19941435">
      <w:pPr>
        <w:spacing w:line="360" w:lineRule="auto"/>
        <w:ind w:firstLine="480"/>
        <w:rPr>
          <w:color w:val="000000"/>
          <w:sz w:val="24"/>
        </w:rPr>
      </w:pPr>
      <w:r>
        <w:rPr>
          <w:color w:val="000000"/>
          <w:sz w:val="24"/>
        </w:rPr>
        <w:t>评价时段为：施工期和运营期。</w:t>
      </w:r>
    </w:p>
    <w:p w14:paraId="6F3FA50A">
      <w:pPr>
        <w:pStyle w:val="183"/>
        <w:ind w:firstLine="472"/>
        <w:rPr>
          <w:rFonts w:eastAsia="仿宋_GB2312"/>
          <w:color w:val="000000"/>
          <w:sz w:val="24"/>
          <w:szCs w:val="24"/>
        </w:rPr>
      </w:pPr>
      <w:bookmarkStart w:id="97" w:name="_Toc217711296"/>
      <w:bookmarkEnd w:id="97"/>
      <w:bookmarkStart w:id="98" w:name="_Toc495500034"/>
      <w:r>
        <w:rPr>
          <w:rFonts w:eastAsia="仿宋_GB2312"/>
          <w:color w:val="000000"/>
          <w:sz w:val="24"/>
          <w:szCs w:val="24"/>
        </w:rPr>
        <w:t>1.7.3评价因子</w:t>
      </w:r>
      <w:bookmarkEnd w:id="98"/>
    </w:p>
    <w:p w14:paraId="13B8688F">
      <w:pPr>
        <w:spacing w:line="288" w:lineRule="auto"/>
        <w:ind w:firstLine="480"/>
        <w:rPr>
          <w:color w:val="000000"/>
          <w:sz w:val="24"/>
        </w:rPr>
      </w:pPr>
      <w:r>
        <w:rPr>
          <w:color w:val="000000"/>
          <w:sz w:val="24"/>
        </w:rPr>
        <w:t>本项目的主要评价因子见表1.7-1。</w:t>
      </w:r>
    </w:p>
    <w:p w14:paraId="219AB8CC">
      <w:pPr>
        <w:jc w:val="center"/>
        <w:rPr>
          <w:b/>
          <w:color w:val="000000"/>
          <w:sz w:val="24"/>
        </w:rPr>
      </w:pPr>
      <w:r>
        <w:rPr>
          <w:b/>
          <w:color w:val="000000"/>
          <w:sz w:val="24"/>
        </w:rPr>
        <w:t>表1.7-1   项目评价因子</w:t>
      </w:r>
    </w:p>
    <w:tbl>
      <w:tblPr>
        <w:tblStyle w:val="27"/>
        <w:tblW w:w="0" w:type="auto"/>
        <w:tblInd w:w="-108" w:type="dxa"/>
        <w:tblLayout w:type="fixed"/>
        <w:tblCellMar>
          <w:top w:w="0" w:type="dxa"/>
          <w:left w:w="108" w:type="dxa"/>
          <w:bottom w:w="0" w:type="dxa"/>
          <w:right w:w="108" w:type="dxa"/>
        </w:tblCellMar>
      </w:tblPr>
      <w:tblGrid>
        <w:gridCol w:w="1853"/>
        <w:gridCol w:w="1455"/>
        <w:gridCol w:w="5638"/>
      </w:tblGrid>
      <w:tr w14:paraId="71DAEFFD">
        <w:tblPrEx>
          <w:tblCellMar>
            <w:top w:w="0" w:type="dxa"/>
            <w:left w:w="108" w:type="dxa"/>
            <w:bottom w:w="0" w:type="dxa"/>
            <w:right w:w="108" w:type="dxa"/>
          </w:tblCellMar>
        </w:tblPrEx>
        <w:trPr>
          <w:cantSplit/>
        </w:trPr>
        <w:tc>
          <w:tcPr>
            <w:tcW w:w="3308" w:type="dxa"/>
            <w:gridSpan w:val="2"/>
            <w:tcBorders>
              <w:top w:val="single" w:color="000000" w:sz="4" w:space="0"/>
              <w:left w:val="single" w:color="000000" w:sz="4" w:space="0"/>
              <w:bottom w:val="single" w:color="000000" w:sz="4" w:space="0"/>
              <w:right w:val="single" w:color="000000" w:sz="4" w:space="0"/>
            </w:tcBorders>
            <w:noWrap w:val="0"/>
            <w:vAlign w:val="top"/>
          </w:tcPr>
          <w:p w14:paraId="745AF5CB">
            <w:pPr>
              <w:jc w:val="center"/>
              <w:rPr>
                <w:b/>
                <w:color w:val="000000"/>
                <w:szCs w:val="21"/>
              </w:rPr>
            </w:pPr>
            <w:r>
              <w:rPr>
                <w:b/>
                <w:color w:val="000000"/>
                <w:szCs w:val="21"/>
              </w:rPr>
              <w:t>项目</w:t>
            </w:r>
          </w:p>
        </w:tc>
        <w:tc>
          <w:tcPr>
            <w:tcW w:w="5638" w:type="dxa"/>
            <w:tcBorders>
              <w:top w:val="single" w:color="000000" w:sz="4" w:space="0"/>
              <w:left w:val="single" w:color="000000" w:sz="4" w:space="0"/>
              <w:bottom w:val="single" w:color="000000" w:sz="4" w:space="0"/>
              <w:right w:val="single" w:color="000000" w:sz="4" w:space="0"/>
            </w:tcBorders>
            <w:noWrap w:val="0"/>
            <w:vAlign w:val="top"/>
          </w:tcPr>
          <w:p w14:paraId="420284DB">
            <w:pPr>
              <w:jc w:val="center"/>
              <w:rPr>
                <w:b/>
                <w:color w:val="000000"/>
                <w:szCs w:val="21"/>
              </w:rPr>
            </w:pPr>
            <w:r>
              <w:rPr>
                <w:b/>
                <w:color w:val="000000"/>
                <w:szCs w:val="21"/>
              </w:rPr>
              <w:t>评价因子</w:t>
            </w:r>
          </w:p>
        </w:tc>
      </w:tr>
      <w:tr w14:paraId="71D55B8C">
        <w:tblPrEx>
          <w:tblCellMar>
            <w:top w:w="0" w:type="dxa"/>
            <w:left w:w="108" w:type="dxa"/>
            <w:bottom w:w="0" w:type="dxa"/>
            <w:right w:w="108" w:type="dxa"/>
          </w:tblCellMar>
        </w:tblPrEx>
        <w:trPr>
          <w:cantSplit/>
        </w:trPr>
        <w:tc>
          <w:tcPr>
            <w:tcW w:w="1853" w:type="dxa"/>
            <w:vMerge w:val="restart"/>
            <w:tcBorders>
              <w:top w:val="single" w:color="000000" w:sz="4" w:space="0"/>
              <w:left w:val="single" w:color="000000" w:sz="4" w:space="0"/>
              <w:bottom w:val="single" w:color="000000" w:sz="4" w:space="0"/>
              <w:right w:val="single" w:color="000000" w:sz="4" w:space="0"/>
            </w:tcBorders>
            <w:noWrap w:val="0"/>
            <w:vAlign w:val="center"/>
          </w:tcPr>
          <w:p w14:paraId="0C925BBC">
            <w:pPr>
              <w:jc w:val="center"/>
              <w:rPr>
                <w:color w:val="000000"/>
                <w:szCs w:val="21"/>
              </w:rPr>
            </w:pPr>
            <w:r>
              <w:rPr>
                <w:color w:val="000000"/>
                <w:szCs w:val="21"/>
              </w:rPr>
              <w:t>大气环境</w:t>
            </w:r>
          </w:p>
        </w:tc>
        <w:tc>
          <w:tcPr>
            <w:tcW w:w="1455" w:type="dxa"/>
            <w:tcBorders>
              <w:top w:val="single" w:color="000000" w:sz="4" w:space="0"/>
              <w:left w:val="single" w:color="000000" w:sz="4" w:space="0"/>
              <w:bottom w:val="single" w:color="000000" w:sz="4" w:space="0"/>
              <w:right w:val="single" w:color="000000" w:sz="4" w:space="0"/>
            </w:tcBorders>
            <w:noWrap w:val="0"/>
            <w:vAlign w:val="center"/>
          </w:tcPr>
          <w:p w14:paraId="6D32CD18">
            <w:pPr>
              <w:jc w:val="center"/>
              <w:rPr>
                <w:color w:val="000000"/>
                <w:szCs w:val="21"/>
              </w:rPr>
            </w:pPr>
            <w:r>
              <w:rPr>
                <w:color w:val="000000"/>
                <w:szCs w:val="21"/>
              </w:rPr>
              <w:t>现状评价</w:t>
            </w:r>
          </w:p>
        </w:tc>
        <w:tc>
          <w:tcPr>
            <w:tcW w:w="5638" w:type="dxa"/>
            <w:tcBorders>
              <w:top w:val="single" w:color="000000" w:sz="4" w:space="0"/>
              <w:left w:val="single" w:color="000000" w:sz="4" w:space="0"/>
              <w:bottom w:val="single" w:color="000000" w:sz="4" w:space="0"/>
              <w:right w:val="single" w:color="000000" w:sz="4" w:space="0"/>
            </w:tcBorders>
            <w:noWrap w:val="0"/>
            <w:vAlign w:val="center"/>
          </w:tcPr>
          <w:p w14:paraId="0C843DFA">
            <w:pPr>
              <w:jc w:val="center"/>
              <w:rPr>
                <w:color w:val="000000"/>
                <w:szCs w:val="21"/>
              </w:rPr>
            </w:pPr>
            <w:r>
              <w:rPr>
                <w:color w:val="000000"/>
                <w:szCs w:val="21"/>
              </w:rPr>
              <w:t>二氧化硫、二氧化氮、PM</w:t>
            </w:r>
            <w:r>
              <w:rPr>
                <w:color w:val="000000"/>
                <w:szCs w:val="21"/>
                <w:vertAlign w:val="subscript"/>
              </w:rPr>
              <w:t>10</w:t>
            </w:r>
            <w:r>
              <w:rPr>
                <w:color w:val="000000"/>
                <w:szCs w:val="21"/>
              </w:rPr>
              <w:t>、臭气</w:t>
            </w:r>
          </w:p>
        </w:tc>
      </w:tr>
      <w:tr w14:paraId="212D6CD9">
        <w:tblPrEx>
          <w:tblCellMar>
            <w:top w:w="0" w:type="dxa"/>
            <w:left w:w="108" w:type="dxa"/>
            <w:bottom w:w="0" w:type="dxa"/>
            <w:right w:w="108" w:type="dxa"/>
          </w:tblCellMar>
        </w:tblPrEx>
        <w:trPr>
          <w:cantSplit/>
        </w:trPr>
        <w:tc>
          <w:tcPr>
            <w:tcW w:w="1853" w:type="dxa"/>
            <w:vMerge w:val="continue"/>
            <w:tcBorders>
              <w:top w:val="single" w:color="000000" w:sz="4" w:space="0"/>
              <w:left w:val="single" w:color="000000" w:sz="4" w:space="0"/>
              <w:bottom w:val="single" w:color="000000" w:sz="4" w:space="0"/>
              <w:right w:val="single" w:color="000000" w:sz="4" w:space="0"/>
            </w:tcBorders>
            <w:noWrap w:val="0"/>
            <w:vAlign w:val="center"/>
          </w:tcPr>
          <w:p w14:paraId="5CA76A5F">
            <w:pPr>
              <w:jc w:val="left"/>
              <w:rPr>
                <w:color w:val="000000"/>
                <w:szCs w:val="21"/>
              </w:rPr>
            </w:pPr>
          </w:p>
        </w:tc>
        <w:tc>
          <w:tcPr>
            <w:tcW w:w="1455" w:type="dxa"/>
            <w:tcBorders>
              <w:top w:val="single" w:color="000000" w:sz="4" w:space="0"/>
              <w:left w:val="single" w:color="000000" w:sz="4" w:space="0"/>
              <w:bottom w:val="single" w:color="000000" w:sz="4" w:space="0"/>
              <w:right w:val="single" w:color="000000" w:sz="4" w:space="0"/>
            </w:tcBorders>
            <w:noWrap w:val="0"/>
            <w:vAlign w:val="center"/>
          </w:tcPr>
          <w:p w14:paraId="2A67BC40">
            <w:pPr>
              <w:jc w:val="center"/>
              <w:rPr>
                <w:color w:val="000000"/>
                <w:szCs w:val="21"/>
              </w:rPr>
            </w:pPr>
            <w:r>
              <w:rPr>
                <w:color w:val="000000"/>
                <w:szCs w:val="21"/>
              </w:rPr>
              <w:t>影响分析</w:t>
            </w:r>
          </w:p>
        </w:tc>
        <w:tc>
          <w:tcPr>
            <w:tcW w:w="5638" w:type="dxa"/>
            <w:tcBorders>
              <w:top w:val="single" w:color="000000" w:sz="4" w:space="0"/>
              <w:left w:val="single" w:color="000000" w:sz="4" w:space="0"/>
              <w:bottom w:val="single" w:color="000000" w:sz="4" w:space="0"/>
              <w:right w:val="single" w:color="000000" w:sz="4" w:space="0"/>
            </w:tcBorders>
            <w:noWrap w:val="0"/>
            <w:vAlign w:val="center"/>
          </w:tcPr>
          <w:p w14:paraId="14BB2E61">
            <w:pPr>
              <w:jc w:val="center"/>
              <w:rPr>
                <w:rFonts w:hint="eastAsia"/>
                <w:color w:val="000000"/>
                <w:szCs w:val="21"/>
              </w:rPr>
            </w:pPr>
            <w:r>
              <w:rPr>
                <w:color w:val="000000"/>
                <w:szCs w:val="21"/>
              </w:rPr>
              <w:t>施工期粉尘</w:t>
            </w:r>
            <w:r>
              <w:rPr>
                <w:rFonts w:hint="eastAsia"/>
                <w:color w:val="000000"/>
                <w:szCs w:val="21"/>
              </w:rPr>
              <w:t>、运营期臭气</w:t>
            </w:r>
          </w:p>
        </w:tc>
      </w:tr>
      <w:tr w14:paraId="241A30F0">
        <w:tblPrEx>
          <w:tblCellMar>
            <w:top w:w="0" w:type="dxa"/>
            <w:left w:w="108" w:type="dxa"/>
            <w:bottom w:w="0" w:type="dxa"/>
            <w:right w:w="108" w:type="dxa"/>
          </w:tblCellMar>
        </w:tblPrEx>
        <w:trPr>
          <w:cantSplit/>
        </w:trPr>
        <w:tc>
          <w:tcPr>
            <w:tcW w:w="1853" w:type="dxa"/>
            <w:vMerge w:val="restart"/>
            <w:tcBorders>
              <w:top w:val="single" w:color="000000" w:sz="4" w:space="0"/>
              <w:left w:val="single" w:color="000000" w:sz="4" w:space="0"/>
              <w:bottom w:val="single" w:color="000000" w:sz="4" w:space="0"/>
              <w:right w:val="single" w:color="000000" w:sz="4" w:space="0"/>
            </w:tcBorders>
            <w:noWrap w:val="0"/>
            <w:vAlign w:val="center"/>
          </w:tcPr>
          <w:p w14:paraId="697B6AC1">
            <w:pPr>
              <w:jc w:val="center"/>
              <w:rPr>
                <w:color w:val="000000"/>
                <w:szCs w:val="21"/>
              </w:rPr>
            </w:pPr>
            <w:r>
              <w:rPr>
                <w:color w:val="000000"/>
                <w:szCs w:val="21"/>
              </w:rPr>
              <w:t>地表水环境</w:t>
            </w:r>
          </w:p>
        </w:tc>
        <w:tc>
          <w:tcPr>
            <w:tcW w:w="1455" w:type="dxa"/>
            <w:tcBorders>
              <w:top w:val="single" w:color="000000" w:sz="4" w:space="0"/>
              <w:left w:val="single" w:color="000000" w:sz="4" w:space="0"/>
              <w:bottom w:val="single" w:color="000000" w:sz="4" w:space="0"/>
              <w:right w:val="single" w:color="000000" w:sz="4" w:space="0"/>
            </w:tcBorders>
            <w:noWrap w:val="0"/>
            <w:vAlign w:val="center"/>
          </w:tcPr>
          <w:p w14:paraId="7F4F685A">
            <w:pPr>
              <w:jc w:val="center"/>
              <w:rPr>
                <w:color w:val="000000"/>
                <w:szCs w:val="21"/>
              </w:rPr>
            </w:pPr>
            <w:r>
              <w:rPr>
                <w:color w:val="000000"/>
                <w:szCs w:val="21"/>
              </w:rPr>
              <w:t>现状评价</w:t>
            </w:r>
          </w:p>
        </w:tc>
        <w:tc>
          <w:tcPr>
            <w:tcW w:w="5638" w:type="dxa"/>
            <w:tcBorders>
              <w:top w:val="single" w:color="000000" w:sz="4" w:space="0"/>
              <w:left w:val="single" w:color="000000" w:sz="4" w:space="0"/>
              <w:bottom w:val="single" w:color="000000" w:sz="4" w:space="0"/>
              <w:right w:val="single" w:color="000000" w:sz="4" w:space="0"/>
            </w:tcBorders>
            <w:noWrap w:val="0"/>
            <w:vAlign w:val="center"/>
          </w:tcPr>
          <w:p w14:paraId="450F1391">
            <w:pPr>
              <w:jc w:val="center"/>
              <w:rPr>
                <w:color w:val="000000"/>
                <w:szCs w:val="21"/>
              </w:rPr>
            </w:pPr>
            <w:r>
              <w:rPr>
                <w:color w:val="000000"/>
                <w:szCs w:val="21"/>
              </w:rPr>
              <w:t>PH、SS、COD</w:t>
            </w:r>
            <w:r>
              <w:rPr>
                <w:color w:val="000000"/>
                <w:szCs w:val="21"/>
                <w:vertAlign w:val="subscript"/>
              </w:rPr>
              <w:t>cr</w:t>
            </w:r>
            <w:r>
              <w:rPr>
                <w:color w:val="000000"/>
                <w:szCs w:val="21"/>
              </w:rPr>
              <w:t>、BOD</w:t>
            </w:r>
            <w:r>
              <w:rPr>
                <w:color w:val="000000"/>
                <w:szCs w:val="21"/>
                <w:vertAlign w:val="subscript"/>
              </w:rPr>
              <w:t>5</w:t>
            </w:r>
            <w:r>
              <w:rPr>
                <w:color w:val="000000"/>
                <w:szCs w:val="21"/>
              </w:rPr>
              <w:t>、TP、氨氮、粪大肠菌群</w:t>
            </w:r>
          </w:p>
        </w:tc>
      </w:tr>
      <w:tr w14:paraId="0C8F1DEA">
        <w:tblPrEx>
          <w:tblCellMar>
            <w:top w:w="0" w:type="dxa"/>
            <w:left w:w="108" w:type="dxa"/>
            <w:bottom w:w="0" w:type="dxa"/>
            <w:right w:w="108" w:type="dxa"/>
          </w:tblCellMar>
        </w:tblPrEx>
        <w:trPr>
          <w:cantSplit/>
        </w:trPr>
        <w:tc>
          <w:tcPr>
            <w:tcW w:w="1853" w:type="dxa"/>
            <w:vMerge w:val="continue"/>
            <w:tcBorders>
              <w:top w:val="single" w:color="000000" w:sz="4" w:space="0"/>
              <w:left w:val="single" w:color="000000" w:sz="4" w:space="0"/>
              <w:bottom w:val="single" w:color="000000" w:sz="4" w:space="0"/>
              <w:right w:val="single" w:color="000000" w:sz="4" w:space="0"/>
            </w:tcBorders>
            <w:noWrap w:val="0"/>
            <w:vAlign w:val="center"/>
          </w:tcPr>
          <w:p w14:paraId="5B4A7BA9">
            <w:pPr>
              <w:jc w:val="left"/>
              <w:rPr>
                <w:color w:val="000000"/>
                <w:szCs w:val="21"/>
              </w:rPr>
            </w:pPr>
          </w:p>
        </w:tc>
        <w:tc>
          <w:tcPr>
            <w:tcW w:w="1455" w:type="dxa"/>
            <w:tcBorders>
              <w:top w:val="single" w:color="000000" w:sz="4" w:space="0"/>
              <w:left w:val="single" w:color="000000" w:sz="4" w:space="0"/>
              <w:bottom w:val="single" w:color="000000" w:sz="4" w:space="0"/>
              <w:right w:val="single" w:color="000000" w:sz="4" w:space="0"/>
            </w:tcBorders>
            <w:noWrap w:val="0"/>
            <w:vAlign w:val="center"/>
          </w:tcPr>
          <w:p w14:paraId="27E93B12">
            <w:pPr>
              <w:jc w:val="center"/>
              <w:rPr>
                <w:color w:val="000000"/>
                <w:szCs w:val="21"/>
              </w:rPr>
            </w:pPr>
            <w:r>
              <w:rPr>
                <w:color w:val="000000"/>
                <w:szCs w:val="21"/>
              </w:rPr>
              <w:t>影响分析</w:t>
            </w:r>
          </w:p>
        </w:tc>
        <w:tc>
          <w:tcPr>
            <w:tcW w:w="5638" w:type="dxa"/>
            <w:tcBorders>
              <w:top w:val="single" w:color="000000" w:sz="4" w:space="0"/>
              <w:left w:val="single" w:color="000000" w:sz="4" w:space="0"/>
              <w:bottom w:val="single" w:color="000000" w:sz="4" w:space="0"/>
              <w:right w:val="single" w:color="000000" w:sz="4" w:space="0"/>
            </w:tcBorders>
            <w:noWrap w:val="0"/>
            <w:vAlign w:val="center"/>
          </w:tcPr>
          <w:p w14:paraId="7AB8652A">
            <w:pPr>
              <w:jc w:val="center"/>
              <w:rPr>
                <w:color w:val="000000"/>
                <w:szCs w:val="21"/>
              </w:rPr>
            </w:pPr>
            <w:r>
              <w:rPr>
                <w:color w:val="000000"/>
                <w:szCs w:val="21"/>
              </w:rPr>
              <w:t>PH 、SS、COD</w:t>
            </w:r>
            <w:r>
              <w:rPr>
                <w:color w:val="000000"/>
                <w:szCs w:val="21"/>
                <w:vertAlign w:val="subscript"/>
              </w:rPr>
              <w:t>cr</w:t>
            </w:r>
            <w:r>
              <w:rPr>
                <w:color w:val="000000"/>
                <w:szCs w:val="21"/>
              </w:rPr>
              <w:t>、BOD</w:t>
            </w:r>
            <w:r>
              <w:rPr>
                <w:color w:val="000000"/>
                <w:szCs w:val="21"/>
                <w:vertAlign w:val="subscript"/>
              </w:rPr>
              <w:t>5</w:t>
            </w:r>
            <w:r>
              <w:rPr>
                <w:color w:val="000000"/>
                <w:szCs w:val="21"/>
              </w:rPr>
              <w:t>、氨氮、动植物油、</w:t>
            </w:r>
            <w:r>
              <w:rPr>
                <w:color w:val="000000"/>
              </w:rPr>
              <w:t>总余氯、</w:t>
            </w:r>
            <w:r>
              <w:rPr>
                <w:color w:val="000000"/>
                <w:szCs w:val="21"/>
              </w:rPr>
              <w:t>粪大肠菌群</w:t>
            </w:r>
          </w:p>
        </w:tc>
      </w:tr>
      <w:tr w14:paraId="3AD2DD34">
        <w:tblPrEx>
          <w:tblCellMar>
            <w:top w:w="0" w:type="dxa"/>
            <w:left w:w="108" w:type="dxa"/>
            <w:bottom w:w="0" w:type="dxa"/>
            <w:right w:w="108" w:type="dxa"/>
          </w:tblCellMar>
        </w:tblPrEx>
        <w:trPr>
          <w:cantSplit/>
          <w:trHeight w:val="138" w:hRule="atLeast"/>
        </w:trPr>
        <w:tc>
          <w:tcPr>
            <w:tcW w:w="1853" w:type="dxa"/>
            <w:tcBorders>
              <w:top w:val="single" w:color="000000" w:sz="4" w:space="0"/>
              <w:left w:val="single" w:color="000000" w:sz="4" w:space="0"/>
              <w:bottom w:val="single" w:color="000000" w:sz="4" w:space="0"/>
              <w:right w:val="single" w:color="000000" w:sz="4" w:space="0"/>
            </w:tcBorders>
            <w:noWrap w:val="0"/>
            <w:vAlign w:val="center"/>
          </w:tcPr>
          <w:p w14:paraId="1C8C6111">
            <w:pPr>
              <w:jc w:val="center"/>
              <w:rPr>
                <w:color w:val="000000"/>
                <w:szCs w:val="21"/>
              </w:rPr>
            </w:pPr>
            <w:r>
              <w:rPr>
                <w:color w:val="000000"/>
                <w:szCs w:val="21"/>
              </w:rPr>
              <w:t>噪声</w:t>
            </w:r>
          </w:p>
        </w:tc>
        <w:tc>
          <w:tcPr>
            <w:tcW w:w="1455" w:type="dxa"/>
            <w:tcBorders>
              <w:top w:val="single" w:color="000000" w:sz="4" w:space="0"/>
              <w:left w:val="single" w:color="000000" w:sz="4" w:space="0"/>
              <w:bottom w:val="single" w:color="000000" w:sz="4" w:space="0"/>
              <w:right w:val="single" w:color="000000" w:sz="4" w:space="0"/>
            </w:tcBorders>
            <w:noWrap w:val="0"/>
            <w:vAlign w:val="center"/>
          </w:tcPr>
          <w:p w14:paraId="206CC2F2">
            <w:pPr>
              <w:jc w:val="center"/>
              <w:rPr>
                <w:color w:val="000000"/>
                <w:szCs w:val="21"/>
              </w:rPr>
            </w:pPr>
            <w:r>
              <w:rPr>
                <w:color w:val="000000"/>
                <w:szCs w:val="21"/>
              </w:rPr>
              <w:t>影响评价</w:t>
            </w:r>
          </w:p>
        </w:tc>
        <w:tc>
          <w:tcPr>
            <w:tcW w:w="5638" w:type="dxa"/>
            <w:tcBorders>
              <w:top w:val="single" w:color="000000" w:sz="4" w:space="0"/>
              <w:left w:val="single" w:color="000000" w:sz="4" w:space="0"/>
              <w:bottom w:val="single" w:color="000000" w:sz="4" w:space="0"/>
              <w:right w:val="single" w:color="000000" w:sz="4" w:space="0"/>
            </w:tcBorders>
            <w:noWrap w:val="0"/>
            <w:vAlign w:val="center"/>
          </w:tcPr>
          <w:p w14:paraId="1CD3E9C1">
            <w:pPr>
              <w:jc w:val="center"/>
              <w:rPr>
                <w:color w:val="000000"/>
                <w:szCs w:val="21"/>
              </w:rPr>
            </w:pPr>
            <w:r>
              <w:rPr>
                <w:color w:val="000000"/>
              </w:rPr>
              <w:t>场界噪声、居民点噪声</w:t>
            </w:r>
          </w:p>
        </w:tc>
      </w:tr>
      <w:tr w14:paraId="17A44860">
        <w:tblPrEx>
          <w:tblCellMar>
            <w:top w:w="0" w:type="dxa"/>
            <w:left w:w="108" w:type="dxa"/>
            <w:bottom w:w="0" w:type="dxa"/>
            <w:right w:w="108" w:type="dxa"/>
          </w:tblCellMar>
        </w:tblPrEx>
        <w:trPr>
          <w:cantSplit/>
        </w:trPr>
        <w:tc>
          <w:tcPr>
            <w:tcW w:w="1853" w:type="dxa"/>
            <w:tcBorders>
              <w:top w:val="single" w:color="000000" w:sz="4" w:space="0"/>
              <w:left w:val="single" w:color="000000" w:sz="4" w:space="0"/>
              <w:bottom w:val="single" w:color="000000" w:sz="4" w:space="0"/>
              <w:right w:val="single" w:color="000000" w:sz="4" w:space="0"/>
            </w:tcBorders>
            <w:noWrap w:val="0"/>
            <w:vAlign w:val="center"/>
          </w:tcPr>
          <w:p w14:paraId="1A44B012">
            <w:pPr>
              <w:jc w:val="center"/>
              <w:rPr>
                <w:color w:val="000000"/>
                <w:szCs w:val="21"/>
              </w:rPr>
            </w:pPr>
            <w:r>
              <w:rPr>
                <w:color w:val="000000"/>
                <w:szCs w:val="21"/>
              </w:rPr>
              <w:t>固体废物</w:t>
            </w:r>
          </w:p>
        </w:tc>
        <w:tc>
          <w:tcPr>
            <w:tcW w:w="1455" w:type="dxa"/>
            <w:tcBorders>
              <w:top w:val="single" w:color="000000" w:sz="4" w:space="0"/>
              <w:left w:val="single" w:color="000000" w:sz="4" w:space="0"/>
              <w:bottom w:val="single" w:color="000000" w:sz="4" w:space="0"/>
              <w:right w:val="single" w:color="000000" w:sz="4" w:space="0"/>
            </w:tcBorders>
            <w:noWrap w:val="0"/>
            <w:vAlign w:val="center"/>
          </w:tcPr>
          <w:p w14:paraId="6CEB7980">
            <w:pPr>
              <w:jc w:val="center"/>
              <w:rPr>
                <w:color w:val="000000"/>
                <w:szCs w:val="21"/>
              </w:rPr>
            </w:pPr>
            <w:r>
              <w:rPr>
                <w:color w:val="000000"/>
                <w:szCs w:val="21"/>
              </w:rPr>
              <w:t>影响评价</w:t>
            </w:r>
          </w:p>
        </w:tc>
        <w:tc>
          <w:tcPr>
            <w:tcW w:w="5638" w:type="dxa"/>
            <w:tcBorders>
              <w:top w:val="single" w:color="000000" w:sz="4" w:space="0"/>
              <w:left w:val="single" w:color="000000" w:sz="4" w:space="0"/>
              <w:bottom w:val="single" w:color="000000" w:sz="4" w:space="0"/>
              <w:right w:val="single" w:color="000000" w:sz="4" w:space="0"/>
            </w:tcBorders>
            <w:noWrap w:val="0"/>
            <w:vAlign w:val="center"/>
          </w:tcPr>
          <w:p w14:paraId="437B83A5">
            <w:pPr>
              <w:jc w:val="center"/>
              <w:rPr>
                <w:color w:val="000000"/>
                <w:szCs w:val="21"/>
              </w:rPr>
            </w:pPr>
            <w:r>
              <w:rPr>
                <w:color w:val="000000"/>
                <w:szCs w:val="21"/>
              </w:rPr>
              <w:t>门诊、生活垃圾、污泥</w:t>
            </w:r>
          </w:p>
        </w:tc>
      </w:tr>
    </w:tbl>
    <w:p w14:paraId="5A2B9A34">
      <w:pPr>
        <w:pStyle w:val="182"/>
        <w:ind w:firstLine="315"/>
        <w:rPr>
          <w:rFonts w:ascii="Times New Roman" w:hAnsi="Times New Roman" w:eastAsia="仿宋_GB2312" w:cs="Times New Roman"/>
          <w:color w:val="000000"/>
          <w:sz w:val="28"/>
          <w:szCs w:val="28"/>
        </w:rPr>
      </w:pPr>
      <w:bookmarkStart w:id="99" w:name="_Toc495500035"/>
      <w:r>
        <w:rPr>
          <w:rFonts w:ascii="Times New Roman" w:hAnsi="Times New Roman" w:cs="Times New Roman"/>
          <w:color w:val="000000"/>
        </w:rPr>
        <w:t>1.8评价工作程序</w:t>
      </w:r>
      <w:bookmarkEnd w:id="99"/>
    </w:p>
    <w:p w14:paraId="26C9DECD">
      <w:pPr>
        <w:spacing w:line="360" w:lineRule="auto"/>
        <w:ind w:firstLine="480"/>
        <w:rPr>
          <w:rFonts w:hint="eastAsia"/>
          <w:color w:val="000000"/>
          <w:sz w:val="24"/>
        </w:rPr>
      </w:pPr>
      <w:r>
        <w:rPr>
          <w:color w:val="000000"/>
          <w:sz w:val="24"/>
        </w:rPr>
        <w:t>本评价工作程序主要分为以下三个部分: ①现场踏勘、资料收集；②资料收集整理及计算；③环境影响报告书编制。具体评价工作程序图见评价工作程序见图1-1。</w:t>
      </w:r>
    </w:p>
    <w:p w14:paraId="1180FAA6">
      <w:pPr>
        <w:spacing w:line="360" w:lineRule="auto"/>
        <w:ind w:firstLine="480"/>
        <w:rPr>
          <w:rFonts w:hint="eastAsia"/>
          <w:color w:val="000000"/>
          <w:sz w:val="24"/>
        </w:rPr>
      </w:pPr>
    </w:p>
    <w:p w14:paraId="38F569A5">
      <w:pPr>
        <w:spacing w:line="360" w:lineRule="auto"/>
        <w:ind w:firstLine="480"/>
        <w:rPr>
          <w:rFonts w:hint="eastAsia"/>
          <w:color w:val="000000"/>
          <w:sz w:val="24"/>
        </w:rPr>
      </w:pPr>
    </w:p>
    <w:p w14:paraId="655CF0A7">
      <w:pPr>
        <w:spacing w:line="360" w:lineRule="auto"/>
        <w:ind w:firstLine="480"/>
        <w:rPr>
          <w:rFonts w:hint="eastAsia"/>
          <w:color w:val="000000"/>
          <w:sz w:val="24"/>
        </w:rPr>
      </w:pPr>
    </w:p>
    <w:p w14:paraId="0A3A7706">
      <w:pPr>
        <w:spacing w:line="360" w:lineRule="auto"/>
        <w:ind w:firstLine="480"/>
        <w:rPr>
          <w:rFonts w:hint="eastAsia"/>
          <w:color w:val="000000"/>
          <w:sz w:val="24"/>
        </w:rPr>
      </w:pPr>
    </w:p>
    <w:p w14:paraId="0A046CE4">
      <w:pPr>
        <w:spacing w:line="360" w:lineRule="auto"/>
        <w:ind w:firstLine="480"/>
        <w:rPr>
          <w:rFonts w:hint="eastAsia"/>
          <w:color w:val="000000"/>
          <w:sz w:val="24"/>
        </w:rPr>
      </w:pPr>
      <w:r>
        <w:rPr>
          <w:rFonts w:hint="eastAsia"/>
          <w:b/>
          <w:color w:val="000000"/>
          <w:sz w:val="24"/>
        </w:rPr>
        <mc:AlternateContent>
          <mc:Choice Requires="wpg">
            <w:drawing>
              <wp:anchor distT="0" distB="0" distL="114300" distR="114300" simplePos="0" relativeHeight="251660288" behindDoc="0" locked="0" layoutInCell="1" allowOverlap="1">
                <wp:simplePos x="0" y="0"/>
                <wp:positionH relativeFrom="column">
                  <wp:posOffset>28575</wp:posOffset>
                </wp:positionH>
                <wp:positionV relativeFrom="paragraph">
                  <wp:posOffset>6985</wp:posOffset>
                </wp:positionV>
                <wp:extent cx="5577205" cy="6539230"/>
                <wp:effectExtent l="0" t="0" r="0" b="0"/>
                <wp:wrapNone/>
                <wp:docPr id="5" name="_x0000_s1159"/>
                <wp:cNvGraphicFramePr/>
                <a:graphic xmlns:a="http://schemas.openxmlformats.org/drawingml/2006/main">
                  <a:graphicData uri="http://schemas.microsoft.com/office/word/2010/wordprocessingGroup">
                    <wpg:wgp>
                      <wpg:cNvGrpSpPr/>
                      <wpg:grpSpPr>
                        <a:xfrm>
                          <a:off x="0" y="0"/>
                          <a:ext cx="5577205" cy="6539230"/>
                          <a:chOff x="0" y="0"/>
                          <a:chExt cx="7638" cy="10446"/>
                        </a:xfrm>
                      </wpg:grpSpPr>
                      <wps:wsp>
                        <wps:cNvPr id="6" name="文本框 6"/>
                        <wps:cNvSpPr txBox="1"/>
                        <wps:spPr bwMode="auto">
                          <a:xfrm>
                            <a:off x="2567" y="136"/>
                            <a:ext cx="2190" cy="346"/>
                          </a:xfrm>
                          <a:prstGeom prst="rect">
                            <a:avLst/>
                          </a:prstGeom>
                          <a:solidFill>
                            <a:srgbClr val="FFFFFF"/>
                          </a:solidFill>
                          <a:ln>
                            <a:solidFill>
                              <a:srgbClr val="000000"/>
                            </a:solidFill>
                          </a:ln>
                        </wps:spPr>
                        <wps:txbx>
                          <w:txbxContent>
                            <w:p w14:paraId="61F35993">
                              <w:pPr>
                                <w:spacing w:line="280" w:lineRule="exact"/>
                                <w:jc w:val="center"/>
                                <w:rPr>
                                  <w:rFonts w:hint="eastAsia" w:ascii="宋体" w:hAnsi="宋体"/>
                                  <w:szCs w:val="21"/>
                                </w:rPr>
                              </w:pPr>
                              <w:r>
                                <w:rPr>
                                  <w:rFonts w:hint="eastAsia" w:ascii="宋体" w:hAnsi="宋体"/>
                                  <w:szCs w:val="21"/>
                                </w:rPr>
                                <w:t>环境影响评价委托</w:t>
                              </w:r>
                            </w:p>
                            <w:p w14:paraId="100340FA"/>
                          </w:txbxContent>
                        </wps:txbx>
                        <wps:bodyPr wrap="square" lIns="54000" tIns="0" rIns="18000" bIns="0" upright="1"/>
                      </wps:wsp>
                      <wps:wsp>
                        <wps:cNvPr id="7" name="文本框 7"/>
                        <wps:cNvSpPr txBox="1"/>
                        <wps:spPr bwMode="auto">
                          <a:xfrm>
                            <a:off x="674" y="935"/>
                            <a:ext cx="5713" cy="543"/>
                          </a:xfrm>
                          <a:prstGeom prst="rect">
                            <a:avLst/>
                          </a:prstGeom>
                          <a:solidFill>
                            <a:srgbClr val="FFFFFF"/>
                          </a:solidFill>
                          <a:ln>
                            <a:solidFill>
                              <a:srgbClr val="000000"/>
                            </a:solidFill>
                          </a:ln>
                        </wps:spPr>
                        <wps:txbx>
                          <w:txbxContent>
                            <w:p w14:paraId="273F2E2A">
                              <w:pPr>
                                <w:pStyle w:val="207"/>
                                <w:pBdr>
                                  <w:bottom w:val="none" w:color="000000" w:sz="0" w:space="0"/>
                                </w:pBdr>
                                <w:tabs>
                                  <w:tab w:val="clear" w:pos="4153"/>
                                  <w:tab w:val="clear" w:pos="8305"/>
                                </w:tabs>
                                <w:spacing w:line="280" w:lineRule="exact"/>
                                <w:jc w:val="both"/>
                                <w:rPr>
                                  <w:sz w:val="21"/>
                                  <w:szCs w:val="21"/>
                                </w:rPr>
                              </w:pPr>
                              <w:r>
                                <w:rPr>
                                  <w:sz w:val="21"/>
                                  <w:szCs w:val="21"/>
                                </w:rPr>
                                <w:t>1.</w:t>
                              </w:r>
                              <w:r>
                                <w:rPr>
                                  <w:rFonts w:hAnsi="宋体"/>
                                  <w:sz w:val="21"/>
                                  <w:szCs w:val="21"/>
                                </w:rPr>
                                <w:t>研究国家和地方有关环境保护的法律法规、政策、标准及相关规范等</w:t>
                              </w:r>
                            </w:p>
                            <w:p w14:paraId="15B17EFB">
                              <w:pPr>
                                <w:spacing w:line="280" w:lineRule="exact"/>
                                <w:rPr>
                                  <w:szCs w:val="21"/>
                                </w:rPr>
                              </w:pPr>
                              <w:r>
                                <w:rPr>
                                  <w:szCs w:val="21"/>
                                </w:rPr>
                                <w:t>2.</w:t>
                              </w:r>
                              <w:r>
                                <w:rPr>
                                  <w:rFonts w:hAnsi="宋体"/>
                                  <w:szCs w:val="21"/>
                                </w:rPr>
                                <w:t>依据相关规定确定环境影响评价文件的类型</w:t>
                              </w:r>
                            </w:p>
                            <w:p w14:paraId="61A2DBCC"/>
                          </w:txbxContent>
                        </wps:txbx>
                        <wps:bodyPr wrap="square" lIns="54000" tIns="0" rIns="18000" bIns="0" upright="1"/>
                      </wps:wsp>
                      <wps:wsp>
                        <wps:cNvPr id="8" name="文本框 8"/>
                        <wps:cNvSpPr txBox="1"/>
                        <wps:spPr bwMode="auto">
                          <a:xfrm>
                            <a:off x="2160" y="2021"/>
                            <a:ext cx="3131" cy="817"/>
                          </a:xfrm>
                          <a:prstGeom prst="rect">
                            <a:avLst/>
                          </a:prstGeom>
                          <a:solidFill>
                            <a:srgbClr val="FFFFFF"/>
                          </a:solidFill>
                          <a:ln>
                            <a:solidFill>
                              <a:srgbClr val="000000"/>
                            </a:solidFill>
                          </a:ln>
                        </wps:spPr>
                        <wps:txbx>
                          <w:txbxContent>
                            <w:p w14:paraId="60F5310D">
                              <w:pPr>
                                <w:pStyle w:val="207"/>
                                <w:pBdr>
                                  <w:bottom w:val="none" w:color="000000" w:sz="0" w:space="0"/>
                                </w:pBdr>
                                <w:tabs>
                                  <w:tab w:val="clear" w:pos="4153"/>
                                  <w:tab w:val="clear" w:pos="8305"/>
                                </w:tabs>
                                <w:spacing w:line="280" w:lineRule="exact"/>
                                <w:jc w:val="both"/>
                                <w:rPr>
                                  <w:sz w:val="21"/>
                                  <w:szCs w:val="21"/>
                                </w:rPr>
                              </w:pPr>
                              <w:r>
                                <w:rPr>
                                  <w:sz w:val="21"/>
                                  <w:szCs w:val="21"/>
                                </w:rPr>
                                <w:t>1.</w:t>
                              </w:r>
                              <w:r>
                                <w:rPr>
                                  <w:rFonts w:hAnsi="宋体"/>
                                  <w:sz w:val="21"/>
                                  <w:szCs w:val="21"/>
                                </w:rPr>
                                <w:t>研究相关技术文件和其他有关文件</w:t>
                              </w:r>
                            </w:p>
                            <w:p w14:paraId="45282FEB">
                              <w:pPr>
                                <w:pStyle w:val="207"/>
                                <w:pBdr>
                                  <w:bottom w:val="none" w:color="000000" w:sz="0" w:space="0"/>
                                </w:pBdr>
                                <w:tabs>
                                  <w:tab w:val="clear" w:pos="4153"/>
                                  <w:tab w:val="clear" w:pos="8305"/>
                                </w:tabs>
                                <w:spacing w:line="280" w:lineRule="exact"/>
                                <w:jc w:val="both"/>
                                <w:rPr>
                                  <w:sz w:val="21"/>
                                  <w:szCs w:val="21"/>
                                </w:rPr>
                              </w:pPr>
                              <w:r>
                                <w:rPr>
                                  <w:sz w:val="21"/>
                                  <w:szCs w:val="21"/>
                                </w:rPr>
                                <w:t>2.</w:t>
                              </w:r>
                              <w:r>
                                <w:rPr>
                                  <w:rFonts w:hAnsi="宋体"/>
                                  <w:sz w:val="21"/>
                                  <w:szCs w:val="21"/>
                                </w:rPr>
                                <w:t>进行初步工程分析</w:t>
                              </w:r>
                            </w:p>
                            <w:p w14:paraId="77C68DDB">
                              <w:pPr>
                                <w:pStyle w:val="207"/>
                                <w:pBdr>
                                  <w:bottom w:val="none" w:color="000000" w:sz="0" w:space="0"/>
                                </w:pBdr>
                                <w:tabs>
                                  <w:tab w:val="clear" w:pos="4153"/>
                                  <w:tab w:val="clear" w:pos="8305"/>
                                </w:tabs>
                                <w:spacing w:line="280" w:lineRule="exact"/>
                                <w:jc w:val="both"/>
                                <w:rPr>
                                  <w:sz w:val="21"/>
                                  <w:szCs w:val="21"/>
                                </w:rPr>
                              </w:pPr>
                              <w:r>
                                <w:rPr>
                                  <w:sz w:val="21"/>
                                  <w:szCs w:val="21"/>
                                </w:rPr>
                                <w:t>3.</w:t>
                              </w:r>
                              <w:r>
                                <w:rPr>
                                  <w:rFonts w:hAnsi="宋体"/>
                                  <w:sz w:val="21"/>
                                  <w:szCs w:val="21"/>
                                </w:rPr>
                                <w:t>展开初步的环境现状调查</w:t>
                              </w:r>
                            </w:p>
                            <w:p w14:paraId="23213DB2"/>
                          </w:txbxContent>
                        </wps:txbx>
                        <wps:bodyPr wrap="square" lIns="54000" tIns="0" rIns="18000" bIns="0" upright="1"/>
                      </wps:wsp>
                      <wps:wsp>
                        <wps:cNvPr id="9" name="文本框 9"/>
                        <wps:cNvSpPr txBox="1"/>
                        <wps:spPr bwMode="auto">
                          <a:xfrm>
                            <a:off x="2159" y="3245"/>
                            <a:ext cx="3130" cy="365"/>
                          </a:xfrm>
                          <a:prstGeom prst="rect">
                            <a:avLst/>
                          </a:prstGeom>
                          <a:solidFill>
                            <a:srgbClr val="FFFFFF"/>
                          </a:solidFill>
                          <a:ln>
                            <a:solidFill>
                              <a:srgbClr val="000000"/>
                            </a:solidFill>
                          </a:ln>
                        </wps:spPr>
                        <wps:txbx>
                          <w:txbxContent>
                            <w:p w14:paraId="1E4A93A6">
                              <w:pPr>
                                <w:pStyle w:val="207"/>
                                <w:pBdr>
                                  <w:bottom w:val="none" w:color="000000" w:sz="0" w:space="0"/>
                                </w:pBdr>
                                <w:tabs>
                                  <w:tab w:val="clear" w:pos="4153"/>
                                  <w:tab w:val="clear" w:pos="8305"/>
                                </w:tabs>
                                <w:spacing w:line="280" w:lineRule="exact"/>
                                <w:rPr>
                                  <w:rFonts w:hint="eastAsia"/>
                                  <w:sz w:val="21"/>
                                  <w:szCs w:val="21"/>
                                </w:rPr>
                              </w:pPr>
                              <w:r>
                                <w:rPr>
                                  <w:sz w:val="21"/>
                                  <w:szCs w:val="21"/>
                                </w:rPr>
                                <w:t>环境影响因素识别与评价因子筛选</w:t>
                              </w:r>
                            </w:p>
                            <w:p w14:paraId="691A40FA"/>
                          </w:txbxContent>
                        </wps:txbx>
                        <wps:bodyPr wrap="square" lIns="18000" tIns="10800" rIns="18000" bIns="10800" upright="1"/>
                      </wps:wsp>
                      <wps:wsp>
                        <wps:cNvPr id="10" name="文本框 10"/>
                        <wps:cNvSpPr txBox="1"/>
                        <wps:spPr bwMode="auto">
                          <a:xfrm>
                            <a:off x="1533" y="4060"/>
                            <a:ext cx="4383" cy="598"/>
                          </a:xfrm>
                          <a:prstGeom prst="rect">
                            <a:avLst/>
                          </a:prstGeom>
                          <a:solidFill>
                            <a:srgbClr val="FFFFFF"/>
                          </a:solidFill>
                          <a:ln>
                            <a:solidFill>
                              <a:srgbClr val="000000"/>
                            </a:solidFill>
                          </a:ln>
                        </wps:spPr>
                        <wps:txbx>
                          <w:txbxContent>
                            <w:p w14:paraId="40CC6BFA">
                              <w:pPr>
                                <w:pStyle w:val="207"/>
                                <w:pBdr>
                                  <w:bottom w:val="none" w:color="000000" w:sz="0" w:space="0"/>
                                </w:pBdr>
                                <w:tabs>
                                  <w:tab w:val="clear" w:pos="4153"/>
                                  <w:tab w:val="clear" w:pos="8305"/>
                                </w:tabs>
                                <w:spacing w:line="280" w:lineRule="exact"/>
                                <w:rPr>
                                  <w:sz w:val="21"/>
                                  <w:szCs w:val="21"/>
                                </w:rPr>
                              </w:pPr>
                              <w:r>
                                <w:rPr>
                                  <w:sz w:val="21"/>
                                  <w:szCs w:val="21"/>
                                </w:rPr>
                                <w:t>1.明确评价重点和环境保护目标</w:t>
                              </w:r>
                            </w:p>
                            <w:p w14:paraId="038F42E2">
                              <w:pPr>
                                <w:pStyle w:val="207"/>
                                <w:pBdr>
                                  <w:bottom w:val="none" w:color="000000" w:sz="0" w:space="0"/>
                                </w:pBdr>
                                <w:tabs>
                                  <w:tab w:val="clear" w:pos="4153"/>
                                  <w:tab w:val="clear" w:pos="8305"/>
                                </w:tabs>
                                <w:spacing w:line="280" w:lineRule="exact"/>
                                <w:rPr>
                                  <w:rFonts w:hint="eastAsia"/>
                                  <w:sz w:val="21"/>
                                  <w:szCs w:val="21"/>
                                </w:rPr>
                              </w:pPr>
                              <w:r>
                                <w:rPr>
                                  <w:sz w:val="21"/>
                                  <w:szCs w:val="21"/>
                                </w:rPr>
                                <w:t>2.确定工作等级、评价范围和评价标准</w:t>
                              </w:r>
                            </w:p>
                            <w:p w14:paraId="5044F642"/>
                          </w:txbxContent>
                        </wps:txbx>
                        <wps:bodyPr wrap="square" lIns="54000" tIns="18000" rIns="18000" bIns="0" upright="1"/>
                      </wps:wsp>
                      <wps:wsp>
                        <wps:cNvPr id="11" name="文本框 11"/>
                        <wps:cNvSpPr txBox="1"/>
                        <wps:spPr bwMode="auto">
                          <a:xfrm>
                            <a:off x="2942" y="5147"/>
                            <a:ext cx="1432" cy="408"/>
                          </a:xfrm>
                          <a:prstGeom prst="rect">
                            <a:avLst/>
                          </a:prstGeom>
                          <a:solidFill>
                            <a:srgbClr val="FFFFFF"/>
                          </a:solidFill>
                          <a:ln>
                            <a:solidFill>
                              <a:srgbClr val="000000"/>
                            </a:solidFill>
                          </a:ln>
                        </wps:spPr>
                        <wps:txbx>
                          <w:txbxContent>
                            <w:p w14:paraId="0C3855A8">
                              <w:pPr>
                                <w:pStyle w:val="207"/>
                                <w:pBdr>
                                  <w:bottom w:val="none" w:color="000000" w:sz="0" w:space="0"/>
                                </w:pBdr>
                                <w:tabs>
                                  <w:tab w:val="clear" w:pos="4153"/>
                                  <w:tab w:val="clear" w:pos="8305"/>
                                </w:tabs>
                                <w:spacing w:line="280" w:lineRule="exact"/>
                                <w:jc w:val="both"/>
                                <w:rPr>
                                  <w:sz w:val="21"/>
                                  <w:szCs w:val="21"/>
                                </w:rPr>
                              </w:pPr>
                              <w:r>
                                <w:rPr>
                                  <w:sz w:val="21"/>
                                  <w:szCs w:val="21"/>
                                </w:rPr>
                                <w:t>制定工作方案</w:t>
                              </w:r>
                            </w:p>
                            <w:p w14:paraId="07E861E2"/>
                          </w:txbxContent>
                        </wps:txbx>
                        <wps:bodyPr wrap="square" lIns="54000" tIns="18000" rIns="18000" bIns="0" upright="1"/>
                      </wps:wsp>
                      <wps:wsp>
                        <wps:cNvPr id="12" name="文本框 12"/>
                        <wps:cNvSpPr txBox="1"/>
                        <wps:spPr bwMode="auto">
                          <a:xfrm>
                            <a:off x="1220" y="6370"/>
                            <a:ext cx="1875" cy="544"/>
                          </a:xfrm>
                          <a:prstGeom prst="rect">
                            <a:avLst/>
                          </a:prstGeom>
                          <a:solidFill>
                            <a:srgbClr val="FFFFFF"/>
                          </a:solidFill>
                          <a:ln>
                            <a:solidFill>
                              <a:srgbClr val="000000"/>
                            </a:solidFill>
                          </a:ln>
                        </wps:spPr>
                        <wps:txbx>
                          <w:txbxContent>
                            <w:p w14:paraId="7583AFD6">
                              <w:pPr>
                                <w:pStyle w:val="207"/>
                                <w:pBdr>
                                  <w:bottom w:val="none" w:color="000000" w:sz="0" w:space="0"/>
                                </w:pBdr>
                                <w:tabs>
                                  <w:tab w:val="clear" w:pos="4153"/>
                                  <w:tab w:val="clear" w:pos="8305"/>
                                </w:tabs>
                                <w:spacing w:line="280" w:lineRule="exact"/>
                                <w:jc w:val="both"/>
                                <w:rPr>
                                  <w:rFonts w:hint="eastAsia"/>
                                  <w:sz w:val="21"/>
                                  <w:szCs w:val="21"/>
                                </w:rPr>
                              </w:pPr>
                              <w:r>
                                <w:rPr>
                                  <w:rFonts w:hint="eastAsia"/>
                                  <w:sz w:val="21"/>
                                  <w:szCs w:val="21"/>
                                </w:rPr>
                                <w:t>评价范围内的环境状</w:t>
                              </w:r>
                            </w:p>
                            <w:p w14:paraId="70532F04">
                              <w:pPr>
                                <w:pStyle w:val="207"/>
                                <w:pBdr>
                                  <w:bottom w:val="none" w:color="000000" w:sz="0" w:space="0"/>
                                </w:pBdr>
                                <w:tabs>
                                  <w:tab w:val="clear" w:pos="4153"/>
                                  <w:tab w:val="clear" w:pos="8305"/>
                                </w:tabs>
                                <w:spacing w:line="280" w:lineRule="exact"/>
                                <w:jc w:val="both"/>
                                <w:rPr>
                                  <w:rFonts w:hint="eastAsia"/>
                                  <w:sz w:val="21"/>
                                  <w:szCs w:val="21"/>
                                </w:rPr>
                              </w:pPr>
                              <w:r>
                                <w:rPr>
                                  <w:rFonts w:hint="eastAsia"/>
                                  <w:sz w:val="21"/>
                                  <w:szCs w:val="21"/>
                                </w:rPr>
                                <w:t>况调查、监测与评价</w:t>
                              </w:r>
                            </w:p>
                            <w:p w14:paraId="3D35E4C1"/>
                          </w:txbxContent>
                        </wps:txbx>
                        <wps:bodyPr wrap="square" lIns="54000" tIns="0" rIns="18000" bIns="0" upright="1"/>
                      </wps:wsp>
                      <wps:wsp>
                        <wps:cNvPr id="13" name="文本框 13"/>
                        <wps:cNvSpPr txBox="1"/>
                        <wps:spPr bwMode="auto">
                          <a:xfrm>
                            <a:off x="5134" y="6370"/>
                            <a:ext cx="1096" cy="544"/>
                          </a:xfrm>
                          <a:prstGeom prst="rect">
                            <a:avLst/>
                          </a:prstGeom>
                          <a:solidFill>
                            <a:srgbClr val="FFFFFF"/>
                          </a:solidFill>
                          <a:ln>
                            <a:solidFill>
                              <a:srgbClr val="000000"/>
                            </a:solidFill>
                          </a:ln>
                        </wps:spPr>
                        <wps:txbx>
                          <w:txbxContent>
                            <w:p w14:paraId="0836BE0F">
                              <w:pPr>
                                <w:pStyle w:val="207"/>
                                <w:pBdr>
                                  <w:bottom w:val="none" w:color="000000" w:sz="0" w:space="0"/>
                                </w:pBdr>
                                <w:tabs>
                                  <w:tab w:val="clear" w:pos="4153"/>
                                  <w:tab w:val="clear" w:pos="8305"/>
                                </w:tabs>
                                <w:spacing w:line="280" w:lineRule="exact"/>
                                <w:jc w:val="both"/>
                                <w:rPr>
                                  <w:rFonts w:hint="eastAsia"/>
                                  <w:sz w:val="21"/>
                                  <w:szCs w:val="21"/>
                                </w:rPr>
                              </w:pPr>
                              <w:r>
                                <w:rPr>
                                  <w:rFonts w:hint="eastAsia"/>
                                  <w:sz w:val="21"/>
                                  <w:szCs w:val="21"/>
                                </w:rPr>
                                <w:t>建设项目</w:t>
                              </w:r>
                            </w:p>
                            <w:p w14:paraId="047D2973">
                              <w:pPr>
                                <w:pStyle w:val="207"/>
                                <w:pBdr>
                                  <w:bottom w:val="none" w:color="000000" w:sz="0" w:space="0"/>
                                </w:pBdr>
                                <w:tabs>
                                  <w:tab w:val="clear" w:pos="4153"/>
                                  <w:tab w:val="clear" w:pos="8305"/>
                                </w:tabs>
                                <w:spacing w:line="280" w:lineRule="exact"/>
                                <w:jc w:val="both"/>
                                <w:rPr>
                                  <w:rFonts w:hint="eastAsia"/>
                                  <w:sz w:val="21"/>
                                  <w:szCs w:val="21"/>
                                </w:rPr>
                              </w:pPr>
                              <w:r>
                                <w:rPr>
                                  <w:rFonts w:hint="eastAsia"/>
                                  <w:sz w:val="21"/>
                                  <w:szCs w:val="21"/>
                                </w:rPr>
                                <w:t>工程分析</w:t>
                              </w:r>
                            </w:p>
                            <w:p w14:paraId="723ABB76"/>
                          </w:txbxContent>
                        </wps:txbx>
                        <wps:bodyPr wrap="square" lIns="54000" tIns="0" rIns="18000" bIns="0" upright="1"/>
                      </wps:wsp>
                      <wps:wsp>
                        <wps:cNvPr id="14" name="文本框 14"/>
                        <wps:cNvSpPr txBox="1"/>
                        <wps:spPr bwMode="auto">
                          <a:xfrm>
                            <a:off x="2159" y="7729"/>
                            <a:ext cx="3288" cy="595"/>
                          </a:xfrm>
                          <a:prstGeom prst="rect">
                            <a:avLst/>
                          </a:prstGeom>
                          <a:solidFill>
                            <a:srgbClr val="FFFFFF"/>
                          </a:solidFill>
                          <a:ln>
                            <a:solidFill>
                              <a:srgbClr val="000000"/>
                            </a:solidFill>
                          </a:ln>
                        </wps:spPr>
                        <wps:txbx>
                          <w:txbxContent>
                            <w:p w14:paraId="68EC7C31">
                              <w:pPr>
                                <w:pStyle w:val="207"/>
                                <w:pBdr>
                                  <w:bottom w:val="none" w:color="000000" w:sz="0" w:space="0"/>
                                </w:pBdr>
                                <w:tabs>
                                  <w:tab w:val="clear" w:pos="4153"/>
                                  <w:tab w:val="clear" w:pos="8305"/>
                                </w:tabs>
                                <w:spacing w:line="280" w:lineRule="exact"/>
                                <w:jc w:val="both"/>
                                <w:rPr>
                                  <w:rFonts w:hint="eastAsia"/>
                                  <w:sz w:val="21"/>
                                  <w:szCs w:val="21"/>
                                </w:rPr>
                              </w:pPr>
                              <w:r>
                                <w:rPr>
                                  <w:rFonts w:hint="eastAsia"/>
                                  <w:sz w:val="21"/>
                                  <w:szCs w:val="21"/>
                                </w:rPr>
                                <w:t>各环境要素环境影响预测与评价</w:t>
                              </w:r>
                            </w:p>
                            <w:p w14:paraId="22D8D578">
                              <w:pPr>
                                <w:pStyle w:val="207"/>
                                <w:pBdr>
                                  <w:bottom w:val="none" w:color="000000" w:sz="0" w:space="0"/>
                                </w:pBdr>
                                <w:tabs>
                                  <w:tab w:val="clear" w:pos="4153"/>
                                  <w:tab w:val="clear" w:pos="8305"/>
                                </w:tabs>
                                <w:spacing w:line="280" w:lineRule="exact"/>
                                <w:jc w:val="both"/>
                                <w:rPr>
                                  <w:rFonts w:hint="eastAsia"/>
                                  <w:sz w:val="21"/>
                                  <w:szCs w:val="21"/>
                                </w:rPr>
                              </w:pPr>
                              <w:r>
                                <w:rPr>
                                  <w:rFonts w:hint="eastAsia"/>
                                  <w:sz w:val="21"/>
                                  <w:szCs w:val="21"/>
                                </w:rPr>
                                <w:t>各专题环境影响分析与评价</w:t>
                              </w:r>
                            </w:p>
                            <w:p w14:paraId="1F311727"/>
                          </w:txbxContent>
                        </wps:txbx>
                        <wps:bodyPr wrap="square" lIns="54000" tIns="18000" rIns="18000" bIns="0" upright="1"/>
                      </wps:wsp>
                      <wps:wsp>
                        <wps:cNvPr id="15" name="文本框 15"/>
                        <wps:cNvSpPr txBox="1"/>
                        <wps:spPr bwMode="auto">
                          <a:xfrm>
                            <a:off x="2003" y="8816"/>
                            <a:ext cx="3443" cy="586"/>
                          </a:xfrm>
                          <a:prstGeom prst="rect">
                            <a:avLst/>
                          </a:prstGeom>
                          <a:solidFill>
                            <a:srgbClr val="FFFFFF"/>
                          </a:solidFill>
                          <a:ln>
                            <a:solidFill>
                              <a:srgbClr val="000000"/>
                            </a:solidFill>
                          </a:ln>
                        </wps:spPr>
                        <wps:txbx>
                          <w:txbxContent>
                            <w:p w14:paraId="60F4CE40">
                              <w:pPr>
                                <w:pStyle w:val="207"/>
                                <w:pBdr>
                                  <w:bottom w:val="none" w:color="000000" w:sz="0" w:space="0"/>
                                </w:pBdr>
                                <w:tabs>
                                  <w:tab w:val="clear" w:pos="4153"/>
                                  <w:tab w:val="clear" w:pos="8305"/>
                                </w:tabs>
                                <w:spacing w:line="280" w:lineRule="exact"/>
                                <w:jc w:val="both"/>
                                <w:rPr>
                                  <w:rFonts w:hint="eastAsia"/>
                                  <w:sz w:val="21"/>
                                  <w:szCs w:val="21"/>
                                </w:rPr>
                              </w:pPr>
                              <w:r>
                                <w:rPr>
                                  <w:sz w:val="21"/>
                                  <w:szCs w:val="21"/>
                                </w:rPr>
                                <w:t>1.提出环境保护措施、进行技术经济论证</w:t>
                              </w:r>
                            </w:p>
                            <w:p w14:paraId="6DD59F9F">
                              <w:pPr>
                                <w:pStyle w:val="207"/>
                                <w:pBdr>
                                  <w:bottom w:val="none" w:color="000000" w:sz="0" w:space="0"/>
                                </w:pBdr>
                                <w:tabs>
                                  <w:tab w:val="clear" w:pos="4153"/>
                                  <w:tab w:val="clear" w:pos="8305"/>
                                </w:tabs>
                                <w:spacing w:line="280" w:lineRule="exact"/>
                                <w:jc w:val="both"/>
                                <w:rPr>
                                  <w:rFonts w:hint="eastAsia"/>
                                  <w:sz w:val="21"/>
                                  <w:szCs w:val="21"/>
                                </w:rPr>
                              </w:pPr>
                              <w:r>
                                <w:rPr>
                                  <w:rFonts w:hint="eastAsia"/>
                                  <w:sz w:val="21"/>
                                  <w:szCs w:val="21"/>
                                </w:rPr>
                                <w:t>2.给出建设项目环境可行性的评价结论</w:t>
                              </w:r>
                            </w:p>
                            <w:p w14:paraId="19D6A2E8"/>
                          </w:txbxContent>
                        </wps:txbx>
                        <wps:bodyPr wrap="square" lIns="54000" tIns="18000" rIns="18000" bIns="0" upright="1"/>
                      </wps:wsp>
                      <wps:wsp>
                        <wps:cNvPr id="16" name="文本框 16"/>
                        <wps:cNvSpPr txBox="1"/>
                        <wps:spPr bwMode="auto">
                          <a:xfrm>
                            <a:off x="2159" y="9903"/>
                            <a:ext cx="3443" cy="409"/>
                          </a:xfrm>
                          <a:prstGeom prst="rect">
                            <a:avLst/>
                          </a:prstGeom>
                          <a:solidFill>
                            <a:srgbClr val="FFFFFF"/>
                          </a:solidFill>
                          <a:ln>
                            <a:solidFill>
                              <a:srgbClr val="000000"/>
                            </a:solidFill>
                          </a:ln>
                        </wps:spPr>
                        <wps:txbx>
                          <w:txbxContent>
                            <w:p w14:paraId="391CF19B">
                              <w:pPr>
                                <w:jc w:val="center"/>
                                <w:rPr>
                                  <w:rFonts w:hint="eastAsia"/>
                                  <w:szCs w:val="21"/>
                                </w:rPr>
                              </w:pPr>
                              <w:r>
                                <w:rPr>
                                  <w:rFonts w:hint="eastAsia"/>
                                  <w:szCs w:val="21"/>
                                </w:rPr>
                                <w:t>编制环境影响评价文件</w:t>
                              </w:r>
                            </w:p>
                            <w:p w14:paraId="62570F01"/>
                          </w:txbxContent>
                        </wps:txbx>
                        <wps:bodyPr wrap="square" lIns="54000" tIns="18000" rIns="18000" bIns="0" upright="1"/>
                      </wps:wsp>
                      <wps:wsp>
                        <wps:cNvPr id="17" name="任意多边形 17"/>
                        <wps:cNvSpPr/>
                        <wps:spPr bwMode="auto">
                          <a:xfrm>
                            <a:off x="4351" y="4739"/>
                            <a:ext cx="1409" cy="544"/>
                          </a:xfrm>
                          <a:custGeom>
                            <a:avLst/>
                            <a:gdLst>
                              <a:gd name="gd0" fmla="val 65536"/>
                              <a:gd name="gd1" fmla="val 0"/>
                              <a:gd name="gd2" fmla="val 936"/>
                              <a:gd name="gd3" fmla="val 1260"/>
                              <a:gd name="gd4" fmla="val 936"/>
                              <a:gd name="gd5" fmla="val 1260"/>
                              <a:gd name="gd6" fmla="val 0"/>
                            </a:gdLst>
                            <a:ahLst/>
                            <a:cxnLst/>
                            <a:rect l="0" t="0" r="r" b="b"/>
                            <a:pathLst>
                              <a:path w="1260" h="936" extrusionOk="0">
                                <a:moveTo>
                                  <a:pt x="gd1" y="gd2"/>
                                </a:moveTo>
                                <a:lnTo>
                                  <a:pt x="gd3" y="gd4"/>
                                </a:lnTo>
                                <a:lnTo>
                                  <a:pt x="gd5" y="gd6"/>
                                </a:lnTo>
                              </a:path>
                            </a:pathLst>
                          </a:custGeom>
                          <a:noFill/>
                          <a:ln w="12700">
                            <a:solidFill>
                              <a:srgbClr val="000000"/>
                            </a:solidFill>
                            <a:tailEnd type="triangle"/>
                          </a:ln>
                        </wps:spPr>
                        <wps:bodyPr rot="0">
                          <a:noAutofit/>
                        </wps:bodyPr>
                      </wps:wsp>
                      <wps:wsp>
                        <wps:cNvPr id="18" name="直接连接符 18"/>
                        <wps:cNvCnPr/>
                        <wps:spPr bwMode="auto">
                          <a:xfrm>
                            <a:off x="2003" y="6098"/>
                            <a:ext cx="3600" cy="1"/>
                          </a:xfrm>
                          <a:prstGeom prst="line">
                            <a:avLst/>
                          </a:prstGeom>
                          <a:noFill/>
                          <a:ln w="12700">
                            <a:solidFill>
                              <a:srgbClr val="000000"/>
                            </a:solidFill>
                          </a:ln>
                        </wps:spPr>
                        <wps:bodyPr rot="0">
                          <a:noAutofit/>
                        </wps:bodyPr>
                      </wps:wsp>
                      <wps:wsp>
                        <wps:cNvPr id="19" name="直接连接符 19"/>
                        <wps:cNvCnPr/>
                        <wps:spPr bwMode="auto">
                          <a:xfrm>
                            <a:off x="2003" y="7185"/>
                            <a:ext cx="3600" cy="1"/>
                          </a:xfrm>
                          <a:prstGeom prst="line">
                            <a:avLst/>
                          </a:prstGeom>
                          <a:noFill/>
                          <a:ln w="12700">
                            <a:solidFill>
                              <a:srgbClr val="000000"/>
                            </a:solidFill>
                          </a:ln>
                        </wps:spPr>
                        <wps:bodyPr rot="0">
                          <a:noAutofit/>
                        </wps:bodyPr>
                      </wps:wsp>
                      <wps:wsp>
                        <wps:cNvPr id="20" name="直接连接符 20"/>
                        <wps:cNvCnPr/>
                        <wps:spPr bwMode="auto">
                          <a:xfrm flipV="1">
                            <a:off x="2003" y="6913"/>
                            <a:ext cx="1" cy="271"/>
                          </a:xfrm>
                          <a:prstGeom prst="line">
                            <a:avLst/>
                          </a:prstGeom>
                          <a:noFill/>
                          <a:ln w="12700">
                            <a:solidFill>
                              <a:srgbClr val="000000"/>
                            </a:solidFill>
                          </a:ln>
                        </wps:spPr>
                        <wps:bodyPr rot="0">
                          <a:noAutofit/>
                        </wps:bodyPr>
                      </wps:wsp>
                      <wps:wsp>
                        <wps:cNvPr id="21" name="直接连接符 21"/>
                        <wps:cNvCnPr/>
                        <wps:spPr bwMode="auto">
                          <a:xfrm flipV="1">
                            <a:off x="5603" y="6913"/>
                            <a:ext cx="1" cy="271"/>
                          </a:xfrm>
                          <a:prstGeom prst="line">
                            <a:avLst/>
                          </a:prstGeom>
                          <a:noFill/>
                          <a:ln w="12700">
                            <a:solidFill>
                              <a:srgbClr val="000000"/>
                            </a:solidFill>
                          </a:ln>
                        </wps:spPr>
                        <wps:bodyPr rot="0">
                          <a:noAutofit/>
                        </wps:bodyPr>
                      </wps:wsp>
                      <wps:wsp>
                        <wps:cNvPr id="22" name="直接连接符 22"/>
                        <wps:cNvCnPr/>
                        <wps:spPr bwMode="auto">
                          <a:xfrm>
                            <a:off x="2003" y="6098"/>
                            <a:ext cx="1" cy="273"/>
                          </a:xfrm>
                          <a:prstGeom prst="line">
                            <a:avLst/>
                          </a:prstGeom>
                          <a:noFill/>
                          <a:ln w="12700">
                            <a:solidFill>
                              <a:srgbClr val="000000"/>
                            </a:solidFill>
                          </a:ln>
                        </wps:spPr>
                        <wps:bodyPr rot="0">
                          <a:noAutofit/>
                        </wps:bodyPr>
                      </wps:wsp>
                      <wps:wsp>
                        <wps:cNvPr id="23" name="直接连接符 23"/>
                        <wps:cNvCnPr/>
                        <wps:spPr bwMode="auto">
                          <a:xfrm>
                            <a:off x="5603" y="6098"/>
                            <a:ext cx="2" cy="273"/>
                          </a:xfrm>
                          <a:prstGeom prst="line">
                            <a:avLst/>
                          </a:prstGeom>
                          <a:noFill/>
                          <a:ln w="12700">
                            <a:solidFill>
                              <a:srgbClr val="000000"/>
                            </a:solidFill>
                          </a:ln>
                        </wps:spPr>
                        <wps:bodyPr rot="0">
                          <a:noAutofit/>
                        </wps:bodyPr>
                      </wps:wsp>
                      <wps:wsp>
                        <wps:cNvPr id="24" name="直接连接符 24"/>
                        <wps:cNvCnPr/>
                        <wps:spPr bwMode="auto">
                          <a:xfrm flipH="1">
                            <a:off x="7104" y="5976"/>
                            <a:ext cx="1" cy="3804"/>
                          </a:xfrm>
                          <a:prstGeom prst="line">
                            <a:avLst/>
                          </a:prstGeom>
                          <a:noFill/>
                          <a:ln>
                            <a:solidFill>
                              <a:srgbClr val="000000"/>
                            </a:solidFill>
                            <a:tailEnd type="triangle"/>
                          </a:ln>
                        </wps:spPr>
                        <wps:bodyPr rot="0">
                          <a:noAutofit/>
                        </wps:bodyPr>
                      </wps:wsp>
                      <wps:wsp>
                        <wps:cNvPr id="25" name="直接连接符 25"/>
                        <wps:cNvCnPr/>
                        <wps:spPr bwMode="auto">
                          <a:xfrm>
                            <a:off x="4756" y="9781"/>
                            <a:ext cx="2661" cy="1"/>
                          </a:xfrm>
                          <a:prstGeom prst="line">
                            <a:avLst/>
                          </a:prstGeom>
                          <a:noFill/>
                          <a:ln>
                            <a:solidFill>
                              <a:srgbClr val="000000"/>
                            </a:solidFill>
                          </a:ln>
                        </wps:spPr>
                        <wps:bodyPr rot="0">
                          <a:noAutofit/>
                        </wps:bodyPr>
                      </wps:wsp>
                      <wps:wsp>
                        <wps:cNvPr id="26" name="任意多边形 26"/>
                        <wps:cNvSpPr/>
                        <wps:spPr bwMode="auto">
                          <a:xfrm>
                            <a:off x="751" y="3516"/>
                            <a:ext cx="2974" cy="3941"/>
                          </a:xfrm>
                          <a:custGeom>
                            <a:avLst/>
                            <a:gdLst>
                              <a:gd name="gd0" fmla="val 65536"/>
                              <a:gd name="gd1" fmla="val 3240"/>
                              <a:gd name="gd2" fmla="val 5772"/>
                              <a:gd name="gd3" fmla="val 0"/>
                              <a:gd name="gd4" fmla="val 5772"/>
                              <a:gd name="gd5" fmla="val 0"/>
                              <a:gd name="gd6" fmla="val 0"/>
                              <a:gd name="gd7" fmla="val 1620"/>
                              <a:gd name="gd8" fmla="val 0"/>
                            </a:gdLst>
                            <a:ahLst/>
                            <a:cxnLst/>
                            <a:rect l="0" t="0" r="r" b="b"/>
                            <a:pathLst>
                              <a:path w="3240" h="5772" extrusionOk="0">
                                <a:moveTo>
                                  <a:pt x="gd1" y="gd2"/>
                                </a:moveTo>
                                <a:lnTo>
                                  <a:pt x="gd3" y="gd4"/>
                                </a:lnTo>
                                <a:lnTo>
                                  <a:pt x="gd5" y="gd6"/>
                                </a:lnTo>
                                <a:lnTo>
                                  <a:pt x="gd7" y="gd8"/>
                                </a:lnTo>
                              </a:path>
                            </a:pathLst>
                          </a:custGeom>
                          <a:noFill/>
                          <a:ln w="12700">
                            <a:solidFill>
                              <a:srgbClr val="000000"/>
                            </a:solidFill>
                            <a:tailEnd type="triangle"/>
                          </a:ln>
                        </wps:spPr>
                        <wps:bodyPr rot="0">
                          <a:noAutofit/>
                        </wps:bodyPr>
                      </wps:wsp>
                      <wps:wsp>
                        <wps:cNvPr id="27" name="文本框 27"/>
                        <wps:cNvSpPr txBox="1"/>
                        <wps:spPr bwMode="auto">
                          <a:xfrm>
                            <a:off x="517" y="4875"/>
                            <a:ext cx="627" cy="1630"/>
                          </a:xfrm>
                          <a:prstGeom prst="rect">
                            <a:avLst/>
                          </a:prstGeom>
                          <a:noFill/>
                          <a:ln>
                            <a:noFill/>
                          </a:ln>
                        </wps:spPr>
                        <wps:txbx>
                          <w:txbxContent>
                            <w:p w14:paraId="36BA79F5">
                              <w:pPr>
                                <w:jc w:val="center"/>
                                <w:rPr>
                                  <w:rFonts w:hint="eastAsia"/>
                                </w:rPr>
                              </w:pPr>
                              <w:r>
                                <w:rPr>
                                  <w:rFonts w:hint="eastAsia"/>
                                </w:rPr>
                                <w:t>有 重 大 变 化</w:t>
                              </w:r>
                            </w:p>
                            <w:p w14:paraId="0DAE7EBE"/>
                          </w:txbxContent>
                        </wps:txbx>
                        <wps:bodyPr vert="vert" wrap="square" upright="1"/>
                      </wps:wsp>
                      <wps:wsp>
                        <wps:cNvPr id="28" name="文本框 28"/>
                        <wps:cNvSpPr txBox="1"/>
                        <wps:spPr bwMode="auto">
                          <a:xfrm>
                            <a:off x="125" y="1614"/>
                            <a:ext cx="469" cy="1494"/>
                          </a:xfrm>
                          <a:prstGeom prst="rect">
                            <a:avLst/>
                          </a:prstGeom>
                          <a:noFill/>
                          <a:ln>
                            <a:noFill/>
                          </a:ln>
                        </wps:spPr>
                        <wps:txbx>
                          <w:txbxContent>
                            <w:p w14:paraId="5DECA5D1">
                              <w:pPr>
                                <w:rPr>
                                  <w:rFonts w:hint="eastAsia"/>
                                  <w:szCs w:val="21"/>
                                </w:rPr>
                              </w:pPr>
                              <w:r>
                                <w:rPr>
                                  <w:rFonts w:hint="eastAsia"/>
                                  <w:szCs w:val="21"/>
                                </w:rPr>
                                <w:t>第</w:t>
                              </w:r>
                            </w:p>
                            <w:p w14:paraId="19CD5D83">
                              <w:pPr>
                                <w:rPr>
                                  <w:rFonts w:hint="eastAsia"/>
                                  <w:szCs w:val="21"/>
                                </w:rPr>
                              </w:pPr>
                              <w:r>
                                <w:rPr>
                                  <w:rFonts w:hint="eastAsia"/>
                                  <w:szCs w:val="21"/>
                                </w:rPr>
                                <w:t>一</w:t>
                              </w:r>
                            </w:p>
                            <w:p w14:paraId="56CD844B">
                              <w:pPr>
                                <w:rPr>
                                  <w:rFonts w:hint="eastAsia"/>
                                  <w:szCs w:val="21"/>
                                </w:rPr>
                              </w:pPr>
                              <w:r>
                                <w:rPr>
                                  <w:rFonts w:hint="eastAsia"/>
                                  <w:szCs w:val="21"/>
                                </w:rPr>
                                <w:t>阶</w:t>
                              </w:r>
                            </w:p>
                            <w:p w14:paraId="09E5AED1">
                              <w:pPr>
                                <w:rPr>
                                  <w:rFonts w:hint="eastAsia"/>
                                  <w:szCs w:val="21"/>
                                </w:rPr>
                              </w:pPr>
                              <w:r>
                                <w:rPr>
                                  <w:rFonts w:hint="eastAsia"/>
                                  <w:szCs w:val="21"/>
                                </w:rPr>
                                <w:t>段</w:t>
                              </w:r>
                            </w:p>
                            <w:p w14:paraId="590A14B1"/>
                          </w:txbxContent>
                        </wps:txbx>
                        <wps:bodyPr wrap="square" upright="1"/>
                      </wps:wsp>
                      <wps:wsp>
                        <wps:cNvPr id="29" name="文本框 29"/>
                        <wps:cNvSpPr txBox="1"/>
                        <wps:spPr bwMode="auto">
                          <a:xfrm>
                            <a:off x="125" y="6098"/>
                            <a:ext cx="469" cy="1494"/>
                          </a:xfrm>
                          <a:prstGeom prst="rect">
                            <a:avLst/>
                          </a:prstGeom>
                          <a:noFill/>
                          <a:ln>
                            <a:noFill/>
                          </a:ln>
                        </wps:spPr>
                        <wps:txbx>
                          <w:txbxContent>
                            <w:p w14:paraId="4FF7C63A">
                              <w:pPr>
                                <w:rPr>
                                  <w:rFonts w:hint="eastAsia"/>
                                  <w:szCs w:val="21"/>
                                </w:rPr>
                              </w:pPr>
                              <w:r>
                                <w:rPr>
                                  <w:rFonts w:hint="eastAsia"/>
                                  <w:szCs w:val="21"/>
                                </w:rPr>
                                <w:t>第</w:t>
                              </w:r>
                            </w:p>
                            <w:p w14:paraId="5B8858E4">
                              <w:pPr>
                                <w:rPr>
                                  <w:rFonts w:hint="eastAsia"/>
                                  <w:szCs w:val="21"/>
                                </w:rPr>
                              </w:pPr>
                              <w:r>
                                <w:rPr>
                                  <w:rFonts w:hint="eastAsia"/>
                                  <w:szCs w:val="21"/>
                                </w:rPr>
                                <w:t>二</w:t>
                              </w:r>
                            </w:p>
                            <w:p w14:paraId="5B1D0B03">
                              <w:pPr>
                                <w:rPr>
                                  <w:rFonts w:hint="eastAsia"/>
                                  <w:szCs w:val="21"/>
                                </w:rPr>
                              </w:pPr>
                              <w:r>
                                <w:rPr>
                                  <w:rFonts w:hint="eastAsia"/>
                                  <w:szCs w:val="21"/>
                                </w:rPr>
                                <w:t>阶</w:t>
                              </w:r>
                            </w:p>
                            <w:p w14:paraId="0DEFE51A">
                              <w:pPr>
                                <w:rPr>
                                  <w:rFonts w:hint="eastAsia"/>
                                  <w:szCs w:val="21"/>
                                </w:rPr>
                              </w:pPr>
                              <w:r>
                                <w:rPr>
                                  <w:rFonts w:hint="eastAsia"/>
                                  <w:szCs w:val="21"/>
                                </w:rPr>
                                <w:t>段</w:t>
                              </w:r>
                            </w:p>
                            <w:p w14:paraId="44A174FB"/>
                          </w:txbxContent>
                        </wps:txbx>
                        <wps:bodyPr wrap="square" upright="1"/>
                      </wps:wsp>
                      <wps:wsp>
                        <wps:cNvPr id="30" name="文本框 30"/>
                        <wps:cNvSpPr txBox="1"/>
                        <wps:spPr bwMode="auto">
                          <a:xfrm>
                            <a:off x="204" y="8680"/>
                            <a:ext cx="468" cy="1494"/>
                          </a:xfrm>
                          <a:prstGeom prst="rect">
                            <a:avLst/>
                          </a:prstGeom>
                          <a:noFill/>
                          <a:ln>
                            <a:noFill/>
                          </a:ln>
                        </wps:spPr>
                        <wps:txbx>
                          <w:txbxContent>
                            <w:p w14:paraId="6EFA2269">
                              <w:pPr>
                                <w:rPr>
                                  <w:rFonts w:hint="eastAsia"/>
                                  <w:szCs w:val="21"/>
                                </w:rPr>
                              </w:pPr>
                              <w:r>
                                <w:rPr>
                                  <w:rFonts w:hint="eastAsia"/>
                                  <w:szCs w:val="21"/>
                                </w:rPr>
                                <w:t>第</w:t>
                              </w:r>
                            </w:p>
                            <w:p w14:paraId="3B8033E9">
                              <w:pPr>
                                <w:rPr>
                                  <w:rFonts w:hint="eastAsia"/>
                                  <w:szCs w:val="21"/>
                                </w:rPr>
                              </w:pPr>
                              <w:r>
                                <w:rPr>
                                  <w:rFonts w:hint="eastAsia"/>
                                  <w:szCs w:val="21"/>
                                </w:rPr>
                                <w:t>三</w:t>
                              </w:r>
                            </w:p>
                            <w:p w14:paraId="61C66D90">
                              <w:pPr>
                                <w:rPr>
                                  <w:rFonts w:hint="eastAsia"/>
                                  <w:szCs w:val="21"/>
                                </w:rPr>
                              </w:pPr>
                              <w:r>
                                <w:rPr>
                                  <w:rFonts w:hint="eastAsia"/>
                                  <w:szCs w:val="21"/>
                                </w:rPr>
                                <w:t>阶</w:t>
                              </w:r>
                            </w:p>
                            <w:p w14:paraId="36AB5001">
                              <w:pPr>
                                <w:rPr>
                                  <w:rFonts w:hint="eastAsia"/>
                                  <w:szCs w:val="21"/>
                                </w:rPr>
                              </w:pPr>
                              <w:r>
                                <w:rPr>
                                  <w:rFonts w:hint="eastAsia"/>
                                  <w:szCs w:val="21"/>
                                </w:rPr>
                                <w:t>段</w:t>
                              </w:r>
                            </w:p>
                            <w:p w14:paraId="71B127B0"/>
                          </w:txbxContent>
                        </wps:txbx>
                        <wps:bodyPr wrap="square" upright="1"/>
                      </wps:wsp>
                      <wps:wsp>
                        <wps:cNvPr id="31" name="文本框 31"/>
                        <wps:cNvSpPr txBox="1"/>
                        <wps:spPr bwMode="auto">
                          <a:xfrm>
                            <a:off x="6855" y="4603"/>
                            <a:ext cx="470" cy="1359"/>
                          </a:xfrm>
                          <a:prstGeom prst="rect">
                            <a:avLst/>
                          </a:prstGeom>
                          <a:solidFill>
                            <a:srgbClr val="FFFFFF"/>
                          </a:solidFill>
                          <a:ln>
                            <a:solidFill>
                              <a:srgbClr val="000000"/>
                            </a:solidFill>
                          </a:ln>
                        </wps:spPr>
                        <wps:txbx>
                          <w:txbxContent>
                            <w:p w14:paraId="005A8509">
                              <w:pPr>
                                <w:rPr>
                                  <w:rFonts w:hint="eastAsia"/>
                                </w:rPr>
                              </w:pPr>
                              <w:r>
                                <w:rPr>
                                  <w:rFonts w:hint="eastAsia"/>
                                </w:rPr>
                                <w:t>公众参与</w:t>
                              </w:r>
                            </w:p>
                            <w:p w14:paraId="3A714A31"/>
                          </w:txbxContent>
                        </wps:txbx>
                        <wps:bodyPr wrap="square" upright="1"/>
                      </wps:wsp>
                      <wps:wsp>
                        <wps:cNvPr id="32" name="直接连接符 32"/>
                        <wps:cNvCnPr/>
                        <wps:spPr bwMode="auto">
                          <a:xfrm>
                            <a:off x="3724" y="2837"/>
                            <a:ext cx="1" cy="408"/>
                          </a:xfrm>
                          <a:prstGeom prst="line">
                            <a:avLst/>
                          </a:prstGeom>
                          <a:noFill/>
                          <a:ln>
                            <a:solidFill>
                              <a:srgbClr val="000000"/>
                            </a:solidFill>
                            <a:tailEnd type="triangle"/>
                          </a:ln>
                        </wps:spPr>
                        <wps:bodyPr rot="0">
                          <a:noAutofit/>
                        </wps:bodyPr>
                      </wps:wsp>
                      <wps:wsp>
                        <wps:cNvPr id="33" name="直接连接符 33"/>
                        <wps:cNvCnPr/>
                        <wps:spPr bwMode="auto">
                          <a:xfrm>
                            <a:off x="3724" y="3652"/>
                            <a:ext cx="1" cy="408"/>
                          </a:xfrm>
                          <a:prstGeom prst="line">
                            <a:avLst/>
                          </a:prstGeom>
                          <a:noFill/>
                          <a:ln>
                            <a:solidFill>
                              <a:srgbClr val="000000"/>
                            </a:solidFill>
                            <a:tailEnd type="triangle"/>
                          </a:ln>
                        </wps:spPr>
                        <wps:bodyPr rot="0">
                          <a:noAutofit/>
                        </wps:bodyPr>
                      </wps:wsp>
                      <wps:wsp>
                        <wps:cNvPr id="34" name="直接连接符 34"/>
                        <wps:cNvCnPr/>
                        <wps:spPr bwMode="auto">
                          <a:xfrm>
                            <a:off x="3724" y="4739"/>
                            <a:ext cx="0" cy="408"/>
                          </a:xfrm>
                          <a:prstGeom prst="line">
                            <a:avLst/>
                          </a:prstGeom>
                          <a:noFill/>
                          <a:ln>
                            <a:solidFill>
                              <a:srgbClr val="000000"/>
                            </a:solidFill>
                            <a:tailEnd type="triangle"/>
                          </a:ln>
                        </wps:spPr>
                        <wps:bodyPr rot="0">
                          <a:noAutofit/>
                        </wps:bodyPr>
                      </wps:wsp>
                      <wps:wsp>
                        <wps:cNvPr id="35" name="直接连接符 35"/>
                        <wps:cNvCnPr/>
                        <wps:spPr bwMode="auto">
                          <a:xfrm>
                            <a:off x="3724" y="5555"/>
                            <a:ext cx="0" cy="543"/>
                          </a:xfrm>
                          <a:prstGeom prst="line">
                            <a:avLst/>
                          </a:prstGeom>
                          <a:noFill/>
                          <a:ln>
                            <a:solidFill>
                              <a:srgbClr val="000000"/>
                            </a:solidFill>
                            <a:tailEnd type="triangle"/>
                          </a:ln>
                        </wps:spPr>
                        <wps:bodyPr rot="0">
                          <a:noAutofit/>
                        </wps:bodyPr>
                      </wps:wsp>
                      <wps:wsp>
                        <wps:cNvPr id="36" name="直接连接符 36"/>
                        <wps:cNvCnPr/>
                        <wps:spPr bwMode="auto">
                          <a:xfrm>
                            <a:off x="3724" y="7185"/>
                            <a:ext cx="0" cy="544"/>
                          </a:xfrm>
                          <a:prstGeom prst="line">
                            <a:avLst/>
                          </a:prstGeom>
                          <a:noFill/>
                          <a:ln>
                            <a:solidFill>
                              <a:srgbClr val="000000"/>
                            </a:solidFill>
                            <a:tailEnd type="triangle"/>
                          </a:ln>
                        </wps:spPr>
                        <wps:bodyPr rot="0">
                          <a:noAutofit/>
                        </wps:bodyPr>
                      </wps:wsp>
                      <wps:wsp>
                        <wps:cNvPr id="37" name="直接连接符 37"/>
                        <wps:cNvCnPr/>
                        <wps:spPr bwMode="auto">
                          <a:xfrm>
                            <a:off x="3724" y="8272"/>
                            <a:ext cx="1" cy="544"/>
                          </a:xfrm>
                          <a:prstGeom prst="line">
                            <a:avLst/>
                          </a:prstGeom>
                          <a:noFill/>
                          <a:ln>
                            <a:solidFill>
                              <a:srgbClr val="000000"/>
                            </a:solidFill>
                            <a:tailEnd type="triangle"/>
                          </a:ln>
                        </wps:spPr>
                        <wps:bodyPr rot="0">
                          <a:noAutofit/>
                        </wps:bodyPr>
                      </wps:wsp>
                      <wps:wsp>
                        <wps:cNvPr id="38" name="直接连接符 38"/>
                        <wps:cNvCnPr/>
                        <wps:spPr bwMode="auto">
                          <a:xfrm>
                            <a:off x="3724" y="9495"/>
                            <a:ext cx="1" cy="408"/>
                          </a:xfrm>
                          <a:prstGeom prst="line">
                            <a:avLst/>
                          </a:prstGeom>
                          <a:noFill/>
                          <a:ln>
                            <a:solidFill>
                              <a:srgbClr val="000000"/>
                            </a:solidFill>
                            <a:tailEnd type="triangle"/>
                          </a:ln>
                        </wps:spPr>
                        <wps:bodyPr rot="0">
                          <a:noAutofit/>
                        </wps:bodyPr>
                      </wps:wsp>
                      <wps:wsp>
                        <wps:cNvPr id="39" name="直接连接符 39"/>
                        <wps:cNvCnPr/>
                        <wps:spPr bwMode="auto">
                          <a:xfrm>
                            <a:off x="5057" y="663"/>
                            <a:ext cx="2504" cy="0"/>
                          </a:xfrm>
                          <a:prstGeom prst="line">
                            <a:avLst/>
                          </a:prstGeom>
                          <a:noFill/>
                          <a:ln>
                            <a:solidFill>
                              <a:srgbClr val="000000"/>
                            </a:solidFill>
                          </a:ln>
                        </wps:spPr>
                        <wps:bodyPr rot="0">
                          <a:noAutofit/>
                        </wps:bodyPr>
                      </wps:wsp>
                      <wps:wsp>
                        <wps:cNvPr id="40" name="直接连接符 40"/>
                        <wps:cNvCnPr/>
                        <wps:spPr bwMode="auto">
                          <a:xfrm flipV="1">
                            <a:off x="7092" y="663"/>
                            <a:ext cx="0" cy="3940"/>
                          </a:xfrm>
                          <a:prstGeom prst="line">
                            <a:avLst/>
                          </a:prstGeom>
                          <a:noFill/>
                          <a:ln>
                            <a:solidFill>
                              <a:srgbClr val="000000"/>
                            </a:solidFill>
                            <a:tailEnd type="triangle"/>
                          </a:ln>
                        </wps:spPr>
                        <wps:bodyPr rot="0">
                          <a:noAutofit/>
                        </wps:bodyPr>
                      </wps:wsp>
                      <wps:wsp>
                        <wps:cNvPr id="41" name="直接连接符 41"/>
                        <wps:cNvCnPr/>
                        <wps:spPr bwMode="auto">
                          <a:xfrm>
                            <a:off x="3722" y="1478"/>
                            <a:ext cx="1" cy="544"/>
                          </a:xfrm>
                          <a:prstGeom prst="line">
                            <a:avLst/>
                          </a:prstGeom>
                          <a:noFill/>
                          <a:ln>
                            <a:solidFill>
                              <a:srgbClr val="000000"/>
                            </a:solidFill>
                            <a:tailEnd type="triangle"/>
                          </a:ln>
                        </wps:spPr>
                        <wps:bodyPr rot="0">
                          <a:noAutofit/>
                        </wps:bodyPr>
                      </wps:wsp>
                      <wps:wsp>
                        <wps:cNvPr id="42" name="直接连接符 42"/>
                        <wps:cNvCnPr/>
                        <wps:spPr bwMode="auto">
                          <a:xfrm>
                            <a:off x="3722" y="527"/>
                            <a:ext cx="1" cy="408"/>
                          </a:xfrm>
                          <a:prstGeom prst="line">
                            <a:avLst/>
                          </a:prstGeom>
                          <a:noFill/>
                          <a:ln>
                            <a:solidFill>
                              <a:srgbClr val="000000"/>
                            </a:solidFill>
                            <a:tailEnd type="triangle"/>
                          </a:ln>
                        </wps:spPr>
                        <wps:bodyPr rot="0">
                          <a:noAutofit/>
                        </wps:bodyPr>
                      </wps:wsp>
                    </wpg:wgp>
                  </a:graphicData>
                </a:graphic>
              </wp:anchor>
            </w:drawing>
          </mc:Choice>
          <mc:Fallback>
            <w:pict>
              <v:group id="_x0000_s1159" o:spid="_x0000_s1026" o:spt="203" style="position:absolute;left:0pt;margin-left:2.25pt;margin-top:0.55pt;height:514.9pt;width:439.15pt;z-index:251660288;mso-width-relative:page;mso-height-relative:page;" coordsize="7638,10446" o:gfxdata="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">
                <o:lock v:ext="edit" aspectratio="f"/>
                <v:shape id="_x0000_s1026" o:spid="_x0000_s1026" o:spt="202" type="#_x0000_t202" style="position:absolute;left:2567;top:136;height:346;width:2190;" fillcolor="#FFFFFF" filled="t" stroked="t" coordsize="21600,21600" o:gfxdata="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XzuLNvQAA&#10;ANoAAAAPAAAAAAAAAAEAIAAAACIAAABkcnMvZG93bnJldi54bWxQSwECFAAUAAAACACHTuJAMy8F&#10;njsAAAA5AAAAEAAAAAAAAAABACAAAAAMAQAAZHJzL3NoYXBleG1sLnhtbFBLBQYAAAAABgAGAFsB&#10;AAC2AwAAAAA=&#10;">
                  <v:fill on="t" focussize="0,0"/>
                  <v:stroke color="#000000" joinstyle="round"/>
                  <v:imagedata o:title=""/>
                  <o:lock v:ext="edit" aspectratio="f"/>
                  <v:textbox inset="1.5mm,0mm,0.5mm,0mm">
                    <w:txbxContent>
                      <w:p w14:paraId="61F35993">
                        <w:pPr>
                          <w:spacing w:line="280" w:lineRule="exact"/>
                          <w:jc w:val="center"/>
                          <w:rPr>
                            <w:rFonts w:hint="eastAsia" w:ascii="宋体" w:hAnsi="宋体"/>
                            <w:szCs w:val="21"/>
                          </w:rPr>
                        </w:pPr>
                        <w:r>
                          <w:rPr>
                            <w:rFonts w:hint="eastAsia" w:ascii="宋体" w:hAnsi="宋体"/>
                            <w:szCs w:val="21"/>
                          </w:rPr>
                          <w:t>环境影响评价委托</w:t>
                        </w:r>
                      </w:p>
                      <w:p w14:paraId="100340FA"/>
                    </w:txbxContent>
                  </v:textbox>
                </v:shape>
                <v:shape id="_x0000_s1026" o:spid="_x0000_s1026" o:spt="202" type="#_x0000_t202" style="position:absolute;left:674;top:935;height:543;width:5713;" fillcolor="#FFFFFF" filled="t" stroked="t" coordsize="21600,21600" o:gfxdata="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4gkdWvQAA&#10;ANoAAAAPAAAAAAAAAAEAIAAAACIAAABkcnMvZG93bnJldi54bWxQSwECFAAUAAAACACHTuJAMy8F&#10;njsAAAA5AAAAEAAAAAAAAAABACAAAAAMAQAAZHJzL3NoYXBleG1sLnhtbFBLBQYAAAAABgAGAFsB&#10;AAC2AwAAAAA=&#10;">
                  <v:fill on="t" focussize="0,0"/>
                  <v:stroke color="#000000" joinstyle="round"/>
                  <v:imagedata o:title=""/>
                  <o:lock v:ext="edit" aspectratio="f"/>
                  <v:textbox inset="1.5mm,0mm,0.5mm,0mm">
                    <w:txbxContent>
                      <w:p w14:paraId="273F2E2A">
                        <w:pPr>
                          <w:pStyle w:val="207"/>
                          <w:pBdr>
                            <w:bottom w:val="none" w:color="000000" w:sz="0" w:space="0"/>
                          </w:pBdr>
                          <w:tabs>
                            <w:tab w:val="clear" w:pos="4153"/>
                            <w:tab w:val="clear" w:pos="8305"/>
                          </w:tabs>
                          <w:spacing w:line="280" w:lineRule="exact"/>
                          <w:jc w:val="both"/>
                          <w:rPr>
                            <w:sz w:val="21"/>
                            <w:szCs w:val="21"/>
                          </w:rPr>
                        </w:pPr>
                        <w:r>
                          <w:rPr>
                            <w:sz w:val="21"/>
                            <w:szCs w:val="21"/>
                          </w:rPr>
                          <w:t>1.</w:t>
                        </w:r>
                        <w:r>
                          <w:rPr>
                            <w:rFonts w:hAnsi="宋体"/>
                            <w:sz w:val="21"/>
                            <w:szCs w:val="21"/>
                          </w:rPr>
                          <w:t>研究国家和地方有关环境保护的法律法规、政策、标准及相关规范等</w:t>
                        </w:r>
                      </w:p>
                      <w:p w14:paraId="15B17EFB">
                        <w:pPr>
                          <w:spacing w:line="280" w:lineRule="exact"/>
                          <w:rPr>
                            <w:szCs w:val="21"/>
                          </w:rPr>
                        </w:pPr>
                        <w:r>
                          <w:rPr>
                            <w:szCs w:val="21"/>
                          </w:rPr>
                          <w:t>2.</w:t>
                        </w:r>
                        <w:r>
                          <w:rPr>
                            <w:rFonts w:hAnsi="宋体"/>
                            <w:szCs w:val="21"/>
                          </w:rPr>
                          <w:t>依据相关规定确定环境影响评价文件的类型</w:t>
                        </w:r>
                      </w:p>
                      <w:p w14:paraId="61A2DBCC"/>
                    </w:txbxContent>
                  </v:textbox>
                </v:shape>
                <v:shape id="_x0000_s1026" o:spid="_x0000_s1026" o:spt="202" type="#_x0000_t202" style="position:absolute;left:2160;top:2021;height:817;width:3131;" fillcolor="#FFFFFF" filled="t" stroked="t" coordsize="21600,21600" o:gfxdata="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JHdMkugAAANoA&#10;AAAPAAAAAAAAAAEAIAAAACIAAABkcnMvZG93bnJldi54bWxQSwECFAAUAAAACACHTuJAMy8FnjsA&#10;AAA5AAAAEAAAAAAAAAABACAAAAAJAQAAZHJzL3NoYXBleG1sLnhtbFBLBQYAAAAABgAGAFsBAACz&#10;AwAAAAA=&#10;">
                  <v:fill on="t" focussize="0,0"/>
                  <v:stroke color="#000000" joinstyle="round"/>
                  <v:imagedata o:title=""/>
                  <o:lock v:ext="edit" aspectratio="f"/>
                  <v:textbox inset="1.5mm,0mm,0.5mm,0mm">
                    <w:txbxContent>
                      <w:p w14:paraId="60F5310D">
                        <w:pPr>
                          <w:pStyle w:val="207"/>
                          <w:pBdr>
                            <w:bottom w:val="none" w:color="000000" w:sz="0" w:space="0"/>
                          </w:pBdr>
                          <w:tabs>
                            <w:tab w:val="clear" w:pos="4153"/>
                            <w:tab w:val="clear" w:pos="8305"/>
                          </w:tabs>
                          <w:spacing w:line="280" w:lineRule="exact"/>
                          <w:jc w:val="both"/>
                          <w:rPr>
                            <w:sz w:val="21"/>
                            <w:szCs w:val="21"/>
                          </w:rPr>
                        </w:pPr>
                        <w:r>
                          <w:rPr>
                            <w:sz w:val="21"/>
                            <w:szCs w:val="21"/>
                          </w:rPr>
                          <w:t>1.</w:t>
                        </w:r>
                        <w:r>
                          <w:rPr>
                            <w:rFonts w:hAnsi="宋体"/>
                            <w:sz w:val="21"/>
                            <w:szCs w:val="21"/>
                          </w:rPr>
                          <w:t>研究相关技术文件和其他有关文件</w:t>
                        </w:r>
                      </w:p>
                      <w:p w14:paraId="45282FEB">
                        <w:pPr>
                          <w:pStyle w:val="207"/>
                          <w:pBdr>
                            <w:bottom w:val="none" w:color="000000" w:sz="0" w:space="0"/>
                          </w:pBdr>
                          <w:tabs>
                            <w:tab w:val="clear" w:pos="4153"/>
                            <w:tab w:val="clear" w:pos="8305"/>
                          </w:tabs>
                          <w:spacing w:line="280" w:lineRule="exact"/>
                          <w:jc w:val="both"/>
                          <w:rPr>
                            <w:sz w:val="21"/>
                            <w:szCs w:val="21"/>
                          </w:rPr>
                        </w:pPr>
                        <w:r>
                          <w:rPr>
                            <w:sz w:val="21"/>
                            <w:szCs w:val="21"/>
                          </w:rPr>
                          <w:t>2.</w:t>
                        </w:r>
                        <w:r>
                          <w:rPr>
                            <w:rFonts w:hAnsi="宋体"/>
                            <w:sz w:val="21"/>
                            <w:szCs w:val="21"/>
                          </w:rPr>
                          <w:t>进行初步工程分析</w:t>
                        </w:r>
                      </w:p>
                      <w:p w14:paraId="77C68DDB">
                        <w:pPr>
                          <w:pStyle w:val="207"/>
                          <w:pBdr>
                            <w:bottom w:val="none" w:color="000000" w:sz="0" w:space="0"/>
                          </w:pBdr>
                          <w:tabs>
                            <w:tab w:val="clear" w:pos="4153"/>
                            <w:tab w:val="clear" w:pos="8305"/>
                          </w:tabs>
                          <w:spacing w:line="280" w:lineRule="exact"/>
                          <w:jc w:val="both"/>
                          <w:rPr>
                            <w:sz w:val="21"/>
                            <w:szCs w:val="21"/>
                          </w:rPr>
                        </w:pPr>
                        <w:r>
                          <w:rPr>
                            <w:sz w:val="21"/>
                            <w:szCs w:val="21"/>
                          </w:rPr>
                          <w:t>3.</w:t>
                        </w:r>
                        <w:r>
                          <w:rPr>
                            <w:rFonts w:hAnsi="宋体"/>
                            <w:sz w:val="21"/>
                            <w:szCs w:val="21"/>
                          </w:rPr>
                          <w:t>展开初步的环境现状调查</w:t>
                        </w:r>
                      </w:p>
                      <w:p w14:paraId="23213DB2"/>
                    </w:txbxContent>
                  </v:textbox>
                </v:shape>
                <v:shape id="_x0000_s1026" o:spid="_x0000_s1026" o:spt="202" type="#_x0000_t202" style="position:absolute;left:2159;top:3245;height:365;width:3130;" fillcolor="#FFFFFF" filled="t" stroked="t" coordsize="21600,21600" o:gfxdata="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IGmoxvQAA&#10;ANoAAAAPAAAAAAAAAAEAIAAAACIAAABkcnMvZG93bnJldi54bWxQSwECFAAUAAAACACHTuJAMy8F&#10;njsAAAA5AAAAEAAAAAAAAAABACAAAAAMAQAAZHJzL3NoYXBleG1sLnhtbFBLBQYAAAAABgAGAFsB&#10;AAC2AwAAAAA=&#10;">
                  <v:fill on="t" focussize="0,0"/>
                  <v:stroke color="#000000" joinstyle="round"/>
                  <v:imagedata o:title=""/>
                  <o:lock v:ext="edit" aspectratio="f"/>
                  <v:textbox inset="0.5mm,0.3mm,0.5mm,0.3mm">
                    <w:txbxContent>
                      <w:p w14:paraId="1E4A93A6">
                        <w:pPr>
                          <w:pStyle w:val="207"/>
                          <w:pBdr>
                            <w:bottom w:val="none" w:color="000000" w:sz="0" w:space="0"/>
                          </w:pBdr>
                          <w:tabs>
                            <w:tab w:val="clear" w:pos="4153"/>
                            <w:tab w:val="clear" w:pos="8305"/>
                          </w:tabs>
                          <w:spacing w:line="280" w:lineRule="exact"/>
                          <w:rPr>
                            <w:rFonts w:hint="eastAsia"/>
                            <w:sz w:val="21"/>
                            <w:szCs w:val="21"/>
                          </w:rPr>
                        </w:pPr>
                        <w:r>
                          <w:rPr>
                            <w:sz w:val="21"/>
                            <w:szCs w:val="21"/>
                          </w:rPr>
                          <w:t>环境影响因素识别与评价因子筛选</w:t>
                        </w:r>
                      </w:p>
                      <w:p w14:paraId="691A40FA"/>
                    </w:txbxContent>
                  </v:textbox>
                </v:shape>
                <v:shape id="_x0000_s1026" o:spid="_x0000_s1026" o:spt="202" type="#_x0000_t202" style="position:absolute;left:1533;top:4060;height:598;width:4383;" fillcolor="#FFFFFF" filled="t" stroked="t" coordsize="21600,21600" o:gfxdata="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6HEwq/&#10;AAAA2wAAAA8AAAAAAAAAAQAgAAAAIgAAAGRycy9kb3ducmV2LnhtbFBLAQIUABQAAAAIAIdO4kAz&#10;LwWeOwAAADkAAAAQAAAAAAAAAAEAIAAAAA4BAABkcnMvc2hhcGV4bWwueG1sUEsFBgAAAAAGAAYA&#10;WwEAALgDAAAAAA==&#10;">
                  <v:fill on="t" focussize="0,0"/>
                  <v:stroke color="#000000" joinstyle="round"/>
                  <v:imagedata o:title=""/>
                  <o:lock v:ext="edit" aspectratio="f"/>
                  <v:textbox inset="1.5mm,0.5mm,0.5mm,0mm">
                    <w:txbxContent>
                      <w:p w14:paraId="40CC6BFA">
                        <w:pPr>
                          <w:pStyle w:val="207"/>
                          <w:pBdr>
                            <w:bottom w:val="none" w:color="000000" w:sz="0" w:space="0"/>
                          </w:pBdr>
                          <w:tabs>
                            <w:tab w:val="clear" w:pos="4153"/>
                            <w:tab w:val="clear" w:pos="8305"/>
                          </w:tabs>
                          <w:spacing w:line="280" w:lineRule="exact"/>
                          <w:rPr>
                            <w:sz w:val="21"/>
                            <w:szCs w:val="21"/>
                          </w:rPr>
                        </w:pPr>
                        <w:r>
                          <w:rPr>
                            <w:sz w:val="21"/>
                            <w:szCs w:val="21"/>
                          </w:rPr>
                          <w:t>1.明确评价重点和环境保护目标</w:t>
                        </w:r>
                      </w:p>
                      <w:p w14:paraId="038F42E2">
                        <w:pPr>
                          <w:pStyle w:val="207"/>
                          <w:pBdr>
                            <w:bottom w:val="none" w:color="000000" w:sz="0" w:space="0"/>
                          </w:pBdr>
                          <w:tabs>
                            <w:tab w:val="clear" w:pos="4153"/>
                            <w:tab w:val="clear" w:pos="8305"/>
                          </w:tabs>
                          <w:spacing w:line="280" w:lineRule="exact"/>
                          <w:rPr>
                            <w:rFonts w:hint="eastAsia"/>
                            <w:sz w:val="21"/>
                            <w:szCs w:val="21"/>
                          </w:rPr>
                        </w:pPr>
                        <w:r>
                          <w:rPr>
                            <w:sz w:val="21"/>
                            <w:szCs w:val="21"/>
                          </w:rPr>
                          <w:t>2.确定工作等级、评价范围和评价标准</w:t>
                        </w:r>
                      </w:p>
                      <w:p w14:paraId="5044F642"/>
                    </w:txbxContent>
                  </v:textbox>
                </v:shape>
                <v:shape id="_x0000_s1026" o:spid="_x0000_s1026" o:spt="202" type="#_x0000_t202" style="position:absolute;left:2942;top:5147;height:408;width:1432;" fillcolor="#FFFFFF" filled="t" stroked="t" coordsize="21600,21600" o:gfxdata="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HLtpG8AAAA&#10;2wAAAA8AAAAAAAAAAQAgAAAAIgAAAGRycy9kb3ducmV2LnhtbFBLAQIUABQAAAAIAIdO4kAzLwWe&#10;OwAAADkAAAAQAAAAAAAAAAEAIAAAAAsBAABkcnMvc2hhcGV4bWwueG1sUEsFBgAAAAAGAAYAWwEA&#10;ALUDAAAAAA==&#10;">
                  <v:fill on="t" focussize="0,0"/>
                  <v:stroke color="#000000" joinstyle="round"/>
                  <v:imagedata o:title=""/>
                  <o:lock v:ext="edit" aspectratio="f"/>
                  <v:textbox inset="1.5mm,0.5mm,0.5mm,0mm">
                    <w:txbxContent>
                      <w:p w14:paraId="0C3855A8">
                        <w:pPr>
                          <w:pStyle w:val="207"/>
                          <w:pBdr>
                            <w:bottom w:val="none" w:color="000000" w:sz="0" w:space="0"/>
                          </w:pBdr>
                          <w:tabs>
                            <w:tab w:val="clear" w:pos="4153"/>
                            <w:tab w:val="clear" w:pos="8305"/>
                          </w:tabs>
                          <w:spacing w:line="280" w:lineRule="exact"/>
                          <w:jc w:val="both"/>
                          <w:rPr>
                            <w:sz w:val="21"/>
                            <w:szCs w:val="21"/>
                          </w:rPr>
                        </w:pPr>
                        <w:r>
                          <w:rPr>
                            <w:sz w:val="21"/>
                            <w:szCs w:val="21"/>
                          </w:rPr>
                          <w:t>制定工作方案</w:t>
                        </w:r>
                      </w:p>
                      <w:p w14:paraId="07E861E2"/>
                    </w:txbxContent>
                  </v:textbox>
                </v:shape>
                <v:shape id="_x0000_s1026" o:spid="_x0000_s1026" o:spt="202" type="#_x0000_t202" style="position:absolute;left:1220;top:6370;height:544;width:1875;" fillcolor="#FFFFFF" filled="t" stroked="t" coordsize="21600,21600" o:gfxdata="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1nbZC8AAAA&#10;2wAAAA8AAAAAAAAAAQAgAAAAIgAAAGRycy9kb3ducmV2LnhtbFBLAQIUABQAAAAIAIdO4kAzLwWe&#10;OwAAADkAAAAQAAAAAAAAAAEAIAAAAAsBAABkcnMvc2hhcGV4bWwueG1sUEsFBgAAAAAGAAYAWwEA&#10;ALUDAAAAAA==&#10;">
                  <v:fill on="t" focussize="0,0"/>
                  <v:stroke color="#000000" joinstyle="round"/>
                  <v:imagedata o:title=""/>
                  <o:lock v:ext="edit" aspectratio="f"/>
                  <v:textbox inset="1.5mm,0mm,0.5mm,0mm">
                    <w:txbxContent>
                      <w:p w14:paraId="7583AFD6">
                        <w:pPr>
                          <w:pStyle w:val="207"/>
                          <w:pBdr>
                            <w:bottom w:val="none" w:color="000000" w:sz="0" w:space="0"/>
                          </w:pBdr>
                          <w:tabs>
                            <w:tab w:val="clear" w:pos="4153"/>
                            <w:tab w:val="clear" w:pos="8305"/>
                          </w:tabs>
                          <w:spacing w:line="280" w:lineRule="exact"/>
                          <w:jc w:val="both"/>
                          <w:rPr>
                            <w:rFonts w:hint="eastAsia"/>
                            <w:sz w:val="21"/>
                            <w:szCs w:val="21"/>
                          </w:rPr>
                        </w:pPr>
                        <w:r>
                          <w:rPr>
                            <w:rFonts w:hint="eastAsia"/>
                            <w:sz w:val="21"/>
                            <w:szCs w:val="21"/>
                          </w:rPr>
                          <w:t>评价范围内的环境状</w:t>
                        </w:r>
                      </w:p>
                      <w:p w14:paraId="70532F04">
                        <w:pPr>
                          <w:pStyle w:val="207"/>
                          <w:pBdr>
                            <w:bottom w:val="none" w:color="000000" w:sz="0" w:space="0"/>
                          </w:pBdr>
                          <w:tabs>
                            <w:tab w:val="clear" w:pos="4153"/>
                            <w:tab w:val="clear" w:pos="8305"/>
                          </w:tabs>
                          <w:spacing w:line="280" w:lineRule="exact"/>
                          <w:jc w:val="both"/>
                          <w:rPr>
                            <w:rFonts w:hint="eastAsia"/>
                            <w:sz w:val="21"/>
                            <w:szCs w:val="21"/>
                          </w:rPr>
                        </w:pPr>
                        <w:r>
                          <w:rPr>
                            <w:rFonts w:hint="eastAsia"/>
                            <w:sz w:val="21"/>
                            <w:szCs w:val="21"/>
                          </w:rPr>
                          <w:t>况调查、监测与评价</w:t>
                        </w:r>
                      </w:p>
                      <w:p w14:paraId="3D35E4C1"/>
                    </w:txbxContent>
                  </v:textbox>
                </v:shape>
                <v:shape id="_x0000_s1026" o:spid="_x0000_s1026" o:spt="202" type="#_x0000_t202" style="position:absolute;left:5134;top:6370;height:544;width:1096;" fillcolor="#FFFFFF" filled="t" stroked="t" coordsize="21600,21600" o:gfxdata="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IryAu8AAAA&#10;2wAAAA8AAAAAAAAAAQAgAAAAIgAAAGRycy9kb3ducmV2LnhtbFBLAQIUABQAAAAIAIdO4kAzLwWe&#10;OwAAADkAAAAQAAAAAAAAAAEAIAAAAAsBAABkcnMvc2hhcGV4bWwueG1sUEsFBgAAAAAGAAYAWwEA&#10;ALUDAAAAAA==&#10;">
                  <v:fill on="t" focussize="0,0"/>
                  <v:stroke color="#000000" joinstyle="round"/>
                  <v:imagedata o:title=""/>
                  <o:lock v:ext="edit" aspectratio="f"/>
                  <v:textbox inset="1.5mm,0mm,0.5mm,0mm">
                    <w:txbxContent>
                      <w:p w14:paraId="0836BE0F">
                        <w:pPr>
                          <w:pStyle w:val="207"/>
                          <w:pBdr>
                            <w:bottom w:val="none" w:color="000000" w:sz="0" w:space="0"/>
                          </w:pBdr>
                          <w:tabs>
                            <w:tab w:val="clear" w:pos="4153"/>
                            <w:tab w:val="clear" w:pos="8305"/>
                          </w:tabs>
                          <w:spacing w:line="280" w:lineRule="exact"/>
                          <w:jc w:val="both"/>
                          <w:rPr>
                            <w:rFonts w:hint="eastAsia"/>
                            <w:sz w:val="21"/>
                            <w:szCs w:val="21"/>
                          </w:rPr>
                        </w:pPr>
                        <w:r>
                          <w:rPr>
                            <w:rFonts w:hint="eastAsia"/>
                            <w:sz w:val="21"/>
                            <w:szCs w:val="21"/>
                          </w:rPr>
                          <w:t>建设项目</w:t>
                        </w:r>
                      </w:p>
                      <w:p w14:paraId="047D2973">
                        <w:pPr>
                          <w:pStyle w:val="207"/>
                          <w:pBdr>
                            <w:bottom w:val="none" w:color="000000" w:sz="0" w:space="0"/>
                          </w:pBdr>
                          <w:tabs>
                            <w:tab w:val="clear" w:pos="4153"/>
                            <w:tab w:val="clear" w:pos="8305"/>
                          </w:tabs>
                          <w:spacing w:line="280" w:lineRule="exact"/>
                          <w:jc w:val="both"/>
                          <w:rPr>
                            <w:rFonts w:hint="eastAsia"/>
                            <w:sz w:val="21"/>
                            <w:szCs w:val="21"/>
                          </w:rPr>
                        </w:pPr>
                        <w:r>
                          <w:rPr>
                            <w:rFonts w:hint="eastAsia"/>
                            <w:sz w:val="21"/>
                            <w:szCs w:val="21"/>
                          </w:rPr>
                          <w:t>工程分析</w:t>
                        </w:r>
                      </w:p>
                      <w:p w14:paraId="723ABB76"/>
                    </w:txbxContent>
                  </v:textbox>
                </v:shape>
                <v:shape id="_x0000_s1026" o:spid="_x0000_s1026" o:spt="202" type="#_x0000_t202" style="position:absolute;left:2159;top:7729;height:595;width:3288;" fillcolor="#FFFFFF" filled="t" stroked="t" coordsize="21600,21600" o:gfxdata="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G8FQm8AAAA&#10;2wAAAA8AAAAAAAAAAQAgAAAAIgAAAGRycy9kb3ducmV2LnhtbFBLAQIUABQAAAAIAIdO4kAzLwWe&#10;OwAAADkAAAAQAAAAAAAAAAEAIAAAAAsBAABkcnMvc2hhcGV4bWwueG1sUEsFBgAAAAAGAAYAWwEA&#10;ALUDAAAAAA==&#10;">
                  <v:fill on="t" focussize="0,0"/>
                  <v:stroke color="#000000" joinstyle="round"/>
                  <v:imagedata o:title=""/>
                  <o:lock v:ext="edit" aspectratio="f"/>
                  <v:textbox inset="1.5mm,0.5mm,0.5mm,0mm">
                    <w:txbxContent>
                      <w:p w14:paraId="68EC7C31">
                        <w:pPr>
                          <w:pStyle w:val="207"/>
                          <w:pBdr>
                            <w:bottom w:val="none" w:color="000000" w:sz="0" w:space="0"/>
                          </w:pBdr>
                          <w:tabs>
                            <w:tab w:val="clear" w:pos="4153"/>
                            <w:tab w:val="clear" w:pos="8305"/>
                          </w:tabs>
                          <w:spacing w:line="280" w:lineRule="exact"/>
                          <w:jc w:val="both"/>
                          <w:rPr>
                            <w:rFonts w:hint="eastAsia"/>
                            <w:sz w:val="21"/>
                            <w:szCs w:val="21"/>
                          </w:rPr>
                        </w:pPr>
                        <w:r>
                          <w:rPr>
                            <w:rFonts w:hint="eastAsia"/>
                            <w:sz w:val="21"/>
                            <w:szCs w:val="21"/>
                          </w:rPr>
                          <w:t>各环境要素环境影响预测与评价</w:t>
                        </w:r>
                      </w:p>
                      <w:p w14:paraId="22D8D578">
                        <w:pPr>
                          <w:pStyle w:val="207"/>
                          <w:pBdr>
                            <w:bottom w:val="none" w:color="000000" w:sz="0" w:space="0"/>
                          </w:pBdr>
                          <w:tabs>
                            <w:tab w:val="clear" w:pos="4153"/>
                            <w:tab w:val="clear" w:pos="8305"/>
                          </w:tabs>
                          <w:spacing w:line="280" w:lineRule="exact"/>
                          <w:jc w:val="both"/>
                          <w:rPr>
                            <w:rFonts w:hint="eastAsia"/>
                            <w:sz w:val="21"/>
                            <w:szCs w:val="21"/>
                          </w:rPr>
                        </w:pPr>
                        <w:r>
                          <w:rPr>
                            <w:rFonts w:hint="eastAsia"/>
                            <w:sz w:val="21"/>
                            <w:szCs w:val="21"/>
                          </w:rPr>
                          <w:t>各专题环境影响分析与评价</w:t>
                        </w:r>
                      </w:p>
                      <w:p w14:paraId="1F311727"/>
                    </w:txbxContent>
                  </v:textbox>
                </v:shape>
                <v:shape id="_x0000_s1026" o:spid="_x0000_s1026" o:spt="202" type="#_x0000_t202" style="position:absolute;left:2003;top:8816;height:586;width:3443;" fillcolor="#FFFFFF" filled="t" stroked="t" coordsize="21600,21600" o:gfxdata="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7wsJK8AAAA&#10;2wAAAA8AAAAAAAAAAQAgAAAAIgAAAGRycy9kb3ducmV2LnhtbFBLAQIUABQAAAAIAIdO4kAzLwWe&#10;OwAAADkAAAAQAAAAAAAAAAEAIAAAAAsBAABkcnMvc2hhcGV4bWwueG1sUEsFBgAAAAAGAAYAWwEA&#10;ALUDAAAAAA==&#10;">
                  <v:fill on="t" focussize="0,0"/>
                  <v:stroke color="#000000" joinstyle="round"/>
                  <v:imagedata o:title=""/>
                  <o:lock v:ext="edit" aspectratio="f"/>
                  <v:textbox inset="1.5mm,0.5mm,0.5mm,0mm">
                    <w:txbxContent>
                      <w:p w14:paraId="60F4CE40">
                        <w:pPr>
                          <w:pStyle w:val="207"/>
                          <w:pBdr>
                            <w:bottom w:val="none" w:color="000000" w:sz="0" w:space="0"/>
                          </w:pBdr>
                          <w:tabs>
                            <w:tab w:val="clear" w:pos="4153"/>
                            <w:tab w:val="clear" w:pos="8305"/>
                          </w:tabs>
                          <w:spacing w:line="280" w:lineRule="exact"/>
                          <w:jc w:val="both"/>
                          <w:rPr>
                            <w:rFonts w:hint="eastAsia"/>
                            <w:sz w:val="21"/>
                            <w:szCs w:val="21"/>
                          </w:rPr>
                        </w:pPr>
                        <w:r>
                          <w:rPr>
                            <w:sz w:val="21"/>
                            <w:szCs w:val="21"/>
                          </w:rPr>
                          <w:t>1.提出环境保护措施、进行技术经济论证</w:t>
                        </w:r>
                      </w:p>
                      <w:p w14:paraId="6DD59F9F">
                        <w:pPr>
                          <w:pStyle w:val="207"/>
                          <w:pBdr>
                            <w:bottom w:val="none" w:color="000000" w:sz="0" w:space="0"/>
                          </w:pBdr>
                          <w:tabs>
                            <w:tab w:val="clear" w:pos="4153"/>
                            <w:tab w:val="clear" w:pos="8305"/>
                          </w:tabs>
                          <w:spacing w:line="280" w:lineRule="exact"/>
                          <w:jc w:val="both"/>
                          <w:rPr>
                            <w:rFonts w:hint="eastAsia"/>
                            <w:sz w:val="21"/>
                            <w:szCs w:val="21"/>
                          </w:rPr>
                        </w:pPr>
                        <w:r>
                          <w:rPr>
                            <w:rFonts w:hint="eastAsia"/>
                            <w:sz w:val="21"/>
                            <w:szCs w:val="21"/>
                          </w:rPr>
                          <w:t>2.给出建设项目环境可行性的评价结论</w:t>
                        </w:r>
                      </w:p>
                      <w:p w14:paraId="19D6A2E8"/>
                    </w:txbxContent>
                  </v:textbox>
                </v:shape>
                <v:shape id="_x0000_s1026" o:spid="_x0000_s1026" o:spt="202" type="#_x0000_t202" style="position:absolute;left:2159;top:9903;height:409;width:3443;" fillcolor="#FFFFFF" filled="t" stroked="t" coordsize="21600,21600" o:gfxdata="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4iLuW8AAAA&#10;2wAAAA8AAAAAAAAAAQAgAAAAIgAAAGRycy9kb3ducmV2LnhtbFBLAQIUABQAAAAIAIdO4kAzLwWe&#10;OwAAADkAAAAQAAAAAAAAAAEAIAAAAAsBAABkcnMvc2hhcGV4bWwueG1sUEsFBgAAAAAGAAYAWwEA&#10;ALUDAAAAAA==&#10;">
                  <v:fill on="t" focussize="0,0"/>
                  <v:stroke color="#000000" joinstyle="round"/>
                  <v:imagedata o:title=""/>
                  <o:lock v:ext="edit" aspectratio="f"/>
                  <v:textbox inset="1.5mm,0.5mm,0.5mm,0mm">
                    <w:txbxContent>
                      <w:p w14:paraId="391CF19B">
                        <w:pPr>
                          <w:jc w:val="center"/>
                          <w:rPr>
                            <w:rFonts w:hint="eastAsia"/>
                            <w:szCs w:val="21"/>
                          </w:rPr>
                        </w:pPr>
                        <w:r>
                          <w:rPr>
                            <w:rFonts w:hint="eastAsia"/>
                            <w:szCs w:val="21"/>
                          </w:rPr>
                          <w:t>编制环境影响评价文件</w:t>
                        </w:r>
                      </w:p>
                      <w:p w14:paraId="62570F01"/>
                    </w:txbxContent>
                  </v:textbox>
                </v:shape>
                <v:shape id="_x0000_s1026" o:spid="_x0000_s1026" o:spt="100" style="position:absolute;left:4351;top:4739;height:544;width:1409;" filled="f" stroked="t" coordsize="1260,936" o:gfxdata="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tpv8srgAAADbAAAA&#10;DwAAAAAAAAABACAAAAAiAAAAZHJzL2Rvd25yZXYueG1sUEsBAhQAFAAAAAgAh07iQDMvBZ47AAAA&#10;OQAAABAAAAAAAAAAAQAgAAAABwEAAGRycy9zaGFwZXhtbC54bWxQSwUGAAAAAAYABgBbAQAAsQMA&#10;AAAA&#10;" path="m0,936l1260,936,1260,0e">
                  <v:fill on="f" focussize="0,0"/>
                  <v:stroke weight="1pt" color="#000000" joinstyle="round" endarrow="block"/>
                  <v:imagedata o:title=""/>
                  <o:lock v:ext="edit" aspectratio="f"/>
                </v:shape>
                <v:line id="_x0000_s1026" o:spid="_x0000_s1026" o:spt="20" style="position:absolute;left:2003;top:6098;height:1;width:3600;" filled="f" stroked="t" coordsize="21600,21600" o:gfxdata="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Qf3rr4A&#10;AADbAAAADwAAAAAAAAABACAAAAAiAAAAZHJzL2Rvd25yZXYueG1sUEsBAhQAFAAAAAgAh07iQDMv&#10;BZ47AAAAOQAAABAAAAAAAAAAAQAgAAAADQEAAGRycy9zaGFwZXhtbC54bWxQSwUGAAAAAAYABgBb&#10;AQAAtwMAAAAA&#10;">
                  <v:fill on="f" focussize="0,0"/>
                  <v:stroke weight="1pt" color="#000000" joinstyle="round"/>
                  <v:imagedata o:title=""/>
                  <o:lock v:ext="edit" aspectratio="f"/>
                </v:line>
                <v:line id="_x0000_s1026" o:spid="_x0000_s1026" o:spt="20" style="position:absolute;left:2003;top:7185;height:1;width:3600;" filled="f" stroked="t" coordsize="21600,21600" o:gfxdata="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OS1I1ugAAANsA&#10;AAAPAAAAAAAAAAEAIAAAACIAAABkcnMvZG93bnJldi54bWxQSwECFAAUAAAACACHTuJAMy8FnjsA&#10;AAA5AAAAEAAAAAAAAAABACAAAAAJAQAAZHJzL3NoYXBleG1sLnhtbFBLBQYAAAAABgAGAFsBAACz&#10;AwAAAAA=&#10;">
                  <v:fill on="f" focussize="0,0"/>
                  <v:stroke weight="1pt" color="#000000" joinstyle="round"/>
                  <v:imagedata o:title=""/>
                  <o:lock v:ext="edit" aspectratio="f"/>
                </v:line>
                <v:line id="_x0000_s1026" o:spid="_x0000_s1026" o:spt="20" style="position:absolute;left:2003;top:6913;flip:y;height:271;width:1;" filled="f" stroked="t" coordsize="21600,21600" o:gfxdata="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OxzJyW2AAAA2wAAAA8A&#10;AAAAAAAAAQAgAAAAIgAAAGRycy9kb3ducmV2LnhtbFBLAQIUABQAAAAIAIdO4kAzLwWeOwAAADkA&#10;AAAQAAAAAAAAAAEAIAAAAAUBAABkcnMvc2hhcGV4bWwueG1sUEsFBgAAAAAGAAYAWwEAAK8DAAAA&#10;AA==&#10;">
                  <v:fill on="f" focussize="0,0"/>
                  <v:stroke weight="1pt" color="#000000" joinstyle="round"/>
                  <v:imagedata o:title=""/>
                  <o:lock v:ext="edit" aspectratio="f"/>
                </v:line>
                <v:line id="_x0000_s1026" o:spid="_x0000_s1026" o:spt="20" style="position:absolute;left:5603;top:6913;flip:y;height:271;width:1;" filled="f" stroked="t" coordsize="21600,21600" o:gfxdata="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gz+CvrsAAADb&#10;AAAADwAAAAAAAAABACAAAAAiAAAAZHJzL2Rvd25yZXYueG1sUEsBAhQAFAAAAAgAh07iQDMvBZ47&#10;AAAAOQAAABAAAAAAAAAAAQAgAAAACgEAAGRycy9zaGFwZXhtbC54bWxQSwUGAAAAAAYABgBbAQAA&#10;tAMAAAAA&#10;">
                  <v:fill on="f" focussize="0,0"/>
                  <v:stroke weight="1pt" color="#000000" joinstyle="round"/>
                  <v:imagedata o:title=""/>
                  <o:lock v:ext="edit" aspectratio="f"/>
                </v:line>
                <v:line id="_x0000_s1026" o:spid="_x0000_s1026" o:spt="20" style="position:absolute;left:2003;top:6098;height:273;width:1;" filled="f" stroked="t" coordsize="21600,21600" o:gfxdata="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Ogwr5vQAA&#10;ANsAAAAPAAAAAAAAAAEAIAAAACIAAABkcnMvZG93bnJldi54bWxQSwECFAAUAAAACACHTuJAMy8F&#10;njsAAAA5AAAAEAAAAAAAAAABACAAAAAMAQAAZHJzL3NoYXBleG1sLnhtbFBLBQYAAAAABgAGAFsB&#10;AAC2AwAAAAA=&#10;">
                  <v:fill on="f" focussize="0,0"/>
                  <v:stroke weight="1pt" color="#000000" joinstyle="round"/>
                  <v:imagedata o:title=""/>
                  <o:lock v:ext="edit" aspectratio="f"/>
                </v:line>
                <v:line id="_x0000_s1026" o:spid="_x0000_s1026" o:spt="20" style="position:absolute;left:5603;top:6098;height:273;width:2;" filled="f" stroked="t" coordsize="21600,21600" o:gfxdata="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hz69ivQAA&#10;ANsAAAAPAAAAAAAAAAEAIAAAACIAAABkcnMvZG93bnJldi54bWxQSwECFAAUAAAACACHTuJAMy8F&#10;njsAAAA5AAAAEAAAAAAAAAABACAAAAAMAQAAZHJzL3NoYXBleG1sLnhtbFBLBQYAAAAABgAGAFsB&#10;AAC2AwAAAAA=&#10;">
                  <v:fill on="f" focussize="0,0"/>
                  <v:stroke weight="1pt" color="#000000" joinstyle="round"/>
                  <v:imagedata o:title=""/>
                  <o:lock v:ext="edit" aspectratio="f"/>
                </v:line>
                <v:line id="_x0000_s1026" o:spid="_x0000_s1026" o:spt="20" style="position:absolute;left:7104;top:5976;flip:x;height:3804;width:1;" filled="f" stroked="t" coordsize="21600,21600" o:gfxdata="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IlFsm/&#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_x0000_s1026" o:spid="_x0000_s1026" o:spt="20" style="position:absolute;left:4756;top:9781;height:1;width:2661;" filled="f" stroked="t" coordsize="21600,21600" o:gfxdata="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5J7mNvQAA&#10;ANsAAAAPAAAAAAAAAAEAIAAAACIAAABkcnMvZG93bnJldi54bWxQSwECFAAUAAAACACHTuJAMy8F&#10;njsAAAA5AAAAEAAAAAAAAAABACAAAAAMAQAAZHJzL3NoYXBleG1sLnhtbFBLBQYAAAAABgAGAFsB&#10;AAC2AwAAAAA=&#10;">
                  <v:fill on="f" focussize="0,0"/>
                  <v:stroke color="#000000" joinstyle="round"/>
                  <v:imagedata o:title=""/>
                  <o:lock v:ext="edit" aspectratio="f"/>
                </v:line>
                <v:shape id="_x0000_s1026" o:spid="_x0000_s1026" o:spt="100" style="position:absolute;left:751;top:3516;height:3941;width:2974;" filled="f" stroked="t" coordsize="3240,5772" o:gfxdata="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AGjYe8AAAA&#10;2wAAAA8AAAAAAAAAAQAgAAAAIgAAAGRycy9kb3ducmV2LnhtbFBLAQIUABQAAAAIAIdO4kAzLwWe&#10;OwAAADkAAAAQAAAAAAAAAAEAIAAAAAsBAABkcnMvc2hhcGV4bWwueG1sUEsFBgAAAAAGAAYAWwEA&#10;ALUDAAAAAA==&#10;" path="m3240,5772l0,5772,0,0,1620,0e">
                  <v:fill on="f" focussize="0,0"/>
                  <v:stroke weight="1pt" color="#000000" joinstyle="round" endarrow="block"/>
                  <v:imagedata o:title=""/>
                  <o:lock v:ext="edit" aspectratio="f"/>
                </v:shape>
                <v:shape id="_x0000_s1026" o:spid="_x0000_s1026" o:spt="202" type="#_x0000_t202" style="position:absolute;left:517;top:4875;height:1630;width:627;" filled="f" stroked="f" coordsize="21600,21600" o:gfxdata="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u/DT68AAAA&#10;2wAAAA8AAAAAAAAAAQAgAAAAIgAAAGRycy9kb3ducmV2LnhtbFBLAQIUABQAAAAIAIdO4kAzLwWe&#10;OwAAADkAAAAQAAAAAAAAAAEAIAAAAAsBAABkcnMvc2hhcGV4bWwueG1sUEsFBgAAAAAGAAYAWwEA&#10;ALUDAAAAAA==&#10;">
                  <v:fill on="f" focussize="0,0"/>
                  <v:stroke on="f"/>
                  <v:imagedata o:title=""/>
                  <o:lock v:ext="edit" aspectratio="f"/>
                  <v:textbox style="layout-flow:vertical;">
                    <w:txbxContent>
                      <w:p w14:paraId="36BA79F5">
                        <w:pPr>
                          <w:jc w:val="center"/>
                          <w:rPr>
                            <w:rFonts w:hint="eastAsia"/>
                          </w:rPr>
                        </w:pPr>
                        <w:r>
                          <w:rPr>
                            <w:rFonts w:hint="eastAsia"/>
                          </w:rPr>
                          <w:t>有 重 大 变 化</w:t>
                        </w:r>
                      </w:p>
                      <w:p w14:paraId="0DAE7EBE"/>
                    </w:txbxContent>
                  </v:textbox>
                </v:shape>
                <v:shape id="_x0000_s1026" o:spid="_x0000_s1026" o:spt="202" type="#_x0000_t202" style="position:absolute;left:125;top:1614;height:1494;width:469;" filled="f" stroked="f" coordsize="21600,21600" o:gfxdata="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HOpQE25AAAA2wAA&#10;AA8AAAAAAAAAAQAgAAAAIgAAAGRycy9kb3ducmV2LnhtbFBLAQIUABQAAAAIAIdO4kAzLwWeOwAA&#10;ADkAAAAQAAAAAAAAAAEAIAAAAAgBAABkcnMvc2hhcGV4bWwueG1sUEsFBgAAAAAGAAYAWwEAALID&#10;AAAAAA==&#10;">
                  <v:fill on="f" focussize="0,0"/>
                  <v:stroke on="f"/>
                  <v:imagedata o:title=""/>
                  <o:lock v:ext="edit" aspectratio="f"/>
                  <v:textbox>
                    <w:txbxContent>
                      <w:p w14:paraId="5DECA5D1">
                        <w:pPr>
                          <w:rPr>
                            <w:rFonts w:hint="eastAsia"/>
                            <w:szCs w:val="21"/>
                          </w:rPr>
                        </w:pPr>
                        <w:r>
                          <w:rPr>
                            <w:rFonts w:hint="eastAsia"/>
                            <w:szCs w:val="21"/>
                          </w:rPr>
                          <w:t>第</w:t>
                        </w:r>
                      </w:p>
                      <w:p w14:paraId="19CD5D83">
                        <w:pPr>
                          <w:rPr>
                            <w:rFonts w:hint="eastAsia"/>
                            <w:szCs w:val="21"/>
                          </w:rPr>
                        </w:pPr>
                        <w:r>
                          <w:rPr>
                            <w:rFonts w:hint="eastAsia"/>
                            <w:szCs w:val="21"/>
                          </w:rPr>
                          <w:t>一</w:t>
                        </w:r>
                      </w:p>
                      <w:p w14:paraId="56CD844B">
                        <w:pPr>
                          <w:rPr>
                            <w:rFonts w:hint="eastAsia"/>
                            <w:szCs w:val="21"/>
                          </w:rPr>
                        </w:pPr>
                        <w:r>
                          <w:rPr>
                            <w:rFonts w:hint="eastAsia"/>
                            <w:szCs w:val="21"/>
                          </w:rPr>
                          <w:t>阶</w:t>
                        </w:r>
                      </w:p>
                      <w:p w14:paraId="09E5AED1">
                        <w:pPr>
                          <w:rPr>
                            <w:rFonts w:hint="eastAsia"/>
                            <w:szCs w:val="21"/>
                          </w:rPr>
                        </w:pPr>
                        <w:r>
                          <w:rPr>
                            <w:rFonts w:hint="eastAsia"/>
                            <w:szCs w:val="21"/>
                          </w:rPr>
                          <w:t>段</w:t>
                        </w:r>
                      </w:p>
                      <w:p w14:paraId="590A14B1"/>
                    </w:txbxContent>
                  </v:textbox>
                </v:shape>
                <v:shape id="_x0000_s1026" o:spid="_x0000_s1026" o:spt="202" type="#_x0000_t202" style="position:absolute;left:125;top:6098;height:1494;width:469;" filled="f" stroked="f" coordsize="21600,21600" o:gfxdata="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OXl1rsAAADb&#10;AAAADwAAAAAAAAABACAAAAAiAAAAZHJzL2Rvd25yZXYueG1sUEsBAhQAFAAAAAgAh07iQDMvBZ47&#10;AAAAOQAAABAAAAAAAAAAAQAgAAAACgEAAGRycy9zaGFwZXhtbC54bWxQSwUGAAAAAAYABgBbAQAA&#10;tAMAAAAA&#10;">
                  <v:fill on="f" focussize="0,0"/>
                  <v:stroke on="f"/>
                  <v:imagedata o:title=""/>
                  <o:lock v:ext="edit" aspectratio="f"/>
                  <v:textbox>
                    <w:txbxContent>
                      <w:p w14:paraId="4FF7C63A">
                        <w:pPr>
                          <w:rPr>
                            <w:rFonts w:hint="eastAsia"/>
                            <w:szCs w:val="21"/>
                          </w:rPr>
                        </w:pPr>
                        <w:r>
                          <w:rPr>
                            <w:rFonts w:hint="eastAsia"/>
                            <w:szCs w:val="21"/>
                          </w:rPr>
                          <w:t>第</w:t>
                        </w:r>
                      </w:p>
                      <w:p w14:paraId="5B8858E4">
                        <w:pPr>
                          <w:rPr>
                            <w:rFonts w:hint="eastAsia"/>
                            <w:szCs w:val="21"/>
                          </w:rPr>
                        </w:pPr>
                        <w:r>
                          <w:rPr>
                            <w:rFonts w:hint="eastAsia"/>
                            <w:szCs w:val="21"/>
                          </w:rPr>
                          <w:t>二</w:t>
                        </w:r>
                      </w:p>
                      <w:p w14:paraId="5B1D0B03">
                        <w:pPr>
                          <w:rPr>
                            <w:rFonts w:hint="eastAsia"/>
                            <w:szCs w:val="21"/>
                          </w:rPr>
                        </w:pPr>
                        <w:r>
                          <w:rPr>
                            <w:rFonts w:hint="eastAsia"/>
                            <w:szCs w:val="21"/>
                          </w:rPr>
                          <w:t>阶</w:t>
                        </w:r>
                      </w:p>
                      <w:p w14:paraId="0DEFE51A">
                        <w:pPr>
                          <w:rPr>
                            <w:rFonts w:hint="eastAsia"/>
                            <w:szCs w:val="21"/>
                          </w:rPr>
                        </w:pPr>
                        <w:r>
                          <w:rPr>
                            <w:rFonts w:hint="eastAsia"/>
                            <w:szCs w:val="21"/>
                          </w:rPr>
                          <w:t>段</w:t>
                        </w:r>
                      </w:p>
                      <w:p w14:paraId="44A174FB"/>
                    </w:txbxContent>
                  </v:textbox>
                </v:shape>
                <v:shape id="_x0000_s1026" o:spid="_x0000_s1026" o:spt="202" type="#_x0000_t202" style="position:absolute;left:204;top:8680;height:1494;width:468;" filled="f" stroked="f" coordsize="21600,21600" o:gfxdata="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AgG2pa5AAAA2wAA&#10;AA8AAAAAAAAAAQAgAAAAIgAAAGRycy9kb3ducmV2LnhtbFBLAQIUABQAAAAIAIdO4kAzLwWeOwAA&#10;ADkAAAAQAAAAAAAAAAEAIAAAAAgBAABkcnMvc2hhcGV4bWwueG1sUEsFBgAAAAAGAAYAWwEAALID&#10;AAAAAA==&#10;">
                  <v:fill on="f" focussize="0,0"/>
                  <v:stroke on="f"/>
                  <v:imagedata o:title=""/>
                  <o:lock v:ext="edit" aspectratio="f"/>
                  <v:textbox>
                    <w:txbxContent>
                      <w:p w14:paraId="6EFA2269">
                        <w:pPr>
                          <w:rPr>
                            <w:rFonts w:hint="eastAsia"/>
                            <w:szCs w:val="21"/>
                          </w:rPr>
                        </w:pPr>
                        <w:r>
                          <w:rPr>
                            <w:rFonts w:hint="eastAsia"/>
                            <w:szCs w:val="21"/>
                          </w:rPr>
                          <w:t>第</w:t>
                        </w:r>
                      </w:p>
                      <w:p w14:paraId="3B8033E9">
                        <w:pPr>
                          <w:rPr>
                            <w:rFonts w:hint="eastAsia"/>
                            <w:szCs w:val="21"/>
                          </w:rPr>
                        </w:pPr>
                        <w:r>
                          <w:rPr>
                            <w:rFonts w:hint="eastAsia"/>
                            <w:szCs w:val="21"/>
                          </w:rPr>
                          <w:t>三</w:t>
                        </w:r>
                      </w:p>
                      <w:p w14:paraId="61C66D90">
                        <w:pPr>
                          <w:rPr>
                            <w:rFonts w:hint="eastAsia"/>
                            <w:szCs w:val="21"/>
                          </w:rPr>
                        </w:pPr>
                        <w:r>
                          <w:rPr>
                            <w:rFonts w:hint="eastAsia"/>
                            <w:szCs w:val="21"/>
                          </w:rPr>
                          <w:t>阶</w:t>
                        </w:r>
                      </w:p>
                      <w:p w14:paraId="36AB5001">
                        <w:pPr>
                          <w:rPr>
                            <w:rFonts w:hint="eastAsia"/>
                            <w:szCs w:val="21"/>
                          </w:rPr>
                        </w:pPr>
                        <w:r>
                          <w:rPr>
                            <w:rFonts w:hint="eastAsia"/>
                            <w:szCs w:val="21"/>
                          </w:rPr>
                          <w:t>段</w:t>
                        </w:r>
                      </w:p>
                      <w:p w14:paraId="71B127B0"/>
                    </w:txbxContent>
                  </v:textbox>
                </v:shape>
                <v:shape id="_x0000_s1026" o:spid="_x0000_s1026" o:spt="202" type="#_x0000_t202" style="position:absolute;left:6855;top:4603;height:1359;width:470;" fillcolor="#FFFFFF" filled="t" stroked="t" coordsize="21600,21600" o:gfxdata="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b0mIr4A&#10;AADbAAAADwAAAAAAAAABACAAAAAiAAAAZHJzL2Rvd25yZXYueG1sUEsBAhQAFAAAAAgAh07iQDMv&#10;BZ47AAAAOQAAABAAAAAAAAAAAQAgAAAADQEAAGRycy9zaGFwZXhtbC54bWxQSwUGAAAAAAYABgBb&#10;AQAAtwMAAAAA&#10;">
                  <v:fill on="t" focussize="0,0"/>
                  <v:stroke color="#000000" joinstyle="round"/>
                  <v:imagedata o:title=""/>
                  <o:lock v:ext="edit" aspectratio="f"/>
                  <v:textbox>
                    <w:txbxContent>
                      <w:p w14:paraId="005A8509">
                        <w:pPr>
                          <w:rPr>
                            <w:rFonts w:hint="eastAsia"/>
                          </w:rPr>
                        </w:pPr>
                        <w:r>
                          <w:rPr>
                            <w:rFonts w:hint="eastAsia"/>
                          </w:rPr>
                          <w:t>公众参与</w:t>
                        </w:r>
                      </w:p>
                      <w:p w14:paraId="3A714A31"/>
                    </w:txbxContent>
                  </v:textbox>
                </v:shape>
                <v:line id="_x0000_s1026" o:spid="_x0000_s1026" o:spt="20" style="position:absolute;left:3724;top:2837;height:408;width:1;" filled="f" stroked="t" coordsize="21600,21600" o:gfxdata="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2Cmye/&#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_x0000_s1026" o:spid="_x0000_s1026" o:spt="20" style="position:absolute;left:3724;top:3652;height:408;width:1;" filled="f" stroked="t" coordsize="21600,21600" o:gfxdata="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0s4+vL4A&#10;AADb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line id="_x0000_s1026" o:spid="_x0000_s1026" o:spt="20" style="position:absolute;left:3724;top:4739;height:408;width:0;" filled="f" stroked="t" coordsize="21600,21600" o:gfxdata="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0npsi/&#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_x0000_s1026" o:spid="_x0000_s1026" o:spt="20" style="position:absolute;left:3724;top:5555;height:543;width:0;" filled="f" stroked="t" coordsize="21600,21600" o:gfxdata="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JrA1O/&#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_x0000_s1026" o:spid="_x0000_s1026" o:spt="20" style="position:absolute;left:3724;top:7185;height:544;width:0;" filled="f" stroked="t" coordsize="21600,21600" o:gfxdata="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K5nSS/&#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_x0000_s1026" o:spid="_x0000_s1026" o:spt="20" style="position:absolute;left:3724;top:8272;height:544;width:1;" filled="f" stroked="t" coordsize="21600,21600" o:gfxdata="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31OL+/&#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_x0000_s1026" o:spid="_x0000_s1026" o:spt="20" style="position:absolute;left:3724;top:9495;height:408;width:1;" filled="f" stroked="t" coordsize="21600,21600" o:gfxdata="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3GqszbsAAADb&#10;AAAADwAAAAAAAAABACAAAAAiAAAAZHJzL2Rvd25yZXYueG1sUEsBAhQAFAAAAAgAh07iQDMvBZ47&#10;AAAAOQAAABAAAAAAAAAAAQAgAAAACgEAAGRycy9zaGFwZXhtbC54bWxQSwUGAAAAAAYABgBbAQAA&#10;tAMAAAAA&#10;">
                  <v:fill on="f" focussize="0,0"/>
                  <v:stroke color="#000000" joinstyle="round" endarrow="block"/>
                  <v:imagedata o:title=""/>
                  <o:lock v:ext="edit" aspectratio="f"/>
                </v:line>
                <v:line id="_x0000_s1026" o:spid="_x0000_s1026" o:spt="20" style="position:absolute;left:5057;top:663;height:0;width:2504;" filled="f" stroked="t" coordsize="21600,21600" o:gfxdata="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MlVb4A&#10;AADbAAAADwAAAAAAAAABACAAAAAiAAAAZHJzL2Rvd25yZXYueG1sUEsBAhQAFAAAAAgAh07iQDMv&#10;BZ47AAAAOQAAABAAAAAAAAAAAQAgAAAADQEAAGRycy9zaGFwZXhtbC54bWxQSwUGAAAAAAYABgBb&#10;AQAAtwMAAAAA&#10;">
                  <v:fill on="f" focussize="0,0"/>
                  <v:stroke color="#000000" joinstyle="round"/>
                  <v:imagedata o:title=""/>
                  <o:lock v:ext="edit" aspectratio="f"/>
                </v:line>
                <v:line id="_x0000_s1026" o:spid="_x0000_s1026" o:spt="20" style="position:absolute;left:7092;top:663;flip:y;height:3940;width:0;" filled="f" stroked="t" coordsize="21600,21600" o:gfxdata="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MH1arsAAADb&#10;AAAADwAAAAAAAAABACAAAAAiAAAAZHJzL2Rvd25yZXYueG1sUEsBAhQAFAAAAAgAh07iQDMvBZ47&#10;AAAAOQAAABAAAAAAAAAAAQAgAAAACgEAAGRycy9zaGFwZXhtbC54bWxQSwUGAAAAAAYABgBbAQAA&#10;tAMAAAAA&#10;">
                  <v:fill on="f" focussize="0,0"/>
                  <v:stroke color="#000000" joinstyle="round" endarrow="block"/>
                  <v:imagedata o:title=""/>
                  <o:lock v:ext="edit" aspectratio="f"/>
                </v:line>
                <v:line id="_x0000_s1026" o:spid="_x0000_s1026" o:spt="20" style="position:absolute;left:3722;top:1478;height:544;width:1;" filled="f" stroked="t" coordsize="21600,21600" o:gfxdata="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VZ2Lb4A&#10;AADb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line id="_x0000_s1026" o:spid="_x0000_s1026" o:spt="20" style="position:absolute;left:3722;top:527;height:408;width:1;" filled="f" stroked="t" coordsize="21600,21600" o:gfxdata="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WE6Fq/&#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group>
            </w:pict>
          </mc:Fallback>
        </mc:AlternateContent>
      </w:r>
    </w:p>
    <w:p w14:paraId="318D7806">
      <w:pPr>
        <w:spacing w:line="360" w:lineRule="auto"/>
        <w:ind w:firstLine="480"/>
        <w:rPr>
          <w:rFonts w:hint="eastAsia"/>
          <w:color w:val="000000"/>
          <w:sz w:val="24"/>
        </w:rPr>
      </w:pPr>
    </w:p>
    <w:p w14:paraId="789C7B6D">
      <w:pPr>
        <w:spacing w:line="360" w:lineRule="auto"/>
        <w:ind w:firstLine="480"/>
        <w:rPr>
          <w:rFonts w:hint="eastAsia"/>
          <w:color w:val="000000"/>
          <w:sz w:val="24"/>
        </w:rPr>
      </w:pPr>
    </w:p>
    <w:p w14:paraId="139CF5BC">
      <w:pPr>
        <w:jc w:val="center"/>
        <w:rPr>
          <w:rFonts w:hint="eastAsia"/>
          <w:b/>
          <w:color w:val="000000"/>
          <w:sz w:val="24"/>
        </w:rPr>
      </w:pPr>
    </w:p>
    <w:p w14:paraId="73527534">
      <w:pPr>
        <w:jc w:val="center"/>
        <w:rPr>
          <w:rFonts w:hint="eastAsia"/>
          <w:b/>
          <w:color w:val="000000"/>
          <w:sz w:val="24"/>
        </w:rPr>
      </w:pPr>
    </w:p>
    <w:p w14:paraId="4182B421">
      <w:pPr>
        <w:jc w:val="center"/>
        <w:rPr>
          <w:rFonts w:hint="eastAsia"/>
          <w:b/>
          <w:color w:val="000000"/>
          <w:sz w:val="24"/>
        </w:rPr>
      </w:pPr>
    </w:p>
    <w:p w14:paraId="374162BC">
      <w:pPr>
        <w:jc w:val="center"/>
        <w:rPr>
          <w:rFonts w:hint="eastAsia"/>
          <w:b/>
          <w:color w:val="000000"/>
          <w:sz w:val="24"/>
        </w:rPr>
      </w:pPr>
    </w:p>
    <w:p w14:paraId="55B95D96">
      <w:pPr>
        <w:jc w:val="center"/>
        <w:rPr>
          <w:rFonts w:hint="eastAsia"/>
          <w:b/>
          <w:color w:val="000000"/>
          <w:sz w:val="24"/>
        </w:rPr>
      </w:pPr>
    </w:p>
    <w:p w14:paraId="23976E8D">
      <w:pPr>
        <w:jc w:val="center"/>
        <w:rPr>
          <w:rFonts w:hint="eastAsia"/>
          <w:b/>
          <w:color w:val="000000"/>
          <w:sz w:val="24"/>
        </w:rPr>
      </w:pPr>
    </w:p>
    <w:p w14:paraId="35729766">
      <w:pPr>
        <w:jc w:val="center"/>
        <w:rPr>
          <w:rFonts w:hint="eastAsia"/>
          <w:b/>
          <w:color w:val="000000"/>
          <w:sz w:val="24"/>
        </w:rPr>
      </w:pPr>
    </w:p>
    <w:p w14:paraId="073D1A70">
      <w:pPr>
        <w:jc w:val="center"/>
        <w:rPr>
          <w:rFonts w:hint="eastAsia"/>
          <w:b/>
          <w:color w:val="000000"/>
          <w:sz w:val="24"/>
        </w:rPr>
      </w:pPr>
    </w:p>
    <w:p w14:paraId="0BBA50CA">
      <w:pPr>
        <w:jc w:val="center"/>
        <w:rPr>
          <w:rFonts w:hint="eastAsia"/>
          <w:b/>
          <w:color w:val="000000"/>
          <w:sz w:val="24"/>
        </w:rPr>
      </w:pPr>
    </w:p>
    <w:p w14:paraId="285C9006">
      <w:pPr>
        <w:jc w:val="center"/>
        <w:rPr>
          <w:rFonts w:hint="eastAsia"/>
          <w:b/>
          <w:color w:val="000000"/>
          <w:sz w:val="24"/>
        </w:rPr>
      </w:pPr>
    </w:p>
    <w:p w14:paraId="444838AF">
      <w:pPr>
        <w:jc w:val="center"/>
        <w:rPr>
          <w:rFonts w:hint="eastAsia"/>
          <w:b/>
          <w:color w:val="000000"/>
          <w:sz w:val="24"/>
        </w:rPr>
      </w:pPr>
    </w:p>
    <w:p w14:paraId="15339C6C">
      <w:pPr>
        <w:jc w:val="center"/>
        <w:rPr>
          <w:rFonts w:hint="eastAsia"/>
          <w:b/>
          <w:color w:val="000000"/>
          <w:sz w:val="24"/>
        </w:rPr>
      </w:pPr>
    </w:p>
    <w:p w14:paraId="7CAD9D93">
      <w:pPr>
        <w:jc w:val="center"/>
        <w:rPr>
          <w:rFonts w:hint="eastAsia"/>
          <w:b/>
          <w:color w:val="000000"/>
          <w:sz w:val="24"/>
        </w:rPr>
      </w:pPr>
    </w:p>
    <w:p w14:paraId="419F1A7C">
      <w:pPr>
        <w:jc w:val="center"/>
        <w:rPr>
          <w:rFonts w:hint="eastAsia"/>
          <w:b/>
          <w:color w:val="000000"/>
          <w:sz w:val="24"/>
        </w:rPr>
      </w:pPr>
    </w:p>
    <w:p w14:paraId="0C23177C">
      <w:pPr>
        <w:jc w:val="center"/>
        <w:rPr>
          <w:rFonts w:hint="eastAsia"/>
          <w:b/>
          <w:color w:val="000000"/>
          <w:sz w:val="24"/>
        </w:rPr>
      </w:pPr>
    </w:p>
    <w:p w14:paraId="6AEA52FF">
      <w:pPr>
        <w:jc w:val="center"/>
        <w:rPr>
          <w:rFonts w:hint="eastAsia"/>
          <w:b/>
          <w:color w:val="000000"/>
          <w:sz w:val="24"/>
        </w:rPr>
      </w:pPr>
    </w:p>
    <w:p w14:paraId="06A139AC">
      <w:pPr>
        <w:jc w:val="center"/>
        <w:rPr>
          <w:rFonts w:hint="eastAsia"/>
          <w:b/>
          <w:color w:val="000000"/>
          <w:sz w:val="24"/>
        </w:rPr>
      </w:pPr>
    </w:p>
    <w:p w14:paraId="6EECC1AE">
      <w:pPr>
        <w:jc w:val="center"/>
        <w:rPr>
          <w:rFonts w:hint="eastAsia"/>
          <w:b/>
          <w:color w:val="000000"/>
          <w:sz w:val="24"/>
        </w:rPr>
      </w:pPr>
    </w:p>
    <w:p w14:paraId="14AEBCD0">
      <w:pPr>
        <w:jc w:val="center"/>
        <w:rPr>
          <w:rFonts w:hint="eastAsia"/>
          <w:b/>
          <w:color w:val="000000"/>
          <w:sz w:val="24"/>
        </w:rPr>
      </w:pPr>
    </w:p>
    <w:p w14:paraId="76DC0D8E">
      <w:pPr>
        <w:jc w:val="center"/>
        <w:rPr>
          <w:color w:val="000000"/>
          <w:sz w:val="24"/>
        </w:rPr>
      </w:pPr>
    </w:p>
    <w:p w14:paraId="099B14A3">
      <w:pPr>
        <w:jc w:val="center"/>
        <w:rPr>
          <w:b/>
          <w:color w:val="000000"/>
          <w:sz w:val="24"/>
        </w:rPr>
      </w:pPr>
    </w:p>
    <w:p w14:paraId="1B31A477">
      <w:pPr>
        <w:jc w:val="center"/>
        <w:rPr>
          <w:b/>
          <w:color w:val="000000"/>
          <w:sz w:val="24"/>
        </w:rPr>
      </w:pPr>
    </w:p>
    <w:p w14:paraId="56D4ABC5">
      <w:pPr>
        <w:jc w:val="center"/>
        <w:rPr>
          <w:b/>
          <w:color w:val="000000"/>
          <w:sz w:val="24"/>
        </w:rPr>
      </w:pPr>
    </w:p>
    <w:p w14:paraId="4883A1E0">
      <w:pPr>
        <w:jc w:val="center"/>
        <w:rPr>
          <w:b/>
          <w:color w:val="000000"/>
          <w:sz w:val="24"/>
        </w:rPr>
      </w:pPr>
    </w:p>
    <w:p w14:paraId="2074578E">
      <w:pPr>
        <w:jc w:val="center"/>
        <w:rPr>
          <w:b/>
          <w:color w:val="000000"/>
          <w:sz w:val="24"/>
        </w:rPr>
      </w:pPr>
    </w:p>
    <w:p w14:paraId="6C2C4732">
      <w:pPr>
        <w:jc w:val="center"/>
        <w:rPr>
          <w:b/>
          <w:color w:val="000000"/>
          <w:sz w:val="24"/>
        </w:rPr>
      </w:pPr>
    </w:p>
    <w:p w14:paraId="79CA6A82">
      <w:pPr>
        <w:jc w:val="center"/>
        <w:rPr>
          <w:b/>
          <w:color w:val="000000"/>
          <w:sz w:val="24"/>
        </w:rPr>
      </w:pPr>
    </w:p>
    <w:p w14:paraId="758B9352">
      <w:pPr>
        <w:jc w:val="center"/>
        <w:rPr>
          <w:b/>
          <w:color w:val="000000"/>
          <w:sz w:val="24"/>
        </w:rPr>
      </w:pPr>
    </w:p>
    <w:p w14:paraId="2ECF888A">
      <w:pPr>
        <w:jc w:val="center"/>
        <w:rPr>
          <w:b/>
          <w:color w:val="000000"/>
          <w:sz w:val="24"/>
        </w:rPr>
      </w:pPr>
    </w:p>
    <w:p w14:paraId="3376DC38">
      <w:pPr>
        <w:jc w:val="center"/>
        <w:rPr>
          <w:b/>
          <w:color w:val="000000"/>
          <w:sz w:val="24"/>
        </w:rPr>
      </w:pPr>
    </w:p>
    <w:p w14:paraId="00625F6F">
      <w:pPr>
        <w:jc w:val="center"/>
        <w:rPr>
          <w:b/>
          <w:color w:val="000000"/>
          <w:sz w:val="24"/>
        </w:rPr>
      </w:pPr>
    </w:p>
    <w:p w14:paraId="227F266F">
      <w:pPr>
        <w:jc w:val="center"/>
        <w:rPr>
          <w:b/>
          <w:color w:val="000000"/>
          <w:sz w:val="24"/>
        </w:rPr>
      </w:pPr>
    </w:p>
    <w:p w14:paraId="2413B954">
      <w:pPr>
        <w:jc w:val="center"/>
        <w:rPr>
          <w:rFonts w:hint="eastAsia" w:ascii="宋体" w:hAnsi="宋体"/>
          <w:b/>
          <w:color w:val="000000"/>
          <w:sz w:val="24"/>
        </w:rPr>
      </w:pPr>
    </w:p>
    <w:p w14:paraId="226EC857">
      <w:pPr>
        <w:pStyle w:val="181"/>
        <w:spacing w:before="120" w:after="0"/>
        <w:jc w:val="center"/>
        <w:rPr>
          <w:rFonts w:ascii="宋体" w:hAnsi="宋体"/>
          <w:b w:val="0"/>
          <w:color w:val="000000"/>
          <w:sz w:val="24"/>
        </w:rPr>
        <w:sectPr>
          <w:headerReference r:id="rId7" w:type="default"/>
          <w:footerReference r:id="rId8" w:type="default"/>
          <w:pgSz w:w="11906" w:h="16838" w:orient="landscape"/>
          <w:pgMar w:top="1701" w:right="1588" w:bottom="1985" w:left="1588" w:header="851" w:footer="992" w:gutter="0"/>
          <w:pgNumType w:start="1"/>
          <w:cols w:space="1701" w:num="1"/>
        </w:sectPr>
      </w:pPr>
      <w:r>
        <w:rPr>
          <w:rFonts w:ascii="宋体" w:hAnsi="宋体"/>
          <w:b w:val="0"/>
          <w:color w:val="000000"/>
          <w:sz w:val="24"/>
        </w:rPr>
        <w:t>图1-1  评价工作程序图</w:t>
      </w:r>
      <w:bookmarkStart w:id="100" w:name="_Toc217711307"/>
      <w:bookmarkEnd w:id="100"/>
    </w:p>
    <w:p w14:paraId="454941A8">
      <w:pPr>
        <w:pStyle w:val="181"/>
        <w:spacing w:before="120" w:after="0"/>
        <w:rPr>
          <w:rFonts w:ascii="宋体" w:hAnsi="宋体"/>
          <w:b w:val="0"/>
          <w:color w:val="000000"/>
          <w:sz w:val="24"/>
        </w:rPr>
      </w:pPr>
      <w:bookmarkStart w:id="101" w:name="_Toc495500036"/>
      <w:r>
        <w:rPr>
          <w:rFonts w:eastAsia="仿宋_GB2312"/>
          <w:color w:val="000000"/>
          <w:sz w:val="30"/>
          <w:szCs w:val="30"/>
        </w:rPr>
        <w:t>2、建设项目概况</w:t>
      </w:r>
      <w:bookmarkEnd w:id="101"/>
    </w:p>
    <w:p w14:paraId="1ED60DD5">
      <w:pPr>
        <w:pStyle w:val="182"/>
        <w:spacing w:before="0" w:after="0"/>
        <w:ind w:firstLine="272"/>
        <w:rPr>
          <w:rFonts w:hint="eastAsia" w:ascii="Times New Roman" w:hAnsi="Times New Roman" w:eastAsia="仿宋_GB2312" w:cs="Times New Roman"/>
          <w:color w:val="000000"/>
          <w:sz w:val="28"/>
          <w:szCs w:val="28"/>
        </w:rPr>
      </w:pPr>
      <w:bookmarkStart w:id="102" w:name="_Toc495500037"/>
      <w:r>
        <w:rPr>
          <w:rFonts w:ascii="Times New Roman" w:hAnsi="Times New Roman" w:eastAsia="仿宋_GB2312" w:cs="Times New Roman"/>
          <w:color w:val="000000"/>
          <w:sz w:val="28"/>
          <w:szCs w:val="28"/>
        </w:rPr>
        <w:t>2.1</w:t>
      </w:r>
      <w:r>
        <w:rPr>
          <w:rFonts w:hint="eastAsia" w:ascii="Times New Roman" w:hAnsi="Times New Roman" w:eastAsia="仿宋_GB2312" w:cs="Times New Roman"/>
          <w:color w:val="000000"/>
          <w:sz w:val="28"/>
          <w:szCs w:val="28"/>
        </w:rPr>
        <w:t>建设项目概况</w:t>
      </w:r>
      <w:bookmarkEnd w:id="102"/>
    </w:p>
    <w:p w14:paraId="115A619F">
      <w:pPr>
        <w:pStyle w:val="183"/>
        <w:ind w:firstLine="472"/>
        <w:rPr>
          <w:rFonts w:hint="eastAsia" w:eastAsia="仿宋_GB2312"/>
          <w:color w:val="000000"/>
          <w:sz w:val="24"/>
          <w:szCs w:val="24"/>
        </w:rPr>
      </w:pPr>
      <w:bookmarkStart w:id="103" w:name="_Toc495500038"/>
      <w:r>
        <w:rPr>
          <w:rFonts w:hint="eastAsia" w:eastAsia="仿宋_GB2312"/>
          <w:color w:val="000000"/>
          <w:sz w:val="24"/>
          <w:szCs w:val="24"/>
        </w:rPr>
        <w:t>2.1.1原有项目概况</w:t>
      </w:r>
      <w:bookmarkEnd w:id="103"/>
    </w:p>
    <w:p w14:paraId="4157E45D">
      <w:pPr>
        <w:spacing w:line="480" w:lineRule="exact"/>
        <w:ind w:firstLine="480"/>
        <w:rPr>
          <w:rFonts w:hint="eastAsia"/>
          <w:color w:val="000000"/>
          <w:sz w:val="24"/>
        </w:rPr>
      </w:pPr>
      <w:r>
        <w:rPr>
          <w:rFonts w:hint="eastAsia"/>
          <w:color w:val="000000"/>
          <w:sz w:val="24"/>
        </w:rPr>
        <w:t>原有芒市妇幼保健院成立于1968 年，</w:t>
      </w:r>
      <w:r>
        <w:rPr>
          <w:color w:val="000000"/>
          <w:sz w:val="24"/>
        </w:rPr>
        <w:t>位于</w:t>
      </w:r>
      <w:r>
        <w:rPr>
          <w:rFonts w:hint="eastAsia"/>
          <w:color w:val="000000"/>
          <w:sz w:val="24"/>
        </w:rPr>
        <w:t>芒市第一综合农贸市场对面，占地面积2874.6m</w:t>
      </w:r>
      <w:r>
        <w:rPr>
          <w:rFonts w:hint="eastAsia"/>
          <w:color w:val="000000"/>
          <w:sz w:val="24"/>
          <w:vertAlign w:val="superscript"/>
        </w:rPr>
        <w:t>2</w:t>
      </w:r>
      <w:r>
        <w:rPr>
          <w:rFonts w:hint="eastAsia"/>
          <w:color w:val="000000"/>
          <w:sz w:val="24"/>
        </w:rPr>
        <w:t>，建筑面积4209.03m</w:t>
      </w:r>
      <w:r>
        <w:rPr>
          <w:rFonts w:hint="eastAsia"/>
          <w:color w:val="000000"/>
          <w:sz w:val="24"/>
          <w:vertAlign w:val="superscript"/>
        </w:rPr>
        <w:t>2</w:t>
      </w:r>
      <w:r>
        <w:rPr>
          <w:rFonts w:hint="eastAsia"/>
          <w:color w:val="000000"/>
          <w:sz w:val="24"/>
        </w:rPr>
        <w:t>，大部分建于七八十年代，芒市妇幼保健院肩负着全市妇女、儿童的预防保健、妇幼卫生宣传、基层妇幼卫生人员业务培训、妇女儿童疾病住院诊治及预防艾滋病母婴阻断等工作。</w:t>
      </w:r>
    </w:p>
    <w:p w14:paraId="350F6E94">
      <w:pPr>
        <w:spacing w:line="480" w:lineRule="exact"/>
        <w:ind w:firstLine="480"/>
        <w:rPr>
          <w:rFonts w:hint="eastAsia"/>
          <w:color w:val="000000"/>
          <w:sz w:val="24"/>
        </w:rPr>
      </w:pPr>
      <w:r>
        <w:rPr>
          <w:color w:val="000000"/>
          <w:sz w:val="24"/>
        </w:rPr>
        <w:t>医院现有</w:t>
      </w:r>
      <w:r>
        <w:rPr>
          <w:rFonts w:hint="eastAsia"/>
          <w:color w:val="000000"/>
          <w:sz w:val="24"/>
        </w:rPr>
        <w:t>编制</w:t>
      </w:r>
      <w:r>
        <w:rPr>
          <w:color w:val="000000"/>
          <w:sz w:val="24"/>
        </w:rPr>
        <w:t>职工</w:t>
      </w:r>
      <w:r>
        <w:rPr>
          <w:rFonts w:hint="eastAsia"/>
          <w:color w:val="000000"/>
          <w:sz w:val="24"/>
        </w:rPr>
        <w:t>109</w:t>
      </w:r>
      <w:r>
        <w:rPr>
          <w:color w:val="000000"/>
          <w:sz w:val="24"/>
        </w:rPr>
        <w:t>人</w:t>
      </w:r>
      <w:r>
        <w:rPr>
          <w:rFonts w:hint="eastAsia"/>
          <w:color w:val="000000"/>
          <w:sz w:val="24"/>
        </w:rPr>
        <w:t>，现有床位数93床。</w:t>
      </w:r>
    </w:p>
    <w:p w14:paraId="407A8357">
      <w:pPr>
        <w:spacing w:line="480" w:lineRule="exact"/>
        <w:ind w:firstLine="480"/>
        <w:rPr>
          <w:rFonts w:hint="eastAsia"/>
          <w:color w:val="000000"/>
          <w:sz w:val="24"/>
        </w:rPr>
      </w:pPr>
      <w:r>
        <w:rPr>
          <w:color w:val="000000"/>
          <w:sz w:val="24"/>
        </w:rPr>
        <w:t>科室设置情况：</w:t>
      </w:r>
      <w:r>
        <w:rPr>
          <w:rFonts w:hint="eastAsia"/>
          <w:color w:val="000000"/>
          <w:sz w:val="24"/>
        </w:rPr>
        <w:t>院内</w:t>
      </w:r>
      <w:r>
        <w:rPr>
          <w:color w:val="000000"/>
          <w:sz w:val="24"/>
        </w:rPr>
        <w:t>设有</w:t>
      </w:r>
      <w:r>
        <w:rPr>
          <w:rFonts w:hint="eastAsia"/>
          <w:color w:val="000000"/>
          <w:sz w:val="24"/>
        </w:rPr>
        <w:t>科室20个，其中业务科室13个；妇产科、妇女保健科、儿科、儿童保健科、口腔科、内科、外科、基层保健科、公共卫生科、医学影像科、医学检验科、计划生育技术指导科、药具管理；行政管理和后勤科室共7个：行政办公室、总务科、医务科、护理部、财务科、药械科、党务办公室。现年平均接诊门诊人次15 万人次、住院4250人次。</w:t>
      </w:r>
    </w:p>
    <w:p w14:paraId="0D0B2192">
      <w:pPr>
        <w:pStyle w:val="183"/>
        <w:ind w:firstLine="472"/>
        <w:rPr>
          <w:rFonts w:hint="eastAsia" w:eastAsia="仿宋_GB2312"/>
          <w:color w:val="000000"/>
          <w:sz w:val="24"/>
          <w:szCs w:val="24"/>
        </w:rPr>
      </w:pPr>
      <w:bookmarkStart w:id="104" w:name="_Toc495500039"/>
      <w:r>
        <w:rPr>
          <w:rFonts w:eastAsia="仿宋_GB2312"/>
          <w:color w:val="000000"/>
          <w:sz w:val="24"/>
          <w:szCs w:val="24"/>
        </w:rPr>
        <w:t>2</w:t>
      </w:r>
      <w:r>
        <w:rPr>
          <w:rFonts w:hint="eastAsia" w:eastAsia="仿宋_GB2312"/>
          <w:color w:val="000000"/>
          <w:sz w:val="24"/>
          <w:szCs w:val="24"/>
        </w:rPr>
        <w:t>.1</w:t>
      </w:r>
      <w:r>
        <w:rPr>
          <w:rFonts w:eastAsia="仿宋_GB2312"/>
          <w:color w:val="000000"/>
          <w:sz w:val="24"/>
          <w:szCs w:val="24"/>
        </w:rPr>
        <w:t>.</w:t>
      </w:r>
      <w:r>
        <w:rPr>
          <w:rFonts w:hint="eastAsia" w:eastAsia="仿宋_GB2312"/>
          <w:color w:val="000000"/>
          <w:sz w:val="24"/>
          <w:szCs w:val="24"/>
        </w:rPr>
        <w:t>2医院主要医疗设备</w:t>
      </w:r>
      <w:bookmarkEnd w:id="104"/>
    </w:p>
    <w:p w14:paraId="5BFA8C53">
      <w:pPr>
        <w:spacing w:after="100" w:afterAutospacing="1" w:line="500" w:lineRule="exact"/>
        <w:ind w:firstLine="480"/>
        <w:rPr>
          <w:color w:val="000000"/>
          <w:sz w:val="24"/>
        </w:rPr>
      </w:pPr>
      <w:r>
        <w:rPr>
          <w:rFonts w:ascii="宋体" w:hAnsi="宋体"/>
          <w:color w:val="000000"/>
          <w:sz w:val="24"/>
        </w:rPr>
        <w:t>医院现</w:t>
      </w:r>
      <w:r>
        <w:rPr>
          <w:rFonts w:hAnsi="宋体"/>
          <w:color w:val="000000"/>
          <w:sz w:val="24"/>
        </w:rPr>
        <w:t>有主要设备见表</w:t>
      </w:r>
      <w:r>
        <w:rPr>
          <w:color w:val="000000"/>
          <w:sz w:val="24"/>
        </w:rPr>
        <w:t>2.</w:t>
      </w:r>
      <w:r>
        <w:rPr>
          <w:rFonts w:hint="eastAsia"/>
          <w:color w:val="000000"/>
          <w:sz w:val="24"/>
        </w:rPr>
        <w:t>2</w:t>
      </w:r>
      <w:r>
        <w:rPr>
          <w:color w:val="000000"/>
          <w:sz w:val="24"/>
        </w:rPr>
        <w:t>-1</w:t>
      </w:r>
      <w:r>
        <w:rPr>
          <w:rFonts w:hAnsi="宋体"/>
          <w:color w:val="000000"/>
          <w:sz w:val="24"/>
        </w:rPr>
        <w:t>。</w:t>
      </w:r>
    </w:p>
    <w:p w14:paraId="479683F6">
      <w:pPr>
        <w:jc w:val="center"/>
        <w:rPr>
          <w:rFonts w:hint="eastAsia"/>
          <w:b/>
          <w:color w:val="000000"/>
          <w:sz w:val="24"/>
        </w:rPr>
      </w:pPr>
      <w:r>
        <w:rPr>
          <w:b/>
          <w:color w:val="000000"/>
          <w:sz w:val="24"/>
        </w:rPr>
        <w:t>表2.</w:t>
      </w:r>
      <w:r>
        <w:rPr>
          <w:rFonts w:hint="eastAsia"/>
          <w:b/>
          <w:color w:val="000000"/>
          <w:sz w:val="24"/>
        </w:rPr>
        <w:t>2</w:t>
      </w:r>
      <w:r>
        <w:rPr>
          <w:b/>
          <w:color w:val="000000"/>
          <w:sz w:val="24"/>
        </w:rPr>
        <w:t>-1  现有主要设备一览表</w:t>
      </w:r>
    </w:p>
    <w:tbl>
      <w:tblPr>
        <w:tblStyle w:val="27"/>
        <w:tblW w:w="0" w:type="auto"/>
        <w:tblInd w:w="-108" w:type="dxa"/>
        <w:tblLayout w:type="fixed"/>
        <w:tblCellMar>
          <w:top w:w="0" w:type="dxa"/>
          <w:left w:w="108" w:type="dxa"/>
          <w:bottom w:w="0" w:type="dxa"/>
          <w:right w:w="108" w:type="dxa"/>
        </w:tblCellMar>
      </w:tblPr>
      <w:tblGrid>
        <w:gridCol w:w="534"/>
        <w:gridCol w:w="2919"/>
        <w:gridCol w:w="3412"/>
        <w:gridCol w:w="968"/>
        <w:gridCol w:w="1113"/>
      </w:tblGrid>
      <w:tr w14:paraId="579B2A76">
        <w:tblPrEx>
          <w:tblCellMar>
            <w:top w:w="0" w:type="dxa"/>
            <w:left w:w="108" w:type="dxa"/>
            <w:bottom w:w="0" w:type="dxa"/>
            <w:right w:w="108" w:type="dxa"/>
          </w:tblCellMar>
        </w:tblPrEx>
        <w:trPr>
          <w:trHeight w:val="745" w:hRule="atLeast"/>
        </w:trPr>
        <w:tc>
          <w:tcPr>
            <w:tcW w:w="534" w:type="dxa"/>
            <w:tcBorders>
              <w:top w:val="single" w:color="000000" w:sz="4" w:space="0"/>
              <w:left w:val="single" w:color="000000" w:sz="4" w:space="0"/>
              <w:bottom w:val="single" w:color="000000" w:sz="4" w:space="0"/>
              <w:right w:val="single" w:color="000000" w:sz="4" w:space="0"/>
            </w:tcBorders>
            <w:noWrap w:val="0"/>
            <w:vAlign w:val="center"/>
          </w:tcPr>
          <w:p w14:paraId="48A5A3B7">
            <w:pPr>
              <w:spacing w:before="156"/>
              <w:jc w:val="center"/>
              <w:rPr>
                <w:rFonts w:ascii="宋体" w:hAnsi="宋体"/>
                <w:b/>
                <w:color w:val="000000"/>
                <w:szCs w:val="21"/>
              </w:rPr>
            </w:pPr>
            <w:r>
              <w:rPr>
                <w:rFonts w:ascii="宋体" w:hAnsi="宋体"/>
                <w:b/>
                <w:color w:val="000000"/>
                <w:szCs w:val="21"/>
              </w:rPr>
              <w:t>序</w:t>
            </w:r>
          </w:p>
          <w:p w14:paraId="46B422CF">
            <w:pPr>
              <w:spacing w:before="156"/>
              <w:jc w:val="center"/>
              <w:rPr>
                <w:rFonts w:ascii="宋体" w:hAnsi="宋体"/>
                <w:b/>
                <w:color w:val="000000"/>
                <w:szCs w:val="21"/>
              </w:rPr>
            </w:pPr>
            <w:r>
              <w:rPr>
                <w:rFonts w:ascii="宋体" w:hAnsi="宋体"/>
                <w:b/>
                <w:color w:val="000000"/>
                <w:szCs w:val="21"/>
              </w:rPr>
              <w:t>号</w:t>
            </w:r>
          </w:p>
        </w:tc>
        <w:tc>
          <w:tcPr>
            <w:tcW w:w="2919" w:type="dxa"/>
            <w:tcBorders>
              <w:top w:val="single" w:color="000000" w:sz="4" w:space="0"/>
              <w:left w:val="single" w:color="000000" w:sz="4" w:space="0"/>
              <w:bottom w:val="single" w:color="000000" w:sz="4" w:space="0"/>
              <w:right w:val="single" w:color="000000" w:sz="4" w:space="0"/>
            </w:tcBorders>
            <w:noWrap w:val="0"/>
            <w:vAlign w:val="center"/>
          </w:tcPr>
          <w:p w14:paraId="4A1CB265">
            <w:pPr>
              <w:spacing w:before="156"/>
              <w:jc w:val="center"/>
              <w:rPr>
                <w:rFonts w:ascii="宋体" w:hAnsi="宋体"/>
                <w:b/>
                <w:color w:val="000000"/>
                <w:szCs w:val="21"/>
              </w:rPr>
            </w:pPr>
            <w:r>
              <w:rPr>
                <w:rFonts w:ascii="宋体" w:hAnsi="宋体"/>
                <w:b/>
                <w:color w:val="000000"/>
                <w:szCs w:val="21"/>
              </w:rPr>
              <w:t>设备名称</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160A94B0">
            <w:pPr>
              <w:spacing w:before="156"/>
              <w:jc w:val="center"/>
              <w:rPr>
                <w:rFonts w:ascii="宋体" w:hAnsi="宋体"/>
                <w:b/>
                <w:color w:val="000000"/>
                <w:szCs w:val="21"/>
              </w:rPr>
            </w:pPr>
            <w:r>
              <w:rPr>
                <w:rFonts w:ascii="宋体" w:hAnsi="宋体"/>
                <w:b/>
                <w:color w:val="000000"/>
                <w:szCs w:val="21"/>
              </w:rPr>
              <w:t>规格型号</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65DD470B">
            <w:pPr>
              <w:spacing w:before="156"/>
              <w:jc w:val="center"/>
              <w:rPr>
                <w:rFonts w:ascii="宋体" w:hAnsi="宋体"/>
                <w:b/>
                <w:color w:val="000000"/>
                <w:szCs w:val="21"/>
              </w:rPr>
            </w:pPr>
            <w:r>
              <w:rPr>
                <w:rFonts w:ascii="宋体" w:hAnsi="宋体"/>
                <w:b/>
                <w:color w:val="000000"/>
                <w:szCs w:val="21"/>
              </w:rPr>
              <w:t>单位</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2AC3F790">
            <w:pPr>
              <w:spacing w:before="156"/>
              <w:jc w:val="center"/>
              <w:rPr>
                <w:rFonts w:ascii="宋体" w:hAnsi="宋体"/>
                <w:b/>
                <w:color w:val="000000"/>
                <w:szCs w:val="21"/>
              </w:rPr>
            </w:pPr>
            <w:r>
              <w:rPr>
                <w:rFonts w:ascii="宋体" w:hAnsi="宋体"/>
                <w:b/>
                <w:color w:val="000000"/>
                <w:szCs w:val="21"/>
              </w:rPr>
              <w:t>数量</w:t>
            </w:r>
          </w:p>
        </w:tc>
      </w:tr>
      <w:tr w14:paraId="5D75E85C">
        <w:tblPrEx>
          <w:tblCellMar>
            <w:top w:w="0" w:type="dxa"/>
            <w:left w:w="108" w:type="dxa"/>
            <w:bottom w:w="0" w:type="dxa"/>
            <w:right w:w="108" w:type="dxa"/>
          </w:tblCellMar>
        </w:tblPrEx>
        <w:trPr>
          <w:trHeight w:val="499" w:hRule="atLeast"/>
        </w:trPr>
        <w:tc>
          <w:tcPr>
            <w:tcW w:w="534" w:type="dxa"/>
            <w:tcBorders>
              <w:top w:val="single" w:color="000000" w:sz="4" w:space="0"/>
              <w:left w:val="single" w:color="000000" w:sz="4" w:space="0"/>
              <w:bottom w:val="single" w:color="000000" w:sz="4" w:space="0"/>
              <w:right w:val="single" w:color="000000" w:sz="4" w:space="0"/>
            </w:tcBorders>
            <w:noWrap w:val="0"/>
            <w:vAlign w:val="center"/>
          </w:tcPr>
          <w:p w14:paraId="0EFF3942">
            <w:pPr>
              <w:spacing w:before="156"/>
              <w:jc w:val="center"/>
              <w:rPr>
                <w:rFonts w:ascii="宋体" w:hAnsi="宋体"/>
                <w:color w:val="000000"/>
                <w:szCs w:val="21"/>
              </w:rPr>
            </w:pPr>
            <w:r>
              <w:rPr>
                <w:rFonts w:ascii="宋体" w:hAnsi="宋体"/>
                <w:color w:val="000000"/>
                <w:szCs w:val="21"/>
              </w:rPr>
              <w:t>1</w:t>
            </w:r>
          </w:p>
        </w:tc>
        <w:tc>
          <w:tcPr>
            <w:tcW w:w="2919" w:type="dxa"/>
            <w:tcBorders>
              <w:top w:val="single" w:color="000000" w:sz="4" w:space="0"/>
              <w:left w:val="single" w:color="000000" w:sz="4" w:space="0"/>
              <w:bottom w:val="single" w:color="000000" w:sz="4" w:space="0"/>
              <w:right w:val="single" w:color="000000" w:sz="4" w:space="0"/>
            </w:tcBorders>
            <w:noWrap w:val="0"/>
            <w:vAlign w:val="center"/>
          </w:tcPr>
          <w:p w14:paraId="0C7D730D">
            <w:pPr>
              <w:jc w:val="center"/>
              <w:rPr>
                <w:rFonts w:hint="eastAsia" w:ascii="宋体" w:hAnsi="宋体" w:cs="宋体"/>
                <w:color w:val="000000"/>
                <w:szCs w:val="21"/>
              </w:rPr>
            </w:pPr>
            <w:r>
              <w:rPr>
                <w:rFonts w:hint="eastAsia" w:ascii="宋体" w:hAnsi="宋体"/>
                <w:color w:val="000000"/>
                <w:szCs w:val="21"/>
              </w:rPr>
              <w:t>根管检测仪</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1699750E">
            <w:pPr>
              <w:jc w:val="center"/>
              <w:rPr>
                <w:rFonts w:hint="eastAsia" w:ascii="宋体" w:hAnsi="宋体" w:cs="宋体"/>
                <w:color w:val="000000"/>
                <w:szCs w:val="21"/>
              </w:rPr>
            </w:pPr>
            <w:r>
              <w:rPr>
                <w:rFonts w:hint="eastAsia" w:ascii="宋体" w:hAnsi="宋体"/>
                <w:color w:val="000000"/>
                <w:szCs w:val="21"/>
              </w:rPr>
              <w:t>VDW</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70437AF5">
            <w:pPr>
              <w:spacing w:before="156"/>
              <w:jc w:val="center"/>
              <w:rPr>
                <w:rFonts w:ascii="宋体" w:hAnsi="宋体"/>
                <w:color w:val="000000"/>
                <w:szCs w:val="21"/>
              </w:rPr>
            </w:pPr>
            <w:r>
              <w:rPr>
                <w:rFonts w:ascii="宋体" w:hAnsi="宋体"/>
                <w:color w:val="000000"/>
                <w:szCs w:val="21"/>
              </w:rPr>
              <w:t>套</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7184A765">
            <w:pPr>
              <w:spacing w:before="156"/>
              <w:jc w:val="center"/>
              <w:rPr>
                <w:rFonts w:hint="eastAsia" w:ascii="宋体" w:hAnsi="宋体"/>
                <w:color w:val="000000"/>
                <w:szCs w:val="21"/>
              </w:rPr>
            </w:pPr>
            <w:r>
              <w:rPr>
                <w:rFonts w:hint="eastAsia" w:ascii="宋体" w:hAnsi="宋体"/>
                <w:color w:val="000000"/>
                <w:szCs w:val="21"/>
              </w:rPr>
              <w:t>2</w:t>
            </w:r>
          </w:p>
        </w:tc>
      </w:tr>
      <w:tr w14:paraId="6B449E26">
        <w:tblPrEx>
          <w:tblCellMar>
            <w:top w:w="0" w:type="dxa"/>
            <w:left w:w="108" w:type="dxa"/>
            <w:bottom w:w="0" w:type="dxa"/>
            <w:right w:w="108" w:type="dxa"/>
          </w:tblCellMar>
        </w:tblPrEx>
        <w:trPr>
          <w:trHeight w:val="499" w:hRule="atLeast"/>
        </w:trPr>
        <w:tc>
          <w:tcPr>
            <w:tcW w:w="534" w:type="dxa"/>
            <w:tcBorders>
              <w:top w:val="single" w:color="000000" w:sz="4" w:space="0"/>
              <w:left w:val="single" w:color="000000" w:sz="4" w:space="0"/>
              <w:bottom w:val="single" w:color="000000" w:sz="4" w:space="0"/>
              <w:right w:val="single" w:color="000000" w:sz="4" w:space="0"/>
            </w:tcBorders>
            <w:noWrap w:val="0"/>
            <w:vAlign w:val="center"/>
          </w:tcPr>
          <w:p w14:paraId="792345B5">
            <w:pPr>
              <w:spacing w:before="156"/>
              <w:jc w:val="center"/>
              <w:rPr>
                <w:rFonts w:hint="eastAsia" w:ascii="宋体" w:hAnsi="宋体"/>
                <w:color w:val="000000"/>
                <w:szCs w:val="21"/>
              </w:rPr>
            </w:pPr>
            <w:r>
              <w:rPr>
                <w:rFonts w:hint="eastAsia" w:ascii="宋体" w:hAnsi="宋体"/>
                <w:color w:val="000000"/>
                <w:szCs w:val="21"/>
              </w:rPr>
              <w:t>2</w:t>
            </w:r>
          </w:p>
        </w:tc>
        <w:tc>
          <w:tcPr>
            <w:tcW w:w="2919" w:type="dxa"/>
            <w:tcBorders>
              <w:top w:val="single" w:color="000000" w:sz="4" w:space="0"/>
              <w:left w:val="single" w:color="000000" w:sz="4" w:space="0"/>
              <w:bottom w:val="single" w:color="000000" w:sz="4" w:space="0"/>
              <w:right w:val="single" w:color="000000" w:sz="4" w:space="0"/>
            </w:tcBorders>
            <w:noWrap w:val="0"/>
            <w:vAlign w:val="center"/>
          </w:tcPr>
          <w:p w14:paraId="6721E075">
            <w:pPr>
              <w:jc w:val="center"/>
              <w:rPr>
                <w:rFonts w:hint="eastAsia" w:ascii="宋体" w:hAnsi="宋体" w:cs="宋体"/>
                <w:color w:val="000000"/>
                <w:szCs w:val="21"/>
              </w:rPr>
            </w:pPr>
            <w:r>
              <w:rPr>
                <w:rFonts w:hint="eastAsia" w:ascii="宋体" w:hAnsi="宋体"/>
                <w:color w:val="000000"/>
                <w:szCs w:val="21"/>
              </w:rPr>
              <w:t>牙科综合治疗仪</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14ECEB9F">
            <w:pPr>
              <w:jc w:val="center"/>
              <w:rPr>
                <w:rFonts w:hint="eastAsia" w:ascii="宋体" w:hAnsi="宋体" w:cs="宋体"/>
                <w:color w:val="000000"/>
                <w:szCs w:val="21"/>
              </w:rPr>
            </w:pPr>
            <w:r>
              <w:rPr>
                <w:rFonts w:hint="eastAsia" w:ascii="宋体" w:hAnsi="宋体"/>
                <w:color w:val="000000"/>
                <w:szCs w:val="21"/>
              </w:rPr>
              <w:t>GRACE-D</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10A4548C">
            <w:pPr>
              <w:spacing w:before="156"/>
              <w:jc w:val="center"/>
              <w:rPr>
                <w:rFonts w:ascii="宋体" w:hAnsi="宋体"/>
                <w:color w:val="000000"/>
                <w:szCs w:val="21"/>
              </w:rPr>
            </w:pPr>
            <w:r>
              <w:rPr>
                <w:rFonts w:hint="eastAsia" w:ascii="宋体" w:hAnsi="宋体"/>
                <w:color w:val="000000"/>
                <w:szCs w:val="21"/>
              </w:rPr>
              <w:t>台</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006B8542">
            <w:pPr>
              <w:spacing w:before="156"/>
              <w:jc w:val="center"/>
              <w:rPr>
                <w:rFonts w:hint="eastAsia" w:ascii="宋体" w:hAnsi="宋体"/>
                <w:color w:val="000000"/>
                <w:szCs w:val="21"/>
              </w:rPr>
            </w:pPr>
            <w:r>
              <w:rPr>
                <w:rFonts w:hint="eastAsia" w:ascii="宋体" w:hAnsi="宋体"/>
                <w:color w:val="000000"/>
                <w:szCs w:val="21"/>
              </w:rPr>
              <w:t>2</w:t>
            </w:r>
          </w:p>
        </w:tc>
      </w:tr>
      <w:tr w14:paraId="09A6F9A8">
        <w:tblPrEx>
          <w:tblCellMar>
            <w:top w:w="0" w:type="dxa"/>
            <w:left w:w="108" w:type="dxa"/>
            <w:bottom w:w="0" w:type="dxa"/>
            <w:right w:w="108" w:type="dxa"/>
          </w:tblCellMar>
        </w:tblPrEx>
        <w:trPr>
          <w:trHeight w:val="499" w:hRule="atLeast"/>
        </w:trPr>
        <w:tc>
          <w:tcPr>
            <w:tcW w:w="534" w:type="dxa"/>
            <w:tcBorders>
              <w:top w:val="single" w:color="000000" w:sz="4" w:space="0"/>
              <w:left w:val="single" w:color="000000" w:sz="4" w:space="0"/>
              <w:bottom w:val="single" w:color="000000" w:sz="4" w:space="0"/>
              <w:right w:val="single" w:color="000000" w:sz="4" w:space="0"/>
            </w:tcBorders>
            <w:noWrap w:val="0"/>
            <w:vAlign w:val="center"/>
          </w:tcPr>
          <w:p w14:paraId="7BBEF69D">
            <w:pPr>
              <w:spacing w:before="156"/>
              <w:jc w:val="center"/>
              <w:rPr>
                <w:rFonts w:hint="eastAsia" w:ascii="宋体" w:hAnsi="宋体"/>
                <w:color w:val="000000"/>
                <w:szCs w:val="21"/>
              </w:rPr>
            </w:pPr>
            <w:r>
              <w:rPr>
                <w:rFonts w:hint="eastAsia" w:ascii="宋体" w:hAnsi="宋体"/>
                <w:color w:val="000000"/>
                <w:szCs w:val="21"/>
              </w:rPr>
              <w:t>3</w:t>
            </w:r>
          </w:p>
        </w:tc>
        <w:tc>
          <w:tcPr>
            <w:tcW w:w="2919" w:type="dxa"/>
            <w:tcBorders>
              <w:top w:val="single" w:color="000000" w:sz="4" w:space="0"/>
              <w:left w:val="single" w:color="000000" w:sz="4" w:space="0"/>
              <w:bottom w:val="single" w:color="000000" w:sz="4" w:space="0"/>
              <w:right w:val="single" w:color="000000" w:sz="4" w:space="0"/>
            </w:tcBorders>
            <w:noWrap w:val="0"/>
            <w:vAlign w:val="center"/>
          </w:tcPr>
          <w:p w14:paraId="4B2B4115">
            <w:pPr>
              <w:jc w:val="center"/>
              <w:rPr>
                <w:rFonts w:hint="eastAsia" w:ascii="宋体" w:hAnsi="宋体" w:cs="宋体"/>
                <w:color w:val="000000"/>
                <w:szCs w:val="21"/>
              </w:rPr>
            </w:pPr>
            <w:r>
              <w:rPr>
                <w:rFonts w:hint="eastAsia" w:ascii="宋体" w:hAnsi="宋体"/>
                <w:color w:val="000000"/>
                <w:szCs w:val="21"/>
              </w:rPr>
              <w:t>综合牙科机</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51A458C8">
            <w:pPr>
              <w:jc w:val="center"/>
              <w:rPr>
                <w:rFonts w:hint="eastAsia" w:ascii="宋体" w:hAnsi="宋体" w:cs="宋体"/>
                <w:color w:val="000000"/>
                <w:szCs w:val="21"/>
              </w:rPr>
            </w:pPr>
            <w:r>
              <w:rPr>
                <w:rFonts w:hint="eastAsia" w:ascii="宋体" w:hAnsi="宋体"/>
                <w:color w:val="000000"/>
                <w:szCs w:val="21"/>
              </w:rPr>
              <w:t>AM6018</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3EF84073">
            <w:pPr>
              <w:spacing w:before="156"/>
              <w:jc w:val="center"/>
              <w:rPr>
                <w:rFonts w:ascii="宋体" w:hAnsi="宋体"/>
                <w:color w:val="000000"/>
                <w:szCs w:val="21"/>
              </w:rPr>
            </w:pPr>
            <w:r>
              <w:rPr>
                <w:rFonts w:hint="eastAsia" w:ascii="宋体" w:hAnsi="宋体"/>
                <w:color w:val="000000"/>
                <w:szCs w:val="21"/>
              </w:rPr>
              <w:t>台</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489DF34F">
            <w:pPr>
              <w:spacing w:before="156"/>
              <w:jc w:val="center"/>
              <w:rPr>
                <w:rFonts w:hint="eastAsia" w:ascii="宋体" w:hAnsi="宋体"/>
                <w:color w:val="000000"/>
                <w:szCs w:val="21"/>
              </w:rPr>
            </w:pPr>
            <w:r>
              <w:rPr>
                <w:rFonts w:hint="eastAsia" w:ascii="宋体" w:hAnsi="宋体"/>
                <w:color w:val="000000"/>
                <w:szCs w:val="21"/>
              </w:rPr>
              <w:t>2</w:t>
            </w:r>
          </w:p>
        </w:tc>
      </w:tr>
      <w:tr w14:paraId="2E8051FC">
        <w:tblPrEx>
          <w:tblCellMar>
            <w:top w:w="0" w:type="dxa"/>
            <w:left w:w="108" w:type="dxa"/>
            <w:bottom w:w="0" w:type="dxa"/>
            <w:right w:w="108" w:type="dxa"/>
          </w:tblCellMar>
        </w:tblPrEx>
        <w:trPr>
          <w:trHeight w:val="499" w:hRule="atLeast"/>
        </w:trPr>
        <w:tc>
          <w:tcPr>
            <w:tcW w:w="534" w:type="dxa"/>
            <w:tcBorders>
              <w:top w:val="single" w:color="000000" w:sz="4" w:space="0"/>
              <w:left w:val="single" w:color="000000" w:sz="4" w:space="0"/>
              <w:bottom w:val="single" w:color="000000" w:sz="4" w:space="0"/>
              <w:right w:val="single" w:color="000000" w:sz="4" w:space="0"/>
            </w:tcBorders>
            <w:noWrap w:val="0"/>
            <w:vAlign w:val="center"/>
          </w:tcPr>
          <w:p w14:paraId="1B30C0D4">
            <w:pPr>
              <w:spacing w:before="156"/>
              <w:jc w:val="center"/>
              <w:rPr>
                <w:rFonts w:hint="eastAsia" w:ascii="宋体" w:hAnsi="宋体"/>
                <w:color w:val="000000"/>
                <w:szCs w:val="21"/>
              </w:rPr>
            </w:pPr>
            <w:r>
              <w:rPr>
                <w:rFonts w:hint="eastAsia" w:ascii="宋体" w:hAnsi="宋体"/>
                <w:color w:val="000000"/>
                <w:szCs w:val="21"/>
              </w:rPr>
              <w:t>4</w:t>
            </w:r>
          </w:p>
        </w:tc>
        <w:tc>
          <w:tcPr>
            <w:tcW w:w="2919" w:type="dxa"/>
            <w:tcBorders>
              <w:top w:val="single" w:color="000000" w:sz="4" w:space="0"/>
              <w:left w:val="single" w:color="000000" w:sz="4" w:space="0"/>
              <w:bottom w:val="single" w:color="000000" w:sz="4" w:space="0"/>
              <w:right w:val="single" w:color="000000" w:sz="4" w:space="0"/>
            </w:tcBorders>
            <w:noWrap w:val="0"/>
            <w:vAlign w:val="center"/>
          </w:tcPr>
          <w:p w14:paraId="2CA2D8E8">
            <w:pPr>
              <w:jc w:val="center"/>
              <w:rPr>
                <w:rFonts w:hint="eastAsia" w:ascii="宋体" w:hAnsi="宋体" w:cs="宋体"/>
                <w:color w:val="000000"/>
                <w:szCs w:val="21"/>
              </w:rPr>
            </w:pPr>
            <w:r>
              <w:rPr>
                <w:rFonts w:hint="eastAsia" w:ascii="宋体" w:hAnsi="宋体"/>
                <w:color w:val="000000"/>
                <w:szCs w:val="21"/>
              </w:rPr>
              <w:t>蒸汽压力灭菌器</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5130F376">
            <w:pPr>
              <w:jc w:val="center"/>
              <w:rPr>
                <w:rFonts w:hint="eastAsia" w:ascii="宋体" w:hAnsi="宋体" w:cs="宋体"/>
                <w:color w:val="000000"/>
                <w:szCs w:val="21"/>
              </w:rPr>
            </w:pPr>
            <w:r>
              <w:rPr>
                <w:rFonts w:hint="eastAsia" w:ascii="宋体" w:hAnsi="宋体"/>
                <w:color w:val="000000"/>
                <w:szCs w:val="21"/>
              </w:rPr>
              <w:t>2540MK</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4A17267C">
            <w:pPr>
              <w:spacing w:before="156"/>
              <w:jc w:val="center"/>
              <w:rPr>
                <w:rFonts w:ascii="宋体" w:hAnsi="宋体"/>
                <w:color w:val="000000"/>
                <w:szCs w:val="21"/>
              </w:rPr>
            </w:pPr>
            <w:r>
              <w:rPr>
                <w:rFonts w:hint="eastAsia" w:ascii="宋体" w:hAnsi="宋体"/>
                <w:color w:val="000000"/>
                <w:szCs w:val="21"/>
              </w:rPr>
              <w:t>台</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0B33FD1A">
            <w:pPr>
              <w:spacing w:before="156"/>
              <w:jc w:val="center"/>
              <w:rPr>
                <w:rFonts w:hint="eastAsia" w:ascii="宋体" w:hAnsi="宋体"/>
                <w:color w:val="000000"/>
                <w:szCs w:val="21"/>
              </w:rPr>
            </w:pPr>
            <w:r>
              <w:rPr>
                <w:rFonts w:hint="eastAsia" w:ascii="宋体" w:hAnsi="宋体"/>
                <w:color w:val="000000"/>
                <w:szCs w:val="21"/>
              </w:rPr>
              <w:t>2</w:t>
            </w:r>
          </w:p>
        </w:tc>
      </w:tr>
      <w:tr w14:paraId="5ACA35E8">
        <w:tblPrEx>
          <w:tblCellMar>
            <w:top w:w="0" w:type="dxa"/>
            <w:left w:w="108" w:type="dxa"/>
            <w:bottom w:w="0" w:type="dxa"/>
            <w:right w:w="108" w:type="dxa"/>
          </w:tblCellMar>
        </w:tblPrEx>
        <w:trPr>
          <w:trHeight w:val="499" w:hRule="atLeast"/>
        </w:trPr>
        <w:tc>
          <w:tcPr>
            <w:tcW w:w="534" w:type="dxa"/>
            <w:tcBorders>
              <w:top w:val="single" w:color="000000" w:sz="4" w:space="0"/>
              <w:left w:val="single" w:color="000000" w:sz="4" w:space="0"/>
              <w:bottom w:val="single" w:color="000000" w:sz="4" w:space="0"/>
              <w:right w:val="single" w:color="000000" w:sz="4" w:space="0"/>
            </w:tcBorders>
            <w:noWrap w:val="0"/>
            <w:vAlign w:val="center"/>
          </w:tcPr>
          <w:p w14:paraId="348ABE52">
            <w:pPr>
              <w:spacing w:before="156"/>
              <w:jc w:val="center"/>
              <w:rPr>
                <w:rFonts w:hint="eastAsia" w:ascii="宋体" w:hAnsi="宋体"/>
                <w:color w:val="000000"/>
                <w:szCs w:val="21"/>
              </w:rPr>
            </w:pPr>
            <w:r>
              <w:rPr>
                <w:rFonts w:hint="eastAsia" w:ascii="宋体" w:hAnsi="宋体"/>
                <w:color w:val="000000"/>
                <w:szCs w:val="21"/>
              </w:rPr>
              <w:t>5</w:t>
            </w:r>
          </w:p>
        </w:tc>
        <w:tc>
          <w:tcPr>
            <w:tcW w:w="2919" w:type="dxa"/>
            <w:tcBorders>
              <w:top w:val="single" w:color="000000" w:sz="4" w:space="0"/>
              <w:left w:val="single" w:color="000000" w:sz="4" w:space="0"/>
              <w:bottom w:val="single" w:color="000000" w:sz="4" w:space="0"/>
              <w:right w:val="single" w:color="000000" w:sz="4" w:space="0"/>
            </w:tcBorders>
            <w:noWrap w:val="0"/>
            <w:vAlign w:val="center"/>
          </w:tcPr>
          <w:p w14:paraId="1AC48CBD">
            <w:pPr>
              <w:jc w:val="center"/>
              <w:rPr>
                <w:rFonts w:hint="eastAsia" w:ascii="宋体" w:hAnsi="宋体" w:cs="宋体"/>
                <w:color w:val="000000"/>
                <w:szCs w:val="21"/>
              </w:rPr>
            </w:pPr>
            <w:r>
              <w:rPr>
                <w:rFonts w:hint="eastAsia" w:ascii="宋体" w:hAnsi="宋体"/>
                <w:color w:val="000000"/>
                <w:szCs w:val="21"/>
              </w:rPr>
              <w:t>巨光紫外线消毒车</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1C7896A5">
            <w:pPr>
              <w:jc w:val="center"/>
              <w:rPr>
                <w:rFonts w:hint="eastAsia" w:ascii="宋体" w:hAnsi="宋体" w:cs="宋体"/>
                <w:color w:val="000000"/>
                <w:szCs w:val="21"/>
              </w:rPr>
            </w:pPr>
            <w:r>
              <w:rPr>
                <w:rFonts w:hint="eastAsia" w:ascii="宋体" w:hAnsi="宋体"/>
                <w:color w:val="000000"/>
                <w:szCs w:val="21"/>
              </w:rPr>
              <w:t>ZXC型</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442C4449">
            <w:pPr>
              <w:spacing w:before="156"/>
              <w:jc w:val="center"/>
              <w:rPr>
                <w:rFonts w:ascii="宋体" w:hAnsi="宋体"/>
                <w:color w:val="000000"/>
                <w:szCs w:val="21"/>
              </w:rPr>
            </w:pPr>
            <w:r>
              <w:rPr>
                <w:rFonts w:hint="eastAsia" w:ascii="宋体" w:hAnsi="宋体"/>
                <w:color w:val="000000"/>
                <w:szCs w:val="21"/>
              </w:rPr>
              <w:t>台</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2F940C75">
            <w:pPr>
              <w:spacing w:before="156"/>
              <w:jc w:val="center"/>
              <w:rPr>
                <w:rFonts w:hint="eastAsia" w:ascii="宋体" w:hAnsi="宋体"/>
                <w:color w:val="000000"/>
                <w:szCs w:val="21"/>
              </w:rPr>
            </w:pPr>
            <w:r>
              <w:rPr>
                <w:rFonts w:hint="eastAsia" w:ascii="宋体" w:hAnsi="宋体"/>
                <w:color w:val="000000"/>
                <w:szCs w:val="21"/>
              </w:rPr>
              <w:t>2</w:t>
            </w:r>
          </w:p>
        </w:tc>
      </w:tr>
      <w:tr w14:paraId="0C45D9F2">
        <w:tblPrEx>
          <w:tblCellMar>
            <w:top w:w="0" w:type="dxa"/>
            <w:left w:w="108" w:type="dxa"/>
            <w:bottom w:w="0" w:type="dxa"/>
            <w:right w:w="108" w:type="dxa"/>
          </w:tblCellMar>
        </w:tblPrEx>
        <w:trPr>
          <w:trHeight w:val="499" w:hRule="atLeast"/>
        </w:trPr>
        <w:tc>
          <w:tcPr>
            <w:tcW w:w="534" w:type="dxa"/>
            <w:tcBorders>
              <w:top w:val="single" w:color="000000" w:sz="4" w:space="0"/>
              <w:left w:val="single" w:color="000000" w:sz="4" w:space="0"/>
              <w:bottom w:val="single" w:color="000000" w:sz="4" w:space="0"/>
              <w:right w:val="single" w:color="000000" w:sz="4" w:space="0"/>
            </w:tcBorders>
            <w:noWrap w:val="0"/>
            <w:vAlign w:val="center"/>
          </w:tcPr>
          <w:p w14:paraId="1BC04BCF">
            <w:pPr>
              <w:spacing w:before="156"/>
              <w:jc w:val="center"/>
              <w:rPr>
                <w:rFonts w:hint="eastAsia" w:ascii="宋体" w:hAnsi="宋体"/>
                <w:color w:val="000000"/>
                <w:szCs w:val="21"/>
              </w:rPr>
            </w:pPr>
            <w:r>
              <w:rPr>
                <w:rFonts w:hint="eastAsia" w:ascii="宋体" w:hAnsi="宋体"/>
                <w:color w:val="000000"/>
                <w:szCs w:val="21"/>
              </w:rPr>
              <w:t>6</w:t>
            </w:r>
          </w:p>
        </w:tc>
        <w:tc>
          <w:tcPr>
            <w:tcW w:w="2919" w:type="dxa"/>
            <w:tcBorders>
              <w:top w:val="single" w:color="000000" w:sz="4" w:space="0"/>
              <w:left w:val="single" w:color="000000" w:sz="4" w:space="0"/>
              <w:bottom w:val="single" w:color="000000" w:sz="4" w:space="0"/>
              <w:right w:val="single" w:color="000000" w:sz="4" w:space="0"/>
            </w:tcBorders>
            <w:noWrap w:val="0"/>
            <w:vAlign w:val="center"/>
          </w:tcPr>
          <w:p w14:paraId="6582329C">
            <w:pPr>
              <w:jc w:val="center"/>
              <w:rPr>
                <w:rFonts w:hint="eastAsia" w:ascii="宋体" w:hAnsi="宋体" w:cs="宋体"/>
                <w:color w:val="000000"/>
                <w:szCs w:val="21"/>
              </w:rPr>
            </w:pPr>
            <w:r>
              <w:rPr>
                <w:rFonts w:hint="eastAsia" w:ascii="宋体" w:hAnsi="宋体"/>
                <w:color w:val="000000"/>
                <w:szCs w:val="21"/>
              </w:rPr>
              <w:t>技工打磨机</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070E66EF">
            <w:pPr>
              <w:jc w:val="center"/>
              <w:rPr>
                <w:rFonts w:hint="eastAsia" w:ascii="宋体" w:hAnsi="宋体" w:cs="宋体"/>
                <w:color w:val="000000"/>
                <w:szCs w:val="21"/>
              </w:rPr>
            </w:pPr>
            <w:r>
              <w:rPr>
                <w:rFonts w:hint="eastAsia" w:ascii="宋体" w:hAnsi="宋体"/>
                <w:color w:val="000000"/>
                <w:szCs w:val="21"/>
              </w:rPr>
              <w:t>STRONG90</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43B9B80D">
            <w:pPr>
              <w:spacing w:before="156"/>
              <w:jc w:val="center"/>
              <w:rPr>
                <w:rFonts w:ascii="宋体" w:hAnsi="宋体"/>
                <w:color w:val="000000"/>
                <w:szCs w:val="21"/>
              </w:rPr>
            </w:pPr>
            <w:r>
              <w:rPr>
                <w:rFonts w:hint="eastAsia" w:ascii="宋体" w:hAnsi="宋体"/>
                <w:color w:val="000000"/>
                <w:szCs w:val="21"/>
              </w:rPr>
              <w:t>台</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3D52ECC5">
            <w:pPr>
              <w:spacing w:before="156"/>
              <w:jc w:val="center"/>
              <w:rPr>
                <w:rFonts w:hint="eastAsia" w:ascii="宋体" w:hAnsi="宋体"/>
                <w:color w:val="000000"/>
                <w:szCs w:val="21"/>
              </w:rPr>
            </w:pPr>
            <w:r>
              <w:rPr>
                <w:rFonts w:hint="eastAsia" w:ascii="宋体" w:hAnsi="宋体"/>
                <w:color w:val="000000"/>
                <w:szCs w:val="21"/>
              </w:rPr>
              <w:t>2</w:t>
            </w:r>
          </w:p>
        </w:tc>
      </w:tr>
      <w:tr w14:paraId="226844CF">
        <w:tblPrEx>
          <w:tblCellMar>
            <w:top w:w="0" w:type="dxa"/>
            <w:left w:w="108" w:type="dxa"/>
            <w:bottom w:w="0" w:type="dxa"/>
            <w:right w:w="108" w:type="dxa"/>
          </w:tblCellMar>
        </w:tblPrEx>
        <w:trPr>
          <w:trHeight w:val="499" w:hRule="atLeast"/>
        </w:trPr>
        <w:tc>
          <w:tcPr>
            <w:tcW w:w="534" w:type="dxa"/>
            <w:tcBorders>
              <w:top w:val="single" w:color="000000" w:sz="4" w:space="0"/>
              <w:left w:val="single" w:color="000000" w:sz="4" w:space="0"/>
              <w:bottom w:val="single" w:color="000000" w:sz="4" w:space="0"/>
              <w:right w:val="single" w:color="000000" w:sz="4" w:space="0"/>
            </w:tcBorders>
            <w:noWrap w:val="0"/>
            <w:vAlign w:val="center"/>
          </w:tcPr>
          <w:p w14:paraId="403FC918">
            <w:pPr>
              <w:spacing w:before="156"/>
              <w:jc w:val="center"/>
              <w:rPr>
                <w:rFonts w:hint="eastAsia" w:ascii="宋体" w:hAnsi="宋体"/>
                <w:color w:val="000000"/>
                <w:szCs w:val="21"/>
              </w:rPr>
            </w:pPr>
            <w:r>
              <w:rPr>
                <w:rFonts w:hint="eastAsia" w:ascii="宋体" w:hAnsi="宋体"/>
                <w:color w:val="000000"/>
                <w:szCs w:val="21"/>
              </w:rPr>
              <w:t>7</w:t>
            </w:r>
          </w:p>
        </w:tc>
        <w:tc>
          <w:tcPr>
            <w:tcW w:w="2919" w:type="dxa"/>
            <w:tcBorders>
              <w:top w:val="single" w:color="000000" w:sz="4" w:space="0"/>
              <w:left w:val="single" w:color="000000" w:sz="4" w:space="0"/>
              <w:bottom w:val="single" w:color="000000" w:sz="4" w:space="0"/>
              <w:right w:val="single" w:color="000000" w:sz="4" w:space="0"/>
            </w:tcBorders>
            <w:noWrap w:val="0"/>
            <w:vAlign w:val="center"/>
          </w:tcPr>
          <w:p w14:paraId="12702F5E">
            <w:pPr>
              <w:jc w:val="center"/>
              <w:rPr>
                <w:rFonts w:hint="eastAsia" w:ascii="宋体" w:hAnsi="宋体" w:cs="宋体"/>
                <w:color w:val="000000"/>
                <w:szCs w:val="21"/>
              </w:rPr>
            </w:pPr>
            <w:r>
              <w:rPr>
                <w:rFonts w:hint="eastAsia" w:ascii="宋体" w:hAnsi="宋体"/>
                <w:color w:val="000000"/>
                <w:szCs w:val="21"/>
              </w:rPr>
              <w:t>奥林巴斯显微镜（机构合并）</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191A2151">
            <w:pPr>
              <w:jc w:val="center"/>
              <w:rPr>
                <w:rFonts w:hint="eastAsia" w:ascii="宋体" w:hAnsi="宋体" w:cs="宋体"/>
                <w:color w:val="000000"/>
                <w:szCs w:val="21"/>
              </w:rPr>
            </w:pPr>
            <w:r>
              <w:rPr>
                <w:rFonts w:hint="eastAsia" w:ascii="宋体" w:hAnsi="宋体"/>
                <w:color w:val="000000"/>
                <w:szCs w:val="21"/>
              </w:rPr>
              <w:t>CX31</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0006F993">
            <w:pPr>
              <w:spacing w:before="156"/>
              <w:jc w:val="center"/>
              <w:rPr>
                <w:rFonts w:ascii="宋体" w:hAnsi="宋体"/>
                <w:color w:val="000000"/>
                <w:szCs w:val="21"/>
              </w:rPr>
            </w:pPr>
            <w:r>
              <w:rPr>
                <w:rFonts w:ascii="宋体" w:hAnsi="宋体"/>
                <w:color w:val="000000"/>
                <w:szCs w:val="21"/>
              </w:rPr>
              <w:t>台</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46EB5D0A">
            <w:pPr>
              <w:spacing w:before="156"/>
              <w:jc w:val="center"/>
              <w:rPr>
                <w:rFonts w:hint="eastAsia" w:ascii="宋体" w:hAnsi="宋体"/>
                <w:color w:val="000000"/>
                <w:szCs w:val="21"/>
              </w:rPr>
            </w:pPr>
            <w:r>
              <w:rPr>
                <w:rFonts w:hint="eastAsia" w:ascii="宋体" w:hAnsi="宋体"/>
                <w:color w:val="000000"/>
                <w:szCs w:val="21"/>
              </w:rPr>
              <w:t>4</w:t>
            </w:r>
          </w:p>
        </w:tc>
      </w:tr>
      <w:tr w14:paraId="5CC40BDB">
        <w:tblPrEx>
          <w:tblCellMar>
            <w:top w:w="0" w:type="dxa"/>
            <w:left w:w="108" w:type="dxa"/>
            <w:bottom w:w="0" w:type="dxa"/>
            <w:right w:w="108" w:type="dxa"/>
          </w:tblCellMar>
        </w:tblPrEx>
        <w:trPr>
          <w:trHeight w:val="499" w:hRule="atLeast"/>
        </w:trPr>
        <w:tc>
          <w:tcPr>
            <w:tcW w:w="534" w:type="dxa"/>
            <w:tcBorders>
              <w:top w:val="single" w:color="000000" w:sz="4" w:space="0"/>
              <w:left w:val="single" w:color="000000" w:sz="4" w:space="0"/>
              <w:bottom w:val="single" w:color="000000" w:sz="4" w:space="0"/>
              <w:right w:val="single" w:color="000000" w:sz="4" w:space="0"/>
            </w:tcBorders>
            <w:noWrap w:val="0"/>
            <w:vAlign w:val="center"/>
          </w:tcPr>
          <w:p w14:paraId="4E645982">
            <w:pPr>
              <w:spacing w:before="156"/>
              <w:jc w:val="center"/>
              <w:rPr>
                <w:rFonts w:hint="eastAsia" w:ascii="宋体" w:hAnsi="宋体"/>
                <w:color w:val="000000"/>
                <w:szCs w:val="21"/>
              </w:rPr>
            </w:pPr>
            <w:r>
              <w:rPr>
                <w:rFonts w:hint="eastAsia" w:ascii="宋体" w:hAnsi="宋体"/>
                <w:color w:val="000000"/>
                <w:szCs w:val="21"/>
              </w:rPr>
              <w:t>8</w:t>
            </w:r>
          </w:p>
        </w:tc>
        <w:tc>
          <w:tcPr>
            <w:tcW w:w="2919" w:type="dxa"/>
            <w:tcBorders>
              <w:top w:val="single" w:color="000000" w:sz="4" w:space="0"/>
              <w:left w:val="single" w:color="000000" w:sz="4" w:space="0"/>
              <w:bottom w:val="single" w:color="000000" w:sz="4" w:space="0"/>
              <w:right w:val="single" w:color="000000" w:sz="4" w:space="0"/>
            </w:tcBorders>
            <w:noWrap w:val="0"/>
            <w:vAlign w:val="center"/>
          </w:tcPr>
          <w:p w14:paraId="0261979C">
            <w:pPr>
              <w:jc w:val="center"/>
              <w:rPr>
                <w:rFonts w:hint="eastAsia" w:ascii="宋体" w:hAnsi="宋体" w:cs="宋体"/>
                <w:color w:val="000000"/>
                <w:szCs w:val="21"/>
              </w:rPr>
            </w:pPr>
            <w:r>
              <w:rPr>
                <w:rFonts w:hint="eastAsia" w:ascii="宋体" w:hAnsi="宋体"/>
                <w:color w:val="000000"/>
                <w:szCs w:val="21"/>
              </w:rPr>
              <w:t>全自动化学发光仪（机构合并）</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2D841FCF">
            <w:pPr>
              <w:jc w:val="center"/>
              <w:rPr>
                <w:rFonts w:hint="eastAsia" w:ascii="宋体" w:hAnsi="宋体" w:cs="宋体"/>
                <w:color w:val="000000"/>
                <w:szCs w:val="21"/>
              </w:rPr>
            </w:pPr>
            <w:r>
              <w:rPr>
                <w:rFonts w:hint="eastAsia" w:ascii="宋体" w:hAnsi="宋体"/>
                <w:color w:val="000000"/>
                <w:szCs w:val="21"/>
              </w:rPr>
              <w:t>MagLumi800</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1453FD8F">
            <w:pPr>
              <w:spacing w:before="156"/>
              <w:jc w:val="center"/>
              <w:rPr>
                <w:rFonts w:ascii="宋体" w:hAnsi="宋体"/>
                <w:color w:val="000000"/>
                <w:szCs w:val="21"/>
              </w:rPr>
            </w:pPr>
            <w:r>
              <w:rPr>
                <w:rFonts w:ascii="宋体" w:hAnsi="宋体"/>
                <w:color w:val="000000"/>
                <w:szCs w:val="21"/>
              </w:rPr>
              <w:t>台</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1E667E21">
            <w:pPr>
              <w:spacing w:before="156"/>
              <w:jc w:val="center"/>
              <w:rPr>
                <w:rFonts w:hint="eastAsia" w:ascii="宋体" w:hAnsi="宋体"/>
                <w:color w:val="000000"/>
                <w:szCs w:val="21"/>
              </w:rPr>
            </w:pPr>
            <w:r>
              <w:rPr>
                <w:rFonts w:hint="eastAsia" w:ascii="宋体" w:hAnsi="宋体"/>
                <w:color w:val="000000"/>
                <w:szCs w:val="21"/>
              </w:rPr>
              <w:t>1</w:t>
            </w:r>
          </w:p>
        </w:tc>
      </w:tr>
      <w:tr w14:paraId="6E13522C">
        <w:tblPrEx>
          <w:tblCellMar>
            <w:top w:w="0" w:type="dxa"/>
            <w:left w:w="108" w:type="dxa"/>
            <w:bottom w:w="0" w:type="dxa"/>
            <w:right w:w="108" w:type="dxa"/>
          </w:tblCellMar>
        </w:tblPrEx>
        <w:trPr>
          <w:trHeight w:val="377" w:hRule="atLeast"/>
        </w:trPr>
        <w:tc>
          <w:tcPr>
            <w:tcW w:w="534" w:type="dxa"/>
            <w:tcBorders>
              <w:top w:val="single" w:color="000000" w:sz="4" w:space="0"/>
              <w:left w:val="single" w:color="000000" w:sz="4" w:space="0"/>
              <w:bottom w:val="single" w:color="000000" w:sz="4" w:space="0"/>
              <w:right w:val="single" w:color="000000" w:sz="4" w:space="0"/>
            </w:tcBorders>
            <w:noWrap w:val="0"/>
            <w:vAlign w:val="center"/>
          </w:tcPr>
          <w:p w14:paraId="6E7FF2D1">
            <w:pPr>
              <w:spacing w:before="156"/>
              <w:jc w:val="center"/>
              <w:rPr>
                <w:rFonts w:hint="eastAsia" w:ascii="宋体" w:hAnsi="宋体"/>
                <w:color w:val="000000"/>
                <w:szCs w:val="21"/>
              </w:rPr>
            </w:pPr>
            <w:r>
              <w:rPr>
                <w:rFonts w:hint="eastAsia" w:ascii="宋体" w:hAnsi="宋体"/>
                <w:color w:val="000000"/>
                <w:szCs w:val="21"/>
              </w:rPr>
              <w:t>9</w:t>
            </w:r>
          </w:p>
        </w:tc>
        <w:tc>
          <w:tcPr>
            <w:tcW w:w="2919" w:type="dxa"/>
            <w:tcBorders>
              <w:top w:val="single" w:color="000000" w:sz="4" w:space="0"/>
              <w:left w:val="single" w:color="000000" w:sz="4" w:space="0"/>
              <w:bottom w:val="single" w:color="000000" w:sz="4" w:space="0"/>
              <w:right w:val="single" w:color="000000" w:sz="4" w:space="0"/>
            </w:tcBorders>
            <w:noWrap w:val="0"/>
            <w:vAlign w:val="center"/>
          </w:tcPr>
          <w:p w14:paraId="596239BA">
            <w:pPr>
              <w:jc w:val="center"/>
              <w:rPr>
                <w:rFonts w:hint="eastAsia" w:ascii="宋体" w:hAnsi="宋体" w:cs="宋体"/>
                <w:color w:val="000000"/>
                <w:szCs w:val="21"/>
              </w:rPr>
            </w:pPr>
            <w:r>
              <w:rPr>
                <w:rFonts w:hint="eastAsia" w:ascii="宋体" w:hAnsi="宋体"/>
                <w:color w:val="000000"/>
                <w:szCs w:val="21"/>
              </w:rPr>
              <w:t>迈瑞五分类血球（机构合并）</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5F78CAD2">
            <w:pPr>
              <w:jc w:val="center"/>
              <w:rPr>
                <w:rFonts w:hint="eastAsia" w:ascii="宋体" w:hAnsi="宋体" w:cs="宋体"/>
                <w:color w:val="000000"/>
                <w:szCs w:val="21"/>
              </w:rPr>
            </w:pPr>
            <w:r>
              <w:rPr>
                <w:rFonts w:hint="eastAsia" w:ascii="宋体" w:hAnsi="宋体"/>
                <w:color w:val="000000"/>
                <w:szCs w:val="21"/>
              </w:rPr>
              <w:t>BC-5180</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1B9D04F7">
            <w:pPr>
              <w:spacing w:before="156"/>
              <w:jc w:val="center"/>
              <w:rPr>
                <w:rFonts w:ascii="宋体" w:hAnsi="宋体"/>
                <w:color w:val="000000"/>
                <w:szCs w:val="21"/>
              </w:rPr>
            </w:pPr>
            <w:r>
              <w:rPr>
                <w:rFonts w:ascii="宋体" w:hAnsi="宋体"/>
                <w:color w:val="000000"/>
                <w:szCs w:val="21"/>
              </w:rPr>
              <w:t>台</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10D0E0F4">
            <w:pPr>
              <w:spacing w:before="156"/>
              <w:jc w:val="center"/>
              <w:rPr>
                <w:rFonts w:hint="eastAsia" w:ascii="宋体" w:hAnsi="宋体"/>
                <w:color w:val="000000"/>
                <w:szCs w:val="21"/>
              </w:rPr>
            </w:pPr>
            <w:r>
              <w:rPr>
                <w:rFonts w:hint="eastAsia" w:ascii="宋体" w:hAnsi="宋体"/>
                <w:color w:val="000000"/>
                <w:szCs w:val="21"/>
              </w:rPr>
              <w:t>1</w:t>
            </w:r>
          </w:p>
        </w:tc>
      </w:tr>
      <w:tr w14:paraId="1CB058EA">
        <w:tblPrEx>
          <w:tblCellMar>
            <w:top w:w="0" w:type="dxa"/>
            <w:left w:w="108" w:type="dxa"/>
            <w:bottom w:w="0" w:type="dxa"/>
            <w:right w:w="108" w:type="dxa"/>
          </w:tblCellMar>
        </w:tblPrEx>
        <w:trPr>
          <w:trHeight w:val="377" w:hRule="atLeast"/>
        </w:trPr>
        <w:tc>
          <w:tcPr>
            <w:tcW w:w="534" w:type="dxa"/>
            <w:tcBorders>
              <w:top w:val="single" w:color="000000" w:sz="4" w:space="0"/>
              <w:left w:val="single" w:color="000000" w:sz="4" w:space="0"/>
              <w:bottom w:val="single" w:color="000000" w:sz="4" w:space="0"/>
              <w:right w:val="single" w:color="000000" w:sz="4" w:space="0"/>
            </w:tcBorders>
            <w:noWrap w:val="0"/>
            <w:vAlign w:val="center"/>
          </w:tcPr>
          <w:p w14:paraId="7BD88BB8">
            <w:pPr>
              <w:spacing w:before="156"/>
              <w:jc w:val="center"/>
              <w:rPr>
                <w:rFonts w:hint="eastAsia" w:ascii="宋体" w:hAnsi="宋体"/>
                <w:color w:val="000000"/>
                <w:szCs w:val="21"/>
              </w:rPr>
            </w:pPr>
            <w:r>
              <w:rPr>
                <w:rFonts w:hint="eastAsia" w:ascii="宋体" w:hAnsi="宋体"/>
                <w:color w:val="000000"/>
                <w:szCs w:val="21"/>
              </w:rPr>
              <w:t>10</w:t>
            </w:r>
          </w:p>
        </w:tc>
        <w:tc>
          <w:tcPr>
            <w:tcW w:w="2919" w:type="dxa"/>
            <w:tcBorders>
              <w:top w:val="single" w:color="000000" w:sz="4" w:space="0"/>
              <w:left w:val="single" w:color="000000" w:sz="4" w:space="0"/>
              <w:bottom w:val="single" w:color="000000" w:sz="4" w:space="0"/>
              <w:right w:val="single" w:color="000000" w:sz="4" w:space="0"/>
            </w:tcBorders>
            <w:noWrap w:val="0"/>
            <w:vAlign w:val="center"/>
          </w:tcPr>
          <w:p w14:paraId="34A9678A">
            <w:pPr>
              <w:jc w:val="center"/>
              <w:rPr>
                <w:rFonts w:hint="eastAsia" w:ascii="宋体" w:hAnsi="宋体" w:cs="宋体"/>
                <w:color w:val="000000"/>
                <w:szCs w:val="21"/>
              </w:rPr>
            </w:pPr>
            <w:r>
              <w:rPr>
                <w:rFonts w:hint="eastAsia" w:ascii="宋体" w:hAnsi="宋体"/>
                <w:color w:val="000000"/>
                <w:szCs w:val="21"/>
              </w:rPr>
              <w:t>安图酶标仪（机构合并）</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115F934A">
            <w:pPr>
              <w:jc w:val="center"/>
              <w:rPr>
                <w:rFonts w:hint="eastAsia" w:ascii="宋体" w:hAnsi="宋体" w:cs="宋体"/>
                <w:color w:val="000000"/>
                <w:szCs w:val="21"/>
              </w:rPr>
            </w:pPr>
            <w:r>
              <w:rPr>
                <w:rFonts w:hint="eastAsia" w:ascii="宋体" w:hAnsi="宋体"/>
                <w:color w:val="000000"/>
                <w:szCs w:val="21"/>
              </w:rPr>
              <w:t>PHOMO</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22ED08E8">
            <w:pPr>
              <w:spacing w:before="156"/>
              <w:jc w:val="center"/>
              <w:rPr>
                <w:rFonts w:ascii="宋体" w:hAnsi="宋体"/>
                <w:color w:val="000000"/>
                <w:szCs w:val="21"/>
              </w:rPr>
            </w:pPr>
            <w:r>
              <w:rPr>
                <w:rFonts w:ascii="宋体" w:hAnsi="宋体"/>
                <w:color w:val="000000"/>
                <w:szCs w:val="21"/>
              </w:rPr>
              <w:t>台</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1736B005">
            <w:pPr>
              <w:spacing w:before="156"/>
              <w:jc w:val="center"/>
              <w:rPr>
                <w:rFonts w:hint="eastAsia" w:ascii="宋体" w:hAnsi="宋体"/>
                <w:color w:val="000000"/>
                <w:szCs w:val="21"/>
              </w:rPr>
            </w:pPr>
            <w:r>
              <w:rPr>
                <w:rFonts w:hint="eastAsia" w:ascii="宋体" w:hAnsi="宋体"/>
                <w:color w:val="000000"/>
                <w:szCs w:val="21"/>
              </w:rPr>
              <w:t>1</w:t>
            </w:r>
          </w:p>
        </w:tc>
      </w:tr>
      <w:tr w14:paraId="627CFAB2">
        <w:tblPrEx>
          <w:tblCellMar>
            <w:top w:w="0" w:type="dxa"/>
            <w:left w:w="108" w:type="dxa"/>
            <w:bottom w:w="0" w:type="dxa"/>
            <w:right w:w="108" w:type="dxa"/>
          </w:tblCellMar>
        </w:tblPrEx>
        <w:trPr>
          <w:trHeight w:val="446" w:hRule="atLeast"/>
        </w:trPr>
        <w:tc>
          <w:tcPr>
            <w:tcW w:w="534" w:type="dxa"/>
            <w:tcBorders>
              <w:top w:val="single" w:color="000000" w:sz="4" w:space="0"/>
              <w:left w:val="single" w:color="000000" w:sz="4" w:space="0"/>
              <w:bottom w:val="single" w:color="000000" w:sz="4" w:space="0"/>
              <w:right w:val="single" w:color="000000" w:sz="4" w:space="0"/>
            </w:tcBorders>
            <w:noWrap w:val="0"/>
            <w:vAlign w:val="center"/>
          </w:tcPr>
          <w:p w14:paraId="7BC432B0">
            <w:pPr>
              <w:spacing w:before="156"/>
              <w:jc w:val="center"/>
              <w:rPr>
                <w:rFonts w:hint="eastAsia" w:ascii="宋体" w:hAnsi="宋体"/>
                <w:color w:val="000000"/>
                <w:szCs w:val="21"/>
              </w:rPr>
            </w:pPr>
            <w:r>
              <w:rPr>
                <w:rFonts w:hint="eastAsia" w:ascii="宋体" w:hAnsi="宋体"/>
                <w:color w:val="000000"/>
                <w:szCs w:val="21"/>
              </w:rPr>
              <w:t>11</w:t>
            </w:r>
          </w:p>
        </w:tc>
        <w:tc>
          <w:tcPr>
            <w:tcW w:w="2919" w:type="dxa"/>
            <w:tcBorders>
              <w:top w:val="single" w:color="000000" w:sz="4" w:space="0"/>
              <w:left w:val="single" w:color="000000" w:sz="4" w:space="0"/>
              <w:bottom w:val="single" w:color="000000" w:sz="4" w:space="0"/>
              <w:right w:val="single" w:color="000000" w:sz="4" w:space="0"/>
            </w:tcBorders>
            <w:noWrap w:val="0"/>
            <w:vAlign w:val="center"/>
          </w:tcPr>
          <w:p w14:paraId="198F251A">
            <w:pPr>
              <w:jc w:val="center"/>
              <w:rPr>
                <w:rFonts w:hint="eastAsia" w:ascii="宋体" w:hAnsi="宋体" w:cs="宋体"/>
                <w:color w:val="000000"/>
                <w:szCs w:val="21"/>
              </w:rPr>
            </w:pPr>
            <w:r>
              <w:rPr>
                <w:rFonts w:hint="eastAsia" w:ascii="宋体" w:hAnsi="宋体"/>
                <w:color w:val="000000"/>
                <w:szCs w:val="21"/>
              </w:rPr>
              <w:t>迈瑞全自动化学免疫分析仪</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0893AA4B">
            <w:pPr>
              <w:jc w:val="center"/>
              <w:rPr>
                <w:rFonts w:hint="eastAsia" w:ascii="宋体" w:hAnsi="宋体" w:cs="宋体"/>
                <w:color w:val="000000"/>
                <w:szCs w:val="21"/>
              </w:rPr>
            </w:pPr>
            <w:r>
              <w:rPr>
                <w:rFonts w:hint="eastAsia" w:ascii="宋体" w:hAnsi="宋体"/>
                <w:color w:val="000000"/>
                <w:szCs w:val="21"/>
              </w:rPr>
              <w:t>CL-2000i</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6BB890E5">
            <w:pPr>
              <w:spacing w:before="156"/>
              <w:jc w:val="center"/>
              <w:rPr>
                <w:rFonts w:ascii="宋体" w:hAnsi="宋体"/>
                <w:color w:val="000000"/>
                <w:szCs w:val="21"/>
              </w:rPr>
            </w:pPr>
            <w:r>
              <w:rPr>
                <w:rFonts w:hint="eastAsia" w:ascii="宋体" w:hAnsi="宋体"/>
                <w:color w:val="000000"/>
                <w:szCs w:val="21"/>
              </w:rPr>
              <w:t>台</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0E878387">
            <w:pPr>
              <w:spacing w:before="156"/>
              <w:jc w:val="center"/>
              <w:rPr>
                <w:rFonts w:hint="eastAsia" w:ascii="宋体" w:hAnsi="宋体"/>
                <w:color w:val="000000"/>
                <w:szCs w:val="21"/>
              </w:rPr>
            </w:pPr>
            <w:r>
              <w:rPr>
                <w:rFonts w:hint="eastAsia" w:ascii="宋体" w:hAnsi="宋体"/>
                <w:color w:val="000000"/>
                <w:szCs w:val="21"/>
              </w:rPr>
              <w:t>1</w:t>
            </w:r>
          </w:p>
        </w:tc>
      </w:tr>
      <w:tr w14:paraId="6A8090EB">
        <w:tblPrEx>
          <w:tblCellMar>
            <w:top w:w="0" w:type="dxa"/>
            <w:left w:w="108" w:type="dxa"/>
            <w:bottom w:w="0" w:type="dxa"/>
            <w:right w:w="108" w:type="dxa"/>
          </w:tblCellMar>
        </w:tblPrEx>
        <w:trPr>
          <w:trHeight w:val="377" w:hRule="atLeast"/>
        </w:trPr>
        <w:tc>
          <w:tcPr>
            <w:tcW w:w="534" w:type="dxa"/>
            <w:tcBorders>
              <w:top w:val="single" w:color="000000" w:sz="4" w:space="0"/>
              <w:left w:val="single" w:color="000000" w:sz="4" w:space="0"/>
              <w:bottom w:val="single" w:color="000000" w:sz="4" w:space="0"/>
              <w:right w:val="single" w:color="000000" w:sz="4" w:space="0"/>
            </w:tcBorders>
            <w:noWrap w:val="0"/>
            <w:vAlign w:val="center"/>
          </w:tcPr>
          <w:p w14:paraId="6DFF3CB5">
            <w:pPr>
              <w:spacing w:before="156"/>
              <w:jc w:val="center"/>
              <w:rPr>
                <w:rFonts w:hint="eastAsia" w:ascii="宋体" w:hAnsi="宋体"/>
                <w:color w:val="000000"/>
                <w:szCs w:val="21"/>
              </w:rPr>
            </w:pPr>
            <w:r>
              <w:rPr>
                <w:rFonts w:hint="eastAsia" w:ascii="宋体" w:hAnsi="宋体"/>
                <w:color w:val="000000"/>
                <w:szCs w:val="21"/>
              </w:rPr>
              <w:t>12</w:t>
            </w:r>
          </w:p>
        </w:tc>
        <w:tc>
          <w:tcPr>
            <w:tcW w:w="2919" w:type="dxa"/>
            <w:tcBorders>
              <w:top w:val="single" w:color="000000" w:sz="4" w:space="0"/>
              <w:left w:val="single" w:color="000000" w:sz="4" w:space="0"/>
              <w:bottom w:val="single" w:color="000000" w:sz="4" w:space="0"/>
              <w:right w:val="single" w:color="000000" w:sz="4" w:space="0"/>
            </w:tcBorders>
            <w:noWrap w:val="0"/>
            <w:vAlign w:val="center"/>
          </w:tcPr>
          <w:p w14:paraId="45A06DE2">
            <w:pPr>
              <w:jc w:val="center"/>
              <w:rPr>
                <w:rFonts w:hint="eastAsia" w:ascii="宋体" w:hAnsi="宋体" w:cs="宋体"/>
                <w:color w:val="000000"/>
                <w:szCs w:val="21"/>
              </w:rPr>
            </w:pPr>
            <w:r>
              <w:rPr>
                <w:rFonts w:hint="eastAsia" w:ascii="宋体" w:hAnsi="宋体"/>
                <w:color w:val="000000"/>
                <w:szCs w:val="21"/>
              </w:rPr>
              <w:t>阴道炎检测仪（五联检）</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0A268E6D">
            <w:pPr>
              <w:jc w:val="center"/>
              <w:rPr>
                <w:rFonts w:hint="eastAsia" w:ascii="宋体" w:hAnsi="宋体" w:cs="宋体"/>
                <w:color w:val="000000"/>
                <w:szCs w:val="21"/>
              </w:rPr>
            </w:pPr>
            <w:r>
              <w:rPr>
                <w:rFonts w:hint="eastAsia" w:ascii="宋体" w:hAnsi="宋体"/>
                <w:color w:val="000000"/>
                <w:szCs w:val="21"/>
              </w:rPr>
              <w:t>LIS-V400</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7CB3FD40">
            <w:pPr>
              <w:spacing w:before="156"/>
              <w:jc w:val="center"/>
              <w:rPr>
                <w:rFonts w:hint="eastAsia" w:ascii="宋体" w:hAnsi="宋体"/>
                <w:color w:val="000000"/>
                <w:szCs w:val="21"/>
              </w:rPr>
            </w:pPr>
            <w:r>
              <w:rPr>
                <w:rFonts w:hint="eastAsia" w:ascii="宋体" w:hAnsi="宋体"/>
                <w:color w:val="000000"/>
                <w:szCs w:val="21"/>
              </w:rPr>
              <w:t>套</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6E3502D6">
            <w:pPr>
              <w:spacing w:before="156"/>
              <w:jc w:val="center"/>
              <w:rPr>
                <w:rFonts w:hint="eastAsia" w:ascii="宋体" w:hAnsi="宋体"/>
                <w:color w:val="000000"/>
                <w:szCs w:val="21"/>
              </w:rPr>
            </w:pPr>
            <w:r>
              <w:rPr>
                <w:rFonts w:hint="eastAsia" w:ascii="宋体" w:hAnsi="宋体"/>
                <w:color w:val="000000"/>
                <w:szCs w:val="21"/>
              </w:rPr>
              <w:t>1</w:t>
            </w:r>
          </w:p>
        </w:tc>
      </w:tr>
      <w:tr w14:paraId="73608849">
        <w:tblPrEx>
          <w:tblCellMar>
            <w:top w:w="0" w:type="dxa"/>
            <w:left w:w="108" w:type="dxa"/>
            <w:bottom w:w="0" w:type="dxa"/>
            <w:right w:w="108" w:type="dxa"/>
          </w:tblCellMar>
        </w:tblPrEx>
        <w:trPr>
          <w:trHeight w:val="377" w:hRule="atLeast"/>
        </w:trPr>
        <w:tc>
          <w:tcPr>
            <w:tcW w:w="534" w:type="dxa"/>
            <w:tcBorders>
              <w:top w:val="single" w:color="000000" w:sz="4" w:space="0"/>
              <w:left w:val="single" w:color="000000" w:sz="4" w:space="0"/>
              <w:bottom w:val="single" w:color="000000" w:sz="4" w:space="0"/>
              <w:right w:val="single" w:color="000000" w:sz="4" w:space="0"/>
            </w:tcBorders>
            <w:noWrap w:val="0"/>
            <w:vAlign w:val="center"/>
          </w:tcPr>
          <w:p w14:paraId="5EB09E32">
            <w:pPr>
              <w:spacing w:before="156"/>
              <w:jc w:val="center"/>
              <w:rPr>
                <w:rFonts w:hint="eastAsia" w:ascii="宋体" w:hAnsi="宋体"/>
                <w:color w:val="000000"/>
                <w:szCs w:val="21"/>
              </w:rPr>
            </w:pPr>
            <w:r>
              <w:rPr>
                <w:rFonts w:hint="eastAsia" w:ascii="宋体" w:hAnsi="宋体"/>
                <w:color w:val="000000"/>
                <w:szCs w:val="21"/>
              </w:rPr>
              <w:t>13</w:t>
            </w:r>
          </w:p>
        </w:tc>
        <w:tc>
          <w:tcPr>
            <w:tcW w:w="2919" w:type="dxa"/>
            <w:tcBorders>
              <w:top w:val="single" w:color="000000" w:sz="4" w:space="0"/>
              <w:left w:val="single" w:color="000000" w:sz="4" w:space="0"/>
              <w:bottom w:val="single" w:color="000000" w:sz="4" w:space="0"/>
              <w:right w:val="single" w:color="000000" w:sz="4" w:space="0"/>
            </w:tcBorders>
            <w:noWrap w:val="0"/>
            <w:vAlign w:val="center"/>
          </w:tcPr>
          <w:p w14:paraId="22699F64">
            <w:pPr>
              <w:jc w:val="center"/>
              <w:rPr>
                <w:rFonts w:hint="eastAsia" w:ascii="宋体" w:hAnsi="宋体" w:cs="宋体"/>
                <w:color w:val="000000"/>
                <w:szCs w:val="21"/>
              </w:rPr>
            </w:pPr>
            <w:r>
              <w:rPr>
                <w:rFonts w:hint="eastAsia" w:ascii="宋体" w:hAnsi="宋体"/>
                <w:color w:val="000000"/>
                <w:szCs w:val="21"/>
              </w:rPr>
              <w:t>血液分析仪</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35187358">
            <w:pPr>
              <w:jc w:val="center"/>
              <w:rPr>
                <w:rFonts w:hint="eastAsia" w:ascii="宋体" w:hAnsi="宋体" w:cs="宋体"/>
                <w:color w:val="000000"/>
                <w:szCs w:val="21"/>
              </w:rPr>
            </w:pPr>
            <w:r>
              <w:rPr>
                <w:rFonts w:hint="eastAsia" w:ascii="宋体" w:hAnsi="宋体"/>
                <w:color w:val="000000"/>
                <w:szCs w:val="21"/>
              </w:rPr>
              <w:t>XS-500i</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30677D16">
            <w:pPr>
              <w:spacing w:before="156"/>
              <w:jc w:val="center"/>
              <w:rPr>
                <w:rFonts w:ascii="宋体" w:hAnsi="宋体"/>
                <w:color w:val="000000"/>
                <w:szCs w:val="21"/>
              </w:rPr>
            </w:pPr>
            <w:r>
              <w:rPr>
                <w:rFonts w:ascii="宋体" w:hAnsi="宋体"/>
                <w:color w:val="000000"/>
                <w:szCs w:val="21"/>
              </w:rPr>
              <w:t>台</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45871B7B">
            <w:pPr>
              <w:spacing w:before="156"/>
              <w:jc w:val="center"/>
              <w:rPr>
                <w:rFonts w:hint="eastAsia" w:ascii="宋体" w:hAnsi="宋体"/>
                <w:color w:val="000000"/>
                <w:szCs w:val="21"/>
              </w:rPr>
            </w:pPr>
            <w:r>
              <w:rPr>
                <w:rFonts w:hint="eastAsia" w:ascii="宋体" w:hAnsi="宋体"/>
                <w:color w:val="000000"/>
                <w:szCs w:val="21"/>
              </w:rPr>
              <w:t>1</w:t>
            </w:r>
          </w:p>
        </w:tc>
      </w:tr>
      <w:tr w14:paraId="0C0CAC31">
        <w:tblPrEx>
          <w:tblCellMar>
            <w:top w:w="0" w:type="dxa"/>
            <w:left w:w="108" w:type="dxa"/>
            <w:bottom w:w="0" w:type="dxa"/>
            <w:right w:w="108" w:type="dxa"/>
          </w:tblCellMar>
        </w:tblPrEx>
        <w:trPr>
          <w:trHeight w:val="423" w:hRule="atLeast"/>
        </w:trPr>
        <w:tc>
          <w:tcPr>
            <w:tcW w:w="534" w:type="dxa"/>
            <w:tcBorders>
              <w:top w:val="single" w:color="000000" w:sz="4" w:space="0"/>
              <w:left w:val="single" w:color="000000" w:sz="4" w:space="0"/>
              <w:bottom w:val="single" w:color="000000" w:sz="4" w:space="0"/>
              <w:right w:val="single" w:color="000000" w:sz="4" w:space="0"/>
            </w:tcBorders>
            <w:noWrap w:val="0"/>
            <w:vAlign w:val="center"/>
          </w:tcPr>
          <w:p w14:paraId="52201FAA">
            <w:pPr>
              <w:spacing w:before="156"/>
              <w:jc w:val="center"/>
              <w:rPr>
                <w:rFonts w:hint="eastAsia" w:ascii="宋体" w:hAnsi="宋体"/>
                <w:color w:val="000000"/>
                <w:szCs w:val="21"/>
              </w:rPr>
            </w:pPr>
            <w:r>
              <w:rPr>
                <w:rFonts w:hint="eastAsia" w:ascii="宋体" w:hAnsi="宋体"/>
                <w:color w:val="000000"/>
                <w:szCs w:val="21"/>
              </w:rPr>
              <w:t>14</w:t>
            </w:r>
          </w:p>
        </w:tc>
        <w:tc>
          <w:tcPr>
            <w:tcW w:w="2919" w:type="dxa"/>
            <w:tcBorders>
              <w:top w:val="single" w:color="000000" w:sz="4" w:space="0"/>
              <w:left w:val="single" w:color="000000" w:sz="4" w:space="0"/>
              <w:bottom w:val="single" w:color="000000" w:sz="4" w:space="0"/>
              <w:right w:val="single" w:color="000000" w:sz="4" w:space="0"/>
            </w:tcBorders>
            <w:noWrap w:val="0"/>
            <w:vAlign w:val="center"/>
          </w:tcPr>
          <w:p w14:paraId="7D1D6FC8">
            <w:pPr>
              <w:jc w:val="center"/>
              <w:rPr>
                <w:rFonts w:hint="eastAsia" w:ascii="宋体" w:hAnsi="宋体" w:cs="宋体"/>
                <w:color w:val="000000"/>
                <w:szCs w:val="21"/>
              </w:rPr>
            </w:pPr>
            <w:r>
              <w:rPr>
                <w:rFonts w:hint="eastAsia" w:ascii="宋体" w:hAnsi="宋体"/>
                <w:color w:val="000000"/>
                <w:szCs w:val="21"/>
              </w:rPr>
              <w:t>化验离心机</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38383FD6">
            <w:pPr>
              <w:jc w:val="center"/>
              <w:rPr>
                <w:rFonts w:hint="eastAsia" w:ascii="宋体" w:hAnsi="宋体" w:cs="宋体"/>
                <w:color w:val="000000"/>
                <w:szCs w:val="21"/>
              </w:rPr>
            </w:pPr>
            <w:r>
              <w:rPr>
                <w:rFonts w:hint="eastAsia" w:ascii="宋体" w:hAnsi="宋体"/>
                <w:color w:val="000000"/>
                <w:szCs w:val="21"/>
              </w:rPr>
              <w:t>LDZ-2</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32D29D79">
            <w:pPr>
              <w:spacing w:before="156"/>
              <w:jc w:val="center"/>
              <w:rPr>
                <w:rFonts w:ascii="宋体" w:hAnsi="宋体"/>
                <w:color w:val="000000"/>
                <w:szCs w:val="21"/>
              </w:rPr>
            </w:pPr>
            <w:r>
              <w:rPr>
                <w:rFonts w:ascii="宋体" w:hAnsi="宋体"/>
                <w:color w:val="000000"/>
                <w:szCs w:val="21"/>
              </w:rPr>
              <w:t>台</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331A9658">
            <w:pPr>
              <w:spacing w:before="156"/>
              <w:jc w:val="center"/>
              <w:rPr>
                <w:rFonts w:hint="eastAsia" w:ascii="宋体" w:hAnsi="宋体"/>
                <w:color w:val="000000"/>
                <w:szCs w:val="21"/>
              </w:rPr>
            </w:pPr>
            <w:r>
              <w:rPr>
                <w:rFonts w:hint="eastAsia" w:ascii="宋体" w:hAnsi="宋体"/>
                <w:color w:val="000000"/>
                <w:szCs w:val="21"/>
              </w:rPr>
              <w:t>1</w:t>
            </w:r>
          </w:p>
        </w:tc>
      </w:tr>
      <w:tr w14:paraId="11FBA4DA">
        <w:tblPrEx>
          <w:tblCellMar>
            <w:top w:w="0" w:type="dxa"/>
            <w:left w:w="108" w:type="dxa"/>
            <w:bottom w:w="0" w:type="dxa"/>
            <w:right w:w="108" w:type="dxa"/>
          </w:tblCellMar>
        </w:tblPrEx>
        <w:trPr>
          <w:trHeight w:val="384" w:hRule="atLeast"/>
        </w:trPr>
        <w:tc>
          <w:tcPr>
            <w:tcW w:w="534" w:type="dxa"/>
            <w:tcBorders>
              <w:top w:val="single" w:color="000000" w:sz="4" w:space="0"/>
              <w:left w:val="single" w:color="000000" w:sz="4" w:space="0"/>
              <w:bottom w:val="single" w:color="000000" w:sz="4" w:space="0"/>
              <w:right w:val="single" w:color="000000" w:sz="4" w:space="0"/>
            </w:tcBorders>
            <w:noWrap w:val="0"/>
            <w:vAlign w:val="center"/>
          </w:tcPr>
          <w:p w14:paraId="65A48C10">
            <w:pPr>
              <w:spacing w:before="156"/>
              <w:jc w:val="center"/>
              <w:rPr>
                <w:rFonts w:hint="eastAsia" w:ascii="宋体" w:hAnsi="宋体"/>
                <w:color w:val="000000"/>
                <w:szCs w:val="21"/>
              </w:rPr>
            </w:pPr>
            <w:r>
              <w:rPr>
                <w:rFonts w:hint="eastAsia" w:ascii="宋体" w:hAnsi="宋体"/>
                <w:color w:val="000000"/>
                <w:szCs w:val="21"/>
              </w:rPr>
              <w:t>15</w:t>
            </w:r>
          </w:p>
        </w:tc>
        <w:tc>
          <w:tcPr>
            <w:tcW w:w="2919" w:type="dxa"/>
            <w:tcBorders>
              <w:top w:val="single" w:color="000000" w:sz="4" w:space="0"/>
              <w:left w:val="single" w:color="000000" w:sz="4" w:space="0"/>
              <w:bottom w:val="single" w:color="000000" w:sz="4" w:space="0"/>
              <w:right w:val="single" w:color="000000" w:sz="4" w:space="0"/>
            </w:tcBorders>
            <w:noWrap w:val="0"/>
            <w:vAlign w:val="center"/>
          </w:tcPr>
          <w:p w14:paraId="378AB226">
            <w:pPr>
              <w:jc w:val="center"/>
              <w:rPr>
                <w:rFonts w:hint="eastAsia" w:ascii="宋体" w:hAnsi="宋体" w:cs="宋体"/>
                <w:color w:val="000000"/>
                <w:szCs w:val="21"/>
              </w:rPr>
            </w:pPr>
            <w:r>
              <w:rPr>
                <w:rFonts w:hint="eastAsia" w:ascii="宋体" w:hAnsi="宋体"/>
                <w:color w:val="000000"/>
                <w:szCs w:val="21"/>
              </w:rPr>
              <w:t>抢救车</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0C8AE89F">
            <w:pPr>
              <w:jc w:val="center"/>
              <w:rPr>
                <w:rFonts w:ascii="宋体" w:hAnsi="宋体" w:cs="宋体"/>
                <w:color w:val="000000"/>
                <w:szCs w:val="21"/>
              </w:rPr>
            </w:pP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285E8B47">
            <w:pPr>
              <w:spacing w:before="156"/>
              <w:jc w:val="center"/>
              <w:rPr>
                <w:rFonts w:hint="eastAsia" w:ascii="宋体" w:hAnsi="宋体"/>
                <w:color w:val="000000"/>
                <w:szCs w:val="21"/>
              </w:rPr>
            </w:pPr>
            <w:r>
              <w:rPr>
                <w:rFonts w:hint="eastAsia" w:ascii="宋体" w:hAnsi="宋体"/>
                <w:color w:val="000000"/>
                <w:szCs w:val="21"/>
              </w:rPr>
              <w:t>辆</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375937E6">
            <w:pPr>
              <w:spacing w:before="156"/>
              <w:jc w:val="center"/>
              <w:rPr>
                <w:rFonts w:hint="eastAsia" w:ascii="宋体" w:hAnsi="宋体"/>
                <w:color w:val="000000"/>
                <w:szCs w:val="21"/>
              </w:rPr>
            </w:pPr>
            <w:r>
              <w:rPr>
                <w:rFonts w:hint="eastAsia" w:ascii="宋体" w:hAnsi="宋体"/>
                <w:color w:val="000000"/>
                <w:szCs w:val="21"/>
              </w:rPr>
              <w:t>1</w:t>
            </w:r>
          </w:p>
        </w:tc>
      </w:tr>
      <w:tr w14:paraId="7CB7023E">
        <w:tblPrEx>
          <w:tblCellMar>
            <w:top w:w="0" w:type="dxa"/>
            <w:left w:w="108" w:type="dxa"/>
            <w:bottom w:w="0" w:type="dxa"/>
            <w:right w:w="108" w:type="dxa"/>
          </w:tblCellMar>
        </w:tblPrEx>
        <w:trPr>
          <w:trHeight w:val="384" w:hRule="atLeast"/>
        </w:trPr>
        <w:tc>
          <w:tcPr>
            <w:tcW w:w="534" w:type="dxa"/>
            <w:tcBorders>
              <w:top w:val="single" w:color="000000" w:sz="4" w:space="0"/>
              <w:left w:val="single" w:color="000000" w:sz="4" w:space="0"/>
              <w:bottom w:val="single" w:color="000000" w:sz="4" w:space="0"/>
              <w:right w:val="single" w:color="000000" w:sz="4" w:space="0"/>
            </w:tcBorders>
            <w:noWrap w:val="0"/>
            <w:vAlign w:val="center"/>
          </w:tcPr>
          <w:p w14:paraId="2E187E71">
            <w:pPr>
              <w:spacing w:before="156"/>
              <w:jc w:val="center"/>
              <w:rPr>
                <w:rFonts w:hint="eastAsia" w:ascii="宋体" w:hAnsi="宋体"/>
                <w:color w:val="000000"/>
                <w:szCs w:val="21"/>
              </w:rPr>
            </w:pPr>
            <w:r>
              <w:rPr>
                <w:rFonts w:hint="eastAsia" w:ascii="宋体" w:hAnsi="宋体"/>
                <w:color w:val="000000"/>
                <w:szCs w:val="21"/>
              </w:rPr>
              <w:t>16</w:t>
            </w:r>
          </w:p>
        </w:tc>
        <w:tc>
          <w:tcPr>
            <w:tcW w:w="2919" w:type="dxa"/>
            <w:tcBorders>
              <w:top w:val="single" w:color="000000" w:sz="4" w:space="0"/>
              <w:left w:val="single" w:color="000000" w:sz="4" w:space="0"/>
              <w:bottom w:val="single" w:color="000000" w:sz="4" w:space="0"/>
              <w:right w:val="single" w:color="000000" w:sz="4" w:space="0"/>
            </w:tcBorders>
            <w:noWrap w:val="0"/>
            <w:vAlign w:val="center"/>
          </w:tcPr>
          <w:p w14:paraId="7659E269">
            <w:pPr>
              <w:jc w:val="center"/>
              <w:rPr>
                <w:rFonts w:hint="eastAsia" w:ascii="宋体" w:hAnsi="宋体" w:cs="宋体"/>
                <w:color w:val="000000"/>
                <w:szCs w:val="21"/>
              </w:rPr>
            </w:pPr>
            <w:r>
              <w:rPr>
                <w:rFonts w:hint="eastAsia" w:ascii="宋体" w:hAnsi="宋体"/>
                <w:color w:val="000000"/>
                <w:szCs w:val="21"/>
              </w:rPr>
              <w:t>心电监护仪</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58E07000">
            <w:pPr>
              <w:jc w:val="center"/>
              <w:rPr>
                <w:rFonts w:hint="eastAsia" w:ascii="宋体" w:hAnsi="宋体" w:cs="宋体"/>
                <w:color w:val="000000"/>
                <w:szCs w:val="21"/>
              </w:rPr>
            </w:pPr>
            <w:r>
              <w:rPr>
                <w:rFonts w:hint="eastAsia" w:ascii="宋体" w:hAnsi="宋体"/>
                <w:color w:val="000000"/>
                <w:szCs w:val="21"/>
              </w:rPr>
              <w:t>PM-8000</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5FDDCD8A">
            <w:pPr>
              <w:spacing w:before="156"/>
              <w:jc w:val="center"/>
              <w:rPr>
                <w:rFonts w:ascii="宋体" w:hAnsi="宋体"/>
                <w:color w:val="000000"/>
                <w:szCs w:val="21"/>
              </w:rPr>
            </w:pPr>
            <w:r>
              <w:rPr>
                <w:rFonts w:hint="eastAsia" w:ascii="宋体" w:hAnsi="宋体"/>
                <w:color w:val="000000"/>
                <w:szCs w:val="21"/>
              </w:rPr>
              <w:t>台</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4A999786">
            <w:pPr>
              <w:spacing w:before="156"/>
              <w:jc w:val="center"/>
              <w:rPr>
                <w:rFonts w:hint="eastAsia" w:ascii="宋体" w:hAnsi="宋体"/>
                <w:color w:val="000000"/>
                <w:szCs w:val="21"/>
              </w:rPr>
            </w:pPr>
            <w:r>
              <w:rPr>
                <w:rFonts w:hint="eastAsia" w:ascii="宋体" w:hAnsi="宋体"/>
                <w:color w:val="000000"/>
                <w:szCs w:val="21"/>
              </w:rPr>
              <w:t>4</w:t>
            </w:r>
          </w:p>
        </w:tc>
      </w:tr>
      <w:tr w14:paraId="7A79FB8A">
        <w:tblPrEx>
          <w:tblCellMar>
            <w:top w:w="0" w:type="dxa"/>
            <w:left w:w="108" w:type="dxa"/>
            <w:bottom w:w="0" w:type="dxa"/>
            <w:right w:w="108" w:type="dxa"/>
          </w:tblCellMar>
        </w:tblPrEx>
        <w:trPr>
          <w:trHeight w:val="384" w:hRule="atLeast"/>
        </w:trPr>
        <w:tc>
          <w:tcPr>
            <w:tcW w:w="534" w:type="dxa"/>
            <w:tcBorders>
              <w:top w:val="single" w:color="000000" w:sz="4" w:space="0"/>
              <w:left w:val="single" w:color="000000" w:sz="4" w:space="0"/>
              <w:bottom w:val="single" w:color="000000" w:sz="4" w:space="0"/>
              <w:right w:val="single" w:color="000000" w:sz="4" w:space="0"/>
            </w:tcBorders>
            <w:noWrap w:val="0"/>
            <w:vAlign w:val="center"/>
          </w:tcPr>
          <w:p w14:paraId="2824A4E3">
            <w:pPr>
              <w:spacing w:before="156"/>
              <w:jc w:val="center"/>
              <w:rPr>
                <w:rFonts w:hint="eastAsia" w:ascii="宋体" w:hAnsi="宋体"/>
                <w:color w:val="000000"/>
                <w:szCs w:val="21"/>
              </w:rPr>
            </w:pPr>
            <w:r>
              <w:rPr>
                <w:rFonts w:hint="eastAsia" w:ascii="宋体" w:hAnsi="宋体"/>
                <w:color w:val="000000"/>
                <w:szCs w:val="21"/>
              </w:rPr>
              <w:t>17</w:t>
            </w:r>
          </w:p>
        </w:tc>
        <w:tc>
          <w:tcPr>
            <w:tcW w:w="2919" w:type="dxa"/>
            <w:tcBorders>
              <w:top w:val="single" w:color="000000" w:sz="4" w:space="0"/>
              <w:left w:val="single" w:color="000000" w:sz="4" w:space="0"/>
              <w:bottom w:val="single" w:color="000000" w:sz="4" w:space="0"/>
              <w:right w:val="single" w:color="000000" w:sz="4" w:space="0"/>
            </w:tcBorders>
            <w:noWrap w:val="0"/>
            <w:vAlign w:val="center"/>
          </w:tcPr>
          <w:p w14:paraId="40A498A9">
            <w:pPr>
              <w:jc w:val="center"/>
              <w:rPr>
                <w:rFonts w:hint="eastAsia" w:ascii="宋体" w:hAnsi="宋体" w:cs="宋体"/>
                <w:color w:val="000000"/>
                <w:szCs w:val="21"/>
              </w:rPr>
            </w:pPr>
            <w:r>
              <w:rPr>
                <w:rFonts w:hint="eastAsia" w:ascii="宋体" w:hAnsi="宋体"/>
                <w:color w:val="000000"/>
                <w:szCs w:val="21"/>
              </w:rPr>
              <w:t>输液泵</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39607159">
            <w:pPr>
              <w:jc w:val="center"/>
              <w:rPr>
                <w:rFonts w:hint="eastAsia" w:ascii="宋体" w:hAnsi="宋体" w:cs="宋体"/>
                <w:color w:val="000000"/>
                <w:szCs w:val="21"/>
              </w:rPr>
            </w:pPr>
            <w:r>
              <w:rPr>
                <w:rFonts w:hint="eastAsia" w:ascii="宋体" w:hAnsi="宋体"/>
                <w:color w:val="000000"/>
                <w:szCs w:val="21"/>
              </w:rPr>
              <w:t>EP-500</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4A69F78B">
            <w:pPr>
              <w:spacing w:before="156"/>
              <w:jc w:val="center"/>
              <w:rPr>
                <w:rFonts w:hint="eastAsia" w:ascii="宋体" w:hAnsi="宋体"/>
                <w:color w:val="000000"/>
                <w:szCs w:val="21"/>
              </w:rPr>
            </w:pPr>
            <w:r>
              <w:rPr>
                <w:rFonts w:hint="eastAsia" w:ascii="宋体" w:hAnsi="宋体"/>
                <w:color w:val="000000"/>
                <w:szCs w:val="21"/>
              </w:rPr>
              <w:t>台</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7C16429F">
            <w:pPr>
              <w:spacing w:before="156"/>
              <w:jc w:val="center"/>
              <w:rPr>
                <w:rFonts w:hint="eastAsia" w:ascii="宋体" w:hAnsi="宋体"/>
                <w:color w:val="000000"/>
                <w:szCs w:val="21"/>
              </w:rPr>
            </w:pPr>
            <w:r>
              <w:rPr>
                <w:rFonts w:hint="eastAsia" w:ascii="宋体" w:hAnsi="宋体"/>
                <w:color w:val="000000"/>
                <w:szCs w:val="21"/>
              </w:rPr>
              <w:t>2</w:t>
            </w:r>
          </w:p>
        </w:tc>
      </w:tr>
      <w:tr w14:paraId="0075299B">
        <w:tblPrEx>
          <w:tblCellMar>
            <w:top w:w="0" w:type="dxa"/>
            <w:left w:w="108" w:type="dxa"/>
            <w:bottom w:w="0" w:type="dxa"/>
            <w:right w:w="108" w:type="dxa"/>
          </w:tblCellMar>
        </w:tblPrEx>
        <w:trPr>
          <w:trHeight w:val="384" w:hRule="atLeast"/>
        </w:trPr>
        <w:tc>
          <w:tcPr>
            <w:tcW w:w="534" w:type="dxa"/>
            <w:tcBorders>
              <w:top w:val="single" w:color="000000" w:sz="4" w:space="0"/>
              <w:left w:val="single" w:color="000000" w:sz="4" w:space="0"/>
              <w:bottom w:val="single" w:color="000000" w:sz="4" w:space="0"/>
              <w:right w:val="single" w:color="000000" w:sz="4" w:space="0"/>
            </w:tcBorders>
            <w:noWrap w:val="0"/>
            <w:vAlign w:val="center"/>
          </w:tcPr>
          <w:p w14:paraId="5B6653CB">
            <w:pPr>
              <w:spacing w:before="156"/>
              <w:jc w:val="center"/>
              <w:rPr>
                <w:rFonts w:hint="eastAsia" w:ascii="宋体" w:hAnsi="宋体"/>
                <w:color w:val="000000"/>
                <w:szCs w:val="21"/>
              </w:rPr>
            </w:pPr>
            <w:r>
              <w:rPr>
                <w:rFonts w:hint="eastAsia" w:ascii="宋体" w:hAnsi="宋体"/>
                <w:color w:val="000000"/>
                <w:szCs w:val="21"/>
              </w:rPr>
              <w:t>18</w:t>
            </w:r>
          </w:p>
        </w:tc>
        <w:tc>
          <w:tcPr>
            <w:tcW w:w="2919" w:type="dxa"/>
            <w:tcBorders>
              <w:top w:val="single" w:color="000000" w:sz="4" w:space="0"/>
              <w:left w:val="single" w:color="000000" w:sz="4" w:space="0"/>
              <w:bottom w:val="single" w:color="000000" w:sz="4" w:space="0"/>
              <w:right w:val="single" w:color="000000" w:sz="4" w:space="0"/>
            </w:tcBorders>
            <w:noWrap w:val="0"/>
            <w:vAlign w:val="center"/>
          </w:tcPr>
          <w:p w14:paraId="53C27293">
            <w:pPr>
              <w:jc w:val="center"/>
              <w:rPr>
                <w:rFonts w:hint="eastAsia" w:ascii="宋体" w:hAnsi="宋体" w:cs="宋体"/>
                <w:color w:val="000000"/>
                <w:szCs w:val="21"/>
              </w:rPr>
            </w:pPr>
            <w:r>
              <w:rPr>
                <w:rFonts w:hint="eastAsia" w:ascii="宋体" w:hAnsi="宋体"/>
                <w:color w:val="000000"/>
                <w:szCs w:val="21"/>
              </w:rPr>
              <w:t>辐射式新生儿抢救台</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30794749">
            <w:pPr>
              <w:jc w:val="center"/>
              <w:rPr>
                <w:rFonts w:hint="eastAsia" w:ascii="宋体" w:hAnsi="宋体" w:cs="Arial"/>
                <w:color w:val="000000"/>
                <w:szCs w:val="21"/>
              </w:rPr>
            </w:pPr>
            <w:r>
              <w:rPr>
                <w:rFonts w:ascii="宋体" w:hAnsi="宋体" w:cs="Arial"/>
                <w:color w:val="000000"/>
                <w:szCs w:val="21"/>
              </w:rPr>
              <w:t>FXQ3</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6573757A">
            <w:pPr>
              <w:spacing w:before="156"/>
              <w:jc w:val="center"/>
              <w:rPr>
                <w:rFonts w:hint="eastAsia" w:ascii="宋体" w:hAnsi="宋体"/>
                <w:color w:val="000000"/>
                <w:szCs w:val="21"/>
              </w:rPr>
            </w:pPr>
            <w:r>
              <w:rPr>
                <w:rFonts w:hint="eastAsia" w:ascii="宋体" w:hAnsi="宋体"/>
                <w:color w:val="000000"/>
                <w:szCs w:val="21"/>
              </w:rPr>
              <w:t>个</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5E02ED1F">
            <w:pPr>
              <w:spacing w:before="156"/>
              <w:jc w:val="center"/>
              <w:rPr>
                <w:rFonts w:hint="eastAsia" w:ascii="宋体" w:hAnsi="宋体"/>
                <w:color w:val="000000"/>
                <w:szCs w:val="21"/>
              </w:rPr>
            </w:pPr>
            <w:r>
              <w:rPr>
                <w:rFonts w:hint="eastAsia" w:ascii="宋体" w:hAnsi="宋体"/>
                <w:color w:val="000000"/>
                <w:szCs w:val="21"/>
              </w:rPr>
              <w:t>1</w:t>
            </w:r>
          </w:p>
        </w:tc>
      </w:tr>
      <w:tr w14:paraId="50363017">
        <w:tblPrEx>
          <w:tblCellMar>
            <w:top w:w="0" w:type="dxa"/>
            <w:left w:w="108" w:type="dxa"/>
            <w:bottom w:w="0" w:type="dxa"/>
            <w:right w:w="108" w:type="dxa"/>
          </w:tblCellMar>
        </w:tblPrEx>
        <w:trPr>
          <w:trHeight w:val="384" w:hRule="atLeast"/>
        </w:trPr>
        <w:tc>
          <w:tcPr>
            <w:tcW w:w="534" w:type="dxa"/>
            <w:tcBorders>
              <w:top w:val="single" w:color="000000" w:sz="4" w:space="0"/>
              <w:left w:val="single" w:color="000000" w:sz="4" w:space="0"/>
              <w:bottom w:val="single" w:color="000000" w:sz="4" w:space="0"/>
              <w:right w:val="single" w:color="000000" w:sz="4" w:space="0"/>
            </w:tcBorders>
            <w:noWrap w:val="0"/>
            <w:vAlign w:val="center"/>
          </w:tcPr>
          <w:p w14:paraId="68371E06">
            <w:pPr>
              <w:spacing w:before="156"/>
              <w:jc w:val="center"/>
              <w:rPr>
                <w:rFonts w:hint="eastAsia" w:ascii="宋体" w:hAnsi="宋体"/>
                <w:color w:val="000000"/>
                <w:szCs w:val="21"/>
              </w:rPr>
            </w:pPr>
            <w:r>
              <w:rPr>
                <w:rFonts w:hint="eastAsia" w:ascii="宋体" w:hAnsi="宋体"/>
                <w:color w:val="000000"/>
                <w:szCs w:val="21"/>
              </w:rPr>
              <w:t>19</w:t>
            </w:r>
          </w:p>
        </w:tc>
        <w:tc>
          <w:tcPr>
            <w:tcW w:w="2919" w:type="dxa"/>
            <w:tcBorders>
              <w:top w:val="single" w:color="000000" w:sz="4" w:space="0"/>
              <w:left w:val="single" w:color="000000" w:sz="4" w:space="0"/>
              <w:bottom w:val="single" w:color="000000" w:sz="4" w:space="0"/>
              <w:right w:val="single" w:color="000000" w:sz="4" w:space="0"/>
            </w:tcBorders>
            <w:noWrap w:val="0"/>
            <w:vAlign w:val="center"/>
          </w:tcPr>
          <w:p w14:paraId="66F69B1A">
            <w:pPr>
              <w:jc w:val="center"/>
              <w:rPr>
                <w:rFonts w:hint="eastAsia" w:ascii="宋体" w:hAnsi="宋体" w:cs="宋体"/>
                <w:color w:val="000000"/>
                <w:szCs w:val="21"/>
              </w:rPr>
            </w:pPr>
            <w:r>
              <w:rPr>
                <w:rFonts w:hint="eastAsia" w:ascii="宋体" w:hAnsi="宋体"/>
                <w:color w:val="000000"/>
                <w:szCs w:val="21"/>
              </w:rPr>
              <w:t>新生儿咽候镜</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7A3FE337">
            <w:pPr>
              <w:jc w:val="center"/>
              <w:rPr>
                <w:rFonts w:ascii="宋体" w:hAnsi="宋体" w:cs="宋体"/>
                <w:color w:val="000000"/>
                <w:szCs w:val="21"/>
              </w:rPr>
            </w:pP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5852AAD9">
            <w:pPr>
              <w:spacing w:before="156"/>
              <w:jc w:val="center"/>
              <w:rPr>
                <w:rFonts w:ascii="宋体" w:hAnsi="宋体"/>
                <w:color w:val="000000"/>
                <w:szCs w:val="21"/>
              </w:rPr>
            </w:pPr>
            <w:r>
              <w:rPr>
                <w:rFonts w:hint="eastAsia" w:ascii="宋体" w:hAnsi="宋体"/>
                <w:color w:val="000000"/>
                <w:szCs w:val="21"/>
              </w:rPr>
              <w:t>台</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36E01980">
            <w:pPr>
              <w:spacing w:before="156"/>
              <w:jc w:val="center"/>
              <w:rPr>
                <w:rFonts w:hint="eastAsia" w:ascii="宋体" w:hAnsi="宋体"/>
                <w:color w:val="000000"/>
                <w:szCs w:val="21"/>
              </w:rPr>
            </w:pPr>
            <w:r>
              <w:rPr>
                <w:rFonts w:hint="eastAsia" w:ascii="宋体" w:hAnsi="宋体"/>
                <w:color w:val="000000"/>
                <w:szCs w:val="21"/>
              </w:rPr>
              <w:t>1</w:t>
            </w:r>
          </w:p>
        </w:tc>
      </w:tr>
      <w:tr w14:paraId="52443841">
        <w:tblPrEx>
          <w:tblCellMar>
            <w:top w:w="0" w:type="dxa"/>
            <w:left w:w="108" w:type="dxa"/>
            <w:bottom w:w="0" w:type="dxa"/>
            <w:right w:w="108" w:type="dxa"/>
          </w:tblCellMar>
        </w:tblPrEx>
        <w:trPr>
          <w:trHeight w:val="384" w:hRule="atLeast"/>
        </w:trPr>
        <w:tc>
          <w:tcPr>
            <w:tcW w:w="534" w:type="dxa"/>
            <w:tcBorders>
              <w:top w:val="single" w:color="000000" w:sz="4" w:space="0"/>
              <w:left w:val="single" w:color="000000" w:sz="4" w:space="0"/>
              <w:bottom w:val="single" w:color="000000" w:sz="4" w:space="0"/>
              <w:right w:val="single" w:color="000000" w:sz="4" w:space="0"/>
            </w:tcBorders>
            <w:noWrap w:val="0"/>
            <w:vAlign w:val="center"/>
          </w:tcPr>
          <w:p w14:paraId="7A07173F">
            <w:pPr>
              <w:spacing w:before="156"/>
              <w:jc w:val="center"/>
              <w:rPr>
                <w:rFonts w:hint="eastAsia" w:ascii="宋体" w:hAnsi="宋体"/>
                <w:color w:val="000000"/>
                <w:szCs w:val="21"/>
              </w:rPr>
            </w:pPr>
            <w:r>
              <w:rPr>
                <w:rFonts w:hint="eastAsia" w:ascii="宋体" w:hAnsi="宋体"/>
                <w:color w:val="000000"/>
                <w:szCs w:val="21"/>
              </w:rPr>
              <w:t>20</w:t>
            </w:r>
          </w:p>
        </w:tc>
        <w:tc>
          <w:tcPr>
            <w:tcW w:w="2919" w:type="dxa"/>
            <w:tcBorders>
              <w:top w:val="single" w:color="000000" w:sz="4" w:space="0"/>
              <w:left w:val="single" w:color="000000" w:sz="4" w:space="0"/>
              <w:bottom w:val="single" w:color="000000" w:sz="4" w:space="0"/>
              <w:right w:val="single" w:color="000000" w:sz="4" w:space="0"/>
            </w:tcBorders>
            <w:noWrap w:val="0"/>
            <w:vAlign w:val="center"/>
          </w:tcPr>
          <w:p w14:paraId="7D6E402F">
            <w:pPr>
              <w:jc w:val="center"/>
              <w:rPr>
                <w:rFonts w:hint="eastAsia" w:ascii="宋体" w:hAnsi="宋体" w:cs="宋体"/>
                <w:color w:val="000000"/>
                <w:szCs w:val="21"/>
              </w:rPr>
            </w:pPr>
            <w:r>
              <w:rPr>
                <w:rFonts w:hint="eastAsia" w:ascii="宋体" w:hAnsi="宋体"/>
                <w:color w:val="000000"/>
                <w:szCs w:val="21"/>
              </w:rPr>
              <w:t>输液泵</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02325E1F">
            <w:pPr>
              <w:jc w:val="center"/>
              <w:rPr>
                <w:rFonts w:hint="eastAsia" w:ascii="宋体" w:hAnsi="宋体" w:cs="宋体"/>
                <w:color w:val="000000"/>
                <w:szCs w:val="21"/>
              </w:rPr>
            </w:pPr>
            <w:r>
              <w:rPr>
                <w:rFonts w:hint="eastAsia" w:ascii="宋体" w:hAnsi="宋体"/>
                <w:color w:val="000000"/>
                <w:szCs w:val="21"/>
              </w:rPr>
              <w:t>EP-500</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70942900">
            <w:pPr>
              <w:spacing w:before="156"/>
              <w:jc w:val="center"/>
              <w:rPr>
                <w:rFonts w:ascii="宋体" w:hAnsi="宋体"/>
                <w:color w:val="000000"/>
                <w:szCs w:val="21"/>
              </w:rPr>
            </w:pPr>
            <w:r>
              <w:rPr>
                <w:rFonts w:hint="eastAsia" w:ascii="宋体" w:hAnsi="宋体"/>
                <w:color w:val="000000"/>
                <w:szCs w:val="21"/>
              </w:rPr>
              <w:t>台</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17AF4B64">
            <w:pPr>
              <w:spacing w:before="156"/>
              <w:jc w:val="center"/>
              <w:rPr>
                <w:rFonts w:hint="eastAsia" w:ascii="宋体" w:hAnsi="宋体"/>
                <w:color w:val="000000"/>
                <w:szCs w:val="21"/>
              </w:rPr>
            </w:pPr>
            <w:r>
              <w:rPr>
                <w:rFonts w:hint="eastAsia" w:ascii="宋体" w:hAnsi="宋体"/>
                <w:color w:val="000000"/>
                <w:szCs w:val="21"/>
              </w:rPr>
              <w:t>2</w:t>
            </w:r>
          </w:p>
        </w:tc>
      </w:tr>
      <w:tr w14:paraId="75D4AC19">
        <w:tblPrEx>
          <w:tblCellMar>
            <w:top w:w="0" w:type="dxa"/>
            <w:left w:w="108" w:type="dxa"/>
            <w:bottom w:w="0" w:type="dxa"/>
            <w:right w:w="108" w:type="dxa"/>
          </w:tblCellMar>
        </w:tblPrEx>
        <w:trPr>
          <w:trHeight w:val="384" w:hRule="atLeast"/>
        </w:trPr>
        <w:tc>
          <w:tcPr>
            <w:tcW w:w="534" w:type="dxa"/>
            <w:tcBorders>
              <w:top w:val="single" w:color="000000" w:sz="4" w:space="0"/>
              <w:left w:val="single" w:color="000000" w:sz="4" w:space="0"/>
              <w:bottom w:val="single" w:color="000000" w:sz="4" w:space="0"/>
              <w:right w:val="single" w:color="000000" w:sz="4" w:space="0"/>
            </w:tcBorders>
            <w:noWrap w:val="0"/>
            <w:vAlign w:val="center"/>
          </w:tcPr>
          <w:p w14:paraId="0C5C701F">
            <w:pPr>
              <w:spacing w:before="156"/>
              <w:jc w:val="center"/>
              <w:rPr>
                <w:rFonts w:hint="eastAsia" w:ascii="宋体" w:hAnsi="宋体"/>
                <w:color w:val="000000"/>
                <w:szCs w:val="21"/>
              </w:rPr>
            </w:pPr>
            <w:r>
              <w:rPr>
                <w:rFonts w:hint="eastAsia" w:ascii="宋体" w:hAnsi="宋体"/>
                <w:color w:val="000000"/>
                <w:szCs w:val="21"/>
              </w:rPr>
              <w:t>21</w:t>
            </w:r>
          </w:p>
        </w:tc>
        <w:tc>
          <w:tcPr>
            <w:tcW w:w="2919" w:type="dxa"/>
            <w:tcBorders>
              <w:top w:val="single" w:color="000000" w:sz="4" w:space="0"/>
              <w:left w:val="single" w:color="000000" w:sz="4" w:space="0"/>
              <w:bottom w:val="single" w:color="000000" w:sz="4" w:space="0"/>
              <w:right w:val="single" w:color="000000" w:sz="4" w:space="0"/>
            </w:tcBorders>
            <w:noWrap w:val="0"/>
            <w:vAlign w:val="center"/>
          </w:tcPr>
          <w:p w14:paraId="7EB798B7">
            <w:pPr>
              <w:jc w:val="center"/>
              <w:rPr>
                <w:rFonts w:hint="eastAsia" w:ascii="宋体" w:hAnsi="宋体" w:cs="宋体"/>
                <w:color w:val="000000"/>
                <w:szCs w:val="21"/>
              </w:rPr>
            </w:pPr>
            <w:r>
              <w:rPr>
                <w:rFonts w:hint="eastAsia" w:ascii="宋体" w:hAnsi="宋体"/>
                <w:color w:val="000000"/>
                <w:szCs w:val="21"/>
              </w:rPr>
              <w:t>婴儿培养箱(带双面蓝光)</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704A2E87">
            <w:pPr>
              <w:jc w:val="center"/>
              <w:rPr>
                <w:rFonts w:hint="eastAsia" w:ascii="宋体" w:hAnsi="宋体" w:cs="宋体"/>
                <w:color w:val="000000"/>
                <w:szCs w:val="21"/>
              </w:rPr>
            </w:pPr>
            <w:r>
              <w:rPr>
                <w:rFonts w:hint="eastAsia" w:ascii="宋体" w:hAnsi="宋体"/>
                <w:color w:val="000000"/>
                <w:szCs w:val="21"/>
              </w:rPr>
              <w:t>YP-90AC</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078A5D0E">
            <w:pPr>
              <w:spacing w:before="156"/>
              <w:jc w:val="center"/>
              <w:rPr>
                <w:rFonts w:ascii="宋体" w:hAnsi="宋体"/>
                <w:color w:val="000000"/>
                <w:szCs w:val="21"/>
              </w:rPr>
            </w:pPr>
            <w:r>
              <w:rPr>
                <w:rFonts w:hint="eastAsia" w:ascii="宋体" w:hAnsi="宋体"/>
                <w:color w:val="000000"/>
                <w:szCs w:val="21"/>
              </w:rPr>
              <w:t>个</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2F85C6E4">
            <w:pPr>
              <w:spacing w:before="156"/>
              <w:jc w:val="center"/>
              <w:rPr>
                <w:rFonts w:hint="eastAsia" w:ascii="宋体" w:hAnsi="宋体"/>
                <w:color w:val="000000"/>
                <w:szCs w:val="21"/>
              </w:rPr>
            </w:pPr>
            <w:r>
              <w:rPr>
                <w:rFonts w:hint="eastAsia" w:ascii="宋体" w:hAnsi="宋体"/>
                <w:color w:val="000000"/>
                <w:szCs w:val="21"/>
              </w:rPr>
              <w:t>2</w:t>
            </w:r>
          </w:p>
        </w:tc>
      </w:tr>
      <w:tr w14:paraId="07AEA9EC">
        <w:tblPrEx>
          <w:tblCellMar>
            <w:top w:w="0" w:type="dxa"/>
            <w:left w:w="108" w:type="dxa"/>
            <w:bottom w:w="0" w:type="dxa"/>
            <w:right w:w="108" w:type="dxa"/>
          </w:tblCellMar>
        </w:tblPrEx>
        <w:trPr>
          <w:trHeight w:val="384" w:hRule="atLeast"/>
        </w:trPr>
        <w:tc>
          <w:tcPr>
            <w:tcW w:w="534" w:type="dxa"/>
            <w:tcBorders>
              <w:top w:val="single" w:color="000000" w:sz="4" w:space="0"/>
              <w:left w:val="single" w:color="000000" w:sz="4" w:space="0"/>
              <w:bottom w:val="single" w:color="000000" w:sz="4" w:space="0"/>
              <w:right w:val="single" w:color="000000" w:sz="4" w:space="0"/>
            </w:tcBorders>
            <w:noWrap w:val="0"/>
            <w:vAlign w:val="center"/>
          </w:tcPr>
          <w:p w14:paraId="0EFC9A22">
            <w:pPr>
              <w:spacing w:before="156"/>
              <w:jc w:val="center"/>
              <w:rPr>
                <w:rFonts w:hint="eastAsia" w:ascii="宋体" w:hAnsi="宋体"/>
                <w:color w:val="000000"/>
                <w:szCs w:val="21"/>
              </w:rPr>
            </w:pPr>
            <w:r>
              <w:rPr>
                <w:rFonts w:hint="eastAsia" w:ascii="宋体" w:hAnsi="宋体"/>
                <w:color w:val="000000"/>
                <w:szCs w:val="21"/>
              </w:rPr>
              <w:t>22</w:t>
            </w:r>
          </w:p>
        </w:tc>
        <w:tc>
          <w:tcPr>
            <w:tcW w:w="2919" w:type="dxa"/>
            <w:tcBorders>
              <w:top w:val="single" w:color="000000" w:sz="4" w:space="0"/>
              <w:left w:val="single" w:color="000000" w:sz="4" w:space="0"/>
              <w:bottom w:val="single" w:color="000000" w:sz="4" w:space="0"/>
              <w:right w:val="single" w:color="000000" w:sz="4" w:space="0"/>
            </w:tcBorders>
            <w:noWrap w:val="0"/>
            <w:vAlign w:val="center"/>
          </w:tcPr>
          <w:p w14:paraId="6E14E27C">
            <w:pPr>
              <w:jc w:val="center"/>
              <w:rPr>
                <w:rFonts w:hint="eastAsia" w:ascii="宋体" w:hAnsi="宋体" w:cs="宋体"/>
                <w:color w:val="000000"/>
                <w:szCs w:val="21"/>
              </w:rPr>
            </w:pPr>
            <w:r>
              <w:rPr>
                <w:rFonts w:hint="eastAsia" w:ascii="宋体" w:hAnsi="宋体"/>
                <w:color w:val="000000"/>
                <w:szCs w:val="21"/>
              </w:rPr>
              <w:t>婴儿培养箱（带单面蓝光）</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5852232F">
            <w:pPr>
              <w:jc w:val="center"/>
              <w:rPr>
                <w:rFonts w:hint="eastAsia" w:ascii="宋体" w:hAnsi="宋体" w:cs="宋体"/>
                <w:color w:val="000000"/>
                <w:szCs w:val="21"/>
              </w:rPr>
            </w:pPr>
            <w:r>
              <w:rPr>
                <w:rFonts w:hint="eastAsia" w:ascii="宋体" w:hAnsi="宋体"/>
                <w:color w:val="000000"/>
                <w:szCs w:val="21"/>
              </w:rPr>
              <w:t>YP-91AB</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2CC2DBAD">
            <w:pPr>
              <w:spacing w:before="156"/>
              <w:jc w:val="center"/>
              <w:rPr>
                <w:rFonts w:hint="eastAsia" w:ascii="宋体" w:hAnsi="宋体"/>
                <w:color w:val="000000"/>
                <w:szCs w:val="21"/>
              </w:rPr>
            </w:pPr>
            <w:r>
              <w:rPr>
                <w:rFonts w:hint="eastAsia" w:ascii="宋体" w:hAnsi="宋体"/>
                <w:color w:val="000000"/>
                <w:szCs w:val="21"/>
              </w:rPr>
              <w:t>个</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73BA1678">
            <w:pPr>
              <w:spacing w:before="156"/>
              <w:jc w:val="center"/>
              <w:rPr>
                <w:rFonts w:hint="eastAsia" w:ascii="宋体" w:hAnsi="宋体"/>
                <w:color w:val="000000"/>
                <w:szCs w:val="21"/>
              </w:rPr>
            </w:pPr>
            <w:r>
              <w:rPr>
                <w:rFonts w:hint="eastAsia" w:ascii="宋体" w:hAnsi="宋体"/>
                <w:color w:val="000000"/>
                <w:szCs w:val="21"/>
              </w:rPr>
              <w:t>2</w:t>
            </w:r>
          </w:p>
        </w:tc>
      </w:tr>
      <w:tr w14:paraId="6F345BED">
        <w:tblPrEx>
          <w:tblCellMar>
            <w:top w:w="0" w:type="dxa"/>
            <w:left w:w="108" w:type="dxa"/>
            <w:bottom w:w="0" w:type="dxa"/>
            <w:right w:w="108" w:type="dxa"/>
          </w:tblCellMar>
        </w:tblPrEx>
        <w:trPr>
          <w:trHeight w:val="384" w:hRule="atLeast"/>
        </w:trPr>
        <w:tc>
          <w:tcPr>
            <w:tcW w:w="534" w:type="dxa"/>
            <w:tcBorders>
              <w:top w:val="single" w:color="000000" w:sz="4" w:space="0"/>
              <w:left w:val="single" w:color="000000" w:sz="4" w:space="0"/>
              <w:bottom w:val="single" w:color="000000" w:sz="4" w:space="0"/>
              <w:right w:val="single" w:color="000000" w:sz="4" w:space="0"/>
            </w:tcBorders>
            <w:noWrap w:val="0"/>
            <w:vAlign w:val="center"/>
          </w:tcPr>
          <w:p w14:paraId="0D755385">
            <w:pPr>
              <w:spacing w:before="156"/>
              <w:jc w:val="center"/>
              <w:rPr>
                <w:rFonts w:hint="eastAsia" w:ascii="宋体" w:hAnsi="宋体"/>
                <w:color w:val="000000"/>
                <w:szCs w:val="21"/>
              </w:rPr>
            </w:pPr>
            <w:r>
              <w:rPr>
                <w:rFonts w:hint="eastAsia" w:ascii="宋体" w:hAnsi="宋体"/>
                <w:color w:val="000000"/>
                <w:szCs w:val="21"/>
              </w:rPr>
              <w:t>23</w:t>
            </w:r>
          </w:p>
        </w:tc>
        <w:tc>
          <w:tcPr>
            <w:tcW w:w="2919" w:type="dxa"/>
            <w:tcBorders>
              <w:top w:val="single" w:color="000000" w:sz="4" w:space="0"/>
              <w:left w:val="single" w:color="000000" w:sz="4" w:space="0"/>
              <w:bottom w:val="single" w:color="000000" w:sz="4" w:space="0"/>
              <w:right w:val="single" w:color="000000" w:sz="4" w:space="0"/>
            </w:tcBorders>
            <w:noWrap w:val="0"/>
            <w:vAlign w:val="center"/>
          </w:tcPr>
          <w:p w14:paraId="18B50DB0">
            <w:pPr>
              <w:jc w:val="center"/>
              <w:rPr>
                <w:rFonts w:hint="eastAsia" w:ascii="宋体" w:hAnsi="宋体" w:cs="宋体"/>
                <w:color w:val="000000"/>
                <w:szCs w:val="21"/>
              </w:rPr>
            </w:pPr>
            <w:r>
              <w:rPr>
                <w:rFonts w:hint="eastAsia" w:ascii="宋体" w:hAnsi="宋体"/>
                <w:color w:val="000000"/>
                <w:szCs w:val="21"/>
              </w:rPr>
              <w:t>捷锐空气混合器</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5CD47497">
            <w:pPr>
              <w:jc w:val="center"/>
              <w:rPr>
                <w:rFonts w:hint="eastAsia" w:ascii="宋体" w:hAnsi="宋体" w:cs="宋体"/>
                <w:color w:val="000000"/>
                <w:szCs w:val="21"/>
              </w:rPr>
            </w:pPr>
            <w:r>
              <w:rPr>
                <w:rFonts w:hint="eastAsia" w:ascii="宋体" w:hAnsi="宋体"/>
                <w:color w:val="000000"/>
                <w:szCs w:val="21"/>
              </w:rPr>
              <w:t>AD-3000SPD</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57FC0508">
            <w:pPr>
              <w:spacing w:before="156"/>
              <w:jc w:val="center"/>
              <w:rPr>
                <w:rFonts w:ascii="宋体" w:hAnsi="宋体"/>
                <w:color w:val="000000"/>
                <w:szCs w:val="21"/>
              </w:rPr>
            </w:pPr>
            <w:r>
              <w:rPr>
                <w:rFonts w:hint="eastAsia" w:ascii="宋体" w:hAnsi="宋体"/>
                <w:color w:val="000000"/>
                <w:szCs w:val="21"/>
              </w:rPr>
              <w:t>台</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6248FD53">
            <w:pPr>
              <w:spacing w:before="156"/>
              <w:jc w:val="center"/>
              <w:rPr>
                <w:rFonts w:hint="eastAsia" w:ascii="宋体" w:hAnsi="宋体"/>
                <w:color w:val="000000"/>
                <w:szCs w:val="21"/>
              </w:rPr>
            </w:pPr>
            <w:r>
              <w:rPr>
                <w:rFonts w:hint="eastAsia" w:ascii="宋体" w:hAnsi="宋体"/>
                <w:color w:val="000000"/>
                <w:szCs w:val="21"/>
              </w:rPr>
              <w:t>1</w:t>
            </w:r>
          </w:p>
        </w:tc>
      </w:tr>
      <w:tr w14:paraId="7D03311B">
        <w:tblPrEx>
          <w:tblCellMar>
            <w:top w:w="0" w:type="dxa"/>
            <w:left w:w="108" w:type="dxa"/>
            <w:bottom w:w="0" w:type="dxa"/>
            <w:right w:w="108" w:type="dxa"/>
          </w:tblCellMar>
        </w:tblPrEx>
        <w:trPr>
          <w:trHeight w:val="384" w:hRule="atLeast"/>
        </w:trPr>
        <w:tc>
          <w:tcPr>
            <w:tcW w:w="534" w:type="dxa"/>
            <w:tcBorders>
              <w:top w:val="single" w:color="000000" w:sz="4" w:space="0"/>
              <w:left w:val="single" w:color="000000" w:sz="4" w:space="0"/>
              <w:bottom w:val="single" w:color="000000" w:sz="4" w:space="0"/>
              <w:right w:val="single" w:color="000000" w:sz="4" w:space="0"/>
            </w:tcBorders>
            <w:noWrap w:val="0"/>
            <w:vAlign w:val="center"/>
          </w:tcPr>
          <w:p w14:paraId="5FF19BAB">
            <w:pPr>
              <w:spacing w:before="156"/>
              <w:jc w:val="center"/>
              <w:rPr>
                <w:rFonts w:hint="eastAsia" w:ascii="宋体" w:hAnsi="宋体"/>
                <w:color w:val="000000"/>
                <w:szCs w:val="21"/>
              </w:rPr>
            </w:pPr>
            <w:r>
              <w:rPr>
                <w:rFonts w:hint="eastAsia" w:ascii="宋体" w:hAnsi="宋体"/>
                <w:color w:val="000000"/>
                <w:szCs w:val="21"/>
              </w:rPr>
              <w:t>24</w:t>
            </w:r>
          </w:p>
        </w:tc>
        <w:tc>
          <w:tcPr>
            <w:tcW w:w="2919" w:type="dxa"/>
            <w:tcBorders>
              <w:top w:val="single" w:color="000000" w:sz="4" w:space="0"/>
              <w:left w:val="single" w:color="000000" w:sz="4" w:space="0"/>
              <w:bottom w:val="single" w:color="000000" w:sz="4" w:space="0"/>
              <w:right w:val="single" w:color="000000" w:sz="4" w:space="0"/>
            </w:tcBorders>
            <w:noWrap w:val="0"/>
            <w:vAlign w:val="center"/>
          </w:tcPr>
          <w:p w14:paraId="6CBD940C">
            <w:pPr>
              <w:jc w:val="center"/>
              <w:rPr>
                <w:rFonts w:hint="eastAsia" w:ascii="宋体" w:hAnsi="宋体" w:cs="宋体"/>
                <w:color w:val="000000"/>
                <w:szCs w:val="21"/>
              </w:rPr>
            </w:pPr>
            <w:r>
              <w:rPr>
                <w:rFonts w:hint="eastAsia" w:ascii="宋体" w:hAnsi="宋体"/>
                <w:color w:val="000000"/>
                <w:szCs w:val="21"/>
              </w:rPr>
              <w:t>捷锐空气混合器</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51CE56F4">
            <w:pPr>
              <w:jc w:val="center"/>
              <w:rPr>
                <w:rFonts w:hint="eastAsia" w:ascii="宋体" w:hAnsi="宋体" w:cs="宋体"/>
                <w:color w:val="000000"/>
                <w:szCs w:val="21"/>
              </w:rPr>
            </w:pPr>
            <w:r>
              <w:rPr>
                <w:rFonts w:hint="eastAsia" w:ascii="宋体" w:hAnsi="宋体"/>
                <w:color w:val="000000"/>
                <w:szCs w:val="21"/>
              </w:rPr>
              <w:t>AD-3001SPD</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05AA3A7F">
            <w:pPr>
              <w:spacing w:before="156"/>
              <w:jc w:val="center"/>
              <w:rPr>
                <w:rFonts w:ascii="宋体" w:hAnsi="宋体"/>
                <w:color w:val="000000"/>
                <w:szCs w:val="21"/>
              </w:rPr>
            </w:pPr>
            <w:r>
              <w:rPr>
                <w:rFonts w:hint="eastAsia" w:ascii="宋体" w:hAnsi="宋体"/>
                <w:color w:val="000000"/>
                <w:szCs w:val="21"/>
              </w:rPr>
              <w:t>台</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6664152B">
            <w:pPr>
              <w:spacing w:before="156"/>
              <w:jc w:val="center"/>
              <w:rPr>
                <w:rFonts w:hint="eastAsia" w:ascii="宋体" w:hAnsi="宋体"/>
                <w:color w:val="000000"/>
                <w:szCs w:val="21"/>
              </w:rPr>
            </w:pPr>
            <w:r>
              <w:rPr>
                <w:rFonts w:hint="eastAsia" w:ascii="宋体" w:hAnsi="宋体"/>
                <w:color w:val="000000"/>
                <w:szCs w:val="21"/>
              </w:rPr>
              <w:t>1</w:t>
            </w:r>
          </w:p>
        </w:tc>
      </w:tr>
      <w:tr w14:paraId="175DFE69">
        <w:tblPrEx>
          <w:tblCellMar>
            <w:top w:w="0" w:type="dxa"/>
            <w:left w:w="108" w:type="dxa"/>
            <w:bottom w:w="0" w:type="dxa"/>
            <w:right w:w="108" w:type="dxa"/>
          </w:tblCellMar>
        </w:tblPrEx>
        <w:trPr>
          <w:trHeight w:val="384" w:hRule="atLeast"/>
        </w:trPr>
        <w:tc>
          <w:tcPr>
            <w:tcW w:w="534" w:type="dxa"/>
            <w:tcBorders>
              <w:top w:val="single" w:color="000000" w:sz="4" w:space="0"/>
              <w:left w:val="single" w:color="000000" w:sz="4" w:space="0"/>
              <w:bottom w:val="single" w:color="000000" w:sz="4" w:space="0"/>
              <w:right w:val="single" w:color="000000" w:sz="4" w:space="0"/>
            </w:tcBorders>
            <w:noWrap w:val="0"/>
            <w:vAlign w:val="center"/>
          </w:tcPr>
          <w:p w14:paraId="1E1D7F9F">
            <w:pPr>
              <w:spacing w:before="156"/>
              <w:jc w:val="center"/>
              <w:rPr>
                <w:rFonts w:hint="eastAsia" w:ascii="宋体" w:hAnsi="宋体"/>
                <w:color w:val="000000"/>
                <w:szCs w:val="21"/>
              </w:rPr>
            </w:pPr>
            <w:r>
              <w:rPr>
                <w:rFonts w:hint="eastAsia" w:ascii="宋体" w:hAnsi="宋体"/>
                <w:color w:val="000000"/>
                <w:szCs w:val="21"/>
              </w:rPr>
              <w:t>25</w:t>
            </w:r>
          </w:p>
        </w:tc>
        <w:tc>
          <w:tcPr>
            <w:tcW w:w="2919" w:type="dxa"/>
            <w:tcBorders>
              <w:top w:val="single" w:color="000000" w:sz="4" w:space="0"/>
              <w:left w:val="single" w:color="000000" w:sz="4" w:space="0"/>
              <w:bottom w:val="single" w:color="000000" w:sz="4" w:space="0"/>
              <w:right w:val="single" w:color="000000" w:sz="4" w:space="0"/>
            </w:tcBorders>
            <w:noWrap w:val="0"/>
            <w:vAlign w:val="center"/>
          </w:tcPr>
          <w:p w14:paraId="4BE71BE2">
            <w:pPr>
              <w:jc w:val="center"/>
              <w:rPr>
                <w:rFonts w:hint="eastAsia" w:ascii="宋体" w:hAnsi="宋体" w:cs="宋体"/>
                <w:color w:val="000000"/>
                <w:szCs w:val="21"/>
              </w:rPr>
            </w:pPr>
            <w:r>
              <w:rPr>
                <w:rFonts w:hint="eastAsia" w:ascii="宋体" w:hAnsi="宋体"/>
                <w:color w:val="000000"/>
                <w:szCs w:val="21"/>
              </w:rPr>
              <w:t>双道微量注射泵</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32467224">
            <w:pPr>
              <w:jc w:val="center"/>
              <w:rPr>
                <w:rFonts w:hint="eastAsia" w:ascii="宋体" w:hAnsi="宋体" w:cs="宋体"/>
                <w:color w:val="000000"/>
                <w:szCs w:val="21"/>
              </w:rPr>
            </w:pPr>
            <w:r>
              <w:rPr>
                <w:rFonts w:hint="eastAsia" w:ascii="宋体" w:hAnsi="宋体"/>
                <w:color w:val="000000"/>
                <w:szCs w:val="21"/>
              </w:rPr>
              <w:t>WZS-50F6</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4D342342">
            <w:pPr>
              <w:spacing w:before="156"/>
              <w:jc w:val="center"/>
              <w:rPr>
                <w:rFonts w:ascii="宋体" w:hAnsi="宋体"/>
                <w:color w:val="000000"/>
                <w:szCs w:val="21"/>
              </w:rPr>
            </w:pPr>
            <w:r>
              <w:rPr>
                <w:rFonts w:hint="eastAsia" w:ascii="宋体" w:hAnsi="宋体"/>
                <w:color w:val="000000"/>
                <w:szCs w:val="21"/>
              </w:rPr>
              <w:t>台</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5684C17B">
            <w:pPr>
              <w:spacing w:before="156"/>
              <w:jc w:val="center"/>
              <w:rPr>
                <w:rFonts w:hint="eastAsia" w:ascii="宋体" w:hAnsi="宋体"/>
                <w:color w:val="000000"/>
                <w:szCs w:val="21"/>
              </w:rPr>
            </w:pPr>
            <w:r>
              <w:rPr>
                <w:rFonts w:hint="eastAsia" w:ascii="宋体" w:hAnsi="宋体"/>
                <w:color w:val="000000"/>
                <w:szCs w:val="21"/>
              </w:rPr>
              <w:t>2</w:t>
            </w:r>
          </w:p>
        </w:tc>
      </w:tr>
      <w:tr w14:paraId="699BEF6F">
        <w:tblPrEx>
          <w:tblCellMar>
            <w:top w:w="0" w:type="dxa"/>
            <w:left w:w="108" w:type="dxa"/>
            <w:bottom w:w="0" w:type="dxa"/>
            <w:right w:w="108" w:type="dxa"/>
          </w:tblCellMar>
        </w:tblPrEx>
        <w:trPr>
          <w:trHeight w:val="384" w:hRule="atLeast"/>
        </w:trPr>
        <w:tc>
          <w:tcPr>
            <w:tcW w:w="534" w:type="dxa"/>
            <w:tcBorders>
              <w:top w:val="single" w:color="000000" w:sz="4" w:space="0"/>
              <w:left w:val="single" w:color="000000" w:sz="4" w:space="0"/>
              <w:bottom w:val="single" w:color="000000" w:sz="4" w:space="0"/>
              <w:right w:val="single" w:color="000000" w:sz="4" w:space="0"/>
            </w:tcBorders>
            <w:noWrap w:val="0"/>
            <w:vAlign w:val="center"/>
          </w:tcPr>
          <w:p w14:paraId="4EC7624A">
            <w:pPr>
              <w:spacing w:before="156"/>
              <w:jc w:val="center"/>
              <w:rPr>
                <w:rFonts w:hint="eastAsia" w:ascii="宋体" w:hAnsi="宋体"/>
                <w:color w:val="000000"/>
                <w:szCs w:val="21"/>
              </w:rPr>
            </w:pPr>
            <w:r>
              <w:rPr>
                <w:rFonts w:hint="eastAsia" w:ascii="宋体" w:hAnsi="宋体"/>
                <w:color w:val="000000"/>
                <w:szCs w:val="21"/>
              </w:rPr>
              <w:t>26</w:t>
            </w:r>
          </w:p>
        </w:tc>
        <w:tc>
          <w:tcPr>
            <w:tcW w:w="2919" w:type="dxa"/>
            <w:tcBorders>
              <w:top w:val="single" w:color="000000" w:sz="4" w:space="0"/>
              <w:left w:val="single" w:color="000000" w:sz="4" w:space="0"/>
              <w:bottom w:val="single" w:color="000000" w:sz="4" w:space="0"/>
              <w:right w:val="single" w:color="000000" w:sz="4" w:space="0"/>
            </w:tcBorders>
            <w:noWrap w:val="0"/>
            <w:vAlign w:val="center"/>
          </w:tcPr>
          <w:p w14:paraId="0BAFE571">
            <w:pPr>
              <w:jc w:val="center"/>
              <w:rPr>
                <w:rFonts w:hint="eastAsia" w:ascii="宋体" w:hAnsi="宋体" w:cs="宋体"/>
                <w:color w:val="000000"/>
                <w:szCs w:val="21"/>
              </w:rPr>
            </w:pPr>
            <w:r>
              <w:rPr>
                <w:rFonts w:hint="eastAsia" w:ascii="宋体" w:hAnsi="宋体"/>
                <w:color w:val="000000"/>
                <w:szCs w:val="21"/>
              </w:rPr>
              <w:t>心电监护仪</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4D48810A">
            <w:pPr>
              <w:jc w:val="center"/>
              <w:rPr>
                <w:rFonts w:hint="eastAsia" w:ascii="宋体" w:hAnsi="宋体" w:cs="宋体"/>
                <w:color w:val="000000"/>
                <w:szCs w:val="21"/>
              </w:rPr>
            </w:pPr>
            <w:r>
              <w:rPr>
                <w:rFonts w:hint="eastAsia" w:ascii="宋体" w:hAnsi="宋体"/>
                <w:color w:val="000000"/>
                <w:szCs w:val="21"/>
              </w:rPr>
              <w:t>PM-8000</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1C32C7E6">
            <w:pPr>
              <w:spacing w:before="156"/>
              <w:jc w:val="center"/>
              <w:rPr>
                <w:rFonts w:ascii="宋体" w:hAnsi="宋体"/>
                <w:color w:val="000000"/>
                <w:szCs w:val="21"/>
              </w:rPr>
            </w:pPr>
            <w:r>
              <w:rPr>
                <w:rFonts w:hint="eastAsia" w:ascii="宋体" w:hAnsi="宋体"/>
                <w:color w:val="000000"/>
                <w:szCs w:val="21"/>
              </w:rPr>
              <w:t>台</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2B7E754E">
            <w:pPr>
              <w:spacing w:before="156"/>
              <w:jc w:val="center"/>
              <w:rPr>
                <w:rFonts w:hint="eastAsia" w:ascii="宋体" w:hAnsi="宋体"/>
                <w:color w:val="000000"/>
                <w:szCs w:val="21"/>
              </w:rPr>
            </w:pPr>
            <w:r>
              <w:rPr>
                <w:rFonts w:hint="eastAsia" w:ascii="宋体" w:hAnsi="宋体"/>
                <w:color w:val="000000"/>
                <w:szCs w:val="21"/>
              </w:rPr>
              <w:t>2</w:t>
            </w:r>
          </w:p>
        </w:tc>
      </w:tr>
      <w:tr w14:paraId="1228CED2">
        <w:tblPrEx>
          <w:tblCellMar>
            <w:top w:w="0" w:type="dxa"/>
            <w:left w:w="108" w:type="dxa"/>
            <w:bottom w:w="0" w:type="dxa"/>
            <w:right w:w="108" w:type="dxa"/>
          </w:tblCellMar>
        </w:tblPrEx>
        <w:trPr>
          <w:trHeight w:val="384" w:hRule="atLeast"/>
        </w:trPr>
        <w:tc>
          <w:tcPr>
            <w:tcW w:w="534" w:type="dxa"/>
            <w:tcBorders>
              <w:top w:val="single" w:color="000000" w:sz="4" w:space="0"/>
              <w:left w:val="single" w:color="000000" w:sz="4" w:space="0"/>
              <w:bottom w:val="single" w:color="000000" w:sz="4" w:space="0"/>
              <w:right w:val="single" w:color="000000" w:sz="4" w:space="0"/>
            </w:tcBorders>
            <w:noWrap w:val="0"/>
            <w:vAlign w:val="center"/>
          </w:tcPr>
          <w:p w14:paraId="2A5825B1">
            <w:pPr>
              <w:spacing w:before="156"/>
              <w:jc w:val="center"/>
              <w:rPr>
                <w:rFonts w:hint="eastAsia" w:ascii="宋体" w:hAnsi="宋体"/>
                <w:color w:val="000000"/>
                <w:szCs w:val="21"/>
              </w:rPr>
            </w:pPr>
            <w:r>
              <w:rPr>
                <w:rFonts w:hint="eastAsia" w:ascii="宋体" w:hAnsi="宋体"/>
                <w:color w:val="000000"/>
                <w:szCs w:val="21"/>
              </w:rPr>
              <w:t>27</w:t>
            </w:r>
          </w:p>
        </w:tc>
        <w:tc>
          <w:tcPr>
            <w:tcW w:w="2919" w:type="dxa"/>
            <w:tcBorders>
              <w:top w:val="single" w:color="000000" w:sz="4" w:space="0"/>
              <w:left w:val="single" w:color="000000" w:sz="4" w:space="0"/>
              <w:bottom w:val="single" w:color="000000" w:sz="4" w:space="0"/>
              <w:right w:val="single" w:color="000000" w:sz="4" w:space="0"/>
            </w:tcBorders>
            <w:noWrap w:val="0"/>
            <w:vAlign w:val="center"/>
          </w:tcPr>
          <w:p w14:paraId="2CD0BBE7">
            <w:pPr>
              <w:jc w:val="center"/>
              <w:rPr>
                <w:rFonts w:hint="eastAsia" w:ascii="宋体" w:hAnsi="宋体" w:cs="宋体"/>
                <w:color w:val="000000"/>
                <w:szCs w:val="21"/>
              </w:rPr>
            </w:pPr>
            <w:r>
              <w:rPr>
                <w:rFonts w:hint="eastAsia" w:ascii="宋体" w:hAnsi="宋体"/>
                <w:color w:val="000000"/>
                <w:szCs w:val="21"/>
              </w:rPr>
              <w:t>黄疸治疗仪</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4862C781">
            <w:pPr>
              <w:jc w:val="center"/>
              <w:rPr>
                <w:rFonts w:hint="eastAsia" w:ascii="宋体" w:hAnsi="宋体" w:cs="宋体"/>
                <w:color w:val="000000"/>
                <w:szCs w:val="21"/>
              </w:rPr>
            </w:pPr>
            <w:r>
              <w:rPr>
                <w:rFonts w:hint="eastAsia" w:ascii="宋体" w:hAnsi="宋体"/>
                <w:color w:val="000000"/>
                <w:szCs w:val="21"/>
              </w:rPr>
              <w:t>XHZ</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185820BA">
            <w:pPr>
              <w:spacing w:before="156"/>
              <w:jc w:val="center"/>
              <w:rPr>
                <w:rFonts w:ascii="宋体" w:hAnsi="宋体"/>
                <w:color w:val="000000"/>
                <w:szCs w:val="21"/>
              </w:rPr>
            </w:pPr>
            <w:r>
              <w:rPr>
                <w:rFonts w:hint="eastAsia" w:ascii="宋体" w:hAnsi="宋体"/>
                <w:color w:val="000000"/>
                <w:szCs w:val="21"/>
              </w:rPr>
              <w:t>台</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289CEA6C">
            <w:pPr>
              <w:spacing w:before="156"/>
              <w:jc w:val="center"/>
              <w:rPr>
                <w:rFonts w:hint="eastAsia" w:ascii="宋体" w:hAnsi="宋体"/>
                <w:color w:val="000000"/>
                <w:szCs w:val="21"/>
              </w:rPr>
            </w:pPr>
            <w:r>
              <w:rPr>
                <w:rFonts w:hint="eastAsia" w:ascii="宋体" w:hAnsi="宋体"/>
                <w:color w:val="000000"/>
                <w:szCs w:val="21"/>
              </w:rPr>
              <w:t>2</w:t>
            </w:r>
          </w:p>
        </w:tc>
      </w:tr>
      <w:tr w14:paraId="296E6D8B">
        <w:tblPrEx>
          <w:tblCellMar>
            <w:top w:w="0" w:type="dxa"/>
            <w:left w:w="108" w:type="dxa"/>
            <w:bottom w:w="0" w:type="dxa"/>
            <w:right w:w="108" w:type="dxa"/>
          </w:tblCellMar>
        </w:tblPrEx>
        <w:trPr>
          <w:trHeight w:val="384" w:hRule="atLeast"/>
        </w:trPr>
        <w:tc>
          <w:tcPr>
            <w:tcW w:w="534" w:type="dxa"/>
            <w:tcBorders>
              <w:top w:val="single" w:color="000000" w:sz="4" w:space="0"/>
              <w:left w:val="single" w:color="000000" w:sz="4" w:space="0"/>
              <w:bottom w:val="single" w:color="000000" w:sz="4" w:space="0"/>
              <w:right w:val="single" w:color="000000" w:sz="4" w:space="0"/>
            </w:tcBorders>
            <w:noWrap w:val="0"/>
            <w:vAlign w:val="center"/>
          </w:tcPr>
          <w:p w14:paraId="5A33FAC4">
            <w:pPr>
              <w:spacing w:before="156"/>
              <w:jc w:val="center"/>
              <w:rPr>
                <w:rFonts w:hint="eastAsia" w:ascii="宋体" w:hAnsi="宋体"/>
                <w:color w:val="000000"/>
                <w:szCs w:val="21"/>
              </w:rPr>
            </w:pPr>
            <w:r>
              <w:rPr>
                <w:rFonts w:hint="eastAsia" w:ascii="宋体" w:hAnsi="宋体"/>
                <w:color w:val="000000"/>
                <w:szCs w:val="21"/>
              </w:rPr>
              <w:t>28</w:t>
            </w:r>
          </w:p>
        </w:tc>
        <w:tc>
          <w:tcPr>
            <w:tcW w:w="2919" w:type="dxa"/>
            <w:tcBorders>
              <w:top w:val="single" w:color="000000" w:sz="4" w:space="0"/>
              <w:left w:val="single" w:color="000000" w:sz="4" w:space="0"/>
              <w:bottom w:val="single" w:color="000000" w:sz="4" w:space="0"/>
              <w:right w:val="single" w:color="000000" w:sz="4" w:space="0"/>
            </w:tcBorders>
            <w:noWrap w:val="0"/>
            <w:vAlign w:val="center"/>
          </w:tcPr>
          <w:p w14:paraId="4929D2D2">
            <w:pPr>
              <w:jc w:val="center"/>
              <w:rPr>
                <w:rFonts w:hint="eastAsia" w:ascii="宋体" w:hAnsi="宋体" w:cs="宋体"/>
                <w:color w:val="000000"/>
                <w:szCs w:val="21"/>
              </w:rPr>
            </w:pPr>
            <w:r>
              <w:rPr>
                <w:rFonts w:hint="eastAsia" w:ascii="宋体" w:hAnsi="宋体"/>
                <w:color w:val="000000"/>
                <w:szCs w:val="21"/>
              </w:rPr>
              <w:t>单头电磁治疗仪</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2D6D95FB">
            <w:pPr>
              <w:jc w:val="center"/>
              <w:rPr>
                <w:rFonts w:hint="eastAsia" w:ascii="宋体" w:hAnsi="宋体" w:cs="宋体"/>
                <w:color w:val="000000"/>
                <w:szCs w:val="21"/>
              </w:rPr>
            </w:pPr>
            <w:r>
              <w:rPr>
                <w:rFonts w:hint="eastAsia" w:ascii="宋体" w:hAnsi="宋体"/>
                <w:color w:val="000000"/>
                <w:szCs w:val="21"/>
              </w:rPr>
              <w:t>DP-L1</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52183397">
            <w:pPr>
              <w:spacing w:before="156"/>
              <w:jc w:val="center"/>
              <w:rPr>
                <w:rFonts w:ascii="宋体" w:hAnsi="宋体"/>
                <w:color w:val="000000"/>
                <w:szCs w:val="21"/>
              </w:rPr>
            </w:pPr>
            <w:r>
              <w:rPr>
                <w:rFonts w:hint="eastAsia" w:ascii="宋体" w:hAnsi="宋体"/>
                <w:color w:val="000000"/>
                <w:szCs w:val="21"/>
              </w:rPr>
              <w:t>台</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5590C73E">
            <w:pPr>
              <w:spacing w:before="156"/>
              <w:jc w:val="center"/>
              <w:rPr>
                <w:rFonts w:hint="eastAsia" w:ascii="宋体" w:hAnsi="宋体"/>
                <w:color w:val="000000"/>
                <w:szCs w:val="21"/>
              </w:rPr>
            </w:pPr>
            <w:r>
              <w:rPr>
                <w:rFonts w:hint="eastAsia" w:ascii="宋体" w:hAnsi="宋体"/>
                <w:color w:val="000000"/>
                <w:szCs w:val="21"/>
              </w:rPr>
              <w:t>1</w:t>
            </w:r>
          </w:p>
        </w:tc>
      </w:tr>
      <w:tr w14:paraId="6AE17DFE">
        <w:tblPrEx>
          <w:tblCellMar>
            <w:top w:w="0" w:type="dxa"/>
            <w:left w:w="108" w:type="dxa"/>
            <w:bottom w:w="0" w:type="dxa"/>
            <w:right w:w="108" w:type="dxa"/>
          </w:tblCellMar>
        </w:tblPrEx>
        <w:trPr>
          <w:trHeight w:val="384" w:hRule="atLeast"/>
        </w:trPr>
        <w:tc>
          <w:tcPr>
            <w:tcW w:w="534" w:type="dxa"/>
            <w:tcBorders>
              <w:top w:val="single" w:color="000000" w:sz="4" w:space="0"/>
              <w:left w:val="single" w:color="000000" w:sz="4" w:space="0"/>
              <w:bottom w:val="single" w:color="000000" w:sz="4" w:space="0"/>
              <w:right w:val="single" w:color="000000" w:sz="4" w:space="0"/>
            </w:tcBorders>
            <w:noWrap w:val="0"/>
            <w:vAlign w:val="center"/>
          </w:tcPr>
          <w:p w14:paraId="117CE77A">
            <w:pPr>
              <w:spacing w:before="156"/>
              <w:jc w:val="center"/>
              <w:rPr>
                <w:rFonts w:hint="eastAsia" w:ascii="宋体" w:hAnsi="宋体"/>
                <w:color w:val="000000"/>
                <w:szCs w:val="21"/>
              </w:rPr>
            </w:pPr>
            <w:r>
              <w:rPr>
                <w:rFonts w:hint="eastAsia" w:ascii="宋体" w:hAnsi="宋体"/>
                <w:color w:val="000000"/>
                <w:szCs w:val="21"/>
              </w:rPr>
              <w:t>29</w:t>
            </w:r>
          </w:p>
        </w:tc>
        <w:tc>
          <w:tcPr>
            <w:tcW w:w="2919" w:type="dxa"/>
            <w:tcBorders>
              <w:top w:val="single" w:color="000000" w:sz="4" w:space="0"/>
              <w:left w:val="single" w:color="000000" w:sz="4" w:space="0"/>
              <w:bottom w:val="single" w:color="000000" w:sz="4" w:space="0"/>
              <w:right w:val="single" w:color="000000" w:sz="4" w:space="0"/>
            </w:tcBorders>
            <w:noWrap w:val="0"/>
            <w:vAlign w:val="center"/>
          </w:tcPr>
          <w:p w14:paraId="594DFBD6">
            <w:pPr>
              <w:jc w:val="center"/>
              <w:rPr>
                <w:rFonts w:hint="eastAsia" w:ascii="宋体" w:hAnsi="宋体" w:cs="宋体"/>
                <w:color w:val="000000"/>
                <w:szCs w:val="21"/>
              </w:rPr>
            </w:pPr>
            <w:r>
              <w:rPr>
                <w:rFonts w:hint="eastAsia" w:ascii="宋体" w:hAnsi="宋体"/>
                <w:color w:val="000000"/>
                <w:szCs w:val="21"/>
              </w:rPr>
              <w:t>婴儿保暖台</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1FCB87C5">
            <w:pPr>
              <w:jc w:val="center"/>
              <w:rPr>
                <w:rFonts w:hint="eastAsia" w:ascii="宋体" w:hAnsi="宋体" w:cs="宋体"/>
                <w:color w:val="000000"/>
                <w:szCs w:val="21"/>
              </w:rPr>
            </w:pPr>
            <w:r>
              <w:rPr>
                <w:rFonts w:hint="eastAsia" w:ascii="宋体" w:hAnsi="宋体"/>
                <w:color w:val="000000"/>
                <w:szCs w:val="21"/>
              </w:rPr>
              <w:t>YP-90AB</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4085F912">
            <w:pPr>
              <w:spacing w:before="156"/>
              <w:jc w:val="center"/>
              <w:rPr>
                <w:rFonts w:hint="eastAsia" w:ascii="宋体" w:hAnsi="宋体"/>
                <w:color w:val="000000"/>
                <w:szCs w:val="21"/>
              </w:rPr>
            </w:pPr>
            <w:r>
              <w:rPr>
                <w:rFonts w:hint="eastAsia" w:ascii="宋体" w:hAnsi="宋体"/>
                <w:color w:val="000000"/>
                <w:szCs w:val="21"/>
              </w:rPr>
              <w:t>个</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3E13E0DB">
            <w:pPr>
              <w:spacing w:before="156"/>
              <w:jc w:val="center"/>
              <w:rPr>
                <w:rFonts w:hint="eastAsia" w:ascii="宋体" w:hAnsi="宋体"/>
                <w:color w:val="000000"/>
                <w:szCs w:val="21"/>
              </w:rPr>
            </w:pPr>
            <w:r>
              <w:rPr>
                <w:rFonts w:hint="eastAsia" w:ascii="宋体" w:hAnsi="宋体"/>
                <w:color w:val="000000"/>
                <w:szCs w:val="21"/>
              </w:rPr>
              <w:t>2</w:t>
            </w:r>
          </w:p>
        </w:tc>
      </w:tr>
      <w:tr w14:paraId="2B16CDFD">
        <w:tblPrEx>
          <w:tblCellMar>
            <w:top w:w="0" w:type="dxa"/>
            <w:left w:w="108" w:type="dxa"/>
            <w:bottom w:w="0" w:type="dxa"/>
            <w:right w:w="108" w:type="dxa"/>
          </w:tblCellMar>
        </w:tblPrEx>
        <w:trPr>
          <w:trHeight w:val="384" w:hRule="atLeast"/>
        </w:trPr>
        <w:tc>
          <w:tcPr>
            <w:tcW w:w="534" w:type="dxa"/>
            <w:tcBorders>
              <w:top w:val="single" w:color="000000" w:sz="4" w:space="0"/>
              <w:left w:val="single" w:color="000000" w:sz="4" w:space="0"/>
              <w:bottom w:val="single" w:color="000000" w:sz="4" w:space="0"/>
              <w:right w:val="single" w:color="000000" w:sz="4" w:space="0"/>
            </w:tcBorders>
            <w:noWrap w:val="0"/>
            <w:vAlign w:val="center"/>
          </w:tcPr>
          <w:p w14:paraId="0E1D47FF">
            <w:pPr>
              <w:spacing w:before="156"/>
              <w:jc w:val="center"/>
              <w:rPr>
                <w:rFonts w:hint="eastAsia" w:ascii="宋体" w:hAnsi="宋体"/>
                <w:color w:val="000000"/>
                <w:szCs w:val="21"/>
              </w:rPr>
            </w:pPr>
            <w:r>
              <w:rPr>
                <w:rFonts w:hint="eastAsia" w:ascii="宋体" w:hAnsi="宋体"/>
                <w:color w:val="000000"/>
                <w:szCs w:val="21"/>
              </w:rPr>
              <w:t>30</w:t>
            </w:r>
          </w:p>
        </w:tc>
        <w:tc>
          <w:tcPr>
            <w:tcW w:w="2919" w:type="dxa"/>
            <w:tcBorders>
              <w:top w:val="single" w:color="000000" w:sz="4" w:space="0"/>
              <w:left w:val="single" w:color="000000" w:sz="4" w:space="0"/>
              <w:bottom w:val="single" w:color="000000" w:sz="4" w:space="0"/>
              <w:right w:val="single" w:color="000000" w:sz="4" w:space="0"/>
            </w:tcBorders>
            <w:noWrap w:val="0"/>
            <w:vAlign w:val="center"/>
          </w:tcPr>
          <w:p w14:paraId="047E6805">
            <w:pPr>
              <w:jc w:val="center"/>
              <w:rPr>
                <w:rFonts w:hint="eastAsia" w:ascii="宋体" w:hAnsi="宋体" w:cs="宋体"/>
                <w:color w:val="000000"/>
                <w:szCs w:val="21"/>
              </w:rPr>
            </w:pPr>
            <w:r>
              <w:rPr>
                <w:rFonts w:hint="eastAsia" w:ascii="宋体" w:hAnsi="宋体"/>
                <w:color w:val="000000"/>
                <w:szCs w:val="21"/>
              </w:rPr>
              <w:t>婴儿无接触输氧头罩</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1F74FA08">
            <w:pPr>
              <w:jc w:val="center"/>
              <w:rPr>
                <w:rFonts w:hint="eastAsia" w:ascii="宋体" w:hAnsi="宋体" w:cs="宋体"/>
                <w:color w:val="000000"/>
                <w:szCs w:val="21"/>
              </w:rPr>
            </w:pPr>
            <w:r>
              <w:rPr>
                <w:rFonts w:hint="eastAsia" w:ascii="宋体" w:hAnsi="宋体"/>
                <w:color w:val="000000"/>
                <w:szCs w:val="21"/>
              </w:rPr>
              <w:t>YZ-160</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15300324">
            <w:pPr>
              <w:spacing w:before="156"/>
              <w:jc w:val="center"/>
              <w:rPr>
                <w:rFonts w:ascii="宋体" w:hAnsi="宋体"/>
                <w:color w:val="000000"/>
                <w:szCs w:val="21"/>
              </w:rPr>
            </w:pPr>
            <w:r>
              <w:rPr>
                <w:rFonts w:hint="eastAsia" w:ascii="宋体" w:hAnsi="宋体"/>
                <w:color w:val="000000"/>
                <w:szCs w:val="21"/>
              </w:rPr>
              <w:t>个</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56B3B760">
            <w:pPr>
              <w:spacing w:before="156"/>
              <w:jc w:val="center"/>
              <w:rPr>
                <w:rFonts w:hint="eastAsia" w:ascii="宋体" w:hAnsi="宋体"/>
                <w:color w:val="000000"/>
                <w:szCs w:val="21"/>
              </w:rPr>
            </w:pPr>
            <w:r>
              <w:rPr>
                <w:rFonts w:hint="eastAsia" w:ascii="宋体" w:hAnsi="宋体"/>
                <w:color w:val="000000"/>
                <w:szCs w:val="21"/>
              </w:rPr>
              <w:t>1</w:t>
            </w:r>
          </w:p>
        </w:tc>
      </w:tr>
      <w:tr w14:paraId="088DB7B3">
        <w:tblPrEx>
          <w:tblCellMar>
            <w:top w:w="0" w:type="dxa"/>
            <w:left w:w="108" w:type="dxa"/>
            <w:bottom w:w="0" w:type="dxa"/>
            <w:right w:w="108" w:type="dxa"/>
          </w:tblCellMar>
        </w:tblPrEx>
        <w:trPr>
          <w:trHeight w:val="384" w:hRule="atLeast"/>
        </w:trPr>
        <w:tc>
          <w:tcPr>
            <w:tcW w:w="534" w:type="dxa"/>
            <w:tcBorders>
              <w:top w:val="single" w:color="000000" w:sz="4" w:space="0"/>
              <w:left w:val="single" w:color="000000" w:sz="4" w:space="0"/>
              <w:bottom w:val="single" w:color="000000" w:sz="4" w:space="0"/>
              <w:right w:val="single" w:color="000000" w:sz="4" w:space="0"/>
            </w:tcBorders>
            <w:noWrap w:val="0"/>
            <w:vAlign w:val="center"/>
          </w:tcPr>
          <w:p w14:paraId="15C757FE">
            <w:pPr>
              <w:spacing w:before="156"/>
              <w:jc w:val="center"/>
              <w:rPr>
                <w:rFonts w:hint="eastAsia" w:ascii="宋体" w:hAnsi="宋体"/>
                <w:color w:val="000000"/>
                <w:szCs w:val="21"/>
              </w:rPr>
            </w:pPr>
            <w:r>
              <w:rPr>
                <w:rFonts w:hint="eastAsia" w:ascii="宋体" w:hAnsi="宋体"/>
                <w:color w:val="000000"/>
                <w:szCs w:val="21"/>
              </w:rPr>
              <w:t>31</w:t>
            </w:r>
          </w:p>
        </w:tc>
        <w:tc>
          <w:tcPr>
            <w:tcW w:w="2919" w:type="dxa"/>
            <w:tcBorders>
              <w:top w:val="single" w:color="000000" w:sz="4" w:space="0"/>
              <w:left w:val="single" w:color="000000" w:sz="4" w:space="0"/>
              <w:bottom w:val="single" w:color="000000" w:sz="4" w:space="0"/>
              <w:right w:val="single" w:color="000000" w:sz="4" w:space="0"/>
            </w:tcBorders>
            <w:noWrap w:val="0"/>
            <w:vAlign w:val="center"/>
          </w:tcPr>
          <w:p w14:paraId="5303BEE8">
            <w:pPr>
              <w:jc w:val="center"/>
              <w:rPr>
                <w:rFonts w:hint="eastAsia" w:ascii="宋体" w:hAnsi="宋体" w:cs="宋体"/>
                <w:color w:val="000000"/>
                <w:szCs w:val="21"/>
              </w:rPr>
            </w:pPr>
            <w:r>
              <w:rPr>
                <w:rFonts w:hint="eastAsia" w:ascii="宋体" w:hAnsi="宋体"/>
                <w:color w:val="000000"/>
                <w:szCs w:val="21"/>
              </w:rPr>
              <w:t>电子婴儿秤</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54C73638">
            <w:pPr>
              <w:jc w:val="center"/>
              <w:rPr>
                <w:rFonts w:hint="eastAsia" w:ascii="宋体" w:hAnsi="宋体" w:cs="宋体"/>
                <w:color w:val="000000"/>
                <w:szCs w:val="21"/>
              </w:rPr>
            </w:pPr>
            <w:r>
              <w:rPr>
                <w:rFonts w:hint="eastAsia" w:ascii="宋体" w:hAnsi="宋体"/>
                <w:color w:val="000000"/>
                <w:szCs w:val="21"/>
              </w:rPr>
              <w:t>DY-Ⅱ</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62501BAE">
            <w:pPr>
              <w:spacing w:before="156"/>
              <w:jc w:val="center"/>
              <w:rPr>
                <w:rFonts w:ascii="宋体" w:hAnsi="宋体"/>
                <w:color w:val="000000"/>
                <w:szCs w:val="21"/>
              </w:rPr>
            </w:pPr>
            <w:r>
              <w:rPr>
                <w:rFonts w:hint="eastAsia" w:ascii="宋体" w:hAnsi="宋体"/>
                <w:color w:val="000000"/>
                <w:szCs w:val="21"/>
              </w:rPr>
              <w:t>台</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5C2CC882">
            <w:pPr>
              <w:spacing w:before="156"/>
              <w:jc w:val="center"/>
              <w:rPr>
                <w:rFonts w:hint="eastAsia" w:ascii="宋体" w:hAnsi="宋体"/>
                <w:color w:val="000000"/>
                <w:szCs w:val="21"/>
              </w:rPr>
            </w:pPr>
            <w:r>
              <w:rPr>
                <w:rFonts w:hint="eastAsia" w:ascii="宋体" w:hAnsi="宋体"/>
                <w:color w:val="000000"/>
                <w:szCs w:val="21"/>
              </w:rPr>
              <w:t>1</w:t>
            </w:r>
          </w:p>
        </w:tc>
      </w:tr>
      <w:tr w14:paraId="39E81FAF">
        <w:tblPrEx>
          <w:tblCellMar>
            <w:top w:w="0" w:type="dxa"/>
            <w:left w:w="108" w:type="dxa"/>
            <w:bottom w:w="0" w:type="dxa"/>
            <w:right w:w="108" w:type="dxa"/>
          </w:tblCellMar>
        </w:tblPrEx>
        <w:trPr>
          <w:trHeight w:val="384" w:hRule="atLeast"/>
        </w:trPr>
        <w:tc>
          <w:tcPr>
            <w:tcW w:w="534" w:type="dxa"/>
            <w:tcBorders>
              <w:top w:val="single" w:color="000000" w:sz="4" w:space="0"/>
              <w:left w:val="single" w:color="000000" w:sz="4" w:space="0"/>
              <w:bottom w:val="single" w:color="000000" w:sz="4" w:space="0"/>
              <w:right w:val="single" w:color="000000" w:sz="4" w:space="0"/>
            </w:tcBorders>
            <w:noWrap w:val="0"/>
            <w:vAlign w:val="center"/>
          </w:tcPr>
          <w:p w14:paraId="0B754388">
            <w:pPr>
              <w:spacing w:before="156"/>
              <w:jc w:val="center"/>
              <w:rPr>
                <w:rFonts w:hint="eastAsia" w:ascii="宋体" w:hAnsi="宋体"/>
                <w:color w:val="000000"/>
                <w:szCs w:val="21"/>
              </w:rPr>
            </w:pPr>
            <w:r>
              <w:rPr>
                <w:rFonts w:hint="eastAsia" w:ascii="宋体" w:hAnsi="宋体"/>
                <w:color w:val="000000"/>
                <w:szCs w:val="21"/>
              </w:rPr>
              <w:t>32</w:t>
            </w:r>
          </w:p>
        </w:tc>
        <w:tc>
          <w:tcPr>
            <w:tcW w:w="2919" w:type="dxa"/>
            <w:tcBorders>
              <w:top w:val="single" w:color="000000" w:sz="4" w:space="0"/>
              <w:left w:val="single" w:color="000000" w:sz="4" w:space="0"/>
              <w:bottom w:val="single" w:color="000000" w:sz="4" w:space="0"/>
              <w:right w:val="single" w:color="000000" w:sz="4" w:space="0"/>
            </w:tcBorders>
            <w:noWrap w:val="0"/>
            <w:vAlign w:val="center"/>
          </w:tcPr>
          <w:p w14:paraId="7311F427">
            <w:pPr>
              <w:jc w:val="center"/>
              <w:rPr>
                <w:rFonts w:hint="eastAsia" w:ascii="宋体" w:hAnsi="宋体" w:cs="宋体"/>
                <w:color w:val="000000"/>
                <w:szCs w:val="21"/>
              </w:rPr>
            </w:pPr>
            <w:r>
              <w:rPr>
                <w:rFonts w:hint="eastAsia" w:ascii="宋体" w:hAnsi="宋体"/>
                <w:color w:val="000000"/>
                <w:szCs w:val="21"/>
              </w:rPr>
              <w:t>心电监护仪</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11A78ACE">
            <w:pPr>
              <w:jc w:val="center"/>
              <w:rPr>
                <w:rFonts w:hint="eastAsia" w:ascii="宋体" w:hAnsi="宋体" w:cs="宋体"/>
                <w:color w:val="000000"/>
                <w:szCs w:val="21"/>
              </w:rPr>
            </w:pPr>
            <w:r>
              <w:rPr>
                <w:rFonts w:hint="eastAsia" w:ascii="宋体" w:hAnsi="宋体"/>
                <w:color w:val="000000"/>
                <w:szCs w:val="21"/>
              </w:rPr>
              <w:t>PM-8000</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08400BA8">
            <w:pPr>
              <w:spacing w:before="156"/>
              <w:jc w:val="center"/>
              <w:rPr>
                <w:rFonts w:ascii="宋体" w:hAnsi="宋体"/>
                <w:color w:val="000000"/>
                <w:szCs w:val="21"/>
              </w:rPr>
            </w:pPr>
            <w:r>
              <w:rPr>
                <w:rFonts w:hint="eastAsia" w:ascii="宋体" w:hAnsi="宋体"/>
                <w:color w:val="000000"/>
                <w:szCs w:val="21"/>
              </w:rPr>
              <w:t>台</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76A0ACD9">
            <w:pPr>
              <w:spacing w:before="156"/>
              <w:jc w:val="center"/>
              <w:rPr>
                <w:rFonts w:hint="eastAsia" w:ascii="宋体" w:hAnsi="宋体"/>
                <w:color w:val="000000"/>
                <w:szCs w:val="21"/>
              </w:rPr>
            </w:pPr>
            <w:r>
              <w:rPr>
                <w:rFonts w:hint="eastAsia" w:ascii="宋体" w:hAnsi="宋体"/>
                <w:color w:val="000000"/>
                <w:szCs w:val="21"/>
              </w:rPr>
              <w:t>1</w:t>
            </w:r>
          </w:p>
        </w:tc>
      </w:tr>
      <w:tr w14:paraId="7B1C9181">
        <w:tblPrEx>
          <w:tblCellMar>
            <w:top w:w="0" w:type="dxa"/>
            <w:left w:w="108" w:type="dxa"/>
            <w:bottom w:w="0" w:type="dxa"/>
            <w:right w:w="108" w:type="dxa"/>
          </w:tblCellMar>
        </w:tblPrEx>
        <w:trPr>
          <w:trHeight w:val="384" w:hRule="atLeast"/>
        </w:trPr>
        <w:tc>
          <w:tcPr>
            <w:tcW w:w="534" w:type="dxa"/>
            <w:tcBorders>
              <w:top w:val="single" w:color="000000" w:sz="4" w:space="0"/>
              <w:left w:val="single" w:color="000000" w:sz="4" w:space="0"/>
              <w:bottom w:val="single" w:color="000000" w:sz="4" w:space="0"/>
              <w:right w:val="single" w:color="000000" w:sz="4" w:space="0"/>
            </w:tcBorders>
            <w:noWrap w:val="0"/>
            <w:vAlign w:val="center"/>
          </w:tcPr>
          <w:p w14:paraId="4B35B56D">
            <w:pPr>
              <w:spacing w:before="156"/>
              <w:jc w:val="center"/>
              <w:rPr>
                <w:rFonts w:hint="eastAsia" w:ascii="宋体" w:hAnsi="宋体"/>
                <w:color w:val="000000"/>
                <w:szCs w:val="21"/>
              </w:rPr>
            </w:pPr>
            <w:r>
              <w:rPr>
                <w:rFonts w:hint="eastAsia" w:ascii="宋体" w:hAnsi="宋体"/>
                <w:color w:val="000000"/>
                <w:szCs w:val="21"/>
              </w:rPr>
              <w:t>33</w:t>
            </w:r>
          </w:p>
        </w:tc>
        <w:tc>
          <w:tcPr>
            <w:tcW w:w="2919" w:type="dxa"/>
            <w:tcBorders>
              <w:top w:val="single" w:color="000000" w:sz="4" w:space="0"/>
              <w:left w:val="single" w:color="000000" w:sz="4" w:space="0"/>
              <w:bottom w:val="single" w:color="000000" w:sz="4" w:space="0"/>
              <w:right w:val="single" w:color="000000" w:sz="4" w:space="0"/>
            </w:tcBorders>
            <w:noWrap w:val="0"/>
            <w:vAlign w:val="center"/>
          </w:tcPr>
          <w:p w14:paraId="517A55A0">
            <w:pPr>
              <w:jc w:val="center"/>
              <w:rPr>
                <w:rFonts w:hint="eastAsia" w:ascii="宋体" w:hAnsi="宋体" w:cs="宋体"/>
                <w:color w:val="000000"/>
                <w:szCs w:val="21"/>
              </w:rPr>
            </w:pPr>
            <w:r>
              <w:rPr>
                <w:rFonts w:hint="eastAsia" w:ascii="宋体" w:hAnsi="宋体"/>
                <w:color w:val="000000"/>
                <w:szCs w:val="21"/>
              </w:rPr>
              <w:t>新生儿监护自救仪</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22037390">
            <w:pPr>
              <w:jc w:val="center"/>
              <w:rPr>
                <w:rFonts w:hint="eastAsia" w:ascii="宋体" w:hAnsi="宋体" w:cs="宋体"/>
                <w:color w:val="000000"/>
                <w:szCs w:val="21"/>
              </w:rPr>
            </w:pPr>
            <w:r>
              <w:rPr>
                <w:rFonts w:hint="eastAsia" w:ascii="宋体" w:hAnsi="宋体"/>
                <w:color w:val="000000"/>
                <w:szCs w:val="21"/>
              </w:rPr>
              <w:t>CR-21</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07A3D092">
            <w:pPr>
              <w:spacing w:before="156"/>
              <w:jc w:val="center"/>
              <w:rPr>
                <w:rFonts w:hint="eastAsia" w:ascii="宋体" w:hAnsi="宋体"/>
                <w:color w:val="000000"/>
                <w:szCs w:val="21"/>
              </w:rPr>
            </w:pPr>
            <w:r>
              <w:rPr>
                <w:rFonts w:hint="eastAsia" w:ascii="宋体" w:hAnsi="宋体"/>
                <w:color w:val="000000"/>
                <w:szCs w:val="21"/>
              </w:rPr>
              <w:t>台</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2343EDCD">
            <w:pPr>
              <w:spacing w:before="156"/>
              <w:jc w:val="center"/>
              <w:rPr>
                <w:rFonts w:hint="eastAsia" w:ascii="宋体" w:hAnsi="宋体"/>
                <w:color w:val="000000"/>
                <w:szCs w:val="21"/>
              </w:rPr>
            </w:pPr>
            <w:r>
              <w:rPr>
                <w:rFonts w:hint="eastAsia" w:ascii="宋体" w:hAnsi="宋体"/>
                <w:color w:val="000000"/>
                <w:szCs w:val="21"/>
              </w:rPr>
              <w:t>2</w:t>
            </w:r>
          </w:p>
        </w:tc>
      </w:tr>
      <w:tr w14:paraId="0792AE6B">
        <w:tblPrEx>
          <w:tblCellMar>
            <w:top w:w="0" w:type="dxa"/>
            <w:left w:w="108" w:type="dxa"/>
            <w:bottom w:w="0" w:type="dxa"/>
            <w:right w:w="108" w:type="dxa"/>
          </w:tblCellMar>
        </w:tblPrEx>
        <w:trPr>
          <w:trHeight w:val="384" w:hRule="atLeast"/>
        </w:trPr>
        <w:tc>
          <w:tcPr>
            <w:tcW w:w="534" w:type="dxa"/>
            <w:tcBorders>
              <w:top w:val="single" w:color="000000" w:sz="4" w:space="0"/>
              <w:left w:val="single" w:color="000000" w:sz="4" w:space="0"/>
              <w:bottom w:val="single" w:color="000000" w:sz="4" w:space="0"/>
              <w:right w:val="single" w:color="000000" w:sz="4" w:space="0"/>
            </w:tcBorders>
            <w:noWrap w:val="0"/>
            <w:vAlign w:val="center"/>
          </w:tcPr>
          <w:p w14:paraId="5C97A3F5">
            <w:pPr>
              <w:spacing w:before="156"/>
              <w:jc w:val="center"/>
              <w:rPr>
                <w:rFonts w:hint="eastAsia" w:ascii="宋体" w:hAnsi="宋体"/>
                <w:color w:val="000000"/>
                <w:szCs w:val="21"/>
              </w:rPr>
            </w:pPr>
            <w:r>
              <w:rPr>
                <w:rFonts w:hint="eastAsia" w:ascii="宋体" w:hAnsi="宋体"/>
                <w:color w:val="000000"/>
                <w:szCs w:val="21"/>
              </w:rPr>
              <w:t>34</w:t>
            </w:r>
          </w:p>
        </w:tc>
        <w:tc>
          <w:tcPr>
            <w:tcW w:w="2919" w:type="dxa"/>
            <w:tcBorders>
              <w:top w:val="single" w:color="000000" w:sz="4" w:space="0"/>
              <w:left w:val="single" w:color="000000" w:sz="4" w:space="0"/>
              <w:bottom w:val="single" w:color="000000" w:sz="4" w:space="0"/>
              <w:right w:val="single" w:color="000000" w:sz="4" w:space="0"/>
            </w:tcBorders>
            <w:noWrap w:val="0"/>
            <w:vAlign w:val="center"/>
          </w:tcPr>
          <w:p w14:paraId="617A4C8B">
            <w:pPr>
              <w:jc w:val="center"/>
              <w:rPr>
                <w:rFonts w:hint="eastAsia" w:ascii="宋体" w:hAnsi="宋体" w:cs="宋体"/>
                <w:color w:val="000000"/>
                <w:szCs w:val="21"/>
              </w:rPr>
            </w:pPr>
            <w:r>
              <w:rPr>
                <w:rFonts w:hint="eastAsia" w:ascii="宋体" w:hAnsi="宋体"/>
                <w:color w:val="000000"/>
                <w:szCs w:val="21"/>
              </w:rPr>
              <w:t>病房呼叫主机</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5053F4B5">
            <w:pPr>
              <w:jc w:val="center"/>
              <w:rPr>
                <w:rFonts w:hint="eastAsia" w:ascii="宋体" w:hAnsi="宋体" w:cs="Arial"/>
                <w:color w:val="000000"/>
                <w:szCs w:val="21"/>
              </w:rPr>
            </w:pPr>
            <w:r>
              <w:rPr>
                <w:rFonts w:ascii="宋体" w:hAnsi="宋体" w:cs="Arial"/>
                <w:color w:val="000000"/>
                <w:szCs w:val="21"/>
              </w:rPr>
              <w:t>WXST152J0714714</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0C605D89">
            <w:pPr>
              <w:spacing w:before="156"/>
              <w:jc w:val="center"/>
              <w:rPr>
                <w:rFonts w:ascii="宋体" w:hAnsi="宋体"/>
                <w:color w:val="000000"/>
                <w:szCs w:val="21"/>
              </w:rPr>
            </w:pPr>
            <w:r>
              <w:rPr>
                <w:rFonts w:hint="eastAsia" w:ascii="宋体" w:hAnsi="宋体"/>
                <w:color w:val="000000"/>
                <w:szCs w:val="21"/>
              </w:rPr>
              <w:t>台</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4AC15342">
            <w:pPr>
              <w:spacing w:before="156"/>
              <w:jc w:val="center"/>
              <w:rPr>
                <w:rFonts w:hint="eastAsia" w:ascii="宋体" w:hAnsi="宋体"/>
                <w:color w:val="000000"/>
                <w:szCs w:val="21"/>
              </w:rPr>
            </w:pPr>
            <w:r>
              <w:rPr>
                <w:rFonts w:hint="eastAsia" w:ascii="宋体" w:hAnsi="宋体"/>
                <w:color w:val="000000"/>
                <w:szCs w:val="21"/>
              </w:rPr>
              <w:t>2</w:t>
            </w:r>
          </w:p>
        </w:tc>
      </w:tr>
      <w:tr w14:paraId="729BC336">
        <w:tblPrEx>
          <w:tblCellMar>
            <w:top w:w="0" w:type="dxa"/>
            <w:left w:w="108" w:type="dxa"/>
            <w:bottom w:w="0" w:type="dxa"/>
            <w:right w:w="108" w:type="dxa"/>
          </w:tblCellMar>
        </w:tblPrEx>
        <w:trPr>
          <w:trHeight w:val="384" w:hRule="atLeast"/>
        </w:trPr>
        <w:tc>
          <w:tcPr>
            <w:tcW w:w="534" w:type="dxa"/>
            <w:tcBorders>
              <w:top w:val="single" w:color="000000" w:sz="4" w:space="0"/>
              <w:left w:val="single" w:color="000000" w:sz="4" w:space="0"/>
              <w:bottom w:val="single" w:color="000000" w:sz="4" w:space="0"/>
              <w:right w:val="single" w:color="000000" w:sz="4" w:space="0"/>
            </w:tcBorders>
            <w:noWrap w:val="0"/>
            <w:vAlign w:val="center"/>
          </w:tcPr>
          <w:p w14:paraId="47A94320">
            <w:pPr>
              <w:spacing w:before="156"/>
              <w:jc w:val="center"/>
              <w:rPr>
                <w:rFonts w:hint="eastAsia" w:ascii="宋体" w:hAnsi="宋体"/>
                <w:color w:val="000000"/>
                <w:szCs w:val="21"/>
              </w:rPr>
            </w:pPr>
            <w:r>
              <w:rPr>
                <w:rFonts w:hint="eastAsia" w:ascii="宋体" w:hAnsi="宋体"/>
                <w:color w:val="000000"/>
                <w:szCs w:val="21"/>
              </w:rPr>
              <w:t>35</w:t>
            </w:r>
          </w:p>
        </w:tc>
        <w:tc>
          <w:tcPr>
            <w:tcW w:w="2919" w:type="dxa"/>
            <w:tcBorders>
              <w:top w:val="single" w:color="000000" w:sz="4" w:space="0"/>
              <w:left w:val="single" w:color="000000" w:sz="4" w:space="0"/>
              <w:bottom w:val="single" w:color="000000" w:sz="4" w:space="0"/>
              <w:right w:val="single" w:color="000000" w:sz="4" w:space="0"/>
            </w:tcBorders>
            <w:noWrap w:val="0"/>
            <w:vAlign w:val="center"/>
          </w:tcPr>
          <w:p w14:paraId="6683A268">
            <w:pPr>
              <w:jc w:val="center"/>
              <w:rPr>
                <w:rFonts w:hint="eastAsia" w:ascii="宋体" w:hAnsi="宋体" w:cs="宋体"/>
                <w:color w:val="000000"/>
                <w:szCs w:val="21"/>
              </w:rPr>
            </w:pPr>
            <w:r>
              <w:rPr>
                <w:rFonts w:hint="eastAsia" w:ascii="宋体" w:hAnsi="宋体"/>
                <w:color w:val="000000"/>
                <w:szCs w:val="21"/>
              </w:rPr>
              <w:t>母婴胎儿监护仪</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6FAA5B6E">
            <w:pPr>
              <w:jc w:val="center"/>
              <w:rPr>
                <w:rFonts w:hint="eastAsia" w:ascii="宋体" w:hAnsi="宋体" w:cs="Arial"/>
                <w:color w:val="000000"/>
                <w:szCs w:val="21"/>
              </w:rPr>
            </w:pPr>
            <w:r>
              <w:rPr>
                <w:rFonts w:ascii="宋体" w:hAnsi="宋体" w:cs="Arial"/>
                <w:color w:val="000000"/>
                <w:szCs w:val="21"/>
              </w:rPr>
              <w:t>STAR500C</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27C51799">
            <w:pPr>
              <w:spacing w:before="156"/>
              <w:jc w:val="center"/>
              <w:rPr>
                <w:rFonts w:ascii="宋体" w:hAnsi="宋体"/>
                <w:color w:val="000000"/>
                <w:szCs w:val="21"/>
              </w:rPr>
            </w:pPr>
            <w:r>
              <w:rPr>
                <w:rFonts w:hint="eastAsia" w:ascii="宋体" w:hAnsi="宋体"/>
                <w:color w:val="000000"/>
                <w:szCs w:val="21"/>
              </w:rPr>
              <w:t>台</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31D0D3B8">
            <w:pPr>
              <w:spacing w:before="156"/>
              <w:jc w:val="center"/>
              <w:rPr>
                <w:rFonts w:hint="eastAsia" w:ascii="宋体" w:hAnsi="宋体"/>
                <w:color w:val="000000"/>
                <w:szCs w:val="21"/>
              </w:rPr>
            </w:pPr>
            <w:r>
              <w:rPr>
                <w:rFonts w:hint="eastAsia" w:ascii="宋体" w:hAnsi="宋体"/>
                <w:color w:val="000000"/>
                <w:szCs w:val="21"/>
              </w:rPr>
              <w:t>2</w:t>
            </w:r>
          </w:p>
        </w:tc>
      </w:tr>
      <w:tr w14:paraId="500E30F9">
        <w:tblPrEx>
          <w:tblCellMar>
            <w:top w:w="0" w:type="dxa"/>
            <w:left w:w="108" w:type="dxa"/>
            <w:bottom w:w="0" w:type="dxa"/>
            <w:right w:w="108" w:type="dxa"/>
          </w:tblCellMar>
        </w:tblPrEx>
        <w:trPr>
          <w:trHeight w:val="384" w:hRule="atLeast"/>
        </w:trPr>
        <w:tc>
          <w:tcPr>
            <w:tcW w:w="534" w:type="dxa"/>
            <w:tcBorders>
              <w:top w:val="single" w:color="000000" w:sz="4" w:space="0"/>
              <w:left w:val="single" w:color="000000" w:sz="4" w:space="0"/>
              <w:bottom w:val="single" w:color="000000" w:sz="4" w:space="0"/>
              <w:right w:val="single" w:color="000000" w:sz="4" w:space="0"/>
            </w:tcBorders>
            <w:noWrap w:val="0"/>
            <w:vAlign w:val="center"/>
          </w:tcPr>
          <w:p w14:paraId="1EB1E864">
            <w:pPr>
              <w:spacing w:before="156"/>
              <w:jc w:val="center"/>
              <w:rPr>
                <w:rFonts w:hint="eastAsia" w:ascii="宋体" w:hAnsi="宋体"/>
                <w:color w:val="000000"/>
                <w:szCs w:val="21"/>
              </w:rPr>
            </w:pPr>
            <w:r>
              <w:rPr>
                <w:rFonts w:hint="eastAsia" w:ascii="宋体" w:hAnsi="宋体"/>
                <w:color w:val="000000"/>
                <w:szCs w:val="21"/>
              </w:rPr>
              <w:t>36</w:t>
            </w:r>
          </w:p>
        </w:tc>
        <w:tc>
          <w:tcPr>
            <w:tcW w:w="2919" w:type="dxa"/>
            <w:tcBorders>
              <w:top w:val="single" w:color="000000" w:sz="4" w:space="0"/>
              <w:left w:val="single" w:color="000000" w:sz="4" w:space="0"/>
              <w:bottom w:val="single" w:color="000000" w:sz="4" w:space="0"/>
              <w:right w:val="single" w:color="000000" w:sz="4" w:space="0"/>
            </w:tcBorders>
            <w:noWrap w:val="0"/>
            <w:vAlign w:val="center"/>
          </w:tcPr>
          <w:p w14:paraId="166F1741">
            <w:pPr>
              <w:jc w:val="center"/>
              <w:rPr>
                <w:rFonts w:hint="eastAsia" w:ascii="宋体" w:hAnsi="宋体" w:cs="宋体"/>
                <w:color w:val="000000"/>
                <w:szCs w:val="21"/>
              </w:rPr>
            </w:pPr>
            <w:r>
              <w:rPr>
                <w:rFonts w:hint="eastAsia" w:ascii="宋体" w:hAnsi="宋体"/>
                <w:color w:val="000000"/>
                <w:szCs w:val="21"/>
              </w:rPr>
              <w:t>手术床</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1D169A9D">
            <w:pPr>
              <w:jc w:val="center"/>
              <w:rPr>
                <w:rFonts w:hint="eastAsia" w:ascii="宋体" w:hAnsi="宋体" w:cs="Arial"/>
                <w:color w:val="000000"/>
                <w:szCs w:val="21"/>
              </w:rPr>
            </w:pPr>
            <w:r>
              <w:rPr>
                <w:rFonts w:ascii="宋体" w:hAnsi="宋体" w:cs="Arial"/>
                <w:color w:val="000000"/>
                <w:szCs w:val="21"/>
              </w:rPr>
              <w:t>XSE_911</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0922E6E6">
            <w:pPr>
              <w:spacing w:before="156"/>
              <w:jc w:val="center"/>
              <w:rPr>
                <w:rFonts w:hint="eastAsia" w:ascii="宋体" w:hAnsi="宋体"/>
                <w:color w:val="000000"/>
                <w:szCs w:val="21"/>
              </w:rPr>
            </w:pPr>
            <w:r>
              <w:rPr>
                <w:rFonts w:hint="eastAsia" w:ascii="宋体" w:hAnsi="宋体"/>
                <w:color w:val="000000"/>
                <w:szCs w:val="21"/>
              </w:rPr>
              <w:t>张</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2B5EA1E2">
            <w:pPr>
              <w:spacing w:before="156"/>
              <w:jc w:val="center"/>
              <w:rPr>
                <w:rFonts w:hint="eastAsia" w:ascii="宋体" w:hAnsi="宋体"/>
                <w:color w:val="000000"/>
                <w:szCs w:val="21"/>
              </w:rPr>
            </w:pPr>
            <w:r>
              <w:rPr>
                <w:rFonts w:hint="eastAsia" w:ascii="宋体" w:hAnsi="宋体"/>
                <w:color w:val="000000"/>
                <w:szCs w:val="21"/>
              </w:rPr>
              <w:t>1</w:t>
            </w:r>
          </w:p>
        </w:tc>
      </w:tr>
      <w:tr w14:paraId="0D5DA946">
        <w:tblPrEx>
          <w:tblCellMar>
            <w:top w:w="0" w:type="dxa"/>
            <w:left w:w="108" w:type="dxa"/>
            <w:bottom w:w="0" w:type="dxa"/>
            <w:right w:w="108" w:type="dxa"/>
          </w:tblCellMar>
        </w:tblPrEx>
        <w:trPr>
          <w:trHeight w:val="384" w:hRule="atLeast"/>
        </w:trPr>
        <w:tc>
          <w:tcPr>
            <w:tcW w:w="534" w:type="dxa"/>
            <w:tcBorders>
              <w:top w:val="single" w:color="000000" w:sz="4" w:space="0"/>
              <w:left w:val="single" w:color="000000" w:sz="4" w:space="0"/>
              <w:bottom w:val="single" w:color="000000" w:sz="4" w:space="0"/>
              <w:right w:val="single" w:color="000000" w:sz="4" w:space="0"/>
            </w:tcBorders>
            <w:noWrap w:val="0"/>
            <w:vAlign w:val="center"/>
          </w:tcPr>
          <w:p w14:paraId="726B58E0">
            <w:pPr>
              <w:spacing w:before="156"/>
              <w:jc w:val="center"/>
              <w:rPr>
                <w:rFonts w:hint="eastAsia" w:ascii="宋体" w:hAnsi="宋体"/>
                <w:color w:val="000000"/>
                <w:szCs w:val="21"/>
              </w:rPr>
            </w:pPr>
            <w:r>
              <w:rPr>
                <w:rFonts w:hint="eastAsia" w:ascii="宋体" w:hAnsi="宋体"/>
                <w:color w:val="000000"/>
                <w:szCs w:val="21"/>
              </w:rPr>
              <w:t>37</w:t>
            </w:r>
          </w:p>
        </w:tc>
        <w:tc>
          <w:tcPr>
            <w:tcW w:w="2919" w:type="dxa"/>
            <w:tcBorders>
              <w:top w:val="single" w:color="000000" w:sz="4" w:space="0"/>
              <w:left w:val="single" w:color="000000" w:sz="4" w:space="0"/>
              <w:bottom w:val="single" w:color="000000" w:sz="4" w:space="0"/>
              <w:right w:val="single" w:color="000000" w:sz="4" w:space="0"/>
            </w:tcBorders>
            <w:noWrap w:val="0"/>
            <w:vAlign w:val="center"/>
          </w:tcPr>
          <w:p w14:paraId="1D2A35AD">
            <w:pPr>
              <w:jc w:val="center"/>
              <w:rPr>
                <w:rFonts w:hint="eastAsia" w:ascii="宋体" w:hAnsi="宋体" w:cs="宋体"/>
                <w:color w:val="000000"/>
                <w:szCs w:val="21"/>
              </w:rPr>
            </w:pPr>
            <w:r>
              <w:rPr>
                <w:rFonts w:hint="eastAsia" w:ascii="宋体" w:hAnsi="宋体"/>
                <w:color w:val="000000"/>
                <w:szCs w:val="21"/>
              </w:rPr>
              <w:t>电动吸痰器</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53777659">
            <w:pPr>
              <w:jc w:val="center"/>
              <w:rPr>
                <w:rFonts w:hint="eastAsia" w:ascii="宋体" w:hAnsi="宋体" w:cs="Arial"/>
                <w:color w:val="000000"/>
                <w:szCs w:val="21"/>
              </w:rPr>
            </w:pPr>
            <w:r>
              <w:rPr>
                <w:rFonts w:ascii="宋体" w:hAnsi="宋体" w:cs="Arial"/>
                <w:color w:val="000000"/>
                <w:szCs w:val="21"/>
              </w:rPr>
              <w:t>TE_B</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55B0D451">
            <w:pPr>
              <w:spacing w:before="156"/>
              <w:jc w:val="center"/>
              <w:rPr>
                <w:rFonts w:ascii="宋体" w:hAnsi="宋体"/>
                <w:color w:val="000000"/>
                <w:szCs w:val="21"/>
              </w:rPr>
            </w:pPr>
            <w:r>
              <w:rPr>
                <w:rFonts w:hint="eastAsia" w:ascii="宋体" w:hAnsi="宋体"/>
                <w:color w:val="000000"/>
                <w:szCs w:val="21"/>
              </w:rPr>
              <w:t>台</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0C68D2C3">
            <w:pPr>
              <w:spacing w:before="156"/>
              <w:jc w:val="center"/>
              <w:rPr>
                <w:rFonts w:hint="eastAsia" w:ascii="宋体" w:hAnsi="宋体"/>
                <w:color w:val="000000"/>
                <w:szCs w:val="21"/>
              </w:rPr>
            </w:pPr>
            <w:r>
              <w:rPr>
                <w:rFonts w:hint="eastAsia" w:ascii="宋体" w:hAnsi="宋体"/>
                <w:color w:val="000000"/>
                <w:szCs w:val="21"/>
              </w:rPr>
              <w:t>2</w:t>
            </w:r>
          </w:p>
        </w:tc>
      </w:tr>
      <w:tr w14:paraId="1A6D09D8">
        <w:tblPrEx>
          <w:tblCellMar>
            <w:top w:w="0" w:type="dxa"/>
            <w:left w:w="108" w:type="dxa"/>
            <w:bottom w:w="0" w:type="dxa"/>
            <w:right w:w="108" w:type="dxa"/>
          </w:tblCellMar>
        </w:tblPrEx>
        <w:trPr>
          <w:trHeight w:val="384" w:hRule="atLeast"/>
        </w:trPr>
        <w:tc>
          <w:tcPr>
            <w:tcW w:w="534" w:type="dxa"/>
            <w:tcBorders>
              <w:top w:val="single" w:color="000000" w:sz="4" w:space="0"/>
              <w:left w:val="single" w:color="000000" w:sz="4" w:space="0"/>
              <w:bottom w:val="single" w:color="000000" w:sz="4" w:space="0"/>
              <w:right w:val="single" w:color="000000" w:sz="4" w:space="0"/>
            </w:tcBorders>
            <w:noWrap w:val="0"/>
            <w:vAlign w:val="center"/>
          </w:tcPr>
          <w:p w14:paraId="092E9985">
            <w:pPr>
              <w:spacing w:before="156"/>
              <w:jc w:val="center"/>
              <w:rPr>
                <w:rFonts w:hint="eastAsia" w:ascii="宋体" w:hAnsi="宋体"/>
                <w:color w:val="000000"/>
                <w:szCs w:val="21"/>
              </w:rPr>
            </w:pPr>
            <w:r>
              <w:rPr>
                <w:rFonts w:hint="eastAsia" w:ascii="宋体" w:hAnsi="宋体"/>
                <w:color w:val="000000"/>
                <w:szCs w:val="21"/>
              </w:rPr>
              <w:t>38</w:t>
            </w:r>
          </w:p>
        </w:tc>
        <w:tc>
          <w:tcPr>
            <w:tcW w:w="2919" w:type="dxa"/>
            <w:tcBorders>
              <w:top w:val="single" w:color="000000" w:sz="4" w:space="0"/>
              <w:left w:val="single" w:color="000000" w:sz="4" w:space="0"/>
              <w:bottom w:val="single" w:color="000000" w:sz="4" w:space="0"/>
              <w:right w:val="single" w:color="000000" w:sz="4" w:space="0"/>
            </w:tcBorders>
            <w:noWrap w:val="0"/>
            <w:vAlign w:val="center"/>
          </w:tcPr>
          <w:p w14:paraId="518DAC04">
            <w:pPr>
              <w:jc w:val="center"/>
              <w:rPr>
                <w:rFonts w:hint="eastAsia" w:ascii="宋体" w:hAnsi="宋体" w:cs="宋体"/>
                <w:color w:val="000000"/>
                <w:szCs w:val="21"/>
              </w:rPr>
            </w:pPr>
            <w:r>
              <w:rPr>
                <w:rFonts w:hint="eastAsia" w:ascii="宋体" w:hAnsi="宋体"/>
                <w:color w:val="000000"/>
                <w:szCs w:val="21"/>
              </w:rPr>
              <w:t>无影灯</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35362EBC">
            <w:pPr>
              <w:jc w:val="center"/>
              <w:rPr>
                <w:rFonts w:hint="eastAsia" w:ascii="宋体" w:hAnsi="宋体" w:cs="Arial"/>
                <w:color w:val="000000"/>
                <w:szCs w:val="21"/>
              </w:rPr>
            </w:pPr>
            <w:r>
              <w:rPr>
                <w:rFonts w:ascii="宋体" w:hAnsi="宋体" w:cs="Arial"/>
                <w:color w:val="000000"/>
                <w:szCs w:val="21"/>
              </w:rPr>
              <w:t>EL_700 EL_500</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416DBF69">
            <w:pPr>
              <w:spacing w:before="156"/>
              <w:jc w:val="center"/>
              <w:rPr>
                <w:rFonts w:ascii="宋体" w:hAnsi="宋体"/>
                <w:color w:val="000000"/>
                <w:szCs w:val="21"/>
              </w:rPr>
            </w:pPr>
            <w:r>
              <w:rPr>
                <w:rFonts w:hint="eastAsia" w:ascii="宋体" w:hAnsi="宋体"/>
                <w:color w:val="000000"/>
                <w:szCs w:val="21"/>
              </w:rPr>
              <w:t>台</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0E9779D1">
            <w:pPr>
              <w:spacing w:before="156"/>
              <w:jc w:val="center"/>
              <w:rPr>
                <w:rFonts w:hint="eastAsia" w:ascii="宋体" w:hAnsi="宋体"/>
                <w:color w:val="000000"/>
                <w:szCs w:val="21"/>
              </w:rPr>
            </w:pPr>
            <w:r>
              <w:rPr>
                <w:rFonts w:hint="eastAsia" w:ascii="宋体" w:hAnsi="宋体"/>
                <w:color w:val="000000"/>
                <w:szCs w:val="21"/>
              </w:rPr>
              <w:t>2</w:t>
            </w:r>
          </w:p>
        </w:tc>
      </w:tr>
      <w:tr w14:paraId="6E02C142">
        <w:tblPrEx>
          <w:tblCellMar>
            <w:top w:w="0" w:type="dxa"/>
            <w:left w:w="108" w:type="dxa"/>
            <w:bottom w:w="0" w:type="dxa"/>
            <w:right w:w="108" w:type="dxa"/>
          </w:tblCellMar>
        </w:tblPrEx>
        <w:trPr>
          <w:trHeight w:val="384" w:hRule="atLeast"/>
        </w:trPr>
        <w:tc>
          <w:tcPr>
            <w:tcW w:w="534" w:type="dxa"/>
            <w:tcBorders>
              <w:top w:val="single" w:color="000000" w:sz="4" w:space="0"/>
              <w:left w:val="single" w:color="000000" w:sz="4" w:space="0"/>
              <w:bottom w:val="single" w:color="000000" w:sz="4" w:space="0"/>
              <w:right w:val="single" w:color="000000" w:sz="4" w:space="0"/>
            </w:tcBorders>
            <w:noWrap w:val="0"/>
            <w:vAlign w:val="center"/>
          </w:tcPr>
          <w:p w14:paraId="72FCD188">
            <w:pPr>
              <w:spacing w:before="156"/>
              <w:jc w:val="center"/>
              <w:rPr>
                <w:rFonts w:hint="eastAsia" w:ascii="宋体" w:hAnsi="宋体"/>
                <w:color w:val="000000"/>
                <w:szCs w:val="21"/>
              </w:rPr>
            </w:pPr>
            <w:r>
              <w:rPr>
                <w:rFonts w:hint="eastAsia" w:ascii="宋体" w:hAnsi="宋体"/>
                <w:color w:val="000000"/>
                <w:szCs w:val="21"/>
              </w:rPr>
              <w:t>39</w:t>
            </w:r>
          </w:p>
        </w:tc>
        <w:tc>
          <w:tcPr>
            <w:tcW w:w="2919" w:type="dxa"/>
            <w:tcBorders>
              <w:top w:val="single" w:color="000000" w:sz="4" w:space="0"/>
              <w:left w:val="single" w:color="000000" w:sz="4" w:space="0"/>
              <w:bottom w:val="single" w:color="000000" w:sz="4" w:space="0"/>
              <w:right w:val="single" w:color="000000" w:sz="4" w:space="0"/>
            </w:tcBorders>
            <w:noWrap w:val="0"/>
            <w:vAlign w:val="center"/>
          </w:tcPr>
          <w:p w14:paraId="1283B2E7">
            <w:pPr>
              <w:jc w:val="center"/>
              <w:rPr>
                <w:rFonts w:hint="eastAsia" w:ascii="宋体" w:hAnsi="宋体" w:cs="宋体"/>
                <w:color w:val="000000"/>
                <w:szCs w:val="21"/>
              </w:rPr>
            </w:pPr>
            <w:r>
              <w:rPr>
                <w:rFonts w:hint="eastAsia" w:ascii="宋体" w:hAnsi="宋体"/>
                <w:color w:val="000000"/>
                <w:szCs w:val="21"/>
              </w:rPr>
              <w:t>胎心监测仪</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014B69D8">
            <w:pPr>
              <w:jc w:val="center"/>
              <w:rPr>
                <w:rFonts w:hint="eastAsia" w:ascii="宋体" w:hAnsi="宋体" w:cs="Arial"/>
                <w:color w:val="000000"/>
                <w:szCs w:val="21"/>
              </w:rPr>
            </w:pPr>
            <w:r>
              <w:rPr>
                <w:rFonts w:ascii="宋体" w:hAnsi="宋体" w:cs="Arial"/>
                <w:color w:val="000000"/>
                <w:szCs w:val="21"/>
              </w:rPr>
              <w:t>200La</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49F35E86">
            <w:pPr>
              <w:spacing w:before="156"/>
              <w:jc w:val="center"/>
              <w:rPr>
                <w:rFonts w:ascii="宋体" w:hAnsi="宋体"/>
                <w:color w:val="000000"/>
                <w:szCs w:val="21"/>
              </w:rPr>
            </w:pPr>
            <w:r>
              <w:rPr>
                <w:rFonts w:hint="eastAsia" w:ascii="宋体" w:hAnsi="宋体"/>
                <w:color w:val="000000"/>
                <w:szCs w:val="21"/>
              </w:rPr>
              <w:t>台</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358C2827">
            <w:pPr>
              <w:spacing w:before="156"/>
              <w:jc w:val="center"/>
              <w:rPr>
                <w:rFonts w:ascii="宋体" w:hAnsi="宋体"/>
                <w:color w:val="000000"/>
                <w:szCs w:val="21"/>
              </w:rPr>
            </w:pPr>
            <w:r>
              <w:rPr>
                <w:rFonts w:hint="eastAsia" w:ascii="宋体" w:hAnsi="宋体"/>
                <w:color w:val="000000"/>
                <w:szCs w:val="21"/>
              </w:rPr>
              <w:t>1</w:t>
            </w:r>
          </w:p>
        </w:tc>
      </w:tr>
      <w:tr w14:paraId="516C22FF">
        <w:tblPrEx>
          <w:tblCellMar>
            <w:top w:w="0" w:type="dxa"/>
            <w:left w:w="108" w:type="dxa"/>
            <w:bottom w:w="0" w:type="dxa"/>
            <w:right w:w="108" w:type="dxa"/>
          </w:tblCellMar>
        </w:tblPrEx>
        <w:trPr>
          <w:trHeight w:val="384" w:hRule="atLeast"/>
        </w:trPr>
        <w:tc>
          <w:tcPr>
            <w:tcW w:w="534" w:type="dxa"/>
            <w:tcBorders>
              <w:top w:val="single" w:color="000000" w:sz="4" w:space="0"/>
              <w:left w:val="single" w:color="000000" w:sz="4" w:space="0"/>
              <w:bottom w:val="single" w:color="000000" w:sz="4" w:space="0"/>
              <w:right w:val="single" w:color="000000" w:sz="4" w:space="0"/>
            </w:tcBorders>
            <w:noWrap w:val="0"/>
            <w:vAlign w:val="center"/>
          </w:tcPr>
          <w:p w14:paraId="7E632F42">
            <w:pPr>
              <w:spacing w:before="156"/>
              <w:jc w:val="center"/>
              <w:rPr>
                <w:rFonts w:hint="eastAsia" w:ascii="宋体" w:hAnsi="宋体"/>
                <w:color w:val="000000"/>
                <w:szCs w:val="21"/>
              </w:rPr>
            </w:pPr>
            <w:r>
              <w:rPr>
                <w:rFonts w:hint="eastAsia" w:ascii="宋体" w:hAnsi="宋体"/>
                <w:color w:val="000000"/>
                <w:szCs w:val="21"/>
              </w:rPr>
              <w:t>40</w:t>
            </w:r>
          </w:p>
        </w:tc>
        <w:tc>
          <w:tcPr>
            <w:tcW w:w="2919" w:type="dxa"/>
            <w:tcBorders>
              <w:top w:val="single" w:color="000000" w:sz="4" w:space="0"/>
              <w:left w:val="single" w:color="000000" w:sz="4" w:space="0"/>
              <w:bottom w:val="single" w:color="000000" w:sz="4" w:space="0"/>
              <w:right w:val="single" w:color="000000" w:sz="4" w:space="0"/>
            </w:tcBorders>
            <w:noWrap w:val="0"/>
            <w:vAlign w:val="center"/>
          </w:tcPr>
          <w:p w14:paraId="4D0C08E6">
            <w:pPr>
              <w:jc w:val="center"/>
              <w:rPr>
                <w:rFonts w:hint="eastAsia" w:ascii="宋体" w:hAnsi="宋体" w:cs="宋体"/>
                <w:color w:val="000000"/>
                <w:szCs w:val="21"/>
              </w:rPr>
            </w:pPr>
            <w:r>
              <w:rPr>
                <w:rFonts w:hint="eastAsia" w:ascii="宋体" w:hAnsi="宋体"/>
                <w:color w:val="000000"/>
                <w:szCs w:val="21"/>
              </w:rPr>
              <w:t>不锈钢扇型器械台</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5BDACE42">
            <w:pPr>
              <w:jc w:val="center"/>
              <w:rPr>
                <w:rFonts w:hint="eastAsia" w:ascii="宋体" w:hAnsi="宋体"/>
                <w:color w:val="000000"/>
                <w:szCs w:val="21"/>
              </w:rPr>
            </w:pP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680F2EDF">
            <w:pPr>
              <w:spacing w:before="156"/>
              <w:jc w:val="center"/>
              <w:rPr>
                <w:rFonts w:hint="eastAsia" w:ascii="宋体" w:hAnsi="宋体"/>
                <w:color w:val="000000"/>
                <w:szCs w:val="21"/>
              </w:rPr>
            </w:pPr>
            <w:r>
              <w:rPr>
                <w:rFonts w:hint="eastAsia" w:ascii="宋体" w:hAnsi="宋体"/>
                <w:color w:val="000000"/>
                <w:szCs w:val="21"/>
              </w:rPr>
              <w:t>个</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690EBF1B">
            <w:pPr>
              <w:spacing w:before="156"/>
              <w:jc w:val="center"/>
              <w:rPr>
                <w:rFonts w:hint="eastAsia" w:ascii="宋体" w:hAnsi="宋体"/>
                <w:color w:val="000000"/>
                <w:szCs w:val="21"/>
              </w:rPr>
            </w:pPr>
            <w:r>
              <w:rPr>
                <w:rFonts w:hint="eastAsia" w:ascii="宋体" w:hAnsi="宋体"/>
                <w:color w:val="000000"/>
                <w:szCs w:val="21"/>
              </w:rPr>
              <w:t>2</w:t>
            </w:r>
          </w:p>
        </w:tc>
      </w:tr>
      <w:tr w14:paraId="51656A3D">
        <w:tblPrEx>
          <w:tblCellMar>
            <w:top w:w="0" w:type="dxa"/>
            <w:left w:w="108" w:type="dxa"/>
            <w:bottom w:w="0" w:type="dxa"/>
            <w:right w:w="108" w:type="dxa"/>
          </w:tblCellMar>
        </w:tblPrEx>
        <w:trPr>
          <w:trHeight w:val="384" w:hRule="atLeast"/>
        </w:trPr>
        <w:tc>
          <w:tcPr>
            <w:tcW w:w="534" w:type="dxa"/>
            <w:tcBorders>
              <w:top w:val="single" w:color="000000" w:sz="4" w:space="0"/>
              <w:left w:val="single" w:color="000000" w:sz="4" w:space="0"/>
              <w:bottom w:val="single" w:color="000000" w:sz="4" w:space="0"/>
              <w:right w:val="single" w:color="000000" w:sz="4" w:space="0"/>
            </w:tcBorders>
            <w:noWrap w:val="0"/>
            <w:vAlign w:val="center"/>
          </w:tcPr>
          <w:p w14:paraId="0373764B">
            <w:pPr>
              <w:spacing w:before="156"/>
              <w:jc w:val="center"/>
              <w:rPr>
                <w:rFonts w:hint="eastAsia" w:ascii="宋体" w:hAnsi="宋体"/>
                <w:color w:val="000000"/>
                <w:szCs w:val="21"/>
              </w:rPr>
            </w:pPr>
            <w:r>
              <w:rPr>
                <w:rFonts w:hint="eastAsia" w:ascii="宋体" w:hAnsi="宋体"/>
                <w:color w:val="000000"/>
                <w:szCs w:val="21"/>
              </w:rPr>
              <w:t>41</w:t>
            </w:r>
          </w:p>
        </w:tc>
        <w:tc>
          <w:tcPr>
            <w:tcW w:w="2919" w:type="dxa"/>
            <w:tcBorders>
              <w:top w:val="single" w:color="000000" w:sz="4" w:space="0"/>
              <w:left w:val="single" w:color="000000" w:sz="4" w:space="0"/>
              <w:bottom w:val="single" w:color="000000" w:sz="4" w:space="0"/>
              <w:right w:val="single" w:color="000000" w:sz="4" w:space="0"/>
            </w:tcBorders>
            <w:noWrap w:val="0"/>
            <w:vAlign w:val="center"/>
          </w:tcPr>
          <w:p w14:paraId="3EF4AD65">
            <w:pPr>
              <w:jc w:val="center"/>
              <w:rPr>
                <w:rFonts w:hint="eastAsia" w:ascii="宋体" w:hAnsi="宋体" w:cs="宋体"/>
                <w:color w:val="000000"/>
                <w:szCs w:val="21"/>
              </w:rPr>
            </w:pPr>
            <w:r>
              <w:rPr>
                <w:rFonts w:hint="eastAsia" w:ascii="宋体" w:hAnsi="宋体"/>
                <w:color w:val="000000"/>
                <w:szCs w:val="21"/>
              </w:rPr>
              <w:t>空气消毒机</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2D210509">
            <w:pPr>
              <w:jc w:val="center"/>
              <w:rPr>
                <w:rFonts w:hint="eastAsia" w:ascii="宋体" w:hAnsi="宋体" w:cs="宋体"/>
                <w:color w:val="000000"/>
                <w:szCs w:val="21"/>
              </w:rPr>
            </w:pPr>
            <w:r>
              <w:rPr>
                <w:rFonts w:hint="eastAsia" w:ascii="宋体" w:hAnsi="宋体"/>
                <w:color w:val="000000"/>
                <w:szCs w:val="21"/>
              </w:rPr>
              <w:t>YNX/G-120</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63C37148">
            <w:pPr>
              <w:spacing w:before="156"/>
              <w:jc w:val="center"/>
              <w:rPr>
                <w:rFonts w:ascii="宋体" w:hAnsi="宋体"/>
                <w:color w:val="000000"/>
                <w:szCs w:val="21"/>
              </w:rPr>
            </w:pPr>
            <w:r>
              <w:rPr>
                <w:rFonts w:hint="eastAsia" w:ascii="宋体" w:hAnsi="宋体"/>
                <w:color w:val="000000"/>
                <w:szCs w:val="21"/>
              </w:rPr>
              <w:t>台</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7937E312">
            <w:pPr>
              <w:spacing w:before="156"/>
              <w:jc w:val="center"/>
              <w:rPr>
                <w:rFonts w:hint="eastAsia" w:ascii="宋体" w:hAnsi="宋体"/>
                <w:color w:val="000000"/>
                <w:szCs w:val="21"/>
              </w:rPr>
            </w:pPr>
            <w:r>
              <w:rPr>
                <w:rFonts w:hint="eastAsia" w:ascii="宋体" w:hAnsi="宋体"/>
                <w:color w:val="000000"/>
                <w:szCs w:val="21"/>
              </w:rPr>
              <w:t>2</w:t>
            </w:r>
          </w:p>
        </w:tc>
      </w:tr>
      <w:tr w14:paraId="53C7EB02">
        <w:tblPrEx>
          <w:tblCellMar>
            <w:top w:w="0" w:type="dxa"/>
            <w:left w:w="108" w:type="dxa"/>
            <w:bottom w:w="0" w:type="dxa"/>
            <w:right w:w="108" w:type="dxa"/>
          </w:tblCellMar>
        </w:tblPrEx>
        <w:trPr>
          <w:trHeight w:val="384" w:hRule="atLeast"/>
        </w:trPr>
        <w:tc>
          <w:tcPr>
            <w:tcW w:w="534" w:type="dxa"/>
            <w:tcBorders>
              <w:top w:val="single" w:color="000000" w:sz="4" w:space="0"/>
              <w:left w:val="single" w:color="000000" w:sz="4" w:space="0"/>
              <w:bottom w:val="single" w:color="000000" w:sz="4" w:space="0"/>
              <w:right w:val="single" w:color="000000" w:sz="4" w:space="0"/>
            </w:tcBorders>
            <w:noWrap w:val="0"/>
            <w:vAlign w:val="center"/>
          </w:tcPr>
          <w:p w14:paraId="0BE5D7D8">
            <w:pPr>
              <w:spacing w:before="156"/>
              <w:jc w:val="center"/>
              <w:rPr>
                <w:rFonts w:hint="eastAsia" w:ascii="宋体" w:hAnsi="宋体"/>
                <w:color w:val="000000"/>
                <w:szCs w:val="21"/>
              </w:rPr>
            </w:pPr>
            <w:r>
              <w:rPr>
                <w:rFonts w:hint="eastAsia" w:ascii="宋体" w:hAnsi="宋体"/>
                <w:color w:val="000000"/>
                <w:szCs w:val="21"/>
              </w:rPr>
              <w:t>42</w:t>
            </w:r>
          </w:p>
        </w:tc>
        <w:tc>
          <w:tcPr>
            <w:tcW w:w="2919" w:type="dxa"/>
            <w:tcBorders>
              <w:top w:val="single" w:color="000000" w:sz="4" w:space="0"/>
              <w:left w:val="single" w:color="000000" w:sz="4" w:space="0"/>
              <w:bottom w:val="single" w:color="000000" w:sz="4" w:space="0"/>
              <w:right w:val="single" w:color="000000" w:sz="4" w:space="0"/>
            </w:tcBorders>
            <w:noWrap w:val="0"/>
            <w:vAlign w:val="center"/>
          </w:tcPr>
          <w:p w14:paraId="255AB8F7">
            <w:pPr>
              <w:jc w:val="center"/>
              <w:rPr>
                <w:rFonts w:hint="eastAsia" w:ascii="宋体" w:hAnsi="宋体" w:cs="宋体"/>
                <w:color w:val="000000"/>
                <w:szCs w:val="21"/>
              </w:rPr>
            </w:pPr>
            <w:r>
              <w:rPr>
                <w:rFonts w:hint="eastAsia" w:ascii="宋体" w:hAnsi="宋体"/>
                <w:color w:val="000000"/>
                <w:szCs w:val="21"/>
              </w:rPr>
              <w:t>麻醉机</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5D1EC072">
            <w:pPr>
              <w:jc w:val="center"/>
              <w:rPr>
                <w:rFonts w:hint="eastAsia" w:ascii="宋体" w:hAnsi="宋体" w:cs="宋体"/>
                <w:color w:val="000000"/>
                <w:szCs w:val="21"/>
              </w:rPr>
            </w:pPr>
            <w:r>
              <w:rPr>
                <w:rFonts w:hint="eastAsia" w:ascii="宋体" w:hAnsi="宋体"/>
                <w:color w:val="000000"/>
                <w:szCs w:val="21"/>
              </w:rPr>
              <w:t>Aeon7500A</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5067CD49">
            <w:pPr>
              <w:spacing w:before="156"/>
              <w:jc w:val="center"/>
              <w:rPr>
                <w:rFonts w:ascii="宋体" w:hAnsi="宋体"/>
                <w:color w:val="000000"/>
                <w:szCs w:val="21"/>
              </w:rPr>
            </w:pPr>
            <w:r>
              <w:rPr>
                <w:rFonts w:hint="eastAsia" w:ascii="宋体" w:hAnsi="宋体"/>
                <w:color w:val="000000"/>
                <w:szCs w:val="21"/>
              </w:rPr>
              <w:t>台</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3CF4AC19">
            <w:pPr>
              <w:spacing w:before="156"/>
              <w:jc w:val="center"/>
              <w:rPr>
                <w:rFonts w:hint="eastAsia" w:ascii="宋体" w:hAnsi="宋体"/>
                <w:color w:val="000000"/>
                <w:szCs w:val="21"/>
              </w:rPr>
            </w:pPr>
            <w:r>
              <w:rPr>
                <w:rFonts w:hint="eastAsia" w:ascii="宋体" w:hAnsi="宋体"/>
                <w:color w:val="000000"/>
                <w:szCs w:val="21"/>
              </w:rPr>
              <w:t>2</w:t>
            </w:r>
          </w:p>
        </w:tc>
      </w:tr>
      <w:tr w14:paraId="0AEAD4BE">
        <w:tblPrEx>
          <w:tblCellMar>
            <w:top w:w="0" w:type="dxa"/>
            <w:left w:w="108" w:type="dxa"/>
            <w:bottom w:w="0" w:type="dxa"/>
            <w:right w:w="108" w:type="dxa"/>
          </w:tblCellMar>
        </w:tblPrEx>
        <w:trPr>
          <w:trHeight w:val="384" w:hRule="atLeast"/>
        </w:trPr>
        <w:tc>
          <w:tcPr>
            <w:tcW w:w="534" w:type="dxa"/>
            <w:tcBorders>
              <w:top w:val="single" w:color="000000" w:sz="4" w:space="0"/>
              <w:left w:val="single" w:color="000000" w:sz="4" w:space="0"/>
              <w:bottom w:val="single" w:color="000000" w:sz="4" w:space="0"/>
              <w:right w:val="single" w:color="000000" w:sz="4" w:space="0"/>
            </w:tcBorders>
            <w:noWrap w:val="0"/>
            <w:vAlign w:val="center"/>
          </w:tcPr>
          <w:p w14:paraId="5D19E0ED">
            <w:pPr>
              <w:spacing w:before="156"/>
              <w:jc w:val="center"/>
              <w:rPr>
                <w:rFonts w:hint="eastAsia" w:ascii="宋体" w:hAnsi="宋体"/>
                <w:color w:val="000000"/>
                <w:szCs w:val="21"/>
              </w:rPr>
            </w:pPr>
            <w:r>
              <w:rPr>
                <w:rFonts w:hint="eastAsia" w:ascii="宋体" w:hAnsi="宋体"/>
                <w:color w:val="000000"/>
                <w:szCs w:val="21"/>
              </w:rPr>
              <w:t>43</w:t>
            </w:r>
          </w:p>
        </w:tc>
        <w:tc>
          <w:tcPr>
            <w:tcW w:w="2919" w:type="dxa"/>
            <w:tcBorders>
              <w:top w:val="single" w:color="000000" w:sz="4" w:space="0"/>
              <w:left w:val="single" w:color="000000" w:sz="4" w:space="0"/>
              <w:bottom w:val="single" w:color="000000" w:sz="4" w:space="0"/>
              <w:right w:val="single" w:color="000000" w:sz="4" w:space="0"/>
            </w:tcBorders>
            <w:noWrap w:val="0"/>
            <w:vAlign w:val="center"/>
          </w:tcPr>
          <w:p w14:paraId="55502490">
            <w:pPr>
              <w:jc w:val="center"/>
              <w:rPr>
                <w:rFonts w:hint="eastAsia" w:ascii="宋体" w:hAnsi="宋体" w:cs="宋体"/>
                <w:color w:val="000000"/>
                <w:szCs w:val="21"/>
              </w:rPr>
            </w:pPr>
            <w:r>
              <w:rPr>
                <w:rFonts w:hint="eastAsia" w:ascii="宋体" w:hAnsi="宋体"/>
                <w:color w:val="000000"/>
                <w:szCs w:val="21"/>
              </w:rPr>
              <w:t>小儿麻醉喉镜</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3D9B3F58">
            <w:pPr>
              <w:jc w:val="center"/>
              <w:rPr>
                <w:rFonts w:hint="eastAsia" w:ascii="宋体" w:hAnsi="宋体" w:cs="Arial"/>
                <w:color w:val="000000"/>
                <w:szCs w:val="21"/>
              </w:rPr>
            </w:pPr>
            <w:r>
              <w:rPr>
                <w:rFonts w:ascii="宋体" w:hAnsi="宋体" w:cs="Arial"/>
                <w:color w:val="000000"/>
                <w:szCs w:val="21"/>
              </w:rPr>
              <w:t>SKJ.MHP</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11DDC048">
            <w:pPr>
              <w:spacing w:before="156"/>
              <w:jc w:val="center"/>
              <w:rPr>
                <w:rFonts w:ascii="宋体" w:hAnsi="宋体"/>
                <w:color w:val="000000"/>
                <w:szCs w:val="21"/>
              </w:rPr>
            </w:pPr>
            <w:r>
              <w:rPr>
                <w:rFonts w:hint="eastAsia" w:ascii="宋体" w:hAnsi="宋体"/>
                <w:color w:val="000000"/>
                <w:szCs w:val="21"/>
              </w:rPr>
              <w:t>台</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55F6CB81">
            <w:pPr>
              <w:spacing w:before="156"/>
              <w:jc w:val="center"/>
              <w:rPr>
                <w:rFonts w:hint="eastAsia" w:ascii="宋体" w:hAnsi="宋体"/>
                <w:color w:val="000000"/>
                <w:szCs w:val="21"/>
              </w:rPr>
            </w:pPr>
            <w:r>
              <w:rPr>
                <w:rFonts w:hint="eastAsia" w:ascii="宋体" w:hAnsi="宋体"/>
                <w:color w:val="000000"/>
                <w:szCs w:val="21"/>
              </w:rPr>
              <w:t>2</w:t>
            </w:r>
          </w:p>
        </w:tc>
      </w:tr>
      <w:tr w14:paraId="7B41D73B">
        <w:tblPrEx>
          <w:tblCellMar>
            <w:top w:w="0" w:type="dxa"/>
            <w:left w:w="108" w:type="dxa"/>
            <w:bottom w:w="0" w:type="dxa"/>
            <w:right w:w="108" w:type="dxa"/>
          </w:tblCellMar>
        </w:tblPrEx>
        <w:trPr>
          <w:trHeight w:val="384" w:hRule="atLeast"/>
        </w:trPr>
        <w:tc>
          <w:tcPr>
            <w:tcW w:w="534" w:type="dxa"/>
            <w:tcBorders>
              <w:top w:val="single" w:color="000000" w:sz="4" w:space="0"/>
              <w:left w:val="single" w:color="000000" w:sz="4" w:space="0"/>
              <w:bottom w:val="single" w:color="000000" w:sz="4" w:space="0"/>
              <w:right w:val="single" w:color="000000" w:sz="4" w:space="0"/>
            </w:tcBorders>
            <w:noWrap w:val="0"/>
            <w:vAlign w:val="center"/>
          </w:tcPr>
          <w:p w14:paraId="675A8373">
            <w:pPr>
              <w:spacing w:before="156"/>
              <w:jc w:val="center"/>
              <w:rPr>
                <w:rFonts w:hint="eastAsia" w:ascii="宋体" w:hAnsi="宋体"/>
                <w:color w:val="000000"/>
                <w:szCs w:val="21"/>
              </w:rPr>
            </w:pPr>
            <w:r>
              <w:rPr>
                <w:rFonts w:hint="eastAsia" w:ascii="宋体" w:hAnsi="宋体"/>
                <w:color w:val="000000"/>
                <w:szCs w:val="21"/>
              </w:rPr>
              <w:t>44</w:t>
            </w:r>
          </w:p>
        </w:tc>
        <w:tc>
          <w:tcPr>
            <w:tcW w:w="2919" w:type="dxa"/>
            <w:tcBorders>
              <w:top w:val="single" w:color="000000" w:sz="4" w:space="0"/>
              <w:left w:val="single" w:color="000000" w:sz="4" w:space="0"/>
              <w:bottom w:val="single" w:color="000000" w:sz="4" w:space="0"/>
              <w:right w:val="single" w:color="000000" w:sz="4" w:space="0"/>
            </w:tcBorders>
            <w:noWrap w:val="0"/>
            <w:vAlign w:val="center"/>
          </w:tcPr>
          <w:p w14:paraId="658746E5">
            <w:pPr>
              <w:jc w:val="center"/>
              <w:rPr>
                <w:rFonts w:hint="eastAsia" w:ascii="宋体" w:hAnsi="宋体" w:cs="宋体"/>
                <w:color w:val="000000"/>
                <w:szCs w:val="21"/>
              </w:rPr>
            </w:pPr>
            <w:r>
              <w:rPr>
                <w:rFonts w:hint="eastAsia" w:ascii="宋体" w:hAnsi="宋体"/>
                <w:color w:val="000000"/>
                <w:szCs w:val="21"/>
              </w:rPr>
              <w:t>心电监护仪</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72112C21">
            <w:pPr>
              <w:jc w:val="center"/>
              <w:rPr>
                <w:rFonts w:hint="eastAsia" w:ascii="宋体" w:hAnsi="宋体" w:cs="Arial"/>
                <w:color w:val="000000"/>
                <w:szCs w:val="21"/>
              </w:rPr>
            </w:pPr>
            <w:r>
              <w:rPr>
                <w:rFonts w:ascii="宋体" w:hAnsi="宋体" w:cs="Arial"/>
                <w:color w:val="000000"/>
                <w:szCs w:val="21"/>
              </w:rPr>
              <w:t>PM-9000</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175AC098">
            <w:pPr>
              <w:spacing w:before="156"/>
              <w:jc w:val="center"/>
              <w:rPr>
                <w:rFonts w:ascii="宋体" w:hAnsi="宋体"/>
                <w:color w:val="000000"/>
                <w:szCs w:val="21"/>
              </w:rPr>
            </w:pPr>
            <w:r>
              <w:rPr>
                <w:rFonts w:hint="eastAsia" w:ascii="宋体" w:hAnsi="宋体"/>
                <w:color w:val="000000"/>
                <w:szCs w:val="21"/>
              </w:rPr>
              <w:t>台</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72E94756">
            <w:pPr>
              <w:spacing w:before="156"/>
              <w:jc w:val="center"/>
              <w:rPr>
                <w:rFonts w:hint="eastAsia" w:ascii="宋体" w:hAnsi="宋体"/>
                <w:color w:val="000000"/>
                <w:szCs w:val="21"/>
              </w:rPr>
            </w:pPr>
            <w:r>
              <w:rPr>
                <w:rFonts w:hint="eastAsia" w:ascii="宋体" w:hAnsi="宋体"/>
                <w:color w:val="000000"/>
                <w:szCs w:val="21"/>
              </w:rPr>
              <w:t>2</w:t>
            </w:r>
          </w:p>
        </w:tc>
      </w:tr>
      <w:tr w14:paraId="7278822E">
        <w:tblPrEx>
          <w:tblCellMar>
            <w:top w:w="0" w:type="dxa"/>
            <w:left w:w="108" w:type="dxa"/>
            <w:bottom w:w="0" w:type="dxa"/>
            <w:right w:w="108" w:type="dxa"/>
          </w:tblCellMar>
        </w:tblPrEx>
        <w:trPr>
          <w:trHeight w:val="384" w:hRule="atLeast"/>
        </w:trPr>
        <w:tc>
          <w:tcPr>
            <w:tcW w:w="534" w:type="dxa"/>
            <w:tcBorders>
              <w:top w:val="single" w:color="000000" w:sz="4" w:space="0"/>
              <w:left w:val="single" w:color="000000" w:sz="4" w:space="0"/>
              <w:bottom w:val="single" w:color="000000" w:sz="4" w:space="0"/>
              <w:right w:val="single" w:color="000000" w:sz="4" w:space="0"/>
            </w:tcBorders>
            <w:noWrap w:val="0"/>
            <w:vAlign w:val="center"/>
          </w:tcPr>
          <w:p w14:paraId="2B9F8269">
            <w:pPr>
              <w:spacing w:before="156"/>
              <w:jc w:val="center"/>
              <w:rPr>
                <w:rFonts w:hint="eastAsia" w:ascii="宋体" w:hAnsi="宋体"/>
                <w:color w:val="000000"/>
                <w:szCs w:val="21"/>
              </w:rPr>
            </w:pPr>
            <w:r>
              <w:rPr>
                <w:rFonts w:hint="eastAsia" w:ascii="宋体" w:hAnsi="宋体"/>
                <w:color w:val="000000"/>
                <w:szCs w:val="21"/>
              </w:rPr>
              <w:t>45</w:t>
            </w:r>
          </w:p>
        </w:tc>
        <w:tc>
          <w:tcPr>
            <w:tcW w:w="2919" w:type="dxa"/>
            <w:tcBorders>
              <w:top w:val="single" w:color="000000" w:sz="4" w:space="0"/>
              <w:left w:val="single" w:color="000000" w:sz="4" w:space="0"/>
              <w:bottom w:val="single" w:color="000000" w:sz="4" w:space="0"/>
              <w:right w:val="single" w:color="000000" w:sz="4" w:space="0"/>
            </w:tcBorders>
            <w:noWrap w:val="0"/>
            <w:vAlign w:val="center"/>
          </w:tcPr>
          <w:p w14:paraId="2B3D98F9">
            <w:pPr>
              <w:jc w:val="center"/>
              <w:rPr>
                <w:rFonts w:hint="eastAsia" w:ascii="宋体" w:hAnsi="宋体" w:cs="宋体"/>
                <w:color w:val="000000"/>
                <w:szCs w:val="21"/>
              </w:rPr>
            </w:pPr>
            <w:r>
              <w:rPr>
                <w:rFonts w:hint="eastAsia" w:ascii="宋体" w:hAnsi="宋体"/>
                <w:color w:val="000000"/>
                <w:szCs w:val="21"/>
              </w:rPr>
              <w:t>超声诊断仪（机构合并）</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099E3A0B">
            <w:pPr>
              <w:jc w:val="center"/>
              <w:rPr>
                <w:rFonts w:hint="eastAsia" w:ascii="宋体" w:hAnsi="宋体" w:cs="宋体"/>
                <w:color w:val="000000"/>
                <w:szCs w:val="21"/>
              </w:rPr>
            </w:pPr>
            <w:r>
              <w:rPr>
                <w:rFonts w:hint="eastAsia" w:ascii="宋体" w:hAnsi="宋体"/>
                <w:color w:val="000000"/>
                <w:szCs w:val="21"/>
              </w:rPr>
              <w:t>彩色多普勒SSI-6000</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7D4449AA">
            <w:pPr>
              <w:spacing w:before="156"/>
              <w:jc w:val="center"/>
              <w:rPr>
                <w:rFonts w:ascii="宋体" w:hAnsi="宋体"/>
                <w:color w:val="000000"/>
                <w:szCs w:val="21"/>
              </w:rPr>
            </w:pPr>
            <w:r>
              <w:rPr>
                <w:rFonts w:hint="eastAsia" w:ascii="宋体" w:hAnsi="宋体"/>
                <w:color w:val="000000"/>
                <w:szCs w:val="21"/>
              </w:rPr>
              <w:t>台</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3256B273">
            <w:pPr>
              <w:spacing w:before="156"/>
              <w:jc w:val="center"/>
              <w:rPr>
                <w:rFonts w:hint="eastAsia" w:ascii="宋体" w:hAnsi="宋体"/>
                <w:color w:val="000000"/>
                <w:szCs w:val="21"/>
              </w:rPr>
            </w:pPr>
            <w:r>
              <w:rPr>
                <w:rFonts w:hint="eastAsia" w:ascii="宋体" w:hAnsi="宋体"/>
                <w:color w:val="000000"/>
                <w:szCs w:val="21"/>
              </w:rPr>
              <w:t>2</w:t>
            </w:r>
          </w:p>
        </w:tc>
      </w:tr>
      <w:tr w14:paraId="61FDEF5F">
        <w:tblPrEx>
          <w:tblCellMar>
            <w:top w:w="0" w:type="dxa"/>
            <w:left w:w="108" w:type="dxa"/>
            <w:bottom w:w="0" w:type="dxa"/>
            <w:right w:w="108" w:type="dxa"/>
          </w:tblCellMar>
        </w:tblPrEx>
        <w:trPr>
          <w:trHeight w:val="384" w:hRule="atLeast"/>
        </w:trPr>
        <w:tc>
          <w:tcPr>
            <w:tcW w:w="534" w:type="dxa"/>
            <w:tcBorders>
              <w:top w:val="single" w:color="000000" w:sz="4" w:space="0"/>
              <w:left w:val="single" w:color="000000" w:sz="4" w:space="0"/>
              <w:bottom w:val="single" w:color="000000" w:sz="4" w:space="0"/>
              <w:right w:val="single" w:color="000000" w:sz="4" w:space="0"/>
            </w:tcBorders>
            <w:noWrap w:val="0"/>
            <w:vAlign w:val="center"/>
          </w:tcPr>
          <w:p w14:paraId="34F35DB2">
            <w:pPr>
              <w:spacing w:before="156"/>
              <w:jc w:val="center"/>
              <w:rPr>
                <w:rFonts w:hint="eastAsia" w:ascii="宋体" w:hAnsi="宋体"/>
                <w:color w:val="000000"/>
                <w:szCs w:val="21"/>
              </w:rPr>
            </w:pPr>
            <w:r>
              <w:rPr>
                <w:rFonts w:hint="eastAsia" w:ascii="宋体" w:hAnsi="宋体"/>
                <w:color w:val="000000"/>
                <w:szCs w:val="21"/>
              </w:rPr>
              <w:t>46</w:t>
            </w:r>
          </w:p>
        </w:tc>
        <w:tc>
          <w:tcPr>
            <w:tcW w:w="2919" w:type="dxa"/>
            <w:tcBorders>
              <w:top w:val="single" w:color="000000" w:sz="4" w:space="0"/>
              <w:left w:val="single" w:color="000000" w:sz="4" w:space="0"/>
              <w:bottom w:val="single" w:color="000000" w:sz="4" w:space="0"/>
              <w:right w:val="single" w:color="000000" w:sz="4" w:space="0"/>
            </w:tcBorders>
            <w:noWrap w:val="0"/>
            <w:vAlign w:val="center"/>
          </w:tcPr>
          <w:p w14:paraId="655AA2FC">
            <w:pPr>
              <w:jc w:val="center"/>
              <w:rPr>
                <w:rFonts w:hint="eastAsia" w:ascii="宋体" w:hAnsi="宋体" w:cs="宋体"/>
                <w:color w:val="000000"/>
                <w:szCs w:val="21"/>
              </w:rPr>
            </w:pPr>
            <w:r>
              <w:rPr>
                <w:rFonts w:hint="eastAsia" w:ascii="宋体" w:hAnsi="宋体"/>
                <w:color w:val="000000"/>
                <w:szCs w:val="21"/>
              </w:rPr>
              <w:t>彩色工作站</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35AD3091">
            <w:pPr>
              <w:jc w:val="center"/>
              <w:rPr>
                <w:rFonts w:hint="eastAsia" w:ascii="宋体" w:hAnsi="宋体" w:cs="宋体"/>
                <w:color w:val="000000"/>
                <w:szCs w:val="21"/>
              </w:rPr>
            </w:pPr>
            <w:r>
              <w:rPr>
                <w:rFonts w:hint="eastAsia" w:ascii="宋体" w:hAnsi="宋体"/>
                <w:color w:val="000000"/>
                <w:szCs w:val="21"/>
              </w:rPr>
              <w:t>上海亿曼</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42B084FD">
            <w:pPr>
              <w:spacing w:before="156"/>
              <w:jc w:val="center"/>
              <w:rPr>
                <w:rFonts w:hint="eastAsia" w:ascii="宋体" w:hAnsi="宋体"/>
                <w:color w:val="000000"/>
                <w:szCs w:val="21"/>
              </w:rPr>
            </w:pPr>
            <w:r>
              <w:rPr>
                <w:rFonts w:hint="eastAsia" w:ascii="宋体" w:hAnsi="宋体"/>
                <w:color w:val="000000"/>
                <w:szCs w:val="21"/>
              </w:rPr>
              <w:t>个</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10EDBF02">
            <w:pPr>
              <w:spacing w:before="156"/>
              <w:jc w:val="center"/>
              <w:rPr>
                <w:rFonts w:hint="eastAsia" w:ascii="宋体" w:hAnsi="宋体"/>
                <w:color w:val="000000"/>
                <w:szCs w:val="21"/>
              </w:rPr>
            </w:pPr>
            <w:r>
              <w:rPr>
                <w:rFonts w:hint="eastAsia" w:ascii="宋体" w:hAnsi="宋体"/>
                <w:color w:val="000000"/>
                <w:szCs w:val="21"/>
              </w:rPr>
              <w:t>1</w:t>
            </w:r>
          </w:p>
        </w:tc>
      </w:tr>
      <w:tr w14:paraId="31F1EADF">
        <w:tblPrEx>
          <w:tblCellMar>
            <w:top w:w="0" w:type="dxa"/>
            <w:left w:w="108" w:type="dxa"/>
            <w:bottom w:w="0" w:type="dxa"/>
            <w:right w:w="108" w:type="dxa"/>
          </w:tblCellMar>
        </w:tblPrEx>
        <w:trPr>
          <w:trHeight w:val="384" w:hRule="atLeast"/>
        </w:trPr>
        <w:tc>
          <w:tcPr>
            <w:tcW w:w="534" w:type="dxa"/>
            <w:tcBorders>
              <w:top w:val="single" w:color="000000" w:sz="4" w:space="0"/>
              <w:left w:val="single" w:color="000000" w:sz="4" w:space="0"/>
              <w:bottom w:val="single" w:color="000000" w:sz="4" w:space="0"/>
              <w:right w:val="single" w:color="000000" w:sz="4" w:space="0"/>
            </w:tcBorders>
            <w:noWrap w:val="0"/>
            <w:vAlign w:val="center"/>
          </w:tcPr>
          <w:p w14:paraId="774C6A2E">
            <w:pPr>
              <w:spacing w:before="156"/>
              <w:jc w:val="center"/>
              <w:rPr>
                <w:rFonts w:hint="eastAsia" w:ascii="宋体" w:hAnsi="宋体"/>
                <w:color w:val="000000"/>
                <w:szCs w:val="21"/>
              </w:rPr>
            </w:pPr>
            <w:r>
              <w:rPr>
                <w:rFonts w:hint="eastAsia" w:ascii="宋体" w:hAnsi="宋体"/>
                <w:color w:val="000000"/>
                <w:szCs w:val="21"/>
              </w:rPr>
              <w:t>47</w:t>
            </w:r>
          </w:p>
        </w:tc>
        <w:tc>
          <w:tcPr>
            <w:tcW w:w="2919" w:type="dxa"/>
            <w:tcBorders>
              <w:top w:val="single" w:color="000000" w:sz="4" w:space="0"/>
              <w:left w:val="single" w:color="000000" w:sz="4" w:space="0"/>
              <w:bottom w:val="single" w:color="000000" w:sz="4" w:space="0"/>
              <w:right w:val="single" w:color="000000" w:sz="4" w:space="0"/>
            </w:tcBorders>
            <w:noWrap w:val="0"/>
            <w:vAlign w:val="center"/>
          </w:tcPr>
          <w:p w14:paraId="63B7314E">
            <w:pPr>
              <w:jc w:val="center"/>
              <w:rPr>
                <w:rFonts w:hint="eastAsia" w:ascii="宋体" w:hAnsi="宋体" w:cs="宋体"/>
                <w:color w:val="000000"/>
                <w:szCs w:val="21"/>
              </w:rPr>
            </w:pPr>
            <w:r>
              <w:rPr>
                <w:rFonts w:hint="eastAsia" w:ascii="宋体" w:hAnsi="宋体"/>
                <w:color w:val="000000"/>
                <w:szCs w:val="21"/>
              </w:rPr>
              <w:t>腔内探头（机构合并）</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7C4BDB99">
            <w:pPr>
              <w:jc w:val="center"/>
              <w:rPr>
                <w:rFonts w:ascii="宋体" w:hAnsi="宋体" w:cs="Arial"/>
                <w:color w:val="000000"/>
                <w:szCs w:val="21"/>
              </w:rPr>
            </w:pP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27B433BF">
            <w:pPr>
              <w:spacing w:before="156"/>
              <w:jc w:val="center"/>
              <w:rPr>
                <w:rFonts w:hint="eastAsia" w:ascii="宋体" w:hAnsi="宋体"/>
                <w:color w:val="000000"/>
                <w:szCs w:val="21"/>
              </w:rPr>
            </w:pPr>
            <w:r>
              <w:rPr>
                <w:rFonts w:hint="eastAsia" w:ascii="宋体" w:hAnsi="宋体"/>
                <w:color w:val="000000"/>
                <w:szCs w:val="21"/>
              </w:rPr>
              <w:t>个</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12271DAE">
            <w:pPr>
              <w:spacing w:before="156"/>
              <w:jc w:val="center"/>
              <w:rPr>
                <w:rFonts w:hint="eastAsia" w:ascii="宋体" w:hAnsi="宋体"/>
                <w:color w:val="000000"/>
                <w:szCs w:val="21"/>
              </w:rPr>
            </w:pPr>
            <w:r>
              <w:rPr>
                <w:rFonts w:hint="eastAsia" w:ascii="宋体" w:hAnsi="宋体"/>
                <w:color w:val="000000"/>
                <w:szCs w:val="21"/>
              </w:rPr>
              <w:t>2</w:t>
            </w:r>
          </w:p>
        </w:tc>
      </w:tr>
      <w:tr w14:paraId="7CA3D056">
        <w:tblPrEx>
          <w:tblCellMar>
            <w:top w:w="0" w:type="dxa"/>
            <w:left w:w="108" w:type="dxa"/>
            <w:bottom w:w="0" w:type="dxa"/>
            <w:right w:w="108" w:type="dxa"/>
          </w:tblCellMar>
        </w:tblPrEx>
        <w:trPr>
          <w:trHeight w:val="384" w:hRule="atLeast"/>
        </w:trPr>
        <w:tc>
          <w:tcPr>
            <w:tcW w:w="534" w:type="dxa"/>
            <w:tcBorders>
              <w:top w:val="single" w:color="000000" w:sz="4" w:space="0"/>
              <w:left w:val="single" w:color="000000" w:sz="4" w:space="0"/>
              <w:bottom w:val="single" w:color="000000" w:sz="4" w:space="0"/>
              <w:right w:val="single" w:color="000000" w:sz="4" w:space="0"/>
            </w:tcBorders>
            <w:noWrap w:val="0"/>
            <w:vAlign w:val="center"/>
          </w:tcPr>
          <w:p w14:paraId="3429AE32">
            <w:pPr>
              <w:spacing w:before="156"/>
              <w:jc w:val="center"/>
              <w:rPr>
                <w:rFonts w:hint="eastAsia" w:ascii="宋体" w:hAnsi="宋体"/>
                <w:color w:val="000000"/>
                <w:szCs w:val="21"/>
              </w:rPr>
            </w:pPr>
            <w:r>
              <w:rPr>
                <w:rFonts w:hint="eastAsia" w:ascii="宋体" w:hAnsi="宋体"/>
                <w:color w:val="000000"/>
                <w:szCs w:val="21"/>
              </w:rPr>
              <w:t>48</w:t>
            </w:r>
          </w:p>
        </w:tc>
        <w:tc>
          <w:tcPr>
            <w:tcW w:w="2919" w:type="dxa"/>
            <w:tcBorders>
              <w:top w:val="single" w:color="000000" w:sz="4" w:space="0"/>
              <w:left w:val="single" w:color="000000" w:sz="4" w:space="0"/>
              <w:bottom w:val="single" w:color="000000" w:sz="4" w:space="0"/>
              <w:right w:val="single" w:color="000000" w:sz="4" w:space="0"/>
            </w:tcBorders>
            <w:noWrap w:val="0"/>
            <w:vAlign w:val="center"/>
          </w:tcPr>
          <w:p w14:paraId="7AD154FE">
            <w:pPr>
              <w:jc w:val="center"/>
              <w:rPr>
                <w:rFonts w:hint="eastAsia" w:ascii="宋体" w:hAnsi="宋体" w:cs="宋体"/>
                <w:color w:val="000000"/>
                <w:szCs w:val="21"/>
              </w:rPr>
            </w:pPr>
            <w:r>
              <w:rPr>
                <w:rFonts w:hint="eastAsia" w:ascii="宋体" w:hAnsi="宋体"/>
                <w:color w:val="000000"/>
                <w:szCs w:val="21"/>
              </w:rPr>
              <w:t>阿洛卡彩色B超</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007299D4">
            <w:pPr>
              <w:jc w:val="center"/>
              <w:rPr>
                <w:rFonts w:hint="eastAsia" w:ascii="宋体" w:hAnsi="宋体" w:cs="宋体"/>
                <w:color w:val="000000"/>
                <w:szCs w:val="21"/>
              </w:rPr>
            </w:pPr>
            <w:r>
              <w:rPr>
                <w:rFonts w:hint="eastAsia" w:ascii="宋体" w:hAnsi="宋体"/>
                <w:color w:val="000000"/>
                <w:szCs w:val="21"/>
              </w:rPr>
              <w:t>SSD-350C</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4BB20F1F">
            <w:pPr>
              <w:spacing w:before="156"/>
              <w:jc w:val="center"/>
              <w:rPr>
                <w:rFonts w:ascii="宋体" w:hAnsi="宋体"/>
                <w:color w:val="000000"/>
                <w:szCs w:val="21"/>
              </w:rPr>
            </w:pPr>
            <w:r>
              <w:rPr>
                <w:rFonts w:hint="eastAsia" w:ascii="宋体" w:hAnsi="宋体"/>
                <w:color w:val="000000"/>
                <w:szCs w:val="21"/>
              </w:rPr>
              <w:t>台</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4137EA9F">
            <w:pPr>
              <w:spacing w:before="156"/>
              <w:jc w:val="center"/>
              <w:rPr>
                <w:rFonts w:hint="eastAsia" w:ascii="宋体" w:hAnsi="宋体"/>
                <w:color w:val="000000"/>
                <w:szCs w:val="21"/>
              </w:rPr>
            </w:pPr>
            <w:r>
              <w:rPr>
                <w:rFonts w:hint="eastAsia" w:ascii="宋体" w:hAnsi="宋体"/>
                <w:color w:val="000000"/>
                <w:szCs w:val="21"/>
              </w:rPr>
              <w:t>1</w:t>
            </w:r>
          </w:p>
        </w:tc>
      </w:tr>
      <w:tr w14:paraId="198A029F">
        <w:tblPrEx>
          <w:tblCellMar>
            <w:top w:w="0" w:type="dxa"/>
            <w:left w:w="108" w:type="dxa"/>
            <w:bottom w:w="0" w:type="dxa"/>
            <w:right w:w="108" w:type="dxa"/>
          </w:tblCellMar>
        </w:tblPrEx>
        <w:trPr>
          <w:trHeight w:val="384" w:hRule="atLeast"/>
        </w:trPr>
        <w:tc>
          <w:tcPr>
            <w:tcW w:w="534" w:type="dxa"/>
            <w:tcBorders>
              <w:top w:val="single" w:color="000000" w:sz="4" w:space="0"/>
              <w:left w:val="single" w:color="000000" w:sz="4" w:space="0"/>
              <w:bottom w:val="single" w:color="000000" w:sz="4" w:space="0"/>
              <w:right w:val="single" w:color="000000" w:sz="4" w:space="0"/>
            </w:tcBorders>
            <w:noWrap w:val="0"/>
            <w:vAlign w:val="center"/>
          </w:tcPr>
          <w:p w14:paraId="1589460C">
            <w:pPr>
              <w:spacing w:before="156"/>
              <w:jc w:val="center"/>
              <w:rPr>
                <w:rFonts w:hint="eastAsia" w:ascii="宋体" w:hAnsi="宋体"/>
                <w:color w:val="000000"/>
                <w:szCs w:val="21"/>
              </w:rPr>
            </w:pPr>
            <w:r>
              <w:rPr>
                <w:rFonts w:hint="eastAsia" w:ascii="宋体" w:hAnsi="宋体"/>
                <w:color w:val="000000"/>
                <w:szCs w:val="21"/>
              </w:rPr>
              <w:t>49</w:t>
            </w:r>
          </w:p>
        </w:tc>
        <w:tc>
          <w:tcPr>
            <w:tcW w:w="2919" w:type="dxa"/>
            <w:tcBorders>
              <w:top w:val="single" w:color="000000" w:sz="4" w:space="0"/>
              <w:left w:val="single" w:color="000000" w:sz="4" w:space="0"/>
              <w:bottom w:val="single" w:color="000000" w:sz="4" w:space="0"/>
              <w:right w:val="single" w:color="000000" w:sz="4" w:space="0"/>
            </w:tcBorders>
            <w:noWrap w:val="0"/>
            <w:vAlign w:val="center"/>
          </w:tcPr>
          <w:p w14:paraId="0042EE70">
            <w:pPr>
              <w:jc w:val="center"/>
              <w:rPr>
                <w:rFonts w:hint="eastAsia" w:ascii="宋体" w:hAnsi="宋体" w:cs="宋体"/>
                <w:color w:val="000000"/>
                <w:szCs w:val="21"/>
              </w:rPr>
            </w:pPr>
            <w:r>
              <w:rPr>
                <w:rFonts w:hint="eastAsia" w:ascii="宋体" w:hAnsi="宋体"/>
                <w:color w:val="000000"/>
                <w:szCs w:val="21"/>
              </w:rPr>
              <w:t>十二道心电图机</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47BDFA67">
            <w:pPr>
              <w:jc w:val="center"/>
              <w:rPr>
                <w:rFonts w:hint="eastAsia" w:ascii="宋体" w:hAnsi="宋体" w:cs="宋体"/>
                <w:color w:val="000000"/>
                <w:szCs w:val="21"/>
              </w:rPr>
            </w:pPr>
            <w:r>
              <w:rPr>
                <w:rFonts w:hint="eastAsia" w:ascii="宋体" w:hAnsi="宋体"/>
                <w:color w:val="000000"/>
                <w:szCs w:val="21"/>
              </w:rPr>
              <w:t>ECG-300G</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78762778">
            <w:pPr>
              <w:spacing w:before="156"/>
              <w:jc w:val="center"/>
              <w:rPr>
                <w:rFonts w:ascii="宋体" w:hAnsi="宋体"/>
                <w:color w:val="000000"/>
                <w:szCs w:val="21"/>
              </w:rPr>
            </w:pPr>
            <w:r>
              <w:rPr>
                <w:rFonts w:hint="eastAsia" w:ascii="宋体" w:hAnsi="宋体"/>
                <w:color w:val="000000"/>
                <w:szCs w:val="21"/>
              </w:rPr>
              <w:t>台</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5485189E">
            <w:pPr>
              <w:spacing w:before="156"/>
              <w:jc w:val="center"/>
              <w:rPr>
                <w:rFonts w:hint="eastAsia" w:ascii="宋体" w:hAnsi="宋体"/>
                <w:color w:val="000000"/>
                <w:szCs w:val="21"/>
              </w:rPr>
            </w:pPr>
            <w:r>
              <w:rPr>
                <w:rFonts w:hint="eastAsia" w:ascii="宋体" w:hAnsi="宋体"/>
                <w:color w:val="000000"/>
                <w:szCs w:val="21"/>
              </w:rPr>
              <w:t>1</w:t>
            </w:r>
          </w:p>
        </w:tc>
      </w:tr>
    </w:tbl>
    <w:p w14:paraId="70C96C52">
      <w:pPr>
        <w:pStyle w:val="183"/>
        <w:ind w:firstLine="472"/>
        <w:rPr>
          <w:rFonts w:eastAsia="仿宋_GB2312"/>
          <w:color w:val="000000"/>
          <w:sz w:val="24"/>
          <w:szCs w:val="24"/>
        </w:rPr>
      </w:pPr>
      <w:bookmarkStart w:id="105" w:name="_Toc347680746"/>
      <w:bookmarkStart w:id="106" w:name="_Toc257060346"/>
      <w:bookmarkStart w:id="107" w:name="_Toc391909832"/>
      <w:bookmarkStart w:id="108" w:name="_Toc257038674"/>
      <w:bookmarkStart w:id="109" w:name="_Toc495500040"/>
      <w:r>
        <w:rPr>
          <w:rFonts w:eastAsia="仿宋_GB2312"/>
          <w:color w:val="000000"/>
          <w:sz w:val="24"/>
          <w:szCs w:val="24"/>
        </w:rPr>
        <w:t>2</w:t>
      </w:r>
      <w:r>
        <w:rPr>
          <w:rFonts w:hint="eastAsia" w:eastAsia="仿宋_GB2312"/>
          <w:color w:val="000000"/>
          <w:sz w:val="24"/>
          <w:szCs w:val="24"/>
        </w:rPr>
        <w:t>.1</w:t>
      </w:r>
      <w:r>
        <w:rPr>
          <w:rFonts w:eastAsia="仿宋_GB2312"/>
          <w:color w:val="000000"/>
          <w:sz w:val="24"/>
          <w:szCs w:val="24"/>
        </w:rPr>
        <w:t>.3生活设施</w:t>
      </w:r>
      <w:bookmarkEnd w:id="105"/>
      <w:bookmarkEnd w:id="106"/>
      <w:bookmarkEnd w:id="107"/>
      <w:bookmarkEnd w:id="108"/>
      <w:bookmarkEnd w:id="109"/>
    </w:p>
    <w:p w14:paraId="31EAFDB9">
      <w:pPr>
        <w:spacing w:line="500" w:lineRule="exact"/>
        <w:ind w:firstLine="480"/>
        <w:rPr>
          <w:color w:val="000000"/>
          <w:sz w:val="24"/>
        </w:rPr>
      </w:pPr>
      <w:r>
        <w:rPr>
          <w:color w:val="000000"/>
          <w:sz w:val="24"/>
        </w:rPr>
        <w:t>目前</w:t>
      </w:r>
      <w:r>
        <w:rPr>
          <w:rFonts w:hint="eastAsia"/>
          <w:color w:val="000000"/>
          <w:sz w:val="24"/>
        </w:rPr>
        <w:t>保健院设置</w:t>
      </w:r>
      <w:r>
        <w:rPr>
          <w:color w:val="000000"/>
          <w:sz w:val="24"/>
        </w:rPr>
        <w:t>职工宿舍，设有洗衣房，有洗衣机和电热蒸汽消毒锅炉各一台，利用蒸汽对洗涤后的病服、床单、被套等进行消毒。</w:t>
      </w:r>
    </w:p>
    <w:p w14:paraId="458190A3">
      <w:pPr>
        <w:pStyle w:val="183"/>
        <w:ind w:firstLine="472"/>
        <w:rPr>
          <w:rFonts w:hint="eastAsia" w:eastAsia="仿宋_GB2312"/>
          <w:color w:val="000000"/>
          <w:sz w:val="24"/>
          <w:szCs w:val="24"/>
        </w:rPr>
      </w:pPr>
      <w:bookmarkStart w:id="110" w:name="_Toc347680747"/>
      <w:bookmarkStart w:id="111" w:name="_Toc391909833"/>
      <w:bookmarkStart w:id="112" w:name="_Toc495500041"/>
      <w:r>
        <w:rPr>
          <w:rFonts w:eastAsia="仿宋_GB2312"/>
          <w:color w:val="000000"/>
          <w:sz w:val="24"/>
          <w:szCs w:val="24"/>
        </w:rPr>
        <w:t>2</w:t>
      </w:r>
      <w:r>
        <w:rPr>
          <w:rFonts w:hint="eastAsia" w:eastAsia="仿宋_GB2312"/>
          <w:color w:val="000000"/>
          <w:sz w:val="24"/>
          <w:szCs w:val="24"/>
        </w:rPr>
        <w:t>.1</w:t>
      </w:r>
      <w:r>
        <w:rPr>
          <w:rFonts w:eastAsia="仿宋_GB2312"/>
          <w:color w:val="000000"/>
          <w:sz w:val="24"/>
          <w:szCs w:val="24"/>
        </w:rPr>
        <w:t>.4</w:t>
      </w:r>
      <w:bookmarkEnd w:id="110"/>
      <w:r>
        <w:rPr>
          <w:rFonts w:hint="eastAsia" w:eastAsia="仿宋_GB2312"/>
          <w:color w:val="000000"/>
          <w:sz w:val="24"/>
          <w:szCs w:val="24"/>
        </w:rPr>
        <w:t>项目区存在的污染情况及主要环境问题</w:t>
      </w:r>
      <w:bookmarkEnd w:id="111"/>
      <w:bookmarkEnd w:id="112"/>
    </w:p>
    <w:p w14:paraId="70562D1B">
      <w:pPr>
        <w:spacing w:line="500" w:lineRule="exact"/>
        <w:ind w:firstLine="480"/>
        <w:rPr>
          <w:color w:val="000000"/>
          <w:sz w:val="24"/>
        </w:rPr>
      </w:pPr>
      <w:bookmarkStart w:id="113" w:name="_Toc257060348"/>
      <w:bookmarkStart w:id="114" w:name="_Toc257038676"/>
      <w:r>
        <w:rPr>
          <w:color w:val="000000"/>
          <w:sz w:val="24"/>
        </w:rPr>
        <w:t>医院污染源调查，环评采用以现场调查为主，参照国家和云南地方标准定额为辅的方法进行核查。</w:t>
      </w:r>
    </w:p>
    <w:p w14:paraId="50152A18">
      <w:pPr>
        <w:tabs>
          <w:tab w:val="left" w:pos="536"/>
        </w:tabs>
        <w:spacing w:line="500" w:lineRule="exact"/>
        <w:jc w:val="left"/>
        <w:outlineLvl w:val="3"/>
        <w:rPr>
          <w:rFonts w:hint="eastAsia"/>
          <w:b/>
          <w:color w:val="000000"/>
          <w:sz w:val="24"/>
        </w:rPr>
      </w:pPr>
      <w:bookmarkStart w:id="115" w:name="_Toc391909834"/>
      <w:r>
        <w:rPr>
          <w:b/>
          <w:color w:val="000000"/>
          <w:sz w:val="24"/>
        </w:rPr>
        <w:t>2.</w:t>
      </w:r>
      <w:r>
        <w:rPr>
          <w:rFonts w:hint="eastAsia"/>
          <w:b/>
          <w:color w:val="000000"/>
          <w:sz w:val="24"/>
        </w:rPr>
        <w:t>1.</w:t>
      </w:r>
      <w:r>
        <w:rPr>
          <w:b/>
          <w:color w:val="000000"/>
          <w:sz w:val="24"/>
        </w:rPr>
        <w:t>4.1废水产生及排放现状</w:t>
      </w:r>
      <w:bookmarkEnd w:id="113"/>
      <w:bookmarkEnd w:id="114"/>
      <w:bookmarkEnd w:id="115"/>
    </w:p>
    <w:p w14:paraId="74685511">
      <w:pPr>
        <w:spacing w:line="500" w:lineRule="exact"/>
        <w:ind w:firstLine="480"/>
        <w:rPr>
          <w:color w:val="000000"/>
          <w:sz w:val="24"/>
        </w:rPr>
      </w:pPr>
      <w:r>
        <w:rPr>
          <w:color w:val="000000"/>
          <w:sz w:val="24"/>
        </w:rPr>
        <w:t>目前</w:t>
      </w:r>
      <w:r>
        <w:rPr>
          <w:rFonts w:hint="eastAsia"/>
          <w:color w:val="000000"/>
          <w:sz w:val="24"/>
        </w:rPr>
        <w:t>芒市妇幼保健院产生的废水</w:t>
      </w:r>
      <w:r>
        <w:rPr>
          <w:color w:val="000000"/>
          <w:sz w:val="24"/>
        </w:rPr>
        <w:t>主要是生活</w:t>
      </w:r>
      <w:r>
        <w:rPr>
          <w:rFonts w:hint="eastAsia"/>
          <w:color w:val="000000"/>
          <w:sz w:val="24"/>
        </w:rPr>
        <w:t>污水</w:t>
      </w:r>
      <w:r>
        <w:rPr>
          <w:color w:val="000000"/>
          <w:sz w:val="24"/>
        </w:rPr>
        <w:t>和医疗废水。</w:t>
      </w:r>
    </w:p>
    <w:p w14:paraId="13A208B9">
      <w:pPr>
        <w:pStyle w:val="311"/>
        <w:spacing w:line="460" w:lineRule="exact"/>
        <w:ind w:firstLine="482"/>
        <w:rPr>
          <w:b/>
          <w:color w:val="000000"/>
          <w:sz w:val="24"/>
          <w:szCs w:val="24"/>
        </w:rPr>
      </w:pPr>
      <w:r>
        <w:rPr>
          <w:b/>
          <w:color w:val="000000"/>
          <w:sz w:val="24"/>
          <w:szCs w:val="24"/>
        </w:rPr>
        <w:t>1、住院部废水</w:t>
      </w:r>
    </w:p>
    <w:p w14:paraId="01AAD906">
      <w:pPr>
        <w:spacing w:line="460" w:lineRule="exact"/>
        <w:ind w:firstLine="480"/>
        <w:rPr>
          <w:color w:val="000000"/>
          <w:sz w:val="24"/>
        </w:rPr>
      </w:pPr>
      <w:r>
        <w:rPr>
          <w:rFonts w:hAnsi="宋体"/>
          <w:color w:val="000000"/>
          <w:sz w:val="24"/>
        </w:rPr>
        <w:t>项目住院部共设</w:t>
      </w:r>
      <w:r>
        <w:rPr>
          <w:rFonts w:hint="eastAsia"/>
          <w:color w:val="000000"/>
          <w:sz w:val="24"/>
        </w:rPr>
        <w:t>93</w:t>
      </w:r>
      <w:r>
        <w:rPr>
          <w:rFonts w:hAnsi="宋体"/>
          <w:color w:val="000000"/>
          <w:sz w:val="24"/>
        </w:rPr>
        <w:t>张床位。根据现场调查</w:t>
      </w:r>
      <w:r>
        <w:rPr>
          <w:rFonts w:hint="eastAsia" w:hAnsi="宋体"/>
          <w:color w:val="000000"/>
          <w:sz w:val="24"/>
        </w:rPr>
        <w:t>（结合水费单）</w:t>
      </w:r>
      <w:r>
        <w:rPr>
          <w:rFonts w:hAnsi="宋体"/>
          <w:color w:val="000000"/>
          <w:sz w:val="24"/>
        </w:rPr>
        <w:t>，医院住院部用水量为</w:t>
      </w:r>
      <w:r>
        <w:rPr>
          <w:color w:val="000000"/>
          <w:sz w:val="24"/>
        </w:rPr>
        <w:t>7300t/a</w:t>
      </w:r>
      <w:r>
        <w:rPr>
          <w:rFonts w:hAnsi="宋体"/>
          <w:color w:val="000000"/>
          <w:sz w:val="24"/>
        </w:rPr>
        <w:t>（</w:t>
      </w:r>
      <w:r>
        <w:rPr>
          <w:color w:val="000000"/>
          <w:sz w:val="24"/>
        </w:rPr>
        <w:t>2</w:t>
      </w:r>
      <w:r>
        <w:rPr>
          <w:rFonts w:hint="eastAsia"/>
          <w:color w:val="000000"/>
          <w:sz w:val="24"/>
        </w:rPr>
        <w:t>0</w:t>
      </w:r>
      <w:r>
        <w:rPr>
          <w:color w:val="000000"/>
          <w:sz w:val="24"/>
        </w:rPr>
        <w:t>t/d</w:t>
      </w:r>
      <w:r>
        <w:rPr>
          <w:rFonts w:hAnsi="宋体"/>
          <w:color w:val="000000"/>
          <w:sz w:val="24"/>
        </w:rPr>
        <w:t>），排污系数按照</w:t>
      </w:r>
      <w:r>
        <w:rPr>
          <w:color w:val="000000"/>
          <w:sz w:val="24"/>
        </w:rPr>
        <w:t>0.9</w:t>
      </w:r>
      <w:r>
        <w:rPr>
          <w:rFonts w:hAnsi="宋体"/>
          <w:color w:val="000000"/>
          <w:sz w:val="24"/>
        </w:rPr>
        <w:t>计算，则住院部废水产生量为</w:t>
      </w:r>
      <w:r>
        <w:rPr>
          <w:color w:val="000000"/>
          <w:sz w:val="24"/>
        </w:rPr>
        <w:t>18 t/d</w:t>
      </w:r>
      <w:r>
        <w:rPr>
          <w:rFonts w:hAnsi="宋体"/>
          <w:color w:val="000000"/>
          <w:sz w:val="24"/>
        </w:rPr>
        <w:t>。</w:t>
      </w:r>
    </w:p>
    <w:p w14:paraId="70AC68A8">
      <w:pPr>
        <w:pStyle w:val="311"/>
        <w:spacing w:line="460" w:lineRule="exact"/>
        <w:ind w:firstLine="482"/>
        <w:rPr>
          <w:b/>
          <w:color w:val="000000"/>
          <w:sz w:val="24"/>
          <w:szCs w:val="24"/>
        </w:rPr>
      </w:pPr>
      <w:r>
        <w:rPr>
          <w:b/>
          <w:color w:val="000000"/>
          <w:sz w:val="24"/>
          <w:szCs w:val="24"/>
        </w:rPr>
        <w:t>2</w:t>
      </w:r>
      <w:r>
        <w:rPr>
          <w:rFonts w:hAnsi="宋体"/>
          <w:b/>
          <w:color w:val="000000"/>
          <w:sz w:val="24"/>
          <w:szCs w:val="24"/>
        </w:rPr>
        <w:t>、门诊部废水</w:t>
      </w:r>
    </w:p>
    <w:p w14:paraId="2BC4BA25">
      <w:pPr>
        <w:spacing w:line="460" w:lineRule="exact"/>
        <w:ind w:firstLine="480"/>
        <w:rPr>
          <w:color w:val="000000"/>
          <w:sz w:val="24"/>
        </w:rPr>
      </w:pPr>
      <w:r>
        <w:rPr>
          <w:color w:val="000000"/>
          <w:sz w:val="24"/>
        </w:rPr>
        <w:t>根据建设单位提供的资料，医院目前门诊病人及陪护人员</w:t>
      </w:r>
      <w:r>
        <w:rPr>
          <w:rFonts w:hAnsi="宋体"/>
          <w:color w:val="000000"/>
          <w:sz w:val="24"/>
        </w:rPr>
        <w:t>接待量为</w:t>
      </w:r>
      <w:r>
        <w:rPr>
          <w:rFonts w:hint="eastAsia"/>
          <w:color w:val="000000"/>
          <w:sz w:val="24"/>
        </w:rPr>
        <w:t>450</w:t>
      </w:r>
      <w:r>
        <w:rPr>
          <w:rFonts w:hAnsi="宋体"/>
          <w:color w:val="000000"/>
          <w:sz w:val="24"/>
        </w:rPr>
        <w:t>人</w:t>
      </w:r>
      <w:r>
        <w:rPr>
          <w:color w:val="000000"/>
          <w:sz w:val="24"/>
        </w:rPr>
        <w:t>/</w:t>
      </w:r>
      <w:r>
        <w:rPr>
          <w:rFonts w:hAnsi="宋体"/>
          <w:color w:val="000000"/>
          <w:sz w:val="24"/>
        </w:rPr>
        <w:t>天。根据对建设单位门诊部用水量实际调查显示，门诊部病人、医护人员产的医疗生活用水量共计</w:t>
      </w:r>
      <w:r>
        <w:rPr>
          <w:color w:val="000000"/>
          <w:sz w:val="24"/>
        </w:rPr>
        <w:t>3</w:t>
      </w:r>
      <w:r>
        <w:rPr>
          <w:rFonts w:hint="eastAsia"/>
          <w:color w:val="000000"/>
          <w:sz w:val="24"/>
        </w:rPr>
        <w:t>285</w:t>
      </w:r>
      <w:r>
        <w:rPr>
          <w:color w:val="000000"/>
          <w:sz w:val="24"/>
        </w:rPr>
        <w:t>t/a</w:t>
      </w:r>
      <w:r>
        <w:rPr>
          <w:rFonts w:hAnsi="宋体"/>
          <w:color w:val="000000"/>
          <w:sz w:val="24"/>
        </w:rPr>
        <w:t>（</w:t>
      </w:r>
      <w:r>
        <w:rPr>
          <w:color w:val="000000"/>
          <w:sz w:val="24"/>
        </w:rPr>
        <w:t>9.</w:t>
      </w:r>
      <w:r>
        <w:rPr>
          <w:rFonts w:hint="eastAsia"/>
          <w:color w:val="000000"/>
          <w:sz w:val="24"/>
        </w:rPr>
        <w:t>0</w:t>
      </w:r>
      <w:r>
        <w:rPr>
          <w:color w:val="000000"/>
          <w:sz w:val="24"/>
        </w:rPr>
        <w:t>t/d</w:t>
      </w:r>
      <w:r>
        <w:rPr>
          <w:rFonts w:hAnsi="宋体"/>
          <w:color w:val="000000"/>
          <w:sz w:val="24"/>
        </w:rPr>
        <w:t>），产污系数按照</w:t>
      </w:r>
      <w:r>
        <w:rPr>
          <w:color w:val="000000"/>
          <w:sz w:val="24"/>
        </w:rPr>
        <w:t>0.85</w:t>
      </w:r>
      <w:r>
        <w:rPr>
          <w:rFonts w:hAnsi="宋体"/>
          <w:color w:val="000000"/>
          <w:sz w:val="24"/>
        </w:rPr>
        <w:t>计，则废水产生量为</w:t>
      </w:r>
      <w:r>
        <w:rPr>
          <w:rFonts w:hint="eastAsia"/>
          <w:color w:val="000000"/>
          <w:sz w:val="24"/>
        </w:rPr>
        <w:t>7.65</w:t>
      </w:r>
      <w:r>
        <w:rPr>
          <w:color w:val="000000"/>
          <w:sz w:val="24"/>
        </w:rPr>
        <w:t>t/d</w:t>
      </w:r>
      <w:r>
        <w:rPr>
          <w:rFonts w:hAnsi="宋体"/>
          <w:color w:val="000000"/>
          <w:sz w:val="24"/>
        </w:rPr>
        <w:t>。</w:t>
      </w:r>
    </w:p>
    <w:p w14:paraId="67EF3745">
      <w:pPr>
        <w:pStyle w:val="311"/>
        <w:spacing w:line="460" w:lineRule="exact"/>
        <w:ind w:firstLine="482"/>
        <w:rPr>
          <w:b/>
          <w:color w:val="000000"/>
          <w:sz w:val="24"/>
        </w:rPr>
      </w:pPr>
      <w:r>
        <w:rPr>
          <w:b/>
          <w:color w:val="000000"/>
          <w:sz w:val="24"/>
        </w:rPr>
        <w:t>3</w:t>
      </w:r>
      <w:r>
        <w:rPr>
          <w:rFonts w:hAnsi="宋体"/>
          <w:b/>
          <w:color w:val="000000"/>
          <w:sz w:val="24"/>
        </w:rPr>
        <w:t>、食堂用水</w:t>
      </w:r>
    </w:p>
    <w:p w14:paraId="09CE0F9C">
      <w:pPr>
        <w:spacing w:line="460" w:lineRule="exact"/>
        <w:ind w:firstLine="480"/>
        <w:rPr>
          <w:color w:val="000000"/>
          <w:sz w:val="24"/>
        </w:rPr>
      </w:pPr>
      <w:r>
        <w:rPr>
          <w:color w:val="000000"/>
          <w:sz w:val="24"/>
        </w:rPr>
        <w:t>根据现场调查，目前</w:t>
      </w:r>
      <w:r>
        <w:rPr>
          <w:rFonts w:hint="eastAsia"/>
          <w:color w:val="000000"/>
          <w:sz w:val="24"/>
        </w:rPr>
        <w:t>保健院内已无食堂存在，不产生食堂用水</w:t>
      </w:r>
      <w:r>
        <w:rPr>
          <w:rFonts w:hAnsi="宋体"/>
          <w:color w:val="000000"/>
          <w:sz w:val="24"/>
        </w:rPr>
        <w:t>。</w:t>
      </w:r>
    </w:p>
    <w:p w14:paraId="6D308667">
      <w:pPr>
        <w:spacing w:line="500" w:lineRule="exact"/>
        <w:ind w:firstLine="482"/>
        <w:rPr>
          <w:b/>
          <w:color w:val="000000"/>
          <w:sz w:val="24"/>
        </w:rPr>
      </w:pPr>
      <w:r>
        <w:rPr>
          <w:b/>
          <w:color w:val="000000"/>
          <w:sz w:val="24"/>
        </w:rPr>
        <w:t>4</w:t>
      </w:r>
      <w:r>
        <w:rPr>
          <w:rFonts w:hAnsi="宋体"/>
          <w:b/>
          <w:color w:val="000000"/>
          <w:sz w:val="24"/>
        </w:rPr>
        <w:t>、废</w:t>
      </w:r>
      <w:r>
        <w:rPr>
          <w:b/>
          <w:color w:val="000000"/>
          <w:sz w:val="24"/>
        </w:rPr>
        <w:t>水治理措施</w:t>
      </w:r>
    </w:p>
    <w:p w14:paraId="3A197562">
      <w:pPr>
        <w:spacing w:line="500" w:lineRule="exact"/>
        <w:ind w:firstLine="480"/>
        <w:rPr>
          <w:rFonts w:hint="eastAsia"/>
          <w:color w:val="000000"/>
          <w:sz w:val="24"/>
        </w:rPr>
      </w:pPr>
      <w:r>
        <w:rPr>
          <w:rFonts w:hint="eastAsia"/>
          <w:color w:val="000000"/>
          <w:sz w:val="24"/>
        </w:rPr>
        <w:t>项目产生的污水量为0.94万t/a，</w:t>
      </w:r>
      <w:r>
        <w:rPr>
          <w:color w:val="000000"/>
          <w:sz w:val="24"/>
        </w:rPr>
        <w:t>根据现场勘查，</w:t>
      </w:r>
      <w:r>
        <w:rPr>
          <w:rFonts w:hint="eastAsia"/>
          <w:color w:val="000000"/>
          <w:sz w:val="24"/>
        </w:rPr>
        <w:t>项目设置有3个化粪池，建设有污水处理站。</w:t>
      </w:r>
      <w:r>
        <w:rPr>
          <w:color w:val="000000"/>
          <w:sz w:val="24"/>
        </w:rPr>
        <w:t>项目</w:t>
      </w:r>
      <w:r>
        <w:rPr>
          <w:rFonts w:hint="eastAsia"/>
          <w:color w:val="000000"/>
          <w:sz w:val="24"/>
        </w:rPr>
        <w:t>产生的</w:t>
      </w:r>
      <w:r>
        <w:rPr>
          <w:color w:val="000000"/>
          <w:sz w:val="24"/>
        </w:rPr>
        <w:t>生活废水、医疗废水，全部经化粪池处理后，</w:t>
      </w:r>
      <w:r>
        <w:rPr>
          <w:rFonts w:hint="eastAsia"/>
          <w:color w:val="000000"/>
          <w:sz w:val="24"/>
        </w:rPr>
        <w:t>进入自建污水处理设施处理后排入</w:t>
      </w:r>
      <w:r>
        <w:rPr>
          <w:color w:val="000000"/>
          <w:sz w:val="24"/>
        </w:rPr>
        <w:t>市政污水管</w:t>
      </w:r>
      <w:r>
        <w:rPr>
          <w:rFonts w:hint="eastAsia"/>
          <w:color w:val="000000"/>
          <w:sz w:val="24"/>
        </w:rPr>
        <w:t>网</w:t>
      </w:r>
      <w:r>
        <w:rPr>
          <w:color w:val="000000"/>
          <w:sz w:val="24"/>
        </w:rPr>
        <w:t>，最终进入</w:t>
      </w:r>
      <w:r>
        <w:rPr>
          <w:rFonts w:hint="eastAsia"/>
          <w:color w:val="000000"/>
          <w:sz w:val="24"/>
        </w:rPr>
        <w:t>芒市</w:t>
      </w:r>
      <w:r>
        <w:rPr>
          <w:color w:val="000000"/>
          <w:sz w:val="24"/>
        </w:rPr>
        <w:t>城市污水处理厂。</w:t>
      </w:r>
      <w:r>
        <w:rPr>
          <w:rFonts w:hAnsi="宋体"/>
          <w:color w:val="000000"/>
          <w:sz w:val="24"/>
        </w:rPr>
        <w:t>符合（</w:t>
      </w:r>
      <w:r>
        <w:rPr>
          <w:color w:val="000000"/>
          <w:sz w:val="24"/>
        </w:rPr>
        <w:t>GB18466-2005</w:t>
      </w:r>
      <w:r>
        <w:rPr>
          <w:rFonts w:hAnsi="宋体"/>
          <w:color w:val="000000"/>
          <w:sz w:val="24"/>
        </w:rPr>
        <w:t>）《医疗机构水污染物排放标准》</w:t>
      </w:r>
      <w:r>
        <w:rPr>
          <w:rFonts w:hint="eastAsia" w:hAnsi="宋体"/>
          <w:color w:val="000000"/>
          <w:sz w:val="24"/>
        </w:rPr>
        <w:t>的</w:t>
      </w:r>
      <w:r>
        <w:rPr>
          <w:rFonts w:hAnsi="宋体"/>
          <w:color w:val="000000"/>
          <w:sz w:val="24"/>
        </w:rPr>
        <w:t>要求。</w:t>
      </w:r>
    </w:p>
    <w:p w14:paraId="62978C94">
      <w:pPr>
        <w:tabs>
          <w:tab w:val="left" w:pos="536"/>
        </w:tabs>
        <w:spacing w:line="500" w:lineRule="exact"/>
        <w:jc w:val="left"/>
        <w:outlineLvl w:val="3"/>
        <w:rPr>
          <w:b/>
          <w:color w:val="000000"/>
          <w:sz w:val="24"/>
        </w:rPr>
      </w:pPr>
      <w:bookmarkStart w:id="116" w:name="_Toc257038677"/>
      <w:bookmarkStart w:id="117" w:name="_Toc257060349"/>
      <w:bookmarkStart w:id="118" w:name="_Toc391909835"/>
      <w:r>
        <w:rPr>
          <w:b/>
          <w:color w:val="000000"/>
          <w:sz w:val="24"/>
        </w:rPr>
        <w:t>2.</w:t>
      </w:r>
      <w:r>
        <w:rPr>
          <w:rFonts w:hint="eastAsia"/>
          <w:b/>
          <w:color w:val="000000"/>
          <w:sz w:val="24"/>
        </w:rPr>
        <w:t>1.</w:t>
      </w:r>
      <w:r>
        <w:rPr>
          <w:b/>
          <w:color w:val="000000"/>
          <w:sz w:val="24"/>
        </w:rPr>
        <w:t>4.2固体废物</w:t>
      </w:r>
      <w:bookmarkEnd w:id="116"/>
      <w:bookmarkEnd w:id="117"/>
      <w:r>
        <w:rPr>
          <w:b/>
          <w:color w:val="000000"/>
          <w:sz w:val="24"/>
        </w:rPr>
        <w:t>产生及排放现状</w:t>
      </w:r>
      <w:bookmarkEnd w:id="118"/>
    </w:p>
    <w:p w14:paraId="4BF83B73">
      <w:pPr>
        <w:spacing w:line="500" w:lineRule="exact"/>
        <w:ind w:firstLine="480"/>
        <w:rPr>
          <w:color w:val="000000"/>
          <w:sz w:val="24"/>
        </w:rPr>
      </w:pPr>
      <w:r>
        <w:rPr>
          <w:rFonts w:hAnsi="宋体"/>
          <w:color w:val="000000"/>
          <w:sz w:val="24"/>
        </w:rPr>
        <w:t>固体废物</w:t>
      </w:r>
      <w:r>
        <w:rPr>
          <w:color w:val="000000"/>
          <w:sz w:val="24"/>
        </w:rPr>
        <w:t>主要包括医疗固废、化粪池污泥和普通生活垃圾。</w:t>
      </w:r>
    </w:p>
    <w:p w14:paraId="35045ECD">
      <w:pPr>
        <w:spacing w:line="480" w:lineRule="exact"/>
        <w:ind w:firstLine="482"/>
        <w:rPr>
          <w:b/>
          <w:color w:val="000000"/>
          <w:sz w:val="24"/>
        </w:rPr>
      </w:pPr>
      <w:r>
        <w:rPr>
          <w:b/>
          <w:color w:val="000000"/>
          <w:sz w:val="24"/>
        </w:rPr>
        <w:t>1</w:t>
      </w:r>
      <w:r>
        <w:rPr>
          <w:rFonts w:hAnsi="宋体"/>
          <w:b/>
          <w:color w:val="000000"/>
          <w:sz w:val="24"/>
        </w:rPr>
        <w:t>、医疗固废</w:t>
      </w:r>
    </w:p>
    <w:p w14:paraId="328A1FBB">
      <w:pPr>
        <w:spacing w:line="500" w:lineRule="exact"/>
        <w:ind w:firstLine="480"/>
        <w:rPr>
          <w:color w:val="000000"/>
          <w:sz w:val="24"/>
        </w:rPr>
      </w:pPr>
      <w:r>
        <w:rPr>
          <w:color w:val="000000"/>
          <w:sz w:val="24"/>
        </w:rPr>
        <w:t>医疗垃圾主要为被血或分泌物污染的护理用具、敷料、一次性医疗用品。根</w:t>
      </w:r>
      <w:r>
        <w:rPr>
          <w:rFonts w:hAnsi="宋体"/>
          <w:color w:val="000000"/>
          <w:sz w:val="24"/>
        </w:rPr>
        <w:t>据医疗垃圾特性，医疗垃圾主要分为以下类别：</w:t>
      </w:r>
    </w:p>
    <w:p w14:paraId="62A5D3C5">
      <w:pPr>
        <w:spacing w:line="500" w:lineRule="exact"/>
        <w:ind w:firstLine="480"/>
        <w:rPr>
          <w:color w:val="000000"/>
          <w:sz w:val="24"/>
        </w:rPr>
      </w:pPr>
      <w:r>
        <w:rPr>
          <w:rFonts w:hAnsi="宋体"/>
          <w:color w:val="000000"/>
          <w:sz w:val="24"/>
        </w:rPr>
        <w:t>①感染性废物</w:t>
      </w:r>
    </w:p>
    <w:p w14:paraId="747E2C51">
      <w:pPr>
        <w:spacing w:line="500" w:lineRule="exact"/>
        <w:ind w:firstLine="480"/>
        <w:rPr>
          <w:color w:val="000000"/>
          <w:sz w:val="24"/>
        </w:rPr>
      </w:pPr>
      <w:r>
        <w:rPr>
          <w:rFonts w:hAnsi="宋体"/>
          <w:color w:val="000000"/>
          <w:sz w:val="24"/>
        </w:rPr>
        <w:t>感染性废物是医院常见的固体废弃物，</w:t>
      </w:r>
      <w:r>
        <w:rPr>
          <w:color w:val="000000"/>
          <w:sz w:val="24"/>
        </w:rPr>
        <w:t>它们来自各个治疗科室、病房、化验室等，携带病原微生物具有引发感染性疾病传播危险的医疗废物。主要包括：a.被病人血液、体液、排泄物污染的物品，如棉球、棉签、引流棉条，纱布及其他各种敷料；一次性使用卫生用品，一次性使用医疗用品及一次性医疗器械；其他被病人血液、体液、排泄物污染的物品。危险废物编</w:t>
      </w:r>
      <w:r>
        <w:rPr>
          <w:rFonts w:hAnsi="宋体"/>
          <w:color w:val="000000"/>
          <w:sz w:val="24"/>
        </w:rPr>
        <w:t>号</w:t>
      </w:r>
      <w:r>
        <w:rPr>
          <w:color w:val="000000"/>
          <w:sz w:val="24"/>
        </w:rPr>
        <w:t>HW01</w:t>
      </w:r>
      <w:r>
        <w:rPr>
          <w:rFonts w:hAnsi="宋体"/>
          <w:color w:val="000000"/>
          <w:sz w:val="24"/>
        </w:rPr>
        <w:t>。</w:t>
      </w:r>
    </w:p>
    <w:p w14:paraId="51688EA3">
      <w:pPr>
        <w:pStyle w:val="265"/>
        <w:spacing w:line="500" w:lineRule="exact"/>
        <w:ind w:left="0" w:right="0" w:firstLine="480"/>
        <w:rPr>
          <w:color w:val="000000"/>
        </w:rPr>
      </w:pPr>
      <w:r>
        <w:rPr>
          <w:rFonts w:hAnsi="宋体"/>
          <w:color w:val="000000"/>
        </w:rPr>
        <w:t>②</w:t>
      </w:r>
      <w:r>
        <w:rPr>
          <w:color w:val="000000"/>
        </w:rPr>
        <w:t>损伤性废物</w:t>
      </w:r>
    </w:p>
    <w:p w14:paraId="0F14BCD9">
      <w:pPr>
        <w:pStyle w:val="265"/>
        <w:spacing w:line="500" w:lineRule="exact"/>
        <w:ind w:left="0" w:right="0" w:firstLine="480"/>
        <w:rPr>
          <w:color w:val="000000"/>
        </w:rPr>
      </w:pPr>
      <w:r>
        <w:rPr>
          <w:color w:val="000000"/>
        </w:rPr>
        <w:t>主要是用过废弃的或一次性的注射器、针头、化验器皿、玻璃、锯片、药盒、解剖刀、手术刀及其它可能引起切伤刺伤的器物。危险废物</w:t>
      </w:r>
      <w:r>
        <w:rPr>
          <w:rFonts w:hAnsi="宋体"/>
          <w:color w:val="000000"/>
        </w:rPr>
        <w:t>编号</w:t>
      </w:r>
      <w:r>
        <w:rPr>
          <w:color w:val="000000"/>
        </w:rPr>
        <w:t>HW01。</w:t>
      </w:r>
    </w:p>
    <w:p w14:paraId="092E0631">
      <w:pPr>
        <w:pStyle w:val="265"/>
        <w:spacing w:line="500" w:lineRule="exact"/>
        <w:ind w:left="0" w:right="0" w:firstLine="480"/>
        <w:rPr>
          <w:color w:val="000000"/>
        </w:rPr>
      </w:pPr>
      <w:r>
        <w:rPr>
          <w:rFonts w:hAnsi="宋体"/>
          <w:color w:val="000000"/>
        </w:rPr>
        <w:t>③</w:t>
      </w:r>
      <w:r>
        <w:rPr>
          <w:color w:val="000000"/>
        </w:rPr>
        <w:t>病理性废物，包括人体组织、器官、肢体、肿瘤及相关物质。危险废物编号HW01。</w:t>
      </w:r>
    </w:p>
    <w:p w14:paraId="74A909D4">
      <w:pPr>
        <w:pStyle w:val="265"/>
        <w:spacing w:line="500" w:lineRule="exact"/>
        <w:ind w:left="0" w:right="0" w:firstLine="480"/>
        <w:rPr>
          <w:color w:val="000000"/>
        </w:rPr>
      </w:pPr>
      <w:r>
        <w:rPr>
          <w:rFonts w:hAnsi="宋体"/>
          <w:color w:val="000000"/>
        </w:rPr>
        <w:t>④化学性废物</w:t>
      </w:r>
    </w:p>
    <w:p w14:paraId="4584BBB2">
      <w:pPr>
        <w:pStyle w:val="265"/>
        <w:spacing w:line="460" w:lineRule="exact"/>
        <w:ind w:left="0" w:right="0" w:firstLine="480"/>
        <w:jc w:val="both"/>
        <w:rPr>
          <w:color w:val="000000"/>
        </w:rPr>
      </w:pPr>
      <w:r>
        <w:rPr>
          <w:color w:val="000000"/>
        </w:rPr>
        <w:t>主要为实验室废弃的化学试剂；废弃的汞血压计、汞温度计；以及口腔废水沉淀池含有汞等重金属的污泥等。</w:t>
      </w:r>
      <w:r>
        <w:rPr>
          <w:rFonts w:hAnsi="宋体"/>
          <w:color w:val="000000"/>
        </w:rPr>
        <w:t>危险废物编号</w:t>
      </w:r>
      <w:r>
        <w:rPr>
          <w:color w:val="000000"/>
        </w:rPr>
        <w:t>HW02</w:t>
      </w:r>
      <w:r>
        <w:rPr>
          <w:rFonts w:hAnsi="宋体"/>
          <w:color w:val="000000"/>
        </w:rPr>
        <w:t>。</w:t>
      </w:r>
    </w:p>
    <w:p w14:paraId="3D74A030">
      <w:pPr>
        <w:pStyle w:val="265"/>
        <w:spacing w:line="500" w:lineRule="exact"/>
        <w:ind w:left="0" w:right="0" w:firstLine="480"/>
        <w:rPr>
          <w:color w:val="000000"/>
        </w:rPr>
      </w:pPr>
      <w:r>
        <w:rPr>
          <w:color w:val="000000"/>
        </w:rPr>
        <w:fldChar w:fldCharType="begin"/>
      </w:r>
      <w:r>
        <w:rPr>
          <w:color w:val="000000"/>
        </w:rPr>
        <w:instrText xml:space="preserve"> = 5 \* GB3 </w:instrText>
      </w:r>
      <w:r>
        <w:rPr>
          <w:color w:val="000000"/>
        </w:rPr>
        <w:fldChar w:fldCharType="separate"/>
      </w:r>
      <w:r>
        <w:rPr>
          <w:color w:val="000000"/>
        </w:rPr>
        <w:t>⑤</w:t>
      </w:r>
      <w:r>
        <w:rPr>
          <w:color w:val="000000"/>
        </w:rPr>
        <w:fldChar w:fldCharType="end"/>
      </w:r>
      <w:r>
        <w:rPr>
          <w:color w:val="000000"/>
        </w:rPr>
        <w:t>药物性废物</w:t>
      </w:r>
    </w:p>
    <w:p w14:paraId="2049B8DE">
      <w:pPr>
        <w:pStyle w:val="265"/>
        <w:spacing w:line="500" w:lineRule="exact"/>
        <w:ind w:left="0" w:right="0" w:firstLine="480"/>
        <w:rPr>
          <w:color w:val="000000"/>
        </w:rPr>
      </w:pPr>
      <w:r>
        <w:rPr>
          <w:color w:val="000000"/>
        </w:rPr>
        <w:t>主要是医院过期的、废弃的药品、疫苗、血清、从病房处退回的药品和淘汰的药物等。危险废物编号HW03。</w:t>
      </w:r>
    </w:p>
    <w:p w14:paraId="41DDCF7D">
      <w:pPr>
        <w:pStyle w:val="265"/>
        <w:spacing w:line="500" w:lineRule="exact"/>
        <w:ind w:left="0" w:right="0" w:firstLine="480"/>
        <w:rPr>
          <w:color w:val="000000"/>
        </w:rPr>
      </w:pPr>
      <w:r>
        <w:rPr>
          <w:color w:val="000000"/>
        </w:rPr>
        <w:t>根据现场调查，医院医疗固废目前的产生量为45.9kg/d。</w:t>
      </w:r>
    </w:p>
    <w:p w14:paraId="66278822">
      <w:pPr>
        <w:pStyle w:val="265"/>
        <w:spacing w:line="500" w:lineRule="exact"/>
        <w:ind w:left="0" w:right="0" w:firstLine="480"/>
        <w:rPr>
          <w:rFonts w:hint="eastAsia"/>
          <w:color w:val="000000"/>
        </w:rPr>
      </w:pPr>
      <w:r>
        <w:rPr>
          <w:color w:val="000000"/>
        </w:rPr>
        <w:t>根据调查，上述医疗固废采用袋子收集后，委托</w:t>
      </w:r>
      <w:r>
        <w:rPr>
          <w:rFonts w:hint="eastAsia"/>
          <w:color w:val="000000"/>
        </w:rPr>
        <w:t>芒市环境卫生管理站</w:t>
      </w:r>
      <w:r>
        <w:rPr>
          <w:color w:val="000000"/>
        </w:rPr>
        <w:t>清运、处置，设置</w:t>
      </w:r>
      <w:r>
        <w:rPr>
          <w:rFonts w:hint="eastAsia"/>
          <w:color w:val="000000"/>
        </w:rPr>
        <w:t>了</w:t>
      </w:r>
      <w:r>
        <w:rPr>
          <w:color w:val="000000"/>
        </w:rPr>
        <w:t>医疗废物暂存</w:t>
      </w:r>
      <w:r>
        <w:rPr>
          <w:rFonts w:hint="eastAsia"/>
          <w:color w:val="000000"/>
        </w:rPr>
        <w:t>间</w:t>
      </w:r>
      <w:r>
        <w:rPr>
          <w:color w:val="000000"/>
        </w:rPr>
        <w:t>。符合《危险废物贮存污染控制标准》(GB18597-2001)及《医疗废物管理条例》（国务院2003-380号令）的要求。</w:t>
      </w:r>
    </w:p>
    <w:p w14:paraId="44E37A6F">
      <w:pPr>
        <w:spacing w:line="480" w:lineRule="exact"/>
        <w:ind w:firstLine="482"/>
        <w:rPr>
          <w:b/>
          <w:color w:val="000000"/>
          <w:sz w:val="24"/>
        </w:rPr>
      </w:pPr>
      <w:r>
        <w:rPr>
          <w:rFonts w:hint="eastAsia"/>
          <w:b/>
          <w:color w:val="000000"/>
          <w:sz w:val="24"/>
        </w:rPr>
        <w:t>2</w:t>
      </w:r>
      <w:r>
        <w:rPr>
          <w:rFonts w:hAnsi="宋体"/>
          <w:b/>
          <w:color w:val="000000"/>
          <w:sz w:val="24"/>
        </w:rPr>
        <w:t>、化粪池污泥</w:t>
      </w:r>
    </w:p>
    <w:p w14:paraId="2BFE23F4">
      <w:pPr>
        <w:pStyle w:val="280"/>
        <w:rPr>
          <w:rFonts w:hint="eastAsia"/>
          <w:color w:val="000000"/>
        </w:rPr>
      </w:pPr>
      <w:r>
        <w:rPr>
          <w:color w:val="000000"/>
        </w:rPr>
        <w:t>根据建设单位提供的运行资料，项目化粪池定期清掏，清掏产生量约为10t。污泥清掏后，全部经生石灰消毒处理后交由环卫部门送城市生活垃圾填埋场进行填埋处理。</w:t>
      </w:r>
    </w:p>
    <w:p w14:paraId="774DA8C7">
      <w:pPr>
        <w:spacing w:line="480" w:lineRule="exact"/>
        <w:ind w:firstLine="482"/>
        <w:rPr>
          <w:b/>
          <w:color w:val="000000"/>
          <w:sz w:val="24"/>
        </w:rPr>
      </w:pPr>
      <w:r>
        <w:rPr>
          <w:rFonts w:hint="eastAsia"/>
          <w:b/>
          <w:color w:val="000000"/>
          <w:sz w:val="24"/>
        </w:rPr>
        <w:t>3</w:t>
      </w:r>
      <w:r>
        <w:rPr>
          <w:rFonts w:hAnsi="宋体"/>
          <w:b/>
          <w:color w:val="000000"/>
          <w:sz w:val="24"/>
        </w:rPr>
        <w:t>、生活垃圾</w:t>
      </w:r>
    </w:p>
    <w:p w14:paraId="67B00A61">
      <w:pPr>
        <w:spacing w:line="480" w:lineRule="exact"/>
        <w:ind w:firstLine="480"/>
        <w:rPr>
          <w:color w:val="000000"/>
          <w:sz w:val="24"/>
        </w:rPr>
      </w:pPr>
      <w:r>
        <w:rPr>
          <w:color w:val="000000"/>
          <w:sz w:val="24"/>
        </w:rPr>
        <w:t>医院现有医护及行政人员共计</w:t>
      </w:r>
      <w:r>
        <w:rPr>
          <w:rFonts w:hint="eastAsia"/>
          <w:color w:val="000000"/>
          <w:sz w:val="24"/>
        </w:rPr>
        <w:t>109</w:t>
      </w:r>
      <w:r>
        <w:rPr>
          <w:color w:val="000000"/>
          <w:sz w:val="24"/>
        </w:rPr>
        <w:t>人，每人每天生活垃圾产生量约0.5kg；门诊病人及陪护人员接待量约为</w:t>
      </w:r>
      <w:r>
        <w:rPr>
          <w:rFonts w:hint="eastAsia"/>
          <w:color w:val="000000"/>
          <w:sz w:val="24"/>
        </w:rPr>
        <w:t>450</w:t>
      </w:r>
      <w:r>
        <w:rPr>
          <w:color w:val="000000"/>
          <w:sz w:val="24"/>
        </w:rPr>
        <w:t>（人次）/天，每人次生活垃圾产生量约0.1kg，现有床位</w:t>
      </w:r>
      <w:r>
        <w:rPr>
          <w:rFonts w:hint="eastAsia"/>
          <w:color w:val="000000"/>
          <w:sz w:val="24"/>
        </w:rPr>
        <w:t>93</w:t>
      </w:r>
      <w:r>
        <w:rPr>
          <w:color w:val="000000"/>
          <w:sz w:val="24"/>
        </w:rPr>
        <w:t>张，每床病人每天生活垃圾产生量约0.5kg，则本项目生活垃圾总产生量约为</w:t>
      </w:r>
      <w:r>
        <w:rPr>
          <w:rFonts w:hint="eastAsia"/>
          <w:color w:val="000000"/>
          <w:sz w:val="24"/>
        </w:rPr>
        <w:t>146</w:t>
      </w:r>
      <w:r>
        <w:rPr>
          <w:color w:val="000000"/>
          <w:sz w:val="24"/>
        </w:rPr>
        <w:t>kg/d。</w:t>
      </w:r>
    </w:p>
    <w:p w14:paraId="49740C2F">
      <w:pPr>
        <w:pStyle w:val="280"/>
        <w:rPr>
          <w:color w:val="000000"/>
        </w:rPr>
      </w:pPr>
      <w:r>
        <w:rPr>
          <w:color w:val="000000"/>
        </w:rPr>
        <w:t>生活垃圾由医院清洁工袋装收集后由</w:t>
      </w:r>
      <w:r>
        <w:rPr>
          <w:rFonts w:hint="eastAsia"/>
          <w:color w:val="000000"/>
        </w:rPr>
        <w:t>芒市</w:t>
      </w:r>
      <w:r>
        <w:rPr>
          <w:color w:val="000000"/>
        </w:rPr>
        <w:t>环卫部门送城市生活垃圾填埋场进行填埋处理，日产日清。</w:t>
      </w:r>
    </w:p>
    <w:p w14:paraId="5538F6F3">
      <w:pPr>
        <w:pStyle w:val="280"/>
        <w:rPr>
          <w:color w:val="000000"/>
        </w:rPr>
      </w:pPr>
      <w:r>
        <w:rPr>
          <w:color w:val="000000"/>
        </w:rPr>
        <w:t>综上，</w:t>
      </w:r>
      <w:r>
        <w:rPr>
          <w:rFonts w:hint="eastAsia"/>
          <w:color w:val="000000"/>
        </w:rPr>
        <w:t>芒市妇幼保健院</w:t>
      </w:r>
      <w:r>
        <w:rPr>
          <w:color w:val="000000"/>
        </w:rPr>
        <w:t>现有固废具体产生及排放情况见表2.1-3。</w:t>
      </w:r>
    </w:p>
    <w:p w14:paraId="4A1AC902">
      <w:pPr>
        <w:spacing w:line="480" w:lineRule="exact"/>
        <w:jc w:val="center"/>
        <w:rPr>
          <w:b/>
          <w:color w:val="000000"/>
          <w:sz w:val="24"/>
        </w:rPr>
      </w:pPr>
      <w:r>
        <w:rPr>
          <w:b/>
          <w:color w:val="000000"/>
          <w:sz w:val="24"/>
        </w:rPr>
        <w:t xml:space="preserve">表2.1-3  </w:t>
      </w:r>
      <w:r>
        <w:rPr>
          <w:rFonts w:hint="eastAsia"/>
          <w:b/>
          <w:color w:val="000000"/>
          <w:sz w:val="24"/>
        </w:rPr>
        <w:t>芒市妇幼保健院</w:t>
      </w:r>
      <w:r>
        <w:rPr>
          <w:b/>
          <w:color w:val="000000"/>
          <w:sz w:val="24"/>
        </w:rPr>
        <w:t>现有固废产生及处理情况</w:t>
      </w:r>
    </w:p>
    <w:tbl>
      <w:tblPr>
        <w:tblStyle w:val="27"/>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545"/>
        <w:gridCol w:w="2192"/>
        <w:gridCol w:w="2054"/>
        <w:gridCol w:w="925"/>
        <w:gridCol w:w="3230"/>
      </w:tblGrid>
      <w:tr w14:paraId="70AB7DD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5" w:hRule="atLeast"/>
          <w:tblHeader/>
          <w:jc w:val="center"/>
        </w:trPr>
        <w:tc>
          <w:tcPr>
            <w:tcW w:w="545" w:type="dxa"/>
            <w:noWrap w:val="0"/>
            <w:vAlign w:val="center"/>
          </w:tcPr>
          <w:p w14:paraId="14850175">
            <w:pPr>
              <w:spacing w:line="360" w:lineRule="exact"/>
              <w:jc w:val="center"/>
              <w:rPr>
                <w:color w:val="000000"/>
              </w:rPr>
            </w:pPr>
            <w:r>
              <w:rPr>
                <w:rFonts w:hAnsi="宋体"/>
                <w:color w:val="000000"/>
              </w:rPr>
              <w:t>序号</w:t>
            </w:r>
          </w:p>
        </w:tc>
        <w:tc>
          <w:tcPr>
            <w:tcW w:w="2192" w:type="dxa"/>
            <w:noWrap w:val="0"/>
            <w:vAlign w:val="center"/>
          </w:tcPr>
          <w:p w14:paraId="14EAEF34">
            <w:pPr>
              <w:spacing w:line="360" w:lineRule="exact"/>
              <w:jc w:val="center"/>
              <w:rPr>
                <w:color w:val="000000"/>
              </w:rPr>
            </w:pPr>
            <w:r>
              <w:rPr>
                <w:rFonts w:hAnsi="宋体"/>
                <w:color w:val="000000"/>
              </w:rPr>
              <w:t>分类</w:t>
            </w:r>
          </w:p>
        </w:tc>
        <w:tc>
          <w:tcPr>
            <w:tcW w:w="2054" w:type="dxa"/>
            <w:noWrap w:val="0"/>
            <w:vAlign w:val="center"/>
          </w:tcPr>
          <w:p w14:paraId="1D90EDB3">
            <w:pPr>
              <w:spacing w:line="360" w:lineRule="exact"/>
              <w:jc w:val="center"/>
              <w:rPr>
                <w:color w:val="000000"/>
              </w:rPr>
            </w:pPr>
            <w:r>
              <w:rPr>
                <w:rFonts w:hAnsi="宋体"/>
                <w:color w:val="000000"/>
              </w:rPr>
              <w:t>固废名称</w:t>
            </w:r>
          </w:p>
        </w:tc>
        <w:tc>
          <w:tcPr>
            <w:tcW w:w="925" w:type="dxa"/>
            <w:noWrap w:val="0"/>
            <w:vAlign w:val="center"/>
          </w:tcPr>
          <w:p w14:paraId="19A7325A">
            <w:pPr>
              <w:spacing w:line="360" w:lineRule="exact"/>
              <w:jc w:val="center"/>
              <w:rPr>
                <w:color w:val="000000"/>
              </w:rPr>
            </w:pPr>
            <w:r>
              <w:rPr>
                <w:rFonts w:hAnsi="宋体"/>
                <w:color w:val="000000"/>
              </w:rPr>
              <w:t>产生量</w:t>
            </w:r>
            <w:r>
              <w:rPr>
                <w:color w:val="000000"/>
              </w:rPr>
              <w:t>(t/a)</w:t>
            </w:r>
          </w:p>
        </w:tc>
        <w:tc>
          <w:tcPr>
            <w:tcW w:w="3230" w:type="dxa"/>
            <w:noWrap w:val="0"/>
            <w:vAlign w:val="center"/>
          </w:tcPr>
          <w:p w14:paraId="35709042">
            <w:pPr>
              <w:spacing w:line="360" w:lineRule="exact"/>
              <w:jc w:val="center"/>
              <w:rPr>
                <w:color w:val="000000"/>
              </w:rPr>
            </w:pPr>
            <w:r>
              <w:rPr>
                <w:rFonts w:hAnsi="宋体"/>
                <w:color w:val="000000"/>
              </w:rPr>
              <w:t>处置方法</w:t>
            </w:r>
          </w:p>
        </w:tc>
      </w:tr>
      <w:tr w14:paraId="498D4EC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70" w:hRule="atLeast"/>
          <w:jc w:val="center"/>
        </w:trPr>
        <w:tc>
          <w:tcPr>
            <w:tcW w:w="545" w:type="dxa"/>
            <w:vMerge w:val="restart"/>
            <w:noWrap w:val="0"/>
            <w:vAlign w:val="center"/>
          </w:tcPr>
          <w:p w14:paraId="4223EBF0">
            <w:pPr>
              <w:spacing w:line="360" w:lineRule="exact"/>
              <w:jc w:val="center"/>
              <w:rPr>
                <w:color w:val="000000"/>
              </w:rPr>
            </w:pPr>
            <w:r>
              <w:rPr>
                <w:color w:val="000000"/>
              </w:rPr>
              <w:t>1</w:t>
            </w:r>
          </w:p>
        </w:tc>
        <w:tc>
          <w:tcPr>
            <w:tcW w:w="2192" w:type="dxa"/>
            <w:vMerge w:val="restart"/>
            <w:noWrap w:val="0"/>
            <w:vAlign w:val="center"/>
          </w:tcPr>
          <w:p w14:paraId="77796012">
            <w:pPr>
              <w:pStyle w:val="273"/>
              <w:rPr>
                <w:rFonts w:ascii="Times New Roman" w:hAnsi="Times New Roman"/>
                <w:color w:val="000000"/>
              </w:rPr>
            </w:pPr>
            <w:r>
              <w:rPr>
                <w:rFonts w:ascii="Times New Roman" w:hAnsi="宋体"/>
                <w:color w:val="000000"/>
              </w:rPr>
              <w:t>一般固废</w:t>
            </w:r>
          </w:p>
        </w:tc>
        <w:tc>
          <w:tcPr>
            <w:tcW w:w="2054" w:type="dxa"/>
            <w:noWrap w:val="0"/>
            <w:vAlign w:val="center"/>
          </w:tcPr>
          <w:p w14:paraId="1F4AF2E8">
            <w:pPr>
              <w:spacing w:line="360" w:lineRule="exact"/>
              <w:jc w:val="center"/>
              <w:rPr>
                <w:color w:val="000000"/>
              </w:rPr>
            </w:pPr>
            <w:r>
              <w:rPr>
                <w:rFonts w:hAnsi="宋体"/>
                <w:color w:val="000000"/>
              </w:rPr>
              <w:t>职工生活垃圾</w:t>
            </w:r>
          </w:p>
        </w:tc>
        <w:tc>
          <w:tcPr>
            <w:tcW w:w="925" w:type="dxa"/>
            <w:vMerge w:val="restart"/>
            <w:noWrap w:val="0"/>
            <w:vAlign w:val="center"/>
          </w:tcPr>
          <w:p w14:paraId="19762301">
            <w:pPr>
              <w:spacing w:line="360" w:lineRule="exact"/>
              <w:jc w:val="center"/>
              <w:rPr>
                <w:rFonts w:hint="eastAsia"/>
                <w:color w:val="000000"/>
              </w:rPr>
            </w:pPr>
            <w:r>
              <w:rPr>
                <w:rFonts w:hint="eastAsia"/>
                <w:color w:val="000000"/>
              </w:rPr>
              <w:t>53.29</w:t>
            </w:r>
          </w:p>
        </w:tc>
        <w:tc>
          <w:tcPr>
            <w:tcW w:w="3230" w:type="dxa"/>
            <w:vMerge w:val="restart"/>
            <w:noWrap w:val="0"/>
            <w:vAlign w:val="center"/>
          </w:tcPr>
          <w:p w14:paraId="70D67C20">
            <w:pPr>
              <w:spacing w:line="360" w:lineRule="exact"/>
              <w:jc w:val="center"/>
              <w:rPr>
                <w:color w:val="000000"/>
              </w:rPr>
            </w:pPr>
            <w:r>
              <w:rPr>
                <w:rFonts w:hAnsi="宋体"/>
                <w:color w:val="000000"/>
              </w:rPr>
              <w:t>袋装收集后由环卫部门统一清运至城市生活垃圾填埋厂</w:t>
            </w:r>
          </w:p>
        </w:tc>
      </w:tr>
      <w:tr w14:paraId="17BFA82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55" w:hRule="atLeast"/>
          <w:jc w:val="center"/>
        </w:trPr>
        <w:tc>
          <w:tcPr>
            <w:tcW w:w="545" w:type="dxa"/>
            <w:vMerge w:val="continue"/>
            <w:noWrap w:val="0"/>
            <w:vAlign w:val="center"/>
          </w:tcPr>
          <w:p w14:paraId="48CAD60C">
            <w:pPr>
              <w:rPr>
                <w:color w:val="000000"/>
              </w:rPr>
            </w:pPr>
          </w:p>
        </w:tc>
        <w:tc>
          <w:tcPr>
            <w:tcW w:w="2192" w:type="dxa"/>
            <w:vMerge w:val="continue"/>
            <w:noWrap w:val="0"/>
            <w:vAlign w:val="center"/>
          </w:tcPr>
          <w:p w14:paraId="45D1846A">
            <w:pPr>
              <w:rPr>
                <w:color w:val="000000"/>
              </w:rPr>
            </w:pPr>
          </w:p>
        </w:tc>
        <w:tc>
          <w:tcPr>
            <w:tcW w:w="2054" w:type="dxa"/>
            <w:noWrap w:val="0"/>
            <w:vAlign w:val="center"/>
          </w:tcPr>
          <w:p w14:paraId="7BE60E16">
            <w:pPr>
              <w:spacing w:line="360" w:lineRule="exact"/>
              <w:jc w:val="center"/>
              <w:rPr>
                <w:color w:val="000000"/>
              </w:rPr>
            </w:pPr>
            <w:r>
              <w:rPr>
                <w:rFonts w:hAnsi="宋体"/>
                <w:color w:val="000000"/>
              </w:rPr>
              <w:t>住院病人生活垃圾</w:t>
            </w:r>
          </w:p>
        </w:tc>
        <w:tc>
          <w:tcPr>
            <w:tcW w:w="925" w:type="dxa"/>
            <w:vMerge w:val="continue"/>
            <w:noWrap w:val="0"/>
            <w:vAlign w:val="center"/>
          </w:tcPr>
          <w:p w14:paraId="2EFB1BE0">
            <w:pPr>
              <w:spacing w:line="360" w:lineRule="exact"/>
              <w:jc w:val="center"/>
              <w:rPr>
                <w:color w:val="000000"/>
              </w:rPr>
            </w:pPr>
          </w:p>
        </w:tc>
        <w:tc>
          <w:tcPr>
            <w:tcW w:w="3230" w:type="dxa"/>
            <w:vMerge w:val="continue"/>
            <w:noWrap w:val="0"/>
            <w:vAlign w:val="center"/>
          </w:tcPr>
          <w:p w14:paraId="3E59FA56">
            <w:pPr>
              <w:rPr>
                <w:color w:val="000000"/>
              </w:rPr>
            </w:pPr>
          </w:p>
        </w:tc>
      </w:tr>
      <w:tr w14:paraId="2812C30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70" w:hRule="atLeast"/>
          <w:jc w:val="center"/>
        </w:trPr>
        <w:tc>
          <w:tcPr>
            <w:tcW w:w="545" w:type="dxa"/>
            <w:vMerge w:val="restart"/>
            <w:noWrap w:val="0"/>
            <w:vAlign w:val="center"/>
          </w:tcPr>
          <w:p w14:paraId="1DFA2AD5">
            <w:pPr>
              <w:spacing w:line="360" w:lineRule="exact"/>
              <w:jc w:val="center"/>
              <w:rPr>
                <w:rFonts w:hint="eastAsia"/>
                <w:color w:val="000000"/>
              </w:rPr>
            </w:pPr>
            <w:r>
              <w:rPr>
                <w:rFonts w:hint="eastAsia"/>
                <w:color w:val="000000"/>
              </w:rPr>
              <w:t>2</w:t>
            </w:r>
          </w:p>
        </w:tc>
        <w:tc>
          <w:tcPr>
            <w:tcW w:w="2192" w:type="dxa"/>
            <w:vMerge w:val="restart"/>
            <w:noWrap w:val="0"/>
            <w:vAlign w:val="center"/>
          </w:tcPr>
          <w:p w14:paraId="39A205BD">
            <w:pPr>
              <w:spacing w:line="360" w:lineRule="exact"/>
              <w:jc w:val="center"/>
              <w:rPr>
                <w:color w:val="000000"/>
              </w:rPr>
            </w:pPr>
            <w:r>
              <w:rPr>
                <w:color w:val="000000"/>
              </w:rPr>
              <w:t>HW01</w:t>
            </w:r>
            <w:r>
              <w:rPr>
                <w:rFonts w:hAnsi="宋体"/>
                <w:color w:val="000000"/>
              </w:rPr>
              <w:t>医疗固废</w:t>
            </w:r>
          </w:p>
        </w:tc>
        <w:tc>
          <w:tcPr>
            <w:tcW w:w="2054" w:type="dxa"/>
            <w:noWrap w:val="0"/>
            <w:vAlign w:val="center"/>
          </w:tcPr>
          <w:p w14:paraId="6DBB7EA1">
            <w:pPr>
              <w:widowControl/>
              <w:spacing w:line="360" w:lineRule="exact"/>
              <w:jc w:val="center"/>
              <w:rPr>
                <w:color w:val="000000"/>
                <w:szCs w:val="21"/>
              </w:rPr>
            </w:pPr>
            <w:r>
              <w:rPr>
                <w:rFonts w:hAnsi="宋体"/>
                <w:color w:val="000000"/>
                <w:szCs w:val="21"/>
              </w:rPr>
              <w:t>感染性废物</w:t>
            </w:r>
          </w:p>
        </w:tc>
        <w:tc>
          <w:tcPr>
            <w:tcW w:w="925" w:type="dxa"/>
            <w:vMerge w:val="restart"/>
            <w:noWrap w:val="0"/>
            <w:vAlign w:val="center"/>
          </w:tcPr>
          <w:p w14:paraId="68206443">
            <w:pPr>
              <w:spacing w:line="360" w:lineRule="exact"/>
              <w:jc w:val="center"/>
              <w:rPr>
                <w:color w:val="000000"/>
              </w:rPr>
            </w:pPr>
            <w:r>
              <w:rPr>
                <w:color w:val="000000"/>
              </w:rPr>
              <w:t>16.754</w:t>
            </w:r>
          </w:p>
        </w:tc>
        <w:tc>
          <w:tcPr>
            <w:tcW w:w="3230" w:type="dxa"/>
            <w:vMerge w:val="restart"/>
            <w:noWrap w:val="0"/>
            <w:vAlign w:val="center"/>
          </w:tcPr>
          <w:p w14:paraId="737F8A78">
            <w:pPr>
              <w:spacing w:line="360" w:lineRule="exact"/>
              <w:jc w:val="center"/>
              <w:rPr>
                <w:rFonts w:hint="eastAsia"/>
                <w:color w:val="000000"/>
              </w:rPr>
            </w:pPr>
            <w:r>
              <w:rPr>
                <w:rFonts w:hAnsi="宋体"/>
                <w:color w:val="000000"/>
              </w:rPr>
              <w:t>袋装收集后</w:t>
            </w:r>
            <w:r>
              <w:rPr>
                <w:rFonts w:hint="eastAsia" w:hAnsi="宋体"/>
                <w:color w:val="000000"/>
              </w:rPr>
              <w:t>委托芒市环境卫生管理站处置</w:t>
            </w:r>
          </w:p>
        </w:tc>
      </w:tr>
      <w:tr w14:paraId="552BEA6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82" w:hRule="atLeast"/>
          <w:jc w:val="center"/>
        </w:trPr>
        <w:tc>
          <w:tcPr>
            <w:tcW w:w="545" w:type="dxa"/>
            <w:vMerge w:val="continue"/>
            <w:noWrap w:val="0"/>
            <w:vAlign w:val="center"/>
          </w:tcPr>
          <w:p w14:paraId="35946A1F">
            <w:pPr>
              <w:rPr>
                <w:color w:val="000000"/>
              </w:rPr>
            </w:pPr>
          </w:p>
        </w:tc>
        <w:tc>
          <w:tcPr>
            <w:tcW w:w="2192" w:type="dxa"/>
            <w:vMerge w:val="continue"/>
            <w:noWrap w:val="0"/>
            <w:vAlign w:val="center"/>
          </w:tcPr>
          <w:p w14:paraId="180EBE4F">
            <w:pPr>
              <w:jc w:val="center"/>
              <w:rPr>
                <w:color w:val="000000"/>
              </w:rPr>
            </w:pPr>
          </w:p>
        </w:tc>
        <w:tc>
          <w:tcPr>
            <w:tcW w:w="2054" w:type="dxa"/>
            <w:noWrap w:val="0"/>
            <w:vAlign w:val="center"/>
          </w:tcPr>
          <w:p w14:paraId="03AF12D4">
            <w:pPr>
              <w:widowControl/>
              <w:spacing w:line="360" w:lineRule="exact"/>
              <w:jc w:val="center"/>
              <w:rPr>
                <w:color w:val="000000"/>
                <w:szCs w:val="21"/>
              </w:rPr>
            </w:pPr>
            <w:r>
              <w:rPr>
                <w:rFonts w:hAnsi="宋体"/>
                <w:color w:val="000000"/>
                <w:szCs w:val="21"/>
              </w:rPr>
              <w:t>病理性废物</w:t>
            </w:r>
          </w:p>
        </w:tc>
        <w:tc>
          <w:tcPr>
            <w:tcW w:w="925" w:type="dxa"/>
            <w:vMerge w:val="continue"/>
            <w:noWrap w:val="0"/>
            <w:vAlign w:val="center"/>
          </w:tcPr>
          <w:p w14:paraId="4519CEE9">
            <w:pPr>
              <w:rPr>
                <w:color w:val="000000"/>
              </w:rPr>
            </w:pPr>
          </w:p>
        </w:tc>
        <w:tc>
          <w:tcPr>
            <w:tcW w:w="3230" w:type="dxa"/>
            <w:vMerge w:val="continue"/>
            <w:noWrap w:val="0"/>
            <w:vAlign w:val="center"/>
          </w:tcPr>
          <w:p w14:paraId="70197CBB">
            <w:pPr>
              <w:rPr>
                <w:color w:val="000000"/>
              </w:rPr>
            </w:pPr>
          </w:p>
        </w:tc>
      </w:tr>
      <w:tr w14:paraId="7F7A15E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146" w:hRule="atLeast"/>
          <w:jc w:val="center"/>
        </w:trPr>
        <w:tc>
          <w:tcPr>
            <w:tcW w:w="545" w:type="dxa"/>
            <w:vMerge w:val="continue"/>
            <w:noWrap w:val="0"/>
            <w:vAlign w:val="center"/>
          </w:tcPr>
          <w:p w14:paraId="7E333390">
            <w:pPr>
              <w:rPr>
                <w:color w:val="000000"/>
              </w:rPr>
            </w:pPr>
          </w:p>
        </w:tc>
        <w:tc>
          <w:tcPr>
            <w:tcW w:w="2192" w:type="dxa"/>
            <w:vMerge w:val="continue"/>
            <w:noWrap w:val="0"/>
            <w:vAlign w:val="center"/>
          </w:tcPr>
          <w:p w14:paraId="470FE3A3">
            <w:pPr>
              <w:jc w:val="center"/>
              <w:rPr>
                <w:color w:val="000000"/>
              </w:rPr>
            </w:pPr>
          </w:p>
        </w:tc>
        <w:tc>
          <w:tcPr>
            <w:tcW w:w="2054" w:type="dxa"/>
            <w:noWrap w:val="0"/>
            <w:vAlign w:val="center"/>
          </w:tcPr>
          <w:p w14:paraId="4320295C">
            <w:pPr>
              <w:spacing w:line="360" w:lineRule="exact"/>
              <w:jc w:val="center"/>
              <w:rPr>
                <w:color w:val="000000"/>
                <w:szCs w:val="21"/>
              </w:rPr>
            </w:pPr>
            <w:r>
              <w:rPr>
                <w:rFonts w:hAnsi="宋体"/>
                <w:color w:val="000000"/>
                <w:szCs w:val="21"/>
              </w:rPr>
              <w:t>损伤性废物</w:t>
            </w:r>
          </w:p>
        </w:tc>
        <w:tc>
          <w:tcPr>
            <w:tcW w:w="925" w:type="dxa"/>
            <w:vMerge w:val="continue"/>
            <w:noWrap w:val="0"/>
            <w:vAlign w:val="center"/>
          </w:tcPr>
          <w:p w14:paraId="530FAD87">
            <w:pPr>
              <w:rPr>
                <w:color w:val="000000"/>
              </w:rPr>
            </w:pPr>
          </w:p>
        </w:tc>
        <w:tc>
          <w:tcPr>
            <w:tcW w:w="3230" w:type="dxa"/>
            <w:vMerge w:val="continue"/>
            <w:noWrap w:val="0"/>
            <w:vAlign w:val="center"/>
          </w:tcPr>
          <w:p w14:paraId="646E3885">
            <w:pPr>
              <w:rPr>
                <w:color w:val="000000"/>
              </w:rPr>
            </w:pPr>
          </w:p>
        </w:tc>
      </w:tr>
      <w:tr w14:paraId="30BD24A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89" w:hRule="atLeast"/>
          <w:jc w:val="center"/>
        </w:trPr>
        <w:tc>
          <w:tcPr>
            <w:tcW w:w="545" w:type="dxa"/>
            <w:vMerge w:val="continue"/>
            <w:noWrap w:val="0"/>
            <w:vAlign w:val="center"/>
          </w:tcPr>
          <w:p w14:paraId="5E309AA4">
            <w:pPr>
              <w:rPr>
                <w:color w:val="000000"/>
              </w:rPr>
            </w:pPr>
          </w:p>
        </w:tc>
        <w:tc>
          <w:tcPr>
            <w:tcW w:w="2192" w:type="dxa"/>
            <w:noWrap w:val="0"/>
            <w:vAlign w:val="center"/>
          </w:tcPr>
          <w:p w14:paraId="63F3FDB0">
            <w:pPr>
              <w:jc w:val="center"/>
              <w:rPr>
                <w:color w:val="000000"/>
              </w:rPr>
            </w:pPr>
            <w:r>
              <w:rPr>
                <w:color w:val="000000"/>
              </w:rPr>
              <w:t>HW02</w:t>
            </w:r>
            <w:r>
              <w:rPr>
                <w:rFonts w:hAnsi="宋体"/>
                <w:color w:val="000000"/>
              </w:rPr>
              <w:t>废药物、药品</w:t>
            </w:r>
          </w:p>
        </w:tc>
        <w:tc>
          <w:tcPr>
            <w:tcW w:w="2054" w:type="dxa"/>
            <w:noWrap w:val="0"/>
            <w:vAlign w:val="center"/>
          </w:tcPr>
          <w:p w14:paraId="49FE3F94">
            <w:pPr>
              <w:spacing w:line="360" w:lineRule="exact"/>
              <w:jc w:val="center"/>
              <w:rPr>
                <w:color w:val="000000"/>
                <w:szCs w:val="21"/>
              </w:rPr>
            </w:pPr>
            <w:r>
              <w:rPr>
                <w:rFonts w:hAnsi="宋体"/>
                <w:color w:val="000000"/>
                <w:szCs w:val="21"/>
              </w:rPr>
              <w:t>化学性废物</w:t>
            </w:r>
          </w:p>
        </w:tc>
        <w:tc>
          <w:tcPr>
            <w:tcW w:w="925" w:type="dxa"/>
            <w:vMerge w:val="continue"/>
            <w:noWrap w:val="0"/>
            <w:vAlign w:val="center"/>
          </w:tcPr>
          <w:p w14:paraId="353A3944">
            <w:pPr>
              <w:rPr>
                <w:color w:val="000000"/>
              </w:rPr>
            </w:pPr>
          </w:p>
        </w:tc>
        <w:tc>
          <w:tcPr>
            <w:tcW w:w="3230" w:type="dxa"/>
            <w:vMerge w:val="continue"/>
            <w:noWrap w:val="0"/>
            <w:vAlign w:val="center"/>
          </w:tcPr>
          <w:p w14:paraId="6A2F123B">
            <w:pPr>
              <w:rPr>
                <w:color w:val="000000"/>
              </w:rPr>
            </w:pPr>
          </w:p>
        </w:tc>
      </w:tr>
      <w:tr w14:paraId="3601D60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179" w:hRule="atLeast"/>
          <w:jc w:val="center"/>
        </w:trPr>
        <w:tc>
          <w:tcPr>
            <w:tcW w:w="545" w:type="dxa"/>
            <w:vMerge w:val="continue"/>
            <w:noWrap w:val="0"/>
            <w:vAlign w:val="center"/>
          </w:tcPr>
          <w:p w14:paraId="20C866AF">
            <w:pPr>
              <w:rPr>
                <w:color w:val="000000"/>
              </w:rPr>
            </w:pPr>
          </w:p>
        </w:tc>
        <w:tc>
          <w:tcPr>
            <w:tcW w:w="2192" w:type="dxa"/>
            <w:noWrap w:val="0"/>
            <w:vAlign w:val="center"/>
          </w:tcPr>
          <w:p w14:paraId="61265085">
            <w:pPr>
              <w:rPr>
                <w:color w:val="000000"/>
              </w:rPr>
            </w:pPr>
            <w:r>
              <w:rPr>
                <w:color w:val="000000"/>
              </w:rPr>
              <w:t>HW03</w:t>
            </w:r>
            <w:r>
              <w:rPr>
                <w:rFonts w:hAnsi="宋体"/>
                <w:color w:val="000000"/>
              </w:rPr>
              <w:t>废药物、药品</w:t>
            </w:r>
          </w:p>
        </w:tc>
        <w:tc>
          <w:tcPr>
            <w:tcW w:w="2054" w:type="dxa"/>
            <w:noWrap w:val="0"/>
            <w:vAlign w:val="center"/>
          </w:tcPr>
          <w:p w14:paraId="375DE457">
            <w:pPr>
              <w:spacing w:line="360" w:lineRule="exact"/>
              <w:jc w:val="center"/>
              <w:rPr>
                <w:color w:val="000000"/>
                <w:szCs w:val="21"/>
              </w:rPr>
            </w:pPr>
            <w:r>
              <w:rPr>
                <w:rFonts w:hAnsi="宋体"/>
                <w:color w:val="000000"/>
                <w:szCs w:val="21"/>
              </w:rPr>
              <w:t>药物性废物</w:t>
            </w:r>
          </w:p>
        </w:tc>
        <w:tc>
          <w:tcPr>
            <w:tcW w:w="925" w:type="dxa"/>
            <w:vMerge w:val="continue"/>
            <w:noWrap w:val="0"/>
            <w:vAlign w:val="center"/>
          </w:tcPr>
          <w:p w14:paraId="710D2A5E">
            <w:pPr>
              <w:rPr>
                <w:color w:val="000000"/>
              </w:rPr>
            </w:pPr>
          </w:p>
        </w:tc>
        <w:tc>
          <w:tcPr>
            <w:tcW w:w="3230" w:type="dxa"/>
            <w:vMerge w:val="continue"/>
            <w:noWrap w:val="0"/>
            <w:vAlign w:val="center"/>
          </w:tcPr>
          <w:p w14:paraId="05369C68">
            <w:pPr>
              <w:rPr>
                <w:color w:val="000000"/>
              </w:rPr>
            </w:pPr>
          </w:p>
        </w:tc>
      </w:tr>
      <w:tr w14:paraId="179F924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186" w:hRule="atLeast"/>
          <w:jc w:val="center"/>
        </w:trPr>
        <w:tc>
          <w:tcPr>
            <w:tcW w:w="545" w:type="dxa"/>
            <w:noWrap w:val="0"/>
            <w:vAlign w:val="center"/>
          </w:tcPr>
          <w:p w14:paraId="1432F45C">
            <w:pPr>
              <w:spacing w:line="360" w:lineRule="exact"/>
              <w:jc w:val="center"/>
              <w:rPr>
                <w:rFonts w:hint="eastAsia"/>
                <w:color w:val="000000"/>
              </w:rPr>
            </w:pPr>
            <w:r>
              <w:rPr>
                <w:rFonts w:hint="eastAsia"/>
                <w:color w:val="000000"/>
              </w:rPr>
              <w:t>3</w:t>
            </w:r>
          </w:p>
        </w:tc>
        <w:tc>
          <w:tcPr>
            <w:tcW w:w="2192" w:type="dxa"/>
            <w:noWrap w:val="0"/>
            <w:vAlign w:val="center"/>
          </w:tcPr>
          <w:p w14:paraId="3E8A6BDF">
            <w:pPr>
              <w:spacing w:line="360" w:lineRule="exact"/>
              <w:jc w:val="center"/>
              <w:rPr>
                <w:color w:val="000000"/>
              </w:rPr>
            </w:pPr>
            <w:r>
              <w:rPr>
                <w:rFonts w:hAnsi="宋体"/>
                <w:color w:val="000000"/>
              </w:rPr>
              <w:t>危险固废</w:t>
            </w:r>
          </w:p>
        </w:tc>
        <w:tc>
          <w:tcPr>
            <w:tcW w:w="2054" w:type="dxa"/>
            <w:noWrap w:val="0"/>
            <w:vAlign w:val="center"/>
          </w:tcPr>
          <w:p w14:paraId="0421E85F">
            <w:pPr>
              <w:spacing w:line="360" w:lineRule="exact"/>
              <w:jc w:val="center"/>
              <w:rPr>
                <w:color w:val="000000"/>
              </w:rPr>
            </w:pPr>
            <w:r>
              <w:rPr>
                <w:rFonts w:hAnsi="宋体"/>
                <w:color w:val="000000"/>
              </w:rPr>
              <w:t>化粪池污泥</w:t>
            </w:r>
          </w:p>
        </w:tc>
        <w:tc>
          <w:tcPr>
            <w:tcW w:w="925" w:type="dxa"/>
            <w:noWrap w:val="0"/>
            <w:vAlign w:val="center"/>
          </w:tcPr>
          <w:p w14:paraId="0AB6E767">
            <w:pPr>
              <w:pStyle w:val="273"/>
              <w:rPr>
                <w:rFonts w:ascii="Times New Roman" w:hAnsi="Times New Roman"/>
                <w:color w:val="000000"/>
              </w:rPr>
            </w:pPr>
            <w:r>
              <w:rPr>
                <w:rFonts w:ascii="Times New Roman" w:hAnsi="Times New Roman"/>
                <w:color w:val="000000"/>
              </w:rPr>
              <w:t>10</w:t>
            </w:r>
          </w:p>
        </w:tc>
        <w:tc>
          <w:tcPr>
            <w:tcW w:w="3230" w:type="dxa"/>
            <w:noWrap w:val="0"/>
            <w:vAlign w:val="center"/>
          </w:tcPr>
          <w:p w14:paraId="4694EFE7">
            <w:pPr>
              <w:spacing w:line="360" w:lineRule="exact"/>
              <w:jc w:val="center"/>
              <w:rPr>
                <w:color w:val="000000"/>
              </w:rPr>
            </w:pPr>
            <w:r>
              <w:rPr>
                <w:rFonts w:hAnsi="宋体"/>
                <w:color w:val="000000"/>
              </w:rPr>
              <w:t>清掏消毒后交由环卫部门送城市生活垃圾填埋场进行填埋处理。</w:t>
            </w:r>
          </w:p>
        </w:tc>
      </w:tr>
      <w:tr w14:paraId="20256B5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4791" w:type="dxa"/>
            <w:gridSpan w:val="3"/>
            <w:noWrap w:val="0"/>
            <w:vAlign w:val="center"/>
          </w:tcPr>
          <w:p w14:paraId="7A2EC488">
            <w:pPr>
              <w:spacing w:line="360" w:lineRule="exact"/>
              <w:jc w:val="center"/>
              <w:rPr>
                <w:color w:val="000000"/>
              </w:rPr>
            </w:pPr>
            <w:r>
              <w:rPr>
                <w:rFonts w:hAnsi="宋体"/>
                <w:color w:val="000000"/>
              </w:rPr>
              <w:t>合计</w:t>
            </w:r>
          </w:p>
        </w:tc>
        <w:tc>
          <w:tcPr>
            <w:tcW w:w="925" w:type="dxa"/>
            <w:noWrap w:val="0"/>
            <w:vAlign w:val="center"/>
          </w:tcPr>
          <w:p w14:paraId="598FF7F4">
            <w:pPr>
              <w:spacing w:line="360" w:lineRule="exact"/>
              <w:jc w:val="center"/>
              <w:rPr>
                <w:rFonts w:hint="eastAsia"/>
                <w:color w:val="000000"/>
              </w:rPr>
            </w:pPr>
            <w:r>
              <w:rPr>
                <w:rFonts w:hint="eastAsia"/>
                <w:color w:val="000000"/>
              </w:rPr>
              <w:t>80.044</w:t>
            </w:r>
          </w:p>
        </w:tc>
        <w:tc>
          <w:tcPr>
            <w:tcW w:w="3230" w:type="dxa"/>
            <w:noWrap w:val="0"/>
            <w:vAlign w:val="center"/>
          </w:tcPr>
          <w:p w14:paraId="32232D47">
            <w:pPr>
              <w:spacing w:line="360" w:lineRule="exact"/>
              <w:jc w:val="center"/>
              <w:rPr>
                <w:color w:val="000000"/>
              </w:rPr>
            </w:pPr>
            <w:r>
              <w:rPr>
                <w:color w:val="000000"/>
              </w:rPr>
              <w:t>/</w:t>
            </w:r>
          </w:p>
        </w:tc>
      </w:tr>
    </w:tbl>
    <w:p w14:paraId="755F07A4">
      <w:pPr>
        <w:tabs>
          <w:tab w:val="left" w:pos="536"/>
        </w:tabs>
        <w:spacing w:line="500" w:lineRule="exact"/>
        <w:jc w:val="left"/>
        <w:outlineLvl w:val="3"/>
        <w:rPr>
          <w:b/>
          <w:color w:val="000000"/>
          <w:sz w:val="24"/>
        </w:rPr>
      </w:pPr>
      <w:bookmarkStart w:id="119" w:name="_Toc257060350"/>
      <w:bookmarkStart w:id="120" w:name="_Toc257038678"/>
      <w:bookmarkStart w:id="121" w:name="_Toc391909836"/>
      <w:r>
        <w:rPr>
          <w:b/>
          <w:color w:val="000000"/>
          <w:sz w:val="24"/>
        </w:rPr>
        <w:t>2.</w:t>
      </w:r>
      <w:r>
        <w:rPr>
          <w:rFonts w:hint="eastAsia"/>
          <w:b/>
          <w:color w:val="000000"/>
          <w:sz w:val="24"/>
        </w:rPr>
        <w:t>1.</w:t>
      </w:r>
      <w:r>
        <w:rPr>
          <w:b/>
          <w:color w:val="000000"/>
          <w:sz w:val="24"/>
        </w:rPr>
        <w:t>4.3噪声</w:t>
      </w:r>
      <w:bookmarkEnd w:id="119"/>
      <w:bookmarkEnd w:id="120"/>
      <w:r>
        <w:rPr>
          <w:b/>
          <w:color w:val="000000"/>
          <w:sz w:val="24"/>
        </w:rPr>
        <w:t>产生及排放现状</w:t>
      </w:r>
      <w:bookmarkEnd w:id="121"/>
    </w:p>
    <w:p w14:paraId="67544D9A">
      <w:pPr>
        <w:spacing w:line="480" w:lineRule="exact"/>
        <w:ind w:firstLine="480"/>
        <w:rPr>
          <w:color w:val="000000"/>
          <w:sz w:val="24"/>
        </w:rPr>
      </w:pPr>
      <w:r>
        <w:rPr>
          <w:rFonts w:hAnsi="宋体"/>
          <w:color w:val="000000"/>
          <w:sz w:val="24"/>
        </w:rPr>
        <w:t>目前医院产生的主要噪声源是备用发电机、排风机及社会生活噪声，它们的声级为</w:t>
      </w:r>
      <w:r>
        <w:rPr>
          <w:color w:val="000000"/>
          <w:sz w:val="24"/>
        </w:rPr>
        <w:t>65</w:t>
      </w:r>
      <w:r>
        <w:rPr>
          <w:rFonts w:hAnsi="宋体"/>
          <w:color w:val="000000"/>
          <w:sz w:val="24"/>
        </w:rPr>
        <w:t>～</w:t>
      </w:r>
      <w:r>
        <w:rPr>
          <w:color w:val="000000"/>
          <w:sz w:val="24"/>
        </w:rPr>
        <w:t>90dB(A)</w:t>
      </w:r>
      <w:r>
        <w:rPr>
          <w:rFonts w:hAnsi="宋体"/>
          <w:color w:val="000000"/>
          <w:sz w:val="24"/>
        </w:rPr>
        <w:t>；营业期间行政管理员工、就诊人员日常工作、活动的稳定的、短暂的社会生活噪声，对外环境不会造成持续、明显影响。</w:t>
      </w:r>
    </w:p>
    <w:p w14:paraId="659EE686">
      <w:pPr>
        <w:spacing w:line="480" w:lineRule="exact"/>
        <w:ind w:firstLine="480"/>
        <w:rPr>
          <w:color w:val="000000"/>
          <w:sz w:val="24"/>
        </w:rPr>
      </w:pPr>
      <w:r>
        <w:rPr>
          <w:rFonts w:hAnsi="宋体"/>
          <w:color w:val="000000"/>
          <w:sz w:val="24"/>
        </w:rPr>
        <w:t>各种设备噪声源强值见表</w:t>
      </w:r>
      <w:r>
        <w:rPr>
          <w:bCs/>
          <w:color w:val="000000"/>
          <w:sz w:val="24"/>
        </w:rPr>
        <w:t>2.1</w:t>
      </w:r>
      <w:r>
        <w:rPr>
          <w:color w:val="000000"/>
          <w:sz w:val="24"/>
        </w:rPr>
        <w:t>-4</w:t>
      </w:r>
      <w:r>
        <w:rPr>
          <w:rFonts w:hAnsi="宋体"/>
          <w:color w:val="000000"/>
          <w:sz w:val="24"/>
        </w:rPr>
        <w:t>。</w:t>
      </w:r>
    </w:p>
    <w:p w14:paraId="24971FC1">
      <w:pPr>
        <w:spacing w:line="480" w:lineRule="exact"/>
        <w:jc w:val="center"/>
        <w:rPr>
          <w:b/>
          <w:color w:val="000000"/>
          <w:sz w:val="24"/>
        </w:rPr>
      </w:pPr>
      <w:r>
        <w:rPr>
          <w:b/>
          <w:color w:val="000000"/>
          <w:sz w:val="24"/>
        </w:rPr>
        <w:t>表2.1-4  现有噪声源统计</w:t>
      </w:r>
    </w:p>
    <w:tbl>
      <w:tblPr>
        <w:tblStyle w:val="27"/>
        <w:tblW w:w="0" w:type="auto"/>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884"/>
        <w:gridCol w:w="2303"/>
        <w:gridCol w:w="2687"/>
        <w:gridCol w:w="3072"/>
      </w:tblGrid>
      <w:tr w14:paraId="1EE7ACB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41" w:hRule="atLeast"/>
          <w:jc w:val="center"/>
        </w:trPr>
        <w:tc>
          <w:tcPr>
            <w:tcW w:w="884" w:type="dxa"/>
            <w:noWrap w:val="0"/>
            <w:vAlign w:val="center"/>
          </w:tcPr>
          <w:p w14:paraId="7401DBF7">
            <w:pPr>
              <w:spacing w:line="300" w:lineRule="exact"/>
              <w:jc w:val="center"/>
              <w:rPr>
                <w:color w:val="000000"/>
                <w:szCs w:val="21"/>
              </w:rPr>
            </w:pPr>
            <w:r>
              <w:rPr>
                <w:rFonts w:hAnsi="宋体"/>
                <w:color w:val="000000"/>
                <w:szCs w:val="21"/>
              </w:rPr>
              <w:t>序号</w:t>
            </w:r>
          </w:p>
        </w:tc>
        <w:tc>
          <w:tcPr>
            <w:tcW w:w="2303" w:type="dxa"/>
            <w:noWrap w:val="0"/>
            <w:vAlign w:val="center"/>
          </w:tcPr>
          <w:p w14:paraId="06251F9A">
            <w:pPr>
              <w:spacing w:line="300" w:lineRule="exact"/>
              <w:jc w:val="center"/>
              <w:rPr>
                <w:color w:val="000000"/>
                <w:szCs w:val="21"/>
              </w:rPr>
            </w:pPr>
            <w:r>
              <w:rPr>
                <w:rFonts w:hAnsi="宋体"/>
                <w:color w:val="000000"/>
                <w:szCs w:val="21"/>
              </w:rPr>
              <w:t>项目名称</w:t>
            </w:r>
          </w:p>
        </w:tc>
        <w:tc>
          <w:tcPr>
            <w:tcW w:w="2687" w:type="dxa"/>
            <w:noWrap w:val="0"/>
            <w:vAlign w:val="center"/>
          </w:tcPr>
          <w:p w14:paraId="48C6D3D8">
            <w:pPr>
              <w:spacing w:line="300" w:lineRule="exact"/>
              <w:jc w:val="center"/>
              <w:rPr>
                <w:color w:val="000000"/>
                <w:szCs w:val="21"/>
              </w:rPr>
            </w:pPr>
            <w:r>
              <w:rPr>
                <w:rFonts w:hAnsi="宋体"/>
                <w:color w:val="000000"/>
                <w:szCs w:val="21"/>
              </w:rPr>
              <w:t>主要产噪设备</w:t>
            </w:r>
          </w:p>
        </w:tc>
        <w:tc>
          <w:tcPr>
            <w:tcW w:w="3072" w:type="dxa"/>
            <w:noWrap w:val="0"/>
            <w:vAlign w:val="center"/>
          </w:tcPr>
          <w:p w14:paraId="7CC9072E">
            <w:pPr>
              <w:spacing w:line="300" w:lineRule="exact"/>
              <w:jc w:val="center"/>
              <w:rPr>
                <w:color w:val="000000"/>
                <w:szCs w:val="21"/>
              </w:rPr>
            </w:pPr>
            <w:r>
              <w:rPr>
                <w:rFonts w:hAnsi="宋体"/>
                <w:color w:val="000000"/>
                <w:szCs w:val="21"/>
              </w:rPr>
              <w:t>噪声值（</w:t>
            </w:r>
            <w:r>
              <w:rPr>
                <w:color w:val="000000"/>
                <w:szCs w:val="21"/>
              </w:rPr>
              <w:t>dB(A)</w:t>
            </w:r>
            <w:r>
              <w:rPr>
                <w:rFonts w:hAnsi="宋体"/>
                <w:color w:val="000000"/>
                <w:szCs w:val="21"/>
              </w:rPr>
              <w:t>）</w:t>
            </w:r>
          </w:p>
        </w:tc>
      </w:tr>
      <w:tr w14:paraId="57F2FC0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41" w:hRule="atLeast"/>
          <w:jc w:val="center"/>
        </w:trPr>
        <w:tc>
          <w:tcPr>
            <w:tcW w:w="884" w:type="dxa"/>
            <w:noWrap w:val="0"/>
            <w:vAlign w:val="center"/>
          </w:tcPr>
          <w:p w14:paraId="04D062C3">
            <w:pPr>
              <w:spacing w:line="300" w:lineRule="exact"/>
              <w:jc w:val="center"/>
              <w:rPr>
                <w:color w:val="000000"/>
                <w:szCs w:val="21"/>
              </w:rPr>
            </w:pPr>
            <w:r>
              <w:rPr>
                <w:color w:val="000000"/>
                <w:szCs w:val="21"/>
              </w:rPr>
              <w:t>1</w:t>
            </w:r>
          </w:p>
        </w:tc>
        <w:tc>
          <w:tcPr>
            <w:tcW w:w="2303" w:type="dxa"/>
            <w:noWrap w:val="0"/>
            <w:vAlign w:val="center"/>
          </w:tcPr>
          <w:p w14:paraId="5A86A5C4">
            <w:pPr>
              <w:spacing w:line="300" w:lineRule="exact"/>
              <w:jc w:val="center"/>
              <w:rPr>
                <w:color w:val="000000"/>
                <w:szCs w:val="21"/>
              </w:rPr>
            </w:pPr>
            <w:r>
              <w:rPr>
                <w:rFonts w:hAnsi="宋体"/>
                <w:color w:val="000000"/>
                <w:szCs w:val="21"/>
              </w:rPr>
              <w:t>柴油发电机组</w:t>
            </w:r>
          </w:p>
        </w:tc>
        <w:tc>
          <w:tcPr>
            <w:tcW w:w="2687" w:type="dxa"/>
            <w:noWrap w:val="0"/>
            <w:vAlign w:val="center"/>
          </w:tcPr>
          <w:p w14:paraId="34384166">
            <w:pPr>
              <w:spacing w:line="300" w:lineRule="exact"/>
              <w:jc w:val="center"/>
              <w:rPr>
                <w:color w:val="000000"/>
                <w:szCs w:val="21"/>
              </w:rPr>
            </w:pPr>
            <w:r>
              <w:rPr>
                <w:rFonts w:hAnsi="宋体"/>
                <w:color w:val="000000"/>
                <w:szCs w:val="21"/>
              </w:rPr>
              <w:t>柴油发电机</w:t>
            </w:r>
          </w:p>
        </w:tc>
        <w:tc>
          <w:tcPr>
            <w:tcW w:w="3072" w:type="dxa"/>
            <w:noWrap w:val="0"/>
            <w:vAlign w:val="center"/>
          </w:tcPr>
          <w:p w14:paraId="0F976AC2">
            <w:pPr>
              <w:spacing w:line="300" w:lineRule="exact"/>
              <w:jc w:val="center"/>
              <w:rPr>
                <w:color w:val="000000"/>
                <w:szCs w:val="21"/>
              </w:rPr>
            </w:pPr>
            <w:r>
              <w:rPr>
                <w:color w:val="000000"/>
                <w:szCs w:val="21"/>
              </w:rPr>
              <w:t>90</w:t>
            </w:r>
          </w:p>
        </w:tc>
      </w:tr>
      <w:tr w14:paraId="62634FA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41" w:hRule="atLeast"/>
          <w:jc w:val="center"/>
        </w:trPr>
        <w:tc>
          <w:tcPr>
            <w:tcW w:w="884" w:type="dxa"/>
            <w:noWrap w:val="0"/>
            <w:vAlign w:val="center"/>
          </w:tcPr>
          <w:p w14:paraId="6E7CEFCA">
            <w:pPr>
              <w:spacing w:line="300" w:lineRule="exact"/>
              <w:jc w:val="center"/>
              <w:rPr>
                <w:color w:val="000000"/>
                <w:szCs w:val="21"/>
              </w:rPr>
            </w:pPr>
            <w:r>
              <w:rPr>
                <w:color w:val="000000"/>
                <w:szCs w:val="21"/>
              </w:rPr>
              <w:t>2</w:t>
            </w:r>
          </w:p>
        </w:tc>
        <w:tc>
          <w:tcPr>
            <w:tcW w:w="2303" w:type="dxa"/>
            <w:noWrap w:val="0"/>
            <w:vAlign w:val="center"/>
          </w:tcPr>
          <w:p w14:paraId="469B0185">
            <w:pPr>
              <w:spacing w:line="300" w:lineRule="exact"/>
              <w:jc w:val="center"/>
              <w:rPr>
                <w:color w:val="000000"/>
                <w:szCs w:val="21"/>
              </w:rPr>
            </w:pPr>
            <w:r>
              <w:rPr>
                <w:rFonts w:hAnsi="宋体"/>
                <w:color w:val="000000"/>
                <w:szCs w:val="21"/>
              </w:rPr>
              <w:t>排风系统</w:t>
            </w:r>
          </w:p>
        </w:tc>
        <w:tc>
          <w:tcPr>
            <w:tcW w:w="2687" w:type="dxa"/>
            <w:noWrap w:val="0"/>
            <w:vAlign w:val="center"/>
          </w:tcPr>
          <w:p w14:paraId="35AE8B41">
            <w:pPr>
              <w:spacing w:line="300" w:lineRule="exact"/>
              <w:jc w:val="center"/>
              <w:rPr>
                <w:color w:val="000000"/>
                <w:szCs w:val="21"/>
              </w:rPr>
            </w:pPr>
            <w:r>
              <w:rPr>
                <w:rFonts w:hAnsi="宋体"/>
                <w:color w:val="000000"/>
                <w:szCs w:val="21"/>
              </w:rPr>
              <w:t>风机</w:t>
            </w:r>
          </w:p>
        </w:tc>
        <w:tc>
          <w:tcPr>
            <w:tcW w:w="3072" w:type="dxa"/>
            <w:noWrap w:val="0"/>
            <w:vAlign w:val="center"/>
          </w:tcPr>
          <w:p w14:paraId="246D43BC">
            <w:pPr>
              <w:spacing w:line="300" w:lineRule="exact"/>
              <w:jc w:val="center"/>
              <w:rPr>
                <w:color w:val="000000"/>
                <w:szCs w:val="21"/>
              </w:rPr>
            </w:pPr>
            <w:r>
              <w:rPr>
                <w:color w:val="000000"/>
                <w:szCs w:val="21"/>
              </w:rPr>
              <w:t>70</w:t>
            </w:r>
          </w:p>
        </w:tc>
      </w:tr>
      <w:tr w14:paraId="1141647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41" w:hRule="atLeast"/>
          <w:jc w:val="center"/>
        </w:trPr>
        <w:tc>
          <w:tcPr>
            <w:tcW w:w="884" w:type="dxa"/>
            <w:noWrap w:val="0"/>
            <w:vAlign w:val="center"/>
          </w:tcPr>
          <w:p w14:paraId="7353FB50">
            <w:pPr>
              <w:spacing w:line="300" w:lineRule="exact"/>
              <w:jc w:val="center"/>
              <w:rPr>
                <w:color w:val="000000"/>
                <w:szCs w:val="21"/>
              </w:rPr>
            </w:pPr>
            <w:r>
              <w:rPr>
                <w:color w:val="000000"/>
                <w:szCs w:val="21"/>
              </w:rPr>
              <w:t>3</w:t>
            </w:r>
          </w:p>
        </w:tc>
        <w:tc>
          <w:tcPr>
            <w:tcW w:w="2303" w:type="dxa"/>
            <w:noWrap w:val="0"/>
            <w:vAlign w:val="center"/>
          </w:tcPr>
          <w:p w14:paraId="2B994123">
            <w:pPr>
              <w:spacing w:line="300" w:lineRule="exact"/>
              <w:jc w:val="center"/>
              <w:rPr>
                <w:color w:val="000000"/>
                <w:szCs w:val="21"/>
              </w:rPr>
            </w:pPr>
            <w:r>
              <w:rPr>
                <w:rFonts w:hAnsi="宋体"/>
                <w:color w:val="000000"/>
                <w:szCs w:val="21"/>
              </w:rPr>
              <w:t>门诊部</w:t>
            </w:r>
          </w:p>
        </w:tc>
        <w:tc>
          <w:tcPr>
            <w:tcW w:w="2687" w:type="dxa"/>
            <w:noWrap w:val="0"/>
            <w:vAlign w:val="center"/>
          </w:tcPr>
          <w:p w14:paraId="14C140C0">
            <w:pPr>
              <w:spacing w:line="300" w:lineRule="exact"/>
              <w:jc w:val="center"/>
              <w:rPr>
                <w:color w:val="000000"/>
                <w:szCs w:val="21"/>
              </w:rPr>
            </w:pPr>
            <w:r>
              <w:rPr>
                <w:rFonts w:hAnsi="宋体"/>
                <w:color w:val="000000"/>
                <w:szCs w:val="21"/>
              </w:rPr>
              <w:t>人群</w:t>
            </w:r>
          </w:p>
        </w:tc>
        <w:tc>
          <w:tcPr>
            <w:tcW w:w="3072" w:type="dxa"/>
            <w:noWrap w:val="0"/>
            <w:vAlign w:val="center"/>
          </w:tcPr>
          <w:p w14:paraId="407EF315">
            <w:pPr>
              <w:spacing w:line="300" w:lineRule="exact"/>
              <w:jc w:val="center"/>
              <w:rPr>
                <w:color w:val="000000"/>
                <w:szCs w:val="21"/>
              </w:rPr>
            </w:pPr>
            <w:r>
              <w:rPr>
                <w:color w:val="000000"/>
                <w:szCs w:val="21"/>
              </w:rPr>
              <w:t>65</w:t>
            </w:r>
          </w:p>
        </w:tc>
      </w:tr>
    </w:tbl>
    <w:p w14:paraId="67BB9DF5">
      <w:pPr>
        <w:tabs>
          <w:tab w:val="left" w:pos="536"/>
        </w:tabs>
        <w:spacing w:line="500" w:lineRule="exact"/>
        <w:jc w:val="left"/>
        <w:outlineLvl w:val="3"/>
        <w:rPr>
          <w:b/>
          <w:color w:val="000000"/>
          <w:sz w:val="24"/>
        </w:rPr>
      </w:pPr>
      <w:bookmarkStart w:id="122" w:name="_Toc391909837"/>
      <w:r>
        <w:rPr>
          <w:b/>
          <w:color w:val="000000"/>
          <w:sz w:val="24"/>
        </w:rPr>
        <w:t>2.</w:t>
      </w:r>
      <w:r>
        <w:rPr>
          <w:rFonts w:hint="eastAsia"/>
          <w:b/>
          <w:color w:val="000000"/>
          <w:sz w:val="24"/>
        </w:rPr>
        <w:t>1.</w:t>
      </w:r>
      <w:r>
        <w:rPr>
          <w:b/>
          <w:color w:val="000000"/>
          <w:sz w:val="24"/>
        </w:rPr>
        <w:t>4.4废气产生及排放现状</w:t>
      </w:r>
      <w:bookmarkEnd w:id="122"/>
    </w:p>
    <w:p w14:paraId="75B89F26">
      <w:pPr>
        <w:spacing w:line="500" w:lineRule="exact"/>
        <w:ind w:firstLine="482"/>
        <w:rPr>
          <w:color w:val="000000"/>
          <w:sz w:val="24"/>
        </w:rPr>
      </w:pPr>
      <w:r>
        <w:rPr>
          <w:color w:val="000000"/>
          <w:sz w:val="24"/>
        </w:rPr>
        <w:t>根据现场勘查，目前医院主要废气污染源为食堂饮食油烟及备用发电机产生的废气。</w:t>
      </w:r>
    </w:p>
    <w:p w14:paraId="3FF8907D">
      <w:pPr>
        <w:spacing w:line="500" w:lineRule="exact"/>
        <w:ind w:firstLine="482"/>
        <w:rPr>
          <w:b/>
          <w:color w:val="000000"/>
          <w:sz w:val="24"/>
        </w:rPr>
      </w:pPr>
      <w:r>
        <w:rPr>
          <w:b/>
          <w:color w:val="000000"/>
          <w:sz w:val="24"/>
        </w:rPr>
        <w:t>1、食堂油烟</w:t>
      </w:r>
    </w:p>
    <w:p w14:paraId="1B107DAB">
      <w:pPr>
        <w:pStyle w:val="268"/>
        <w:spacing w:before="0" w:line="500" w:lineRule="exact"/>
        <w:ind w:firstLine="480"/>
        <w:rPr>
          <w:rFonts w:hint="eastAsia"/>
          <w:color w:val="000000"/>
        </w:rPr>
      </w:pPr>
      <w:r>
        <w:rPr>
          <w:color w:val="000000"/>
        </w:rPr>
        <w:t>根据</w:t>
      </w:r>
      <w:r>
        <w:rPr>
          <w:rFonts w:hint="eastAsia"/>
          <w:color w:val="000000"/>
        </w:rPr>
        <w:t>现场调查，项目区现场已无食堂存在。</w:t>
      </w:r>
    </w:p>
    <w:p w14:paraId="098E5CED">
      <w:pPr>
        <w:spacing w:line="500" w:lineRule="exact"/>
        <w:ind w:firstLine="482"/>
        <w:rPr>
          <w:b/>
          <w:color w:val="000000"/>
          <w:sz w:val="24"/>
        </w:rPr>
      </w:pPr>
      <w:r>
        <w:rPr>
          <w:b/>
          <w:color w:val="000000"/>
          <w:sz w:val="24"/>
        </w:rPr>
        <w:t>2、柴油发电机废气</w:t>
      </w:r>
    </w:p>
    <w:p w14:paraId="581D6A58">
      <w:pPr>
        <w:pStyle w:val="268"/>
        <w:spacing w:before="0" w:line="500" w:lineRule="exact"/>
        <w:ind w:firstLine="480"/>
        <w:rPr>
          <w:rFonts w:hint="eastAsia"/>
          <w:color w:val="000000"/>
        </w:rPr>
      </w:pPr>
      <w:r>
        <w:rPr>
          <w:color w:val="000000"/>
        </w:rPr>
        <w:t>本项目设有备用发电机一台，仅停电使</w:t>
      </w:r>
      <w:r>
        <w:rPr>
          <w:rFonts w:hAnsi="宋体"/>
          <w:color w:val="000000"/>
        </w:rPr>
        <w:t>用，使用频率低。发电机采用</w:t>
      </w:r>
      <w:r>
        <w:rPr>
          <w:color w:val="000000"/>
        </w:rPr>
        <w:t>0</w:t>
      </w:r>
      <w:r>
        <w:rPr>
          <w:color w:val="000000"/>
          <w:vertAlign w:val="superscript"/>
        </w:rPr>
        <w:t>#</w:t>
      </w:r>
      <w:r>
        <w:rPr>
          <w:rFonts w:hAnsi="宋体"/>
          <w:color w:val="000000"/>
        </w:rPr>
        <w:t>柴油作为燃料，其运行时会产生少量废气，污染物主要为</w:t>
      </w:r>
      <w:r>
        <w:rPr>
          <w:color w:val="000000"/>
        </w:rPr>
        <w:t>CO</w:t>
      </w:r>
      <w:r>
        <w:rPr>
          <w:rFonts w:hAnsi="宋体"/>
          <w:color w:val="000000"/>
        </w:rPr>
        <w:t>、</w:t>
      </w:r>
      <w:r>
        <w:rPr>
          <w:color w:val="000000"/>
        </w:rPr>
        <w:t>HC</w:t>
      </w:r>
      <w:r>
        <w:rPr>
          <w:rFonts w:hAnsi="宋体"/>
          <w:color w:val="000000"/>
        </w:rPr>
        <w:t>、</w:t>
      </w:r>
      <w:r>
        <w:rPr>
          <w:color w:val="000000"/>
        </w:rPr>
        <w:t>NO</w:t>
      </w:r>
      <w:r>
        <w:rPr>
          <w:color w:val="000000"/>
          <w:vertAlign w:val="subscript"/>
        </w:rPr>
        <w:t>X</w:t>
      </w:r>
      <w:r>
        <w:rPr>
          <w:rFonts w:hAnsi="宋体"/>
          <w:color w:val="000000"/>
        </w:rPr>
        <w:t>等，</w:t>
      </w:r>
      <w:r>
        <w:rPr>
          <w:color w:val="000000"/>
        </w:rPr>
        <w:t>呈无组织排放。</w:t>
      </w:r>
    </w:p>
    <w:p w14:paraId="32C5F490">
      <w:pPr>
        <w:tabs>
          <w:tab w:val="left" w:pos="536"/>
        </w:tabs>
        <w:spacing w:line="500" w:lineRule="exact"/>
        <w:jc w:val="left"/>
        <w:outlineLvl w:val="3"/>
        <w:rPr>
          <w:rFonts w:hint="eastAsia"/>
          <w:b/>
          <w:color w:val="000000"/>
          <w:sz w:val="24"/>
        </w:rPr>
      </w:pPr>
      <w:bookmarkStart w:id="123" w:name="_Toc391909838"/>
      <w:r>
        <w:rPr>
          <w:b/>
          <w:color w:val="000000"/>
          <w:sz w:val="24"/>
        </w:rPr>
        <w:t>2.</w:t>
      </w:r>
      <w:r>
        <w:rPr>
          <w:rFonts w:hint="eastAsia"/>
          <w:b/>
          <w:color w:val="000000"/>
          <w:sz w:val="24"/>
        </w:rPr>
        <w:t>1.</w:t>
      </w:r>
      <w:r>
        <w:rPr>
          <w:b/>
          <w:color w:val="000000"/>
          <w:sz w:val="24"/>
        </w:rPr>
        <w:t>4.</w:t>
      </w:r>
      <w:r>
        <w:rPr>
          <w:rFonts w:hint="eastAsia"/>
          <w:b/>
          <w:color w:val="000000"/>
          <w:sz w:val="24"/>
        </w:rPr>
        <w:t>5项目区存在的主要环境问题</w:t>
      </w:r>
      <w:bookmarkEnd w:id="123"/>
    </w:p>
    <w:p w14:paraId="237E1F08">
      <w:pPr>
        <w:spacing w:line="480" w:lineRule="exact"/>
        <w:ind w:firstLine="480"/>
        <w:rPr>
          <w:bCs/>
          <w:color w:val="000000"/>
          <w:sz w:val="24"/>
        </w:rPr>
      </w:pPr>
      <w:r>
        <w:rPr>
          <w:rFonts w:hint="eastAsia"/>
          <w:bCs/>
          <w:color w:val="000000"/>
          <w:sz w:val="24"/>
        </w:rPr>
        <w:t>芒市妇幼保健院</w:t>
      </w:r>
      <w:r>
        <w:rPr>
          <w:bCs/>
          <w:color w:val="000000"/>
          <w:sz w:val="24"/>
        </w:rPr>
        <w:t>现在存在的主要环境问题如下：</w:t>
      </w:r>
    </w:p>
    <w:p w14:paraId="3DFAEF66">
      <w:pPr>
        <w:spacing w:line="480" w:lineRule="exact"/>
        <w:ind w:firstLine="480"/>
        <w:rPr>
          <w:rFonts w:hint="eastAsia" w:hAnsi="宋体"/>
          <w:bCs/>
          <w:color w:val="000000"/>
          <w:sz w:val="24"/>
        </w:rPr>
      </w:pPr>
      <w:r>
        <w:rPr>
          <w:rFonts w:hAnsi="宋体"/>
          <w:bCs/>
          <w:color w:val="000000"/>
          <w:sz w:val="24"/>
        </w:rPr>
        <w:t>1、</w:t>
      </w:r>
      <w:r>
        <w:rPr>
          <w:rFonts w:hint="eastAsia" w:hAnsi="宋体"/>
          <w:bCs/>
          <w:color w:val="000000"/>
          <w:sz w:val="24"/>
        </w:rPr>
        <w:t>原有保健院随着城市的发展已不能满足城市的发展需求；</w:t>
      </w:r>
    </w:p>
    <w:p w14:paraId="305E06D3">
      <w:pPr>
        <w:spacing w:line="480" w:lineRule="exact"/>
        <w:ind w:firstLine="480"/>
        <w:rPr>
          <w:rFonts w:hint="eastAsia" w:hAnsi="宋体"/>
          <w:bCs/>
          <w:color w:val="000000"/>
          <w:sz w:val="24"/>
        </w:rPr>
      </w:pPr>
      <w:r>
        <w:rPr>
          <w:rFonts w:hint="eastAsia" w:hAnsi="宋体"/>
          <w:bCs/>
          <w:color w:val="000000"/>
          <w:sz w:val="24"/>
        </w:rPr>
        <w:t>2、原有保健院各项设备由于年代时间长，技术落后不能满足需求；</w:t>
      </w:r>
    </w:p>
    <w:p w14:paraId="58B0D19E">
      <w:pPr>
        <w:spacing w:line="480" w:lineRule="exact"/>
        <w:ind w:firstLine="480"/>
        <w:rPr>
          <w:rFonts w:hint="eastAsia" w:hAnsi="宋体"/>
          <w:bCs/>
          <w:color w:val="000000"/>
          <w:sz w:val="24"/>
        </w:rPr>
      </w:pPr>
      <w:r>
        <w:rPr>
          <w:rFonts w:hint="eastAsia" w:hAnsi="宋体"/>
          <w:bCs/>
          <w:color w:val="000000"/>
          <w:sz w:val="24"/>
        </w:rPr>
        <w:t>3、原有保健院占地面积小，交通不方便，严重影响看病就医人群给生活和交通带来一定影响。</w:t>
      </w:r>
    </w:p>
    <w:p w14:paraId="344CBD46">
      <w:pPr>
        <w:pStyle w:val="183"/>
        <w:ind w:firstLine="472"/>
        <w:rPr>
          <w:rFonts w:hint="eastAsia" w:eastAsia="仿宋_GB2312"/>
          <w:color w:val="000000"/>
          <w:sz w:val="24"/>
          <w:szCs w:val="24"/>
        </w:rPr>
      </w:pPr>
      <w:bookmarkStart w:id="124" w:name="_Toc495500042"/>
      <w:r>
        <w:rPr>
          <w:rFonts w:hint="eastAsia" w:eastAsia="仿宋_GB2312"/>
          <w:color w:val="000000"/>
          <w:sz w:val="24"/>
          <w:szCs w:val="24"/>
        </w:rPr>
        <w:t>2.2.1迁建</w:t>
      </w:r>
      <w:r>
        <w:rPr>
          <w:rFonts w:eastAsia="仿宋_GB2312"/>
          <w:color w:val="000000"/>
          <w:sz w:val="24"/>
          <w:szCs w:val="24"/>
        </w:rPr>
        <w:t>项目名称、性质和地点</w:t>
      </w:r>
      <w:bookmarkEnd w:id="124"/>
    </w:p>
    <w:p w14:paraId="013D9A68">
      <w:pPr>
        <w:spacing w:line="360" w:lineRule="auto"/>
        <w:ind w:firstLine="480"/>
        <w:rPr>
          <w:rFonts w:hint="eastAsia" w:cs="宋体"/>
          <w:color w:val="000000"/>
          <w:sz w:val="24"/>
        </w:rPr>
      </w:pPr>
      <w:r>
        <w:rPr>
          <w:b/>
          <w:color w:val="000000"/>
          <w:sz w:val="24"/>
        </w:rPr>
        <w:t>项目名称</w:t>
      </w:r>
      <w:r>
        <w:rPr>
          <w:rFonts w:hint="eastAsia"/>
          <w:color w:val="000000"/>
          <w:sz w:val="24"/>
        </w:rPr>
        <w:t>：</w:t>
      </w:r>
      <w:r>
        <w:rPr>
          <w:rFonts w:hint="eastAsia" w:cs="宋体"/>
          <w:color w:val="000000"/>
          <w:sz w:val="24"/>
        </w:rPr>
        <w:t>芒市妇幼保健院迁建</w:t>
      </w:r>
      <w:r>
        <w:rPr>
          <w:rFonts w:cs="宋体"/>
          <w:color w:val="000000"/>
          <w:sz w:val="24"/>
        </w:rPr>
        <w:t>项目</w:t>
      </w:r>
      <w:r>
        <w:rPr>
          <w:rFonts w:hint="eastAsia" w:cs="宋体"/>
          <w:color w:val="000000"/>
          <w:sz w:val="24"/>
        </w:rPr>
        <w:t>。</w:t>
      </w:r>
    </w:p>
    <w:p w14:paraId="6BF7746A">
      <w:pPr>
        <w:spacing w:line="360" w:lineRule="auto"/>
        <w:ind w:firstLine="480"/>
        <w:rPr>
          <w:rFonts w:hint="eastAsia"/>
          <w:color w:val="000000"/>
          <w:sz w:val="24"/>
        </w:rPr>
      </w:pPr>
      <w:r>
        <w:rPr>
          <w:b/>
          <w:color w:val="000000"/>
          <w:sz w:val="24"/>
        </w:rPr>
        <w:t>建设单位</w:t>
      </w:r>
      <w:r>
        <w:rPr>
          <w:rFonts w:hint="eastAsia"/>
          <w:b/>
          <w:color w:val="000000"/>
          <w:sz w:val="24"/>
        </w:rPr>
        <w:t>：</w:t>
      </w:r>
      <w:r>
        <w:rPr>
          <w:rFonts w:hint="eastAsia" w:cs="宋体"/>
          <w:color w:val="000000"/>
          <w:sz w:val="24"/>
        </w:rPr>
        <w:t>芒市妇幼保健院。</w:t>
      </w:r>
    </w:p>
    <w:p w14:paraId="4CCEBE0E">
      <w:pPr>
        <w:tabs>
          <w:tab w:val="left" w:pos="3345"/>
        </w:tabs>
        <w:spacing w:line="360" w:lineRule="auto"/>
        <w:ind w:firstLine="480"/>
        <w:rPr>
          <w:rFonts w:hint="eastAsia"/>
          <w:color w:val="000000"/>
          <w:sz w:val="24"/>
        </w:rPr>
      </w:pPr>
      <w:r>
        <w:rPr>
          <w:b/>
          <w:color w:val="000000"/>
          <w:sz w:val="24"/>
        </w:rPr>
        <w:t>建设地</w:t>
      </w:r>
      <w:r>
        <w:rPr>
          <w:rFonts w:hint="eastAsia"/>
          <w:b/>
          <w:color w:val="000000"/>
          <w:sz w:val="24"/>
        </w:rPr>
        <w:t>点：</w:t>
      </w:r>
      <w:r>
        <w:rPr>
          <w:color w:val="000000"/>
          <w:sz w:val="24"/>
        </w:rPr>
        <w:t>建设项目用地位于</w:t>
      </w:r>
      <w:r>
        <w:rPr>
          <w:rFonts w:hint="eastAsia"/>
          <w:color w:val="000000"/>
          <w:sz w:val="24"/>
        </w:rPr>
        <w:t>芒市机场大道环岛南侧</w:t>
      </w:r>
      <w:r>
        <w:rPr>
          <w:color w:val="000000"/>
          <w:sz w:val="24"/>
        </w:rPr>
        <w:t>（项目中心坐标位于北纬24º</w:t>
      </w:r>
      <w:r>
        <w:rPr>
          <w:rFonts w:hint="eastAsia"/>
          <w:color w:val="000000"/>
          <w:sz w:val="24"/>
        </w:rPr>
        <w:t>25</w:t>
      </w:r>
      <w:r>
        <w:rPr>
          <w:color w:val="000000"/>
          <w:sz w:val="24"/>
        </w:rPr>
        <w:t>´</w:t>
      </w:r>
      <w:r>
        <w:rPr>
          <w:rFonts w:hint="eastAsia"/>
          <w:color w:val="000000"/>
          <w:sz w:val="24"/>
        </w:rPr>
        <w:t>23</w:t>
      </w:r>
      <w:r>
        <w:rPr>
          <w:color w:val="000000"/>
          <w:sz w:val="24"/>
        </w:rPr>
        <w:t>"，东经9</w:t>
      </w:r>
      <w:r>
        <w:rPr>
          <w:rFonts w:hint="eastAsia"/>
          <w:color w:val="000000"/>
          <w:sz w:val="24"/>
        </w:rPr>
        <w:t>8</w:t>
      </w:r>
      <w:r>
        <w:rPr>
          <w:color w:val="000000"/>
          <w:sz w:val="24"/>
        </w:rPr>
        <w:t>º</w:t>
      </w:r>
      <w:r>
        <w:rPr>
          <w:rFonts w:hint="eastAsia"/>
          <w:color w:val="000000"/>
          <w:sz w:val="24"/>
        </w:rPr>
        <w:t>33</w:t>
      </w:r>
      <w:r>
        <w:rPr>
          <w:color w:val="000000"/>
          <w:sz w:val="24"/>
        </w:rPr>
        <w:t>´</w:t>
      </w:r>
      <w:r>
        <w:rPr>
          <w:rFonts w:hint="eastAsia"/>
          <w:color w:val="000000"/>
          <w:sz w:val="24"/>
        </w:rPr>
        <w:t>24</w:t>
      </w:r>
      <w:r>
        <w:rPr>
          <w:color w:val="000000"/>
          <w:sz w:val="24"/>
        </w:rPr>
        <w:t>"）</w:t>
      </w:r>
      <w:r>
        <w:rPr>
          <w:rFonts w:hint="eastAsia"/>
          <w:color w:val="000000"/>
          <w:sz w:val="24"/>
        </w:rPr>
        <w:t>。</w:t>
      </w:r>
    </w:p>
    <w:p w14:paraId="65DC7B8E">
      <w:pPr>
        <w:spacing w:line="360" w:lineRule="auto"/>
        <w:ind w:firstLine="480"/>
        <w:rPr>
          <w:rFonts w:hint="eastAsia"/>
          <w:color w:val="000000"/>
          <w:sz w:val="24"/>
        </w:rPr>
      </w:pPr>
      <w:r>
        <w:rPr>
          <w:b/>
          <w:color w:val="000000"/>
          <w:sz w:val="24"/>
        </w:rPr>
        <w:t>建设性质</w:t>
      </w:r>
      <w:r>
        <w:rPr>
          <w:rFonts w:hint="eastAsia"/>
          <w:b/>
          <w:color w:val="000000"/>
          <w:sz w:val="24"/>
        </w:rPr>
        <w:t>：</w:t>
      </w:r>
      <w:r>
        <w:rPr>
          <w:rFonts w:hint="eastAsia"/>
          <w:color w:val="000000"/>
          <w:sz w:val="24"/>
        </w:rPr>
        <w:t>搬迁、</w:t>
      </w:r>
      <w:r>
        <w:rPr>
          <w:color w:val="000000"/>
          <w:sz w:val="24"/>
        </w:rPr>
        <w:t>新建</w:t>
      </w:r>
      <w:r>
        <w:rPr>
          <w:rFonts w:hint="eastAsia"/>
          <w:color w:val="000000"/>
          <w:sz w:val="24"/>
        </w:rPr>
        <w:t>。</w:t>
      </w:r>
    </w:p>
    <w:p w14:paraId="6507CC8F">
      <w:pPr>
        <w:spacing w:line="360" w:lineRule="auto"/>
        <w:ind w:firstLine="480"/>
        <w:rPr>
          <w:rFonts w:hint="eastAsia"/>
          <w:color w:val="000000"/>
          <w:sz w:val="24"/>
        </w:rPr>
      </w:pPr>
      <w:r>
        <w:rPr>
          <w:b/>
          <w:color w:val="000000"/>
          <w:sz w:val="24"/>
        </w:rPr>
        <w:t>项目占地</w:t>
      </w:r>
      <w:r>
        <w:rPr>
          <w:rFonts w:hint="eastAsia"/>
          <w:b/>
          <w:color w:val="000000"/>
          <w:sz w:val="24"/>
        </w:rPr>
        <w:t>：</w:t>
      </w:r>
      <w:r>
        <w:rPr>
          <w:color w:val="000000"/>
          <w:sz w:val="24"/>
        </w:rPr>
        <w:t>整个项目用地规划地块成</w:t>
      </w:r>
      <w:r>
        <w:rPr>
          <w:rFonts w:hint="eastAsia"/>
          <w:color w:val="000000"/>
          <w:sz w:val="24"/>
        </w:rPr>
        <w:t>倒三角形</w:t>
      </w:r>
      <w:r>
        <w:rPr>
          <w:color w:val="000000"/>
          <w:sz w:val="24"/>
        </w:rPr>
        <w:t>，总占地面积</w:t>
      </w:r>
      <w:r>
        <w:rPr>
          <w:rFonts w:hint="eastAsia"/>
          <w:color w:val="000000"/>
          <w:sz w:val="24"/>
        </w:rPr>
        <w:t>20666.46</w:t>
      </w:r>
      <w:r>
        <w:rPr>
          <w:color w:val="000000"/>
          <w:sz w:val="24"/>
        </w:rPr>
        <w:t>m</w:t>
      </w:r>
      <w:r>
        <w:rPr>
          <w:color w:val="000000"/>
          <w:sz w:val="24"/>
          <w:vertAlign w:val="superscript"/>
        </w:rPr>
        <w:t>2</w:t>
      </w:r>
      <w:r>
        <w:rPr>
          <w:rFonts w:hint="eastAsia"/>
          <w:color w:val="000000"/>
          <w:sz w:val="24"/>
        </w:rPr>
        <w:t>（31亩）</w:t>
      </w:r>
      <w:r>
        <w:rPr>
          <w:color w:val="000000"/>
          <w:sz w:val="24"/>
        </w:rPr>
        <w:t>。</w:t>
      </w:r>
    </w:p>
    <w:p w14:paraId="3C609EEE">
      <w:pPr>
        <w:spacing w:line="360" w:lineRule="auto"/>
        <w:ind w:firstLine="470"/>
        <w:rPr>
          <w:color w:val="000000"/>
          <w:sz w:val="24"/>
        </w:rPr>
      </w:pPr>
      <w:r>
        <w:rPr>
          <w:b/>
          <w:color w:val="000000"/>
          <w:sz w:val="24"/>
        </w:rPr>
        <w:t>项目投资</w:t>
      </w:r>
      <w:r>
        <w:rPr>
          <w:rFonts w:hint="eastAsia"/>
          <w:b/>
          <w:color w:val="000000"/>
          <w:sz w:val="24"/>
        </w:rPr>
        <w:t>：</w:t>
      </w:r>
      <w:r>
        <w:rPr>
          <w:color w:val="000000"/>
          <w:sz w:val="24"/>
        </w:rPr>
        <w:t>本项目根据建设规模和建设内容，整个项目总投资为</w:t>
      </w:r>
      <w:r>
        <w:rPr>
          <w:rFonts w:hint="eastAsia"/>
          <w:color w:val="000000"/>
          <w:sz w:val="24"/>
        </w:rPr>
        <w:t>27000</w:t>
      </w:r>
      <w:r>
        <w:rPr>
          <w:color w:val="000000"/>
          <w:sz w:val="24"/>
        </w:rPr>
        <w:t>万元。</w:t>
      </w:r>
    </w:p>
    <w:p w14:paraId="745D881F">
      <w:pPr>
        <w:spacing w:line="360" w:lineRule="auto"/>
        <w:ind w:firstLine="480"/>
        <w:rPr>
          <w:rFonts w:hint="eastAsia"/>
          <w:color w:val="000000"/>
          <w:sz w:val="24"/>
        </w:rPr>
      </w:pPr>
      <w:r>
        <w:rPr>
          <w:rFonts w:hint="eastAsia"/>
          <w:b/>
          <w:color w:val="000000"/>
          <w:sz w:val="24"/>
        </w:rPr>
        <w:t>人力资源配置：</w:t>
      </w:r>
      <w:r>
        <w:rPr>
          <w:rFonts w:hint="eastAsia" w:ascii="宋体" w:hAnsi="宋体"/>
          <w:color w:val="000000"/>
          <w:sz w:val="24"/>
        </w:rPr>
        <w:t>人</w:t>
      </w:r>
      <w:r>
        <w:rPr>
          <w:rFonts w:hint="eastAsia"/>
          <w:color w:val="000000"/>
          <w:sz w:val="24"/>
        </w:rPr>
        <w:t>员配置按等级医院标准配置，本项目医疗机构按照230张床位规模计算工作人员数量，取1：1.6，应有工作人员368人。</w:t>
      </w:r>
    </w:p>
    <w:p w14:paraId="0D240233">
      <w:pPr>
        <w:pStyle w:val="183"/>
        <w:ind w:firstLine="472"/>
        <w:rPr>
          <w:rFonts w:eastAsia="仿宋_GB2312"/>
          <w:color w:val="000000"/>
          <w:sz w:val="24"/>
          <w:szCs w:val="24"/>
        </w:rPr>
      </w:pPr>
      <w:bookmarkStart w:id="125" w:name="_Toc495500043"/>
      <w:r>
        <w:rPr>
          <w:rFonts w:hint="eastAsia" w:eastAsia="仿宋_GB2312"/>
          <w:color w:val="000000"/>
          <w:sz w:val="24"/>
          <w:szCs w:val="24"/>
        </w:rPr>
        <w:t>2.2.2</w:t>
      </w:r>
      <w:r>
        <w:rPr>
          <w:rFonts w:eastAsia="仿宋_GB2312"/>
          <w:color w:val="000000"/>
          <w:sz w:val="24"/>
          <w:szCs w:val="24"/>
        </w:rPr>
        <w:t>建设规模、内容及工程投资</w:t>
      </w:r>
      <w:bookmarkEnd w:id="125"/>
    </w:p>
    <w:p w14:paraId="6DE08AB7">
      <w:pPr>
        <w:spacing w:line="480" w:lineRule="exact"/>
        <w:ind w:firstLine="482"/>
        <w:rPr>
          <w:b/>
          <w:color w:val="000000"/>
          <w:sz w:val="24"/>
        </w:rPr>
      </w:pPr>
      <w:r>
        <w:rPr>
          <w:b/>
          <w:color w:val="000000"/>
          <w:sz w:val="24"/>
        </w:rPr>
        <w:t>1、建设规模</w:t>
      </w:r>
    </w:p>
    <w:p w14:paraId="348262D8">
      <w:pPr>
        <w:spacing w:line="480" w:lineRule="exact"/>
        <w:ind w:firstLine="480"/>
        <w:rPr>
          <w:rStyle w:val="235"/>
          <w:rFonts w:ascii="宋体" w:hAnsi="宋体"/>
          <w:color w:val="000000"/>
          <w:sz w:val="24"/>
        </w:rPr>
      </w:pPr>
      <w:r>
        <w:rPr>
          <w:rFonts w:ascii="宋体" w:hAnsi="宋体"/>
          <w:color w:val="000000"/>
          <w:sz w:val="24"/>
        </w:rPr>
        <w:t>项目建成后，</w:t>
      </w:r>
      <w:r>
        <w:rPr>
          <w:rFonts w:hint="eastAsia" w:ascii="宋体" w:hAnsi="宋体"/>
          <w:color w:val="000000"/>
          <w:sz w:val="24"/>
        </w:rPr>
        <w:t>设立</w:t>
      </w:r>
      <w:r>
        <w:rPr>
          <w:rFonts w:hint="eastAsia"/>
          <w:color w:val="000000"/>
          <w:sz w:val="24"/>
        </w:rPr>
        <w:t>妇产科、妇女保健科、儿科、儿童保健科、口腔科、内科、外科、基层保健科、公共卫生科、医学影像科、医学检验科、计划生育技术指导科等。</w:t>
      </w:r>
      <w:r>
        <w:rPr>
          <w:rStyle w:val="235"/>
          <w:rFonts w:ascii="宋体" w:hAnsi="宋体"/>
          <w:color w:val="000000"/>
          <w:sz w:val="24"/>
        </w:rPr>
        <w:t>项目住院部共设病床位</w:t>
      </w:r>
      <w:r>
        <w:rPr>
          <w:rStyle w:val="235"/>
          <w:rFonts w:hint="eastAsia" w:ascii="宋体" w:hAnsi="宋体"/>
          <w:color w:val="000000"/>
          <w:sz w:val="24"/>
        </w:rPr>
        <w:t>230</w:t>
      </w:r>
      <w:r>
        <w:rPr>
          <w:rStyle w:val="235"/>
          <w:rFonts w:ascii="宋体" w:hAnsi="宋体"/>
          <w:color w:val="000000"/>
          <w:sz w:val="24"/>
        </w:rPr>
        <w:t>张；项目不设置传染病科，不接纳和收治传染病患者。</w:t>
      </w:r>
    </w:p>
    <w:p w14:paraId="28A5F6C6">
      <w:pPr>
        <w:spacing w:line="480" w:lineRule="exact"/>
        <w:ind w:firstLine="482"/>
        <w:rPr>
          <w:b/>
          <w:color w:val="000000"/>
          <w:sz w:val="24"/>
        </w:rPr>
      </w:pPr>
      <w:r>
        <w:rPr>
          <w:b/>
          <w:color w:val="000000"/>
          <w:sz w:val="24"/>
        </w:rPr>
        <w:t>2</w:t>
      </w:r>
      <w:r>
        <w:rPr>
          <w:rFonts w:hAnsi="宋体"/>
          <w:b/>
          <w:color w:val="000000"/>
          <w:sz w:val="24"/>
        </w:rPr>
        <w:t>、建设内容</w:t>
      </w:r>
    </w:p>
    <w:p w14:paraId="13C3A382">
      <w:pPr>
        <w:spacing w:line="480" w:lineRule="exact"/>
        <w:ind w:firstLine="480"/>
        <w:rPr>
          <w:rFonts w:hint="eastAsia" w:ascii="宋体" w:hAnsi="宋体"/>
          <w:color w:val="000000"/>
          <w:sz w:val="24"/>
        </w:rPr>
      </w:pPr>
      <w:r>
        <w:rPr>
          <w:rFonts w:hint="eastAsia" w:ascii="宋体" w:hAnsi="宋体"/>
          <w:color w:val="000000"/>
          <w:sz w:val="24"/>
        </w:rPr>
        <w:t>拟</w:t>
      </w:r>
      <w:r>
        <w:rPr>
          <w:rFonts w:ascii="宋体" w:hAnsi="宋体"/>
          <w:color w:val="000000"/>
          <w:sz w:val="24"/>
        </w:rPr>
        <w:t>新建</w:t>
      </w:r>
      <w:r>
        <w:rPr>
          <w:rFonts w:hint="eastAsia" w:ascii="宋体" w:hAnsi="宋体"/>
          <w:color w:val="000000"/>
          <w:sz w:val="24"/>
        </w:rPr>
        <w:t>门诊综合楼、住院楼（一期）19710</w:t>
      </w:r>
      <w:r>
        <w:rPr>
          <w:rFonts w:hAnsi="宋体"/>
          <w:color w:val="000000"/>
          <w:sz w:val="24"/>
        </w:rPr>
        <w:t>m</w:t>
      </w:r>
      <w:r>
        <w:rPr>
          <w:rFonts w:hAnsi="宋体"/>
          <w:color w:val="000000"/>
          <w:sz w:val="24"/>
          <w:vertAlign w:val="superscript"/>
        </w:rPr>
        <w:t>2</w:t>
      </w:r>
      <w:r>
        <w:rPr>
          <w:rFonts w:hint="eastAsia" w:hAnsi="宋体"/>
          <w:color w:val="000000"/>
          <w:sz w:val="24"/>
        </w:rPr>
        <w:t>、</w:t>
      </w:r>
      <w:r>
        <w:rPr>
          <w:rFonts w:hint="eastAsia" w:ascii="宋体" w:hAnsi="宋体"/>
          <w:color w:val="000000"/>
          <w:sz w:val="24"/>
        </w:rPr>
        <w:t>综合业务用房（一期）8211</w:t>
      </w:r>
      <w:r>
        <w:rPr>
          <w:rFonts w:hAnsi="宋体"/>
          <w:color w:val="000000"/>
          <w:sz w:val="24"/>
        </w:rPr>
        <w:t xml:space="preserve"> m</w:t>
      </w:r>
      <w:r>
        <w:rPr>
          <w:rFonts w:hAnsi="宋体"/>
          <w:color w:val="000000"/>
          <w:sz w:val="24"/>
          <w:vertAlign w:val="superscript"/>
        </w:rPr>
        <w:t>2</w:t>
      </w:r>
      <w:r>
        <w:rPr>
          <w:rFonts w:hint="eastAsia" w:hAnsi="宋体"/>
          <w:color w:val="000000"/>
          <w:sz w:val="24"/>
        </w:rPr>
        <w:t>、</w:t>
      </w:r>
      <w:r>
        <w:rPr>
          <w:rFonts w:hint="eastAsia" w:ascii="宋体" w:hAnsi="宋体"/>
          <w:color w:val="000000"/>
          <w:sz w:val="24"/>
        </w:rPr>
        <w:t>后勤综合楼（一期）3500</w:t>
      </w:r>
      <w:r>
        <w:rPr>
          <w:rFonts w:hAnsi="宋体"/>
          <w:color w:val="000000"/>
          <w:sz w:val="24"/>
        </w:rPr>
        <w:t>m</w:t>
      </w:r>
      <w:r>
        <w:rPr>
          <w:rFonts w:hAnsi="宋体"/>
          <w:color w:val="000000"/>
          <w:sz w:val="24"/>
          <w:vertAlign w:val="superscript"/>
        </w:rPr>
        <w:t>2</w:t>
      </w:r>
      <w:r>
        <w:rPr>
          <w:rFonts w:hint="eastAsia" w:hAnsi="宋体"/>
          <w:color w:val="000000"/>
          <w:sz w:val="24"/>
        </w:rPr>
        <w:t>、</w:t>
      </w:r>
      <w:r>
        <w:rPr>
          <w:rFonts w:hint="eastAsia" w:ascii="宋体" w:hAnsi="宋体"/>
          <w:color w:val="000000"/>
          <w:sz w:val="24"/>
        </w:rPr>
        <w:t>培训综合楼（二期）2745</w:t>
      </w:r>
      <w:r>
        <w:rPr>
          <w:rFonts w:hAnsi="宋体"/>
          <w:color w:val="000000"/>
          <w:sz w:val="24"/>
        </w:rPr>
        <w:t>m</w:t>
      </w:r>
      <w:r>
        <w:rPr>
          <w:rFonts w:hAnsi="宋体"/>
          <w:color w:val="000000"/>
          <w:sz w:val="24"/>
          <w:vertAlign w:val="superscript"/>
        </w:rPr>
        <w:t>2</w:t>
      </w:r>
      <w:r>
        <w:rPr>
          <w:rFonts w:hint="eastAsia" w:hAnsi="宋体"/>
          <w:color w:val="000000"/>
          <w:sz w:val="24"/>
        </w:rPr>
        <w:t>、</w:t>
      </w:r>
      <w:r>
        <w:rPr>
          <w:rFonts w:hint="eastAsia" w:ascii="宋体" w:hAnsi="宋体"/>
          <w:color w:val="000000"/>
          <w:sz w:val="24"/>
        </w:rPr>
        <w:t>危废暂存间60</w:t>
      </w:r>
      <w:r>
        <w:rPr>
          <w:rFonts w:hAnsi="宋体"/>
          <w:color w:val="000000"/>
          <w:sz w:val="24"/>
        </w:rPr>
        <w:t>m</w:t>
      </w:r>
      <w:r>
        <w:rPr>
          <w:rFonts w:hAnsi="宋体"/>
          <w:color w:val="000000"/>
          <w:sz w:val="24"/>
          <w:vertAlign w:val="superscript"/>
        </w:rPr>
        <w:t>2</w:t>
      </w:r>
      <w:r>
        <w:rPr>
          <w:rFonts w:hint="eastAsia" w:hAnsi="宋体"/>
          <w:color w:val="000000"/>
          <w:sz w:val="24"/>
        </w:rPr>
        <w:t>、</w:t>
      </w:r>
      <w:r>
        <w:rPr>
          <w:rFonts w:hint="eastAsia" w:ascii="宋体" w:hAnsi="宋体"/>
          <w:color w:val="000000"/>
          <w:sz w:val="24"/>
        </w:rPr>
        <w:t>污水处理房60</w:t>
      </w:r>
      <w:r>
        <w:rPr>
          <w:rFonts w:hAnsi="宋体"/>
          <w:color w:val="000000"/>
          <w:sz w:val="24"/>
        </w:rPr>
        <w:t>m</w:t>
      </w:r>
      <w:r>
        <w:rPr>
          <w:rFonts w:hAnsi="宋体"/>
          <w:color w:val="000000"/>
          <w:sz w:val="24"/>
          <w:vertAlign w:val="superscript"/>
        </w:rPr>
        <w:t>2</w:t>
      </w:r>
      <w:r>
        <w:rPr>
          <w:rFonts w:hint="eastAsia" w:hAnsi="宋体"/>
          <w:color w:val="000000"/>
          <w:sz w:val="24"/>
        </w:rPr>
        <w:t>，总建筑面积为34286</w:t>
      </w:r>
      <w:r>
        <w:rPr>
          <w:rFonts w:hAnsi="宋体"/>
          <w:color w:val="000000"/>
          <w:sz w:val="24"/>
        </w:rPr>
        <w:t>m</w:t>
      </w:r>
      <w:r>
        <w:rPr>
          <w:rFonts w:hAnsi="宋体"/>
          <w:color w:val="000000"/>
          <w:sz w:val="24"/>
          <w:vertAlign w:val="superscript"/>
        </w:rPr>
        <w:t>2</w:t>
      </w:r>
      <w:r>
        <w:rPr>
          <w:rFonts w:hint="eastAsia" w:ascii="宋体" w:hAnsi="宋体"/>
          <w:color w:val="000000"/>
          <w:sz w:val="24"/>
        </w:rPr>
        <w:t>（包含地下建筑面积8915</w:t>
      </w:r>
      <w:r>
        <w:rPr>
          <w:rFonts w:hAnsi="宋体"/>
          <w:color w:val="000000"/>
          <w:sz w:val="24"/>
        </w:rPr>
        <w:t>m</w:t>
      </w:r>
      <w:r>
        <w:rPr>
          <w:rFonts w:hAnsi="宋体"/>
          <w:color w:val="000000"/>
          <w:sz w:val="24"/>
          <w:vertAlign w:val="superscript"/>
        </w:rPr>
        <w:t>2</w:t>
      </w:r>
      <w:r>
        <w:rPr>
          <w:rFonts w:hint="eastAsia" w:ascii="宋体" w:hAnsi="宋体"/>
          <w:color w:val="000000"/>
          <w:sz w:val="24"/>
        </w:rPr>
        <w:t>）。</w:t>
      </w:r>
    </w:p>
    <w:p w14:paraId="27B191D7">
      <w:pPr>
        <w:spacing w:line="480" w:lineRule="exact"/>
        <w:ind w:firstLine="482"/>
        <w:rPr>
          <w:rFonts w:hint="eastAsia"/>
          <w:b/>
          <w:color w:val="000000"/>
          <w:sz w:val="24"/>
        </w:rPr>
      </w:pPr>
      <w:r>
        <w:rPr>
          <w:b/>
          <w:color w:val="000000"/>
          <w:sz w:val="24"/>
        </w:rPr>
        <w:t>3</w:t>
      </w:r>
      <w:r>
        <w:rPr>
          <w:rFonts w:hAnsi="宋体"/>
          <w:b/>
          <w:color w:val="000000"/>
          <w:sz w:val="24"/>
        </w:rPr>
        <w:t>、</w:t>
      </w:r>
      <w:r>
        <w:rPr>
          <w:rFonts w:hint="eastAsia" w:hAnsi="宋体"/>
          <w:b/>
          <w:color w:val="000000"/>
          <w:sz w:val="24"/>
        </w:rPr>
        <w:t>工程组成</w:t>
      </w:r>
    </w:p>
    <w:p w14:paraId="7DEF3614">
      <w:pPr>
        <w:spacing w:line="480" w:lineRule="exact"/>
        <w:ind w:firstLine="480"/>
        <w:rPr>
          <w:rFonts w:hint="eastAsia" w:hAnsi="宋体"/>
          <w:color w:val="000000"/>
          <w:sz w:val="24"/>
        </w:rPr>
      </w:pPr>
      <w:r>
        <w:rPr>
          <w:rFonts w:hint="eastAsia" w:hAnsi="宋体"/>
          <w:color w:val="000000"/>
          <w:sz w:val="24"/>
        </w:rPr>
        <w:t>本项目为迁建项目，</w:t>
      </w:r>
      <w:r>
        <w:rPr>
          <w:rFonts w:hAnsi="宋体"/>
          <w:color w:val="000000"/>
          <w:sz w:val="24"/>
        </w:rPr>
        <w:t>项目总投资共计</w:t>
      </w:r>
      <w:r>
        <w:rPr>
          <w:rFonts w:hint="eastAsia"/>
          <w:color w:val="000000"/>
          <w:sz w:val="24"/>
        </w:rPr>
        <w:t>27000</w:t>
      </w:r>
      <w:r>
        <w:rPr>
          <w:rFonts w:hAnsi="宋体"/>
          <w:color w:val="000000"/>
          <w:sz w:val="24"/>
        </w:rPr>
        <w:t>万元，</w:t>
      </w:r>
      <w:r>
        <w:rPr>
          <w:rFonts w:hint="eastAsia" w:hAnsi="宋体"/>
          <w:color w:val="000000"/>
          <w:sz w:val="24"/>
        </w:rPr>
        <w:t>主要建设一栋</w:t>
      </w:r>
      <w:r>
        <w:rPr>
          <w:rFonts w:hint="eastAsia" w:ascii="宋体" w:hAnsi="宋体"/>
          <w:color w:val="000000"/>
          <w:sz w:val="24"/>
        </w:rPr>
        <w:t>门诊综合楼、住院楼，一栋综合业务用房，一栋后勤综合楼，一栋培训综合楼（二期）和其它附属设施等。</w:t>
      </w:r>
    </w:p>
    <w:p w14:paraId="0827B141">
      <w:pPr>
        <w:pStyle w:val="313"/>
        <w:spacing w:line="480" w:lineRule="exact"/>
        <w:rPr>
          <w:rFonts w:hint="eastAsia" w:ascii="Times New Roman" w:eastAsia="宋体"/>
          <w:color w:val="000000"/>
        </w:rPr>
      </w:pPr>
      <w:r>
        <w:rPr>
          <w:rFonts w:ascii="Times New Roman" w:eastAsia="宋体"/>
          <w:color w:val="000000"/>
        </w:rPr>
        <w:t>项目</w:t>
      </w:r>
      <w:r>
        <w:rPr>
          <w:rFonts w:hint="eastAsia" w:ascii="Times New Roman" w:eastAsia="宋体"/>
          <w:color w:val="000000"/>
        </w:rPr>
        <w:t>工程主要包括：主体工程、辅助工程和环保工程等</w:t>
      </w:r>
      <w:r>
        <w:rPr>
          <w:rFonts w:ascii="Times New Roman" w:eastAsia="宋体"/>
          <w:color w:val="000000"/>
        </w:rPr>
        <w:t>部分</w:t>
      </w:r>
      <w:r>
        <w:rPr>
          <w:rFonts w:hint="eastAsia" w:ascii="Times New Roman" w:eastAsia="宋体"/>
          <w:color w:val="000000"/>
        </w:rPr>
        <w:t>组成。</w:t>
      </w:r>
      <w:r>
        <w:rPr>
          <w:rFonts w:ascii="Times New Roman" w:eastAsia="宋体"/>
          <w:color w:val="000000"/>
        </w:rPr>
        <w:t>内容</w:t>
      </w:r>
      <w:r>
        <w:rPr>
          <w:rFonts w:hint="eastAsia" w:ascii="Times New Roman" w:eastAsia="宋体"/>
          <w:color w:val="000000"/>
        </w:rPr>
        <w:t>详见</w:t>
      </w:r>
      <w:r>
        <w:rPr>
          <w:rFonts w:ascii="Times New Roman" w:eastAsia="宋体"/>
          <w:color w:val="000000"/>
        </w:rPr>
        <w:t>表</w:t>
      </w:r>
      <w:r>
        <w:rPr>
          <w:rFonts w:ascii="Times New Roman" w:hAnsi="Times New Roman" w:eastAsia="宋体"/>
          <w:color w:val="000000"/>
        </w:rPr>
        <w:t>2.</w:t>
      </w:r>
      <w:r>
        <w:rPr>
          <w:rFonts w:hint="eastAsia" w:ascii="Times New Roman" w:hAnsi="Times New Roman" w:eastAsia="宋体"/>
          <w:color w:val="000000"/>
        </w:rPr>
        <w:t>2</w:t>
      </w:r>
      <w:r>
        <w:rPr>
          <w:rFonts w:ascii="Times New Roman" w:hAnsi="Times New Roman" w:eastAsia="宋体"/>
          <w:color w:val="000000"/>
        </w:rPr>
        <w:t>-1</w:t>
      </w:r>
      <w:r>
        <w:rPr>
          <w:rFonts w:ascii="Times New Roman" w:eastAsia="宋体"/>
          <w:color w:val="000000"/>
        </w:rPr>
        <w:t>。</w:t>
      </w:r>
    </w:p>
    <w:p w14:paraId="745A7F4E">
      <w:pPr>
        <w:spacing w:line="480" w:lineRule="exact"/>
        <w:jc w:val="center"/>
        <w:rPr>
          <w:rFonts w:hint="eastAsia"/>
          <w:b/>
          <w:color w:val="000000"/>
          <w:sz w:val="24"/>
        </w:rPr>
      </w:pPr>
      <w:r>
        <w:rPr>
          <w:b/>
          <w:color w:val="000000"/>
          <w:sz w:val="24"/>
        </w:rPr>
        <w:t>表2.</w:t>
      </w:r>
      <w:r>
        <w:rPr>
          <w:rFonts w:hint="eastAsia"/>
          <w:b/>
          <w:color w:val="000000"/>
          <w:sz w:val="24"/>
        </w:rPr>
        <w:t>2</w:t>
      </w:r>
      <w:r>
        <w:rPr>
          <w:b/>
          <w:color w:val="000000"/>
          <w:sz w:val="24"/>
        </w:rPr>
        <w:t>-1  项目组成表</w:t>
      </w:r>
    </w:p>
    <w:tbl>
      <w:tblPr>
        <w:tblStyle w:val="27"/>
        <w:tblW w:w="0" w:type="auto"/>
        <w:jc w:val="center"/>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Layout w:type="fixed"/>
        <w:tblCellMar>
          <w:top w:w="0" w:type="dxa"/>
          <w:left w:w="108" w:type="dxa"/>
          <w:bottom w:w="0" w:type="dxa"/>
          <w:right w:w="108" w:type="dxa"/>
        </w:tblCellMar>
      </w:tblPr>
      <w:tblGrid>
        <w:gridCol w:w="1174"/>
        <w:gridCol w:w="1441"/>
        <w:gridCol w:w="5352"/>
        <w:gridCol w:w="680"/>
      </w:tblGrid>
      <w:tr w14:paraId="18D8B081">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cantSplit/>
          <w:trHeight w:val="90" w:hRule="atLeast"/>
          <w:jc w:val="center"/>
        </w:trPr>
        <w:tc>
          <w:tcPr>
            <w:tcW w:w="1174" w:type="dxa"/>
            <w:noWrap w:val="0"/>
            <w:vAlign w:val="center"/>
          </w:tcPr>
          <w:p w14:paraId="0AE986BA">
            <w:pPr>
              <w:spacing w:line="300" w:lineRule="exact"/>
              <w:jc w:val="center"/>
              <w:rPr>
                <w:bCs/>
                <w:color w:val="000000"/>
                <w:szCs w:val="21"/>
              </w:rPr>
            </w:pPr>
            <w:r>
              <w:rPr>
                <w:rFonts w:hAnsi="宋体"/>
                <w:bCs/>
                <w:color w:val="000000"/>
                <w:szCs w:val="21"/>
              </w:rPr>
              <w:t>项目名称</w:t>
            </w:r>
          </w:p>
        </w:tc>
        <w:tc>
          <w:tcPr>
            <w:tcW w:w="6793" w:type="dxa"/>
            <w:gridSpan w:val="2"/>
            <w:noWrap w:val="0"/>
            <w:vAlign w:val="center"/>
          </w:tcPr>
          <w:p w14:paraId="05695E11">
            <w:pPr>
              <w:spacing w:line="300" w:lineRule="exact"/>
              <w:jc w:val="center"/>
              <w:rPr>
                <w:bCs/>
                <w:color w:val="000000"/>
                <w:szCs w:val="21"/>
              </w:rPr>
            </w:pPr>
            <w:r>
              <w:rPr>
                <w:rFonts w:hAnsi="宋体"/>
                <w:bCs/>
                <w:color w:val="000000"/>
                <w:szCs w:val="21"/>
              </w:rPr>
              <w:t>建设内容及规模</w:t>
            </w:r>
          </w:p>
        </w:tc>
        <w:tc>
          <w:tcPr>
            <w:tcW w:w="680" w:type="dxa"/>
            <w:noWrap w:val="0"/>
            <w:vAlign w:val="center"/>
          </w:tcPr>
          <w:p w14:paraId="460507CF">
            <w:pPr>
              <w:spacing w:line="300" w:lineRule="exact"/>
              <w:rPr>
                <w:bCs/>
                <w:color w:val="000000"/>
                <w:szCs w:val="21"/>
              </w:rPr>
            </w:pPr>
            <w:r>
              <w:rPr>
                <w:rFonts w:hAnsi="宋体"/>
                <w:bCs/>
                <w:color w:val="000000"/>
                <w:szCs w:val="21"/>
              </w:rPr>
              <w:t>备注</w:t>
            </w:r>
          </w:p>
        </w:tc>
      </w:tr>
      <w:tr w14:paraId="072AEACD">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cantSplit/>
          <w:trHeight w:val="1260" w:hRule="atLeast"/>
          <w:jc w:val="center"/>
        </w:trPr>
        <w:tc>
          <w:tcPr>
            <w:tcW w:w="1174" w:type="dxa"/>
            <w:vMerge w:val="restart"/>
            <w:noWrap w:val="0"/>
            <w:vAlign w:val="center"/>
          </w:tcPr>
          <w:p w14:paraId="5FEAFD6E">
            <w:pPr>
              <w:spacing w:line="300" w:lineRule="exact"/>
              <w:jc w:val="center"/>
              <w:rPr>
                <w:bCs/>
                <w:color w:val="000000"/>
                <w:szCs w:val="21"/>
              </w:rPr>
            </w:pPr>
            <w:r>
              <w:rPr>
                <w:rFonts w:hAnsi="宋体"/>
                <w:bCs/>
                <w:color w:val="000000"/>
                <w:szCs w:val="21"/>
              </w:rPr>
              <w:t>主体</w:t>
            </w:r>
          </w:p>
          <w:p w14:paraId="438B5A9E">
            <w:pPr>
              <w:spacing w:line="300" w:lineRule="exact"/>
              <w:jc w:val="center"/>
              <w:rPr>
                <w:bCs/>
                <w:color w:val="000000"/>
                <w:szCs w:val="21"/>
              </w:rPr>
            </w:pPr>
            <w:r>
              <w:rPr>
                <w:rFonts w:hAnsi="宋体"/>
                <w:bCs/>
                <w:color w:val="000000"/>
                <w:szCs w:val="21"/>
              </w:rPr>
              <w:t>工程</w:t>
            </w:r>
          </w:p>
        </w:tc>
        <w:tc>
          <w:tcPr>
            <w:tcW w:w="1441" w:type="dxa"/>
            <w:noWrap w:val="0"/>
            <w:vAlign w:val="center"/>
          </w:tcPr>
          <w:p w14:paraId="1143019B">
            <w:pPr>
              <w:spacing w:line="300" w:lineRule="exact"/>
              <w:jc w:val="center"/>
              <w:rPr>
                <w:rFonts w:hint="eastAsia" w:hAnsi="宋体"/>
                <w:bCs/>
                <w:color w:val="000000"/>
                <w:szCs w:val="21"/>
              </w:rPr>
            </w:pPr>
            <w:r>
              <w:rPr>
                <w:rFonts w:hint="eastAsia" w:hAnsi="宋体"/>
                <w:bCs/>
                <w:color w:val="000000"/>
                <w:szCs w:val="21"/>
              </w:rPr>
              <w:t>门诊综合、住院楼（一期）</w:t>
            </w:r>
          </w:p>
        </w:tc>
        <w:tc>
          <w:tcPr>
            <w:tcW w:w="5352" w:type="dxa"/>
            <w:noWrap w:val="0"/>
            <w:vAlign w:val="center"/>
          </w:tcPr>
          <w:p w14:paraId="65C68FF5">
            <w:pPr>
              <w:spacing w:line="300" w:lineRule="exact"/>
              <w:rPr>
                <w:rFonts w:hint="eastAsia" w:ascii="宋体" w:hAnsi="宋体"/>
                <w:bCs/>
                <w:color w:val="000000"/>
                <w:szCs w:val="21"/>
              </w:rPr>
            </w:pPr>
            <w:r>
              <w:rPr>
                <w:rFonts w:ascii="宋体" w:hAnsi="宋体"/>
                <w:color w:val="000000"/>
                <w:szCs w:val="21"/>
              </w:rPr>
              <w:t>新建</w:t>
            </w:r>
            <w:r>
              <w:rPr>
                <w:rFonts w:ascii="宋体" w:hAnsi="宋体"/>
                <w:bCs/>
                <w:color w:val="000000"/>
                <w:szCs w:val="21"/>
              </w:rPr>
              <w:t>门诊</w:t>
            </w:r>
            <w:r>
              <w:rPr>
                <w:rFonts w:hint="eastAsia" w:ascii="宋体" w:hAnsi="宋体"/>
                <w:bCs/>
                <w:color w:val="000000"/>
                <w:szCs w:val="21"/>
              </w:rPr>
              <w:t>综合、住院楼</w:t>
            </w:r>
            <w:r>
              <w:rPr>
                <w:rFonts w:hint="eastAsia" w:ascii="宋体" w:hAnsi="宋体"/>
                <w:color w:val="000000"/>
                <w:szCs w:val="21"/>
              </w:rPr>
              <w:t>一栋</w:t>
            </w:r>
            <w:r>
              <w:rPr>
                <w:rFonts w:ascii="宋体" w:hAnsi="宋体"/>
                <w:bCs/>
                <w:color w:val="000000"/>
                <w:szCs w:val="21"/>
              </w:rPr>
              <w:t>，设计为</w:t>
            </w:r>
            <w:r>
              <w:rPr>
                <w:rFonts w:hint="eastAsia" w:ascii="宋体" w:hAnsi="宋体"/>
                <w:bCs/>
                <w:color w:val="000000"/>
                <w:szCs w:val="21"/>
              </w:rPr>
              <w:t>2</w:t>
            </w:r>
            <w:r>
              <w:rPr>
                <w:rFonts w:ascii="宋体" w:hAnsi="宋体"/>
                <w:bCs/>
                <w:color w:val="000000"/>
                <w:szCs w:val="21"/>
              </w:rPr>
              <w:t>层</w:t>
            </w:r>
            <w:r>
              <w:rPr>
                <w:rFonts w:hint="eastAsia" w:ascii="宋体" w:hAnsi="宋体"/>
                <w:bCs/>
                <w:color w:val="000000"/>
                <w:szCs w:val="21"/>
              </w:rPr>
              <w:t>、3</w:t>
            </w:r>
            <w:r>
              <w:rPr>
                <w:rFonts w:ascii="宋体" w:hAnsi="宋体"/>
                <w:bCs/>
                <w:color w:val="000000"/>
                <w:szCs w:val="21"/>
              </w:rPr>
              <w:t>层</w:t>
            </w:r>
            <w:r>
              <w:rPr>
                <w:rFonts w:hint="eastAsia" w:ascii="宋体" w:hAnsi="宋体"/>
                <w:bCs/>
                <w:color w:val="000000"/>
                <w:szCs w:val="21"/>
              </w:rPr>
              <w:t>、4层、5层、6层、7层的组合楼</w:t>
            </w:r>
            <w:r>
              <w:rPr>
                <w:rFonts w:ascii="宋体" w:hAnsi="宋体"/>
                <w:color w:val="000000"/>
                <w:szCs w:val="21"/>
              </w:rPr>
              <w:t>，钢筋混凝土结构，</w:t>
            </w:r>
            <w:r>
              <w:rPr>
                <w:rFonts w:hint="eastAsia" w:ascii="宋体" w:hAnsi="宋体"/>
                <w:color w:val="000000"/>
                <w:szCs w:val="21"/>
              </w:rPr>
              <w:t>总建筑</w:t>
            </w:r>
            <w:r>
              <w:rPr>
                <w:rFonts w:ascii="宋体" w:hAnsi="宋体"/>
                <w:bCs/>
                <w:color w:val="000000"/>
                <w:szCs w:val="21"/>
              </w:rPr>
              <w:t>面积</w:t>
            </w:r>
            <w:r>
              <w:rPr>
                <w:rFonts w:hint="eastAsia" w:ascii="宋体" w:hAnsi="宋体"/>
                <w:bCs/>
                <w:color w:val="000000"/>
                <w:szCs w:val="21"/>
              </w:rPr>
              <w:t>19710</w:t>
            </w:r>
            <w:r>
              <w:rPr>
                <w:rFonts w:ascii="宋体" w:hAnsi="宋体"/>
                <w:bCs/>
                <w:color w:val="000000"/>
                <w:szCs w:val="21"/>
              </w:rPr>
              <w:t>m</w:t>
            </w:r>
            <w:r>
              <w:rPr>
                <w:rFonts w:ascii="宋体" w:hAnsi="宋体"/>
                <w:bCs/>
                <w:color w:val="000000"/>
                <w:szCs w:val="21"/>
                <w:vertAlign w:val="superscript"/>
              </w:rPr>
              <w:t>2</w:t>
            </w:r>
            <w:r>
              <w:rPr>
                <w:rFonts w:hint="eastAsia" w:ascii="宋体" w:hAnsi="宋体"/>
                <w:color w:val="000000"/>
                <w:szCs w:val="21"/>
              </w:rPr>
              <w:t>（包含地下建筑面积7750</w:t>
            </w:r>
            <w:r>
              <w:rPr>
                <w:rFonts w:ascii="宋体" w:hAnsi="宋体"/>
                <w:color w:val="000000"/>
                <w:szCs w:val="21"/>
              </w:rPr>
              <w:t>m</w:t>
            </w:r>
            <w:r>
              <w:rPr>
                <w:rFonts w:ascii="宋体" w:hAnsi="宋体"/>
                <w:color w:val="000000"/>
                <w:szCs w:val="21"/>
                <w:vertAlign w:val="superscript"/>
              </w:rPr>
              <w:t>2</w:t>
            </w:r>
            <w:r>
              <w:rPr>
                <w:rFonts w:hint="eastAsia" w:ascii="宋体" w:hAnsi="宋体"/>
                <w:color w:val="000000"/>
                <w:szCs w:val="21"/>
              </w:rPr>
              <w:t>）</w:t>
            </w:r>
            <w:r>
              <w:rPr>
                <w:rFonts w:ascii="宋体" w:hAnsi="宋体"/>
                <w:bCs/>
                <w:color w:val="000000"/>
                <w:szCs w:val="21"/>
              </w:rPr>
              <w:t>。</w:t>
            </w:r>
          </w:p>
        </w:tc>
        <w:tc>
          <w:tcPr>
            <w:tcW w:w="680" w:type="dxa"/>
            <w:noWrap w:val="0"/>
            <w:vAlign w:val="center"/>
          </w:tcPr>
          <w:p w14:paraId="37ABB333">
            <w:pPr>
              <w:jc w:val="center"/>
              <w:rPr>
                <w:rFonts w:hint="eastAsia"/>
                <w:bCs/>
                <w:color w:val="000000"/>
                <w:szCs w:val="21"/>
              </w:rPr>
            </w:pPr>
            <w:r>
              <w:rPr>
                <w:rFonts w:hAnsi="宋体"/>
                <w:color w:val="000000"/>
                <w:szCs w:val="21"/>
              </w:rPr>
              <w:t>新建</w:t>
            </w:r>
          </w:p>
        </w:tc>
      </w:tr>
      <w:tr w14:paraId="22224888">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cantSplit/>
          <w:trHeight w:val="582" w:hRule="atLeast"/>
          <w:jc w:val="center"/>
        </w:trPr>
        <w:tc>
          <w:tcPr>
            <w:tcW w:w="1174" w:type="dxa"/>
            <w:vMerge w:val="continue"/>
            <w:noWrap w:val="0"/>
            <w:vAlign w:val="center"/>
          </w:tcPr>
          <w:p w14:paraId="6E19B7AC">
            <w:pPr>
              <w:spacing w:line="300" w:lineRule="exact"/>
              <w:jc w:val="center"/>
              <w:rPr>
                <w:rFonts w:hAnsi="宋体"/>
                <w:bCs/>
                <w:color w:val="000000"/>
                <w:szCs w:val="21"/>
              </w:rPr>
            </w:pPr>
          </w:p>
        </w:tc>
        <w:tc>
          <w:tcPr>
            <w:tcW w:w="1441" w:type="dxa"/>
            <w:noWrap w:val="0"/>
            <w:vAlign w:val="center"/>
          </w:tcPr>
          <w:p w14:paraId="3DB1868E">
            <w:pPr>
              <w:spacing w:line="300" w:lineRule="exact"/>
              <w:jc w:val="center"/>
              <w:rPr>
                <w:rFonts w:hAnsi="宋体"/>
                <w:bCs/>
                <w:color w:val="000000"/>
                <w:szCs w:val="21"/>
              </w:rPr>
            </w:pPr>
            <w:r>
              <w:rPr>
                <w:rFonts w:hint="eastAsia" w:hAnsi="宋体"/>
                <w:bCs/>
                <w:color w:val="000000"/>
                <w:szCs w:val="21"/>
              </w:rPr>
              <w:t>综合业务楼（一期）</w:t>
            </w:r>
          </w:p>
        </w:tc>
        <w:tc>
          <w:tcPr>
            <w:tcW w:w="5352" w:type="dxa"/>
            <w:noWrap w:val="0"/>
            <w:vAlign w:val="center"/>
          </w:tcPr>
          <w:p w14:paraId="2E26EBAC">
            <w:pPr>
              <w:spacing w:line="300" w:lineRule="exact"/>
              <w:rPr>
                <w:rFonts w:hAnsi="宋体"/>
                <w:color w:val="000000"/>
                <w:szCs w:val="21"/>
              </w:rPr>
            </w:pPr>
            <w:r>
              <w:rPr>
                <w:rFonts w:hAnsi="宋体"/>
                <w:color w:val="000000"/>
                <w:szCs w:val="21"/>
              </w:rPr>
              <w:t>新建</w:t>
            </w:r>
            <w:r>
              <w:rPr>
                <w:rFonts w:hint="eastAsia" w:hAnsi="宋体"/>
                <w:color w:val="000000"/>
                <w:szCs w:val="21"/>
              </w:rPr>
              <w:t>综合业务楼一栋</w:t>
            </w:r>
            <w:r>
              <w:rPr>
                <w:rFonts w:hAnsi="宋体"/>
                <w:bCs/>
                <w:color w:val="000000"/>
                <w:szCs w:val="21"/>
              </w:rPr>
              <w:t>，设计为</w:t>
            </w:r>
            <w:r>
              <w:rPr>
                <w:rFonts w:hint="eastAsia" w:hAnsi="宋体"/>
                <w:bCs/>
                <w:color w:val="000000"/>
                <w:szCs w:val="21"/>
              </w:rPr>
              <w:t>6</w:t>
            </w:r>
            <w:r>
              <w:rPr>
                <w:rFonts w:hAnsi="宋体"/>
                <w:bCs/>
                <w:color w:val="000000"/>
                <w:szCs w:val="21"/>
              </w:rPr>
              <w:t>层</w:t>
            </w:r>
            <w:r>
              <w:rPr>
                <w:rFonts w:hint="eastAsia" w:hAnsi="宋体"/>
                <w:bCs/>
                <w:color w:val="000000"/>
                <w:szCs w:val="21"/>
              </w:rPr>
              <w:t>、7层组合楼</w:t>
            </w:r>
            <w:r>
              <w:rPr>
                <w:rFonts w:hAnsi="宋体"/>
                <w:color w:val="000000"/>
                <w:szCs w:val="21"/>
              </w:rPr>
              <w:t>，钢筋混凝土结构，</w:t>
            </w:r>
            <w:r>
              <w:rPr>
                <w:rFonts w:hint="eastAsia" w:hAnsi="宋体"/>
                <w:color w:val="000000"/>
                <w:szCs w:val="21"/>
              </w:rPr>
              <w:t>总</w:t>
            </w:r>
            <w:r>
              <w:rPr>
                <w:rFonts w:hAnsi="宋体"/>
                <w:bCs/>
                <w:color w:val="000000"/>
                <w:szCs w:val="21"/>
              </w:rPr>
              <w:t>建筑面</w:t>
            </w:r>
            <w:r>
              <w:rPr>
                <w:bCs/>
                <w:color w:val="000000"/>
                <w:szCs w:val="21"/>
              </w:rPr>
              <w:t>积</w:t>
            </w:r>
            <w:r>
              <w:rPr>
                <w:rFonts w:hint="eastAsia"/>
                <w:bCs/>
                <w:color w:val="000000"/>
                <w:szCs w:val="21"/>
              </w:rPr>
              <w:t>8211</w:t>
            </w:r>
            <w:r>
              <w:rPr>
                <w:bCs/>
                <w:color w:val="000000"/>
                <w:szCs w:val="21"/>
              </w:rPr>
              <w:t>m</w:t>
            </w:r>
            <w:r>
              <w:rPr>
                <w:bCs/>
                <w:color w:val="000000"/>
                <w:szCs w:val="21"/>
                <w:vertAlign w:val="superscript"/>
              </w:rPr>
              <w:t>2</w:t>
            </w:r>
            <w:r>
              <w:rPr>
                <w:rFonts w:hint="eastAsia" w:ascii="宋体" w:hAnsi="宋体"/>
                <w:color w:val="000000"/>
                <w:szCs w:val="21"/>
              </w:rPr>
              <w:t>（包含地下建筑面积1165</w:t>
            </w:r>
            <w:r>
              <w:rPr>
                <w:rFonts w:ascii="宋体" w:hAnsi="宋体"/>
                <w:color w:val="000000"/>
                <w:szCs w:val="21"/>
              </w:rPr>
              <w:t>m</w:t>
            </w:r>
            <w:r>
              <w:rPr>
                <w:rFonts w:ascii="宋体" w:hAnsi="宋体"/>
                <w:color w:val="000000"/>
                <w:szCs w:val="21"/>
                <w:vertAlign w:val="superscript"/>
              </w:rPr>
              <w:t>2</w:t>
            </w:r>
            <w:r>
              <w:rPr>
                <w:rFonts w:hint="eastAsia" w:ascii="宋体" w:hAnsi="宋体"/>
                <w:color w:val="000000"/>
                <w:szCs w:val="21"/>
              </w:rPr>
              <w:t>）</w:t>
            </w:r>
            <w:r>
              <w:rPr>
                <w:rFonts w:hAnsi="宋体"/>
                <w:bCs/>
                <w:color w:val="000000"/>
                <w:szCs w:val="21"/>
              </w:rPr>
              <w:t>。</w:t>
            </w:r>
          </w:p>
        </w:tc>
        <w:tc>
          <w:tcPr>
            <w:tcW w:w="680" w:type="dxa"/>
            <w:noWrap w:val="0"/>
            <w:vAlign w:val="center"/>
          </w:tcPr>
          <w:p w14:paraId="2FED4238">
            <w:pPr>
              <w:jc w:val="center"/>
              <w:rPr>
                <w:rFonts w:hAnsi="宋体"/>
                <w:color w:val="000000"/>
                <w:szCs w:val="21"/>
              </w:rPr>
            </w:pPr>
            <w:r>
              <w:rPr>
                <w:rFonts w:hAnsi="宋体"/>
                <w:color w:val="000000"/>
                <w:szCs w:val="21"/>
              </w:rPr>
              <w:t>新建</w:t>
            </w:r>
          </w:p>
        </w:tc>
      </w:tr>
      <w:tr w14:paraId="6CEE29E6">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cantSplit/>
          <w:trHeight w:val="763" w:hRule="atLeast"/>
          <w:jc w:val="center"/>
        </w:trPr>
        <w:tc>
          <w:tcPr>
            <w:tcW w:w="1174" w:type="dxa"/>
            <w:vMerge w:val="continue"/>
            <w:noWrap w:val="0"/>
            <w:vAlign w:val="center"/>
          </w:tcPr>
          <w:p w14:paraId="77565481">
            <w:pPr>
              <w:spacing w:line="300" w:lineRule="exact"/>
              <w:jc w:val="center"/>
              <w:rPr>
                <w:rFonts w:hAnsi="宋体"/>
                <w:bCs/>
                <w:color w:val="000000"/>
                <w:szCs w:val="21"/>
              </w:rPr>
            </w:pPr>
          </w:p>
        </w:tc>
        <w:tc>
          <w:tcPr>
            <w:tcW w:w="1441" w:type="dxa"/>
            <w:noWrap w:val="0"/>
            <w:vAlign w:val="center"/>
          </w:tcPr>
          <w:p w14:paraId="78C903DE">
            <w:pPr>
              <w:spacing w:line="300" w:lineRule="exact"/>
              <w:jc w:val="center"/>
              <w:rPr>
                <w:rFonts w:hAnsi="宋体"/>
                <w:bCs/>
                <w:color w:val="000000"/>
                <w:szCs w:val="21"/>
              </w:rPr>
            </w:pPr>
            <w:r>
              <w:rPr>
                <w:rFonts w:hint="eastAsia" w:hAnsi="宋体"/>
                <w:bCs/>
                <w:color w:val="000000"/>
                <w:szCs w:val="21"/>
              </w:rPr>
              <w:t>后勤综合楼（一期）</w:t>
            </w:r>
          </w:p>
        </w:tc>
        <w:tc>
          <w:tcPr>
            <w:tcW w:w="5352" w:type="dxa"/>
            <w:noWrap w:val="0"/>
            <w:vAlign w:val="center"/>
          </w:tcPr>
          <w:p w14:paraId="15286272">
            <w:pPr>
              <w:spacing w:line="300" w:lineRule="exact"/>
              <w:rPr>
                <w:rFonts w:hAnsi="宋体"/>
                <w:color w:val="000000"/>
                <w:szCs w:val="21"/>
              </w:rPr>
            </w:pPr>
            <w:r>
              <w:rPr>
                <w:rFonts w:hAnsi="宋体"/>
                <w:color w:val="000000"/>
                <w:szCs w:val="21"/>
              </w:rPr>
              <w:t>新建</w:t>
            </w:r>
            <w:r>
              <w:rPr>
                <w:rFonts w:hint="eastAsia" w:hAnsi="宋体"/>
                <w:bCs/>
                <w:color w:val="000000"/>
                <w:szCs w:val="21"/>
              </w:rPr>
              <w:t>后勤综合楼</w:t>
            </w:r>
            <w:r>
              <w:rPr>
                <w:rFonts w:hint="eastAsia" w:hAnsi="宋体"/>
                <w:color w:val="000000"/>
                <w:szCs w:val="21"/>
              </w:rPr>
              <w:t>一栋</w:t>
            </w:r>
            <w:r>
              <w:rPr>
                <w:rFonts w:hAnsi="宋体"/>
                <w:bCs/>
                <w:color w:val="000000"/>
                <w:szCs w:val="21"/>
              </w:rPr>
              <w:t>，设计为</w:t>
            </w:r>
            <w:r>
              <w:rPr>
                <w:rFonts w:hint="eastAsia"/>
                <w:bCs/>
                <w:color w:val="000000"/>
                <w:szCs w:val="21"/>
              </w:rPr>
              <w:t>4</w:t>
            </w:r>
            <w:r>
              <w:rPr>
                <w:rFonts w:hAnsi="宋体"/>
                <w:bCs/>
                <w:color w:val="000000"/>
                <w:szCs w:val="21"/>
              </w:rPr>
              <w:t>层</w:t>
            </w:r>
            <w:r>
              <w:rPr>
                <w:rFonts w:hAnsi="宋体"/>
                <w:color w:val="000000"/>
                <w:szCs w:val="21"/>
              </w:rPr>
              <w:t>，钢筋混凝土结构，</w:t>
            </w:r>
            <w:r>
              <w:rPr>
                <w:rFonts w:hAnsi="宋体"/>
                <w:bCs/>
                <w:color w:val="000000"/>
                <w:szCs w:val="21"/>
              </w:rPr>
              <w:t>建筑面积</w:t>
            </w:r>
            <w:r>
              <w:rPr>
                <w:rFonts w:hint="eastAsia"/>
                <w:bCs/>
                <w:color w:val="000000"/>
                <w:szCs w:val="21"/>
              </w:rPr>
              <w:t>3500</w:t>
            </w:r>
            <w:r>
              <w:rPr>
                <w:bCs/>
                <w:color w:val="000000"/>
                <w:szCs w:val="21"/>
              </w:rPr>
              <w:t>m</w:t>
            </w:r>
            <w:r>
              <w:rPr>
                <w:bCs/>
                <w:color w:val="000000"/>
                <w:szCs w:val="21"/>
                <w:vertAlign w:val="superscript"/>
              </w:rPr>
              <w:t>2</w:t>
            </w:r>
            <w:r>
              <w:rPr>
                <w:rFonts w:hAnsi="宋体"/>
                <w:bCs/>
                <w:color w:val="000000"/>
                <w:szCs w:val="21"/>
              </w:rPr>
              <w:t>，</w:t>
            </w:r>
            <w:r>
              <w:rPr>
                <w:rFonts w:hAnsi="宋体"/>
                <w:color w:val="000000"/>
                <w:szCs w:val="21"/>
              </w:rPr>
              <w:t xml:space="preserve"> </w:t>
            </w:r>
          </w:p>
        </w:tc>
        <w:tc>
          <w:tcPr>
            <w:tcW w:w="680" w:type="dxa"/>
            <w:noWrap w:val="0"/>
            <w:vAlign w:val="center"/>
          </w:tcPr>
          <w:p w14:paraId="3F81C64A">
            <w:pPr>
              <w:jc w:val="center"/>
              <w:rPr>
                <w:rFonts w:hAnsi="宋体"/>
                <w:color w:val="000000"/>
                <w:szCs w:val="21"/>
              </w:rPr>
            </w:pPr>
            <w:r>
              <w:rPr>
                <w:rFonts w:hAnsi="宋体"/>
                <w:color w:val="000000"/>
                <w:szCs w:val="21"/>
              </w:rPr>
              <w:t>新建</w:t>
            </w:r>
          </w:p>
        </w:tc>
      </w:tr>
      <w:tr w14:paraId="6C364EBB">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cantSplit/>
          <w:trHeight w:val="761" w:hRule="atLeast"/>
          <w:jc w:val="center"/>
        </w:trPr>
        <w:tc>
          <w:tcPr>
            <w:tcW w:w="1174" w:type="dxa"/>
            <w:vMerge w:val="continue"/>
            <w:noWrap w:val="0"/>
            <w:vAlign w:val="center"/>
          </w:tcPr>
          <w:p w14:paraId="628A35C4">
            <w:pPr>
              <w:spacing w:line="300" w:lineRule="exact"/>
              <w:jc w:val="center"/>
              <w:rPr>
                <w:rFonts w:hAnsi="宋体"/>
                <w:bCs/>
                <w:color w:val="000000"/>
                <w:szCs w:val="21"/>
              </w:rPr>
            </w:pPr>
          </w:p>
        </w:tc>
        <w:tc>
          <w:tcPr>
            <w:tcW w:w="1441" w:type="dxa"/>
            <w:noWrap w:val="0"/>
            <w:vAlign w:val="center"/>
          </w:tcPr>
          <w:p w14:paraId="18865772">
            <w:pPr>
              <w:spacing w:line="300" w:lineRule="exact"/>
              <w:jc w:val="center"/>
              <w:rPr>
                <w:rFonts w:hint="eastAsia" w:hAnsi="宋体"/>
                <w:bCs/>
                <w:color w:val="000000"/>
                <w:szCs w:val="21"/>
              </w:rPr>
            </w:pPr>
            <w:r>
              <w:rPr>
                <w:rFonts w:hint="eastAsia" w:hAnsi="宋体"/>
                <w:bCs/>
                <w:color w:val="000000"/>
                <w:szCs w:val="21"/>
              </w:rPr>
              <w:t>培训综合楼（二期）</w:t>
            </w:r>
          </w:p>
        </w:tc>
        <w:tc>
          <w:tcPr>
            <w:tcW w:w="5352" w:type="dxa"/>
            <w:noWrap w:val="0"/>
            <w:vAlign w:val="center"/>
          </w:tcPr>
          <w:p w14:paraId="0BCD1AF4">
            <w:pPr>
              <w:spacing w:line="300" w:lineRule="exact"/>
              <w:rPr>
                <w:rFonts w:hint="eastAsia" w:hAnsi="宋体"/>
                <w:color w:val="000000"/>
                <w:szCs w:val="21"/>
              </w:rPr>
            </w:pPr>
            <w:r>
              <w:rPr>
                <w:rFonts w:hAnsi="宋体"/>
                <w:color w:val="000000"/>
                <w:szCs w:val="21"/>
              </w:rPr>
              <w:t>新</w:t>
            </w:r>
            <w:r>
              <w:rPr>
                <w:rFonts w:hAnsi="宋体"/>
                <w:bCs/>
                <w:color w:val="000000"/>
                <w:szCs w:val="21"/>
              </w:rPr>
              <w:t>建</w:t>
            </w:r>
            <w:r>
              <w:rPr>
                <w:rFonts w:hint="eastAsia" w:hAnsi="宋体"/>
                <w:bCs/>
                <w:color w:val="000000"/>
                <w:szCs w:val="21"/>
              </w:rPr>
              <w:t>培训综合楼</w:t>
            </w:r>
            <w:r>
              <w:rPr>
                <w:rFonts w:hint="eastAsia" w:hAnsi="宋体"/>
                <w:color w:val="000000"/>
                <w:szCs w:val="21"/>
              </w:rPr>
              <w:t>一栋</w:t>
            </w:r>
            <w:r>
              <w:rPr>
                <w:rFonts w:hAnsi="宋体"/>
                <w:bCs/>
                <w:color w:val="000000"/>
                <w:szCs w:val="21"/>
              </w:rPr>
              <w:t>，设计为</w:t>
            </w:r>
            <w:r>
              <w:rPr>
                <w:rFonts w:hint="eastAsia"/>
                <w:bCs/>
                <w:color w:val="000000"/>
                <w:szCs w:val="21"/>
              </w:rPr>
              <w:t>4</w:t>
            </w:r>
            <w:r>
              <w:rPr>
                <w:rFonts w:hAnsi="宋体"/>
                <w:bCs/>
                <w:color w:val="000000"/>
                <w:szCs w:val="21"/>
              </w:rPr>
              <w:t>层</w:t>
            </w:r>
            <w:r>
              <w:rPr>
                <w:rFonts w:hAnsi="宋体"/>
                <w:color w:val="000000"/>
                <w:szCs w:val="21"/>
              </w:rPr>
              <w:t>，</w:t>
            </w:r>
            <w:r>
              <w:rPr>
                <w:rFonts w:hAnsi="宋体"/>
                <w:bCs/>
                <w:color w:val="000000"/>
                <w:szCs w:val="21"/>
              </w:rPr>
              <w:t>钢筋</w:t>
            </w:r>
            <w:r>
              <w:rPr>
                <w:rFonts w:hAnsi="宋体"/>
                <w:color w:val="000000"/>
                <w:szCs w:val="21"/>
              </w:rPr>
              <w:t>混凝土结构，</w:t>
            </w:r>
            <w:r>
              <w:rPr>
                <w:rFonts w:hAnsi="宋体"/>
                <w:bCs/>
                <w:color w:val="000000"/>
                <w:szCs w:val="21"/>
              </w:rPr>
              <w:t>建筑面积</w:t>
            </w:r>
            <w:r>
              <w:rPr>
                <w:rFonts w:hint="eastAsia"/>
                <w:bCs/>
                <w:color w:val="000000"/>
                <w:szCs w:val="21"/>
              </w:rPr>
              <w:t>2745</w:t>
            </w:r>
            <w:r>
              <w:rPr>
                <w:bCs/>
                <w:color w:val="000000"/>
                <w:szCs w:val="21"/>
              </w:rPr>
              <w:t>m</w:t>
            </w:r>
            <w:r>
              <w:rPr>
                <w:bCs/>
                <w:color w:val="000000"/>
                <w:szCs w:val="21"/>
                <w:vertAlign w:val="superscript"/>
              </w:rPr>
              <w:t>2</w:t>
            </w:r>
            <w:r>
              <w:rPr>
                <w:rFonts w:hint="eastAsia" w:hAnsi="宋体"/>
                <w:bCs/>
                <w:color w:val="000000"/>
                <w:szCs w:val="21"/>
              </w:rPr>
              <w:t>。</w:t>
            </w:r>
          </w:p>
        </w:tc>
        <w:tc>
          <w:tcPr>
            <w:tcW w:w="680" w:type="dxa"/>
            <w:noWrap w:val="0"/>
            <w:vAlign w:val="center"/>
          </w:tcPr>
          <w:p w14:paraId="5CABE0B5">
            <w:pPr>
              <w:jc w:val="center"/>
              <w:rPr>
                <w:rFonts w:hAnsi="宋体"/>
                <w:color w:val="000000"/>
                <w:szCs w:val="21"/>
              </w:rPr>
            </w:pPr>
            <w:r>
              <w:rPr>
                <w:rFonts w:hAnsi="宋体"/>
                <w:color w:val="000000"/>
                <w:szCs w:val="21"/>
              </w:rPr>
              <w:t>新建</w:t>
            </w:r>
          </w:p>
        </w:tc>
      </w:tr>
      <w:tr w14:paraId="784CAF18">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cantSplit/>
          <w:trHeight w:val="761" w:hRule="atLeast"/>
          <w:jc w:val="center"/>
        </w:trPr>
        <w:tc>
          <w:tcPr>
            <w:tcW w:w="1174" w:type="dxa"/>
            <w:vMerge w:val="continue"/>
            <w:noWrap w:val="0"/>
            <w:vAlign w:val="center"/>
          </w:tcPr>
          <w:p w14:paraId="58991792">
            <w:pPr>
              <w:spacing w:line="300" w:lineRule="exact"/>
              <w:jc w:val="center"/>
              <w:rPr>
                <w:rFonts w:hAnsi="宋体"/>
                <w:bCs/>
                <w:color w:val="000000"/>
                <w:szCs w:val="21"/>
              </w:rPr>
            </w:pPr>
          </w:p>
        </w:tc>
        <w:tc>
          <w:tcPr>
            <w:tcW w:w="1441" w:type="dxa"/>
            <w:noWrap w:val="0"/>
            <w:vAlign w:val="center"/>
          </w:tcPr>
          <w:p w14:paraId="1E9C6D0C">
            <w:pPr>
              <w:spacing w:line="300" w:lineRule="exact"/>
              <w:jc w:val="center"/>
              <w:rPr>
                <w:rFonts w:hint="eastAsia" w:hAnsi="宋体"/>
                <w:bCs/>
                <w:color w:val="000000"/>
                <w:szCs w:val="21"/>
              </w:rPr>
            </w:pPr>
            <w:r>
              <w:rPr>
                <w:rFonts w:hint="eastAsia" w:hAnsi="宋体"/>
                <w:bCs/>
                <w:color w:val="000000"/>
                <w:szCs w:val="21"/>
              </w:rPr>
              <w:t>地下室</w:t>
            </w:r>
          </w:p>
        </w:tc>
        <w:tc>
          <w:tcPr>
            <w:tcW w:w="5352" w:type="dxa"/>
            <w:noWrap w:val="0"/>
            <w:vAlign w:val="center"/>
          </w:tcPr>
          <w:p w14:paraId="1F74CAB3">
            <w:pPr>
              <w:spacing w:line="300" w:lineRule="exact"/>
              <w:rPr>
                <w:rFonts w:hint="eastAsia" w:hAnsi="宋体"/>
                <w:color w:val="000000"/>
                <w:szCs w:val="21"/>
              </w:rPr>
            </w:pPr>
            <w:r>
              <w:rPr>
                <w:rFonts w:hint="eastAsia" w:hAnsi="宋体"/>
                <w:color w:val="000000"/>
                <w:szCs w:val="21"/>
              </w:rPr>
              <w:t>总建筑面积为8915</w:t>
            </w:r>
            <w:r>
              <w:rPr>
                <w:rFonts w:hAnsi="宋体"/>
                <w:color w:val="000000"/>
                <w:szCs w:val="21"/>
              </w:rPr>
              <w:t>m</w:t>
            </w:r>
            <w:r>
              <w:rPr>
                <w:rFonts w:hAnsi="宋体"/>
                <w:color w:val="000000"/>
                <w:szCs w:val="21"/>
                <w:vertAlign w:val="superscript"/>
              </w:rPr>
              <w:t>2</w:t>
            </w:r>
            <w:r>
              <w:rPr>
                <w:rFonts w:hint="eastAsia" w:hAnsi="宋体"/>
                <w:color w:val="000000"/>
                <w:szCs w:val="21"/>
              </w:rPr>
              <w:t>，其中</w:t>
            </w:r>
            <w:r>
              <w:rPr>
                <w:rFonts w:hint="eastAsia" w:hAnsi="宋体"/>
                <w:bCs/>
                <w:color w:val="000000"/>
                <w:szCs w:val="21"/>
              </w:rPr>
              <w:t>门诊综合、住院楼7750</w:t>
            </w:r>
            <w:r>
              <w:rPr>
                <w:rFonts w:hAnsi="宋体"/>
                <w:color w:val="000000"/>
                <w:szCs w:val="21"/>
              </w:rPr>
              <w:t>m</w:t>
            </w:r>
            <w:r>
              <w:rPr>
                <w:rFonts w:hAnsi="宋体"/>
                <w:color w:val="000000"/>
                <w:szCs w:val="21"/>
                <w:vertAlign w:val="superscript"/>
              </w:rPr>
              <w:t>2</w:t>
            </w:r>
            <w:r>
              <w:rPr>
                <w:rFonts w:hint="eastAsia" w:hAnsi="宋体"/>
                <w:color w:val="000000"/>
                <w:szCs w:val="21"/>
              </w:rPr>
              <w:t>，</w:t>
            </w:r>
            <w:r>
              <w:rPr>
                <w:rFonts w:hint="eastAsia" w:hAnsi="宋体"/>
                <w:bCs/>
                <w:color w:val="000000"/>
                <w:szCs w:val="21"/>
              </w:rPr>
              <w:t>综合业务楼1165</w:t>
            </w:r>
            <w:r>
              <w:rPr>
                <w:rFonts w:hAnsi="宋体"/>
                <w:color w:val="000000"/>
                <w:szCs w:val="21"/>
              </w:rPr>
              <w:t>m</w:t>
            </w:r>
            <w:r>
              <w:rPr>
                <w:rFonts w:hAnsi="宋体"/>
                <w:color w:val="000000"/>
                <w:szCs w:val="21"/>
                <w:vertAlign w:val="superscript"/>
              </w:rPr>
              <w:t>2</w:t>
            </w:r>
            <w:r>
              <w:rPr>
                <w:rFonts w:hint="eastAsia" w:hAnsi="宋体"/>
                <w:color w:val="000000"/>
                <w:szCs w:val="21"/>
              </w:rPr>
              <w:t>。</w:t>
            </w:r>
          </w:p>
        </w:tc>
        <w:tc>
          <w:tcPr>
            <w:tcW w:w="680" w:type="dxa"/>
            <w:noWrap w:val="0"/>
            <w:vAlign w:val="center"/>
          </w:tcPr>
          <w:p w14:paraId="7758D682">
            <w:pPr>
              <w:jc w:val="center"/>
              <w:rPr>
                <w:rFonts w:hAnsi="宋体"/>
                <w:color w:val="000000"/>
                <w:szCs w:val="21"/>
              </w:rPr>
            </w:pPr>
            <w:r>
              <w:rPr>
                <w:rFonts w:hAnsi="宋体"/>
                <w:color w:val="000000"/>
                <w:szCs w:val="21"/>
              </w:rPr>
              <w:t>新建</w:t>
            </w:r>
          </w:p>
        </w:tc>
      </w:tr>
      <w:tr w14:paraId="7D6E43C9">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cantSplit/>
          <w:trHeight w:val="602" w:hRule="atLeast"/>
          <w:jc w:val="center"/>
        </w:trPr>
        <w:tc>
          <w:tcPr>
            <w:tcW w:w="1174" w:type="dxa"/>
            <w:vMerge w:val="restart"/>
            <w:noWrap w:val="0"/>
            <w:vAlign w:val="center"/>
          </w:tcPr>
          <w:p w14:paraId="7A4B510B">
            <w:pPr>
              <w:spacing w:line="300" w:lineRule="exact"/>
              <w:jc w:val="center"/>
              <w:rPr>
                <w:bCs/>
                <w:color w:val="000000"/>
                <w:szCs w:val="21"/>
              </w:rPr>
            </w:pPr>
            <w:r>
              <w:rPr>
                <w:rFonts w:hAnsi="宋体"/>
                <w:bCs/>
                <w:color w:val="000000"/>
                <w:szCs w:val="21"/>
              </w:rPr>
              <w:t>辅助</w:t>
            </w:r>
          </w:p>
          <w:p w14:paraId="75C62767">
            <w:pPr>
              <w:spacing w:line="300" w:lineRule="exact"/>
              <w:jc w:val="center"/>
              <w:rPr>
                <w:bCs/>
                <w:color w:val="000000"/>
                <w:szCs w:val="21"/>
              </w:rPr>
            </w:pPr>
            <w:r>
              <w:rPr>
                <w:rFonts w:hAnsi="宋体"/>
                <w:bCs/>
                <w:color w:val="000000"/>
                <w:szCs w:val="21"/>
              </w:rPr>
              <w:t>工程</w:t>
            </w:r>
          </w:p>
        </w:tc>
        <w:tc>
          <w:tcPr>
            <w:tcW w:w="1441" w:type="dxa"/>
            <w:noWrap w:val="0"/>
            <w:vAlign w:val="center"/>
          </w:tcPr>
          <w:p w14:paraId="413FCFCE">
            <w:pPr>
              <w:spacing w:line="300" w:lineRule="exact"/>
              <w:jc w:val="center"/>
              <w:rPr>
                <w:bCs/>
                <w:color w:val="000000"/>
                <w:szCs w:val="21"/>
              </w:rPr>
            </w:pPr>
            <w:r>
              <w:rPr>
                <w:rFonts w:hAnsi="宋体"/>
                <w:bCs/>
                <w:color w:val="000000"/>
                <w:szCs w:val="21"/>
              </w:rPr>
              <w:t>配变电系统</w:t>
            </w:r>
          </w:p>
        </w:tc>
        <w:tc>
          <w:tcPr>
            <w:tcW w:w="5352" w:type="dxa"/>
            <w:noWrap w:val="0"/>
            <w:vAlign w:val="center"/>
          </w:tcPr>
          <w:p w14:paraId="431D1E2F">
            <w:pPr>
              <w:spacing w:line="300" w:lineRule="exact"/>
              <w:rPr>
                <w:bCs/>
                <w:color w:val="000000"/>
                <w:szCs w:val="21"/>
              </w:rPr>
            </w:pPr>
            <w:r>
              <w:rPr>
                <w:rFonts w:hAnsi="宋体"/>
                <w:color w:val="000000"/>
              </w:rPr>
              <w:t>由市政电网引来两路独立的</w:t>
            </w:r>
            <w:r>
              <w:rPr>
                <w:color w:val="000000"/>
              </w:rPr>
              <w:t>10kV</w:t>
            </w:r>
            <w:r>
              <w:rPr>
                <w:rFonts w:hAnsi="宋体"/>
                <w:color w:val="000000"/>
              </w:rPr>
              <w:t>电源供电</w:t>
            </w:r>
            <w:r>
              <w:rPr>
                <w:rFonts w:hAnsi="宋体"/>
                <w:color w:val="000000"/>
                <w:szCs w:val="21"/>
              </w:rPr>
              <w:t>，</w:t>
            </w:r>
            <w:r>
              <w:rPr>
                <w:rFonts w:hAnsi="宋体"/>
                <w:color w:val="000000"/>
              </w:rPr>
              <w:t>设变配电室、备用发电机房。</w:t>
            </w:r>
          </w:p>
        </w:tc>
        <w:tc>
          <w:tcPr>
            <w:tcW w:w="680" w:type="dxa"/>
            <w:noWrap w:val="0"/>
            <w:vAlign w:val="top"/>
          </w:tcPr>
          <w:p w14:paraId="7FCF8C74">
            <w:pPr>
              <w:jc w:val="center"/>
              <w:rPr>
                <w:color w:val="000000"/>
              </w:rPr>
            </w:pPr>
            <w:r>
              <w:rPr>
                <w:rFonts w:hAnsi="宋体"/>
                <w:color w:val="000000"/>
                <w:szCs w:val="21"/>
              </w:rPr>
              <w:t>新建</w:t>
            </w:r>
          </w:p>
        </w:tc>
      </w:tr>
      <w:tr w14:paraId="39B28DE5">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cantSplit/>
          <w:trHeight w:val="900" w:hRule="atLeast"/>
          <w:jc w:val="center"/>
        </w:trPr>
        <w:tc>
          <w:tcPr>
            <w:tcW w:w="1174" w:type="dxa"/>
            <w:vMerge w:val="continue"/>
            <w:noWrap w:val="0"/>
            <w:vAlign w:val="center"/>
          </w:tcPr>
          <w:p w14:paraId="2B802205">
            <w:pPr>
              <w:spacing w:line="300" w:lineRule="exact"/>
              <w:jc w:val="center"/>
              <w:rPr>
                <w:bCs/>
                <w:color w:val="000000"/>
                <w:szCs w:val="21"/>
              </w:rPr>
            </w:pPr>
          </w:p>
        </w:tc>
        <w:tc>
          <w:tcPr>
            <w:tcW w:w="1441" w:type="dxa"/>
            <w:noWrap w:val="0"/>
            <w:vAlign w:val="center"/>
          </w:tcPr>
          <w:p w14:paraId="5E83D99C">
            <w:pPr>
              <w:spacing w:line="300" w:lineRule="exact"/>
              <w:jc w:val="center"/>
              <w:rPr>
                <w:bCs/>
                <w:color w:val="000000"/>
                <w:szCs w:val="21"/>
              </w:rPr>
            </w:pPr>
            <w:r>
              <w:rPr>
                <w:rFonts w:hAnsi="宋体"/>
                <w:bCs/>
                <w:color w:val="000000"/>
                <w:szCs w:val="21"/>
              </w:rPr>
              <w:t>停车场</w:t>
            </w:r>
          </w:p>
        </w:tc>
        <w:tc>
          <w:tcPr>
            <w:tcW w:w="5352" w:type="dxa"/>
            <w:noWrap w:val="0"/>
            <w:vAlign w:val="center"/>
          </w:tcPr>
          <w:p w14:paraId="57DA15C9">
            <w:pPr>
              <w:spacing w:line="300" w:lineRule="exact"/>
              <w:rPr>
                <w:bCs/>
                <w:color w:val="000000"/>
                <w:szCs w:val="21"/>
              </w:rPr>
            </w:pPr>
            <w:r>
              <w:rPr>
                <w:rFonts w:hAnsi="宋体"/>
                <w:color w:val="000000"/>
                <w:szCs w:val="21"/>
              </w:rPr>
              <w:t>项目设机动车停车泊位</w:t>
            </w:r>
            <w:r>
              <w:rPr>
                <w:rFonts w:hint="eastAsia"/>
                <w:color w:val="000000"/>
                <w:szCs w:val="21"/>
              </w:rPr>
              <w:t>200</w:t>
            </w:r>
            <w:r>
              <w:rPr>
                <w:rFonts w:hint="eastAsia" w:hAnsi="宋体"/>
                <w:color w:val="000000"/>
                <w:szCs w:val="21"/>
              </w:rPr>
              <w:t>个，地上85个/地下115个</w:t>
            </w:r>
            <w:r>
              <w:rPr>
                <w:rFonts w:hAnsi="宋体"/>
                <w:color w:val="000000"/>
                <w:szCs w:val="21"/>
              </w:rPr>
              <w:t>。</w:t>
            </w:r>
          </w:p>
        </w:tc>
        <w:tc>
          <w:tcPr>
            <w:tcW w:w="680" w:type="dxa"/>
            <w:noWrap w:val="0"/>
            <w:vAlign w:val="top"/>
          </w:tcPr>
          <w:p w14:paraId="489A2F08">
            <w:pPr>
              <w:rPr>
                <w:rFonts w:hint="eastAsia"/>
                <w:color w:val="000000"/>
              </w:rPr>
            </w:pPr>
          </w:p>
          <w:p w14:paraId="40B3FED4">
            <w:pPr>
              <w:rPr>
                <w:color w:val="000000"/>
              </w:rPr>
            </w:pPr>
            <w:r>
              <w:rPr>
                <w:rFonts w:hAnsi="宋体"/>
                <w:color w:val="000000"/>
                <w:szCs w:val="21"/>
              </w:rPr>
              <w:t>新建</w:t>
            </w:r>
          </w:p>
        </w:tc>
      </w:tr>
      <w:tr w14:paraId="432058A4">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cantSplit/>
          <w:trHeight w:val="900" w:hRule="atLeast"/>
          <w:jc w:val="center"/>
        </w:trPr>
        <w:tc>
          <w:tcPr>
            <w:tcW w:w="1174" w:type="dxa"/>
            <w:vMerge w:val="restart"/>
            <w:noWrap w:val="0"/>
            <w:vAlign w:val="center"/>
          </w:tcPr>
          <w:p w14:paraId="26B3E237">
            <w:pPr>
              <w:spacing w:line="300" w:lineRule="exact"/>
              <w:jc w:val="center"/>
              <w:rPr>
                <w:rFonts w:hint="eastAsia"/>
                <w:bCs/>
                <w:color w:val="000000"/>
                <w:szCs w:val="21"/>
              </w:rPr>
            </w:pPr>
            <w:r>
              <w:rPr>
                <w:rFonts w:hint="eastAsia"/>
                <w:bCs/>
                <w:color w:val="000000"/>
                <w:szCs w:val="21"/>
              </w:rPr>
              <w:t>公用工程</w:t>
            </w:r>
          </w:p>
        </w:tc>
        <w:tc>
          <w:tcPr>
            <w:tcW w:w="1441" w:type="dxa"/>
            <w:noWrap w:val="0"/>
            <w:vAlign w:val="center"/>
          </w:tcPr>
          <w:p w14:paraId="6026A241">
            <w:pPr>
              <w:spacing w:line="300" w:lineRule="exact"/>
              <w:jc w:val="center"/>
              <w:rPr>
                <w:rFonts w:hAnsi="宋体"/>
                <w:bCs/>
                <w:color w:val="000000"/>
                <w:szCs w:val="21"/>
              </w:rPr>
            </w:pPr>
            <w:r>
              <w:rPr>
                <w:rFonts w:hAnsi="宋体"/>
                <w:bCs/>
                <w:color w:val="000000"/>
                <w:szCs w:val="21"/>
              </w:rPr>
              <w:t>给、排水系统</w:t>
            </w:r>
          </w:p>
        </w:tc>
        <w:tc>
          <w:tcPr>
            <w:tcW w:w="5352" w:type="dxa"/>
            <w:noWrap w:val="0"/>
            <w:vAlign w:val="center"/>
          </w:tcPr>
          <w:p w14:paraId="0B0091E6">
            <w:pPr>
              <w:spacing w:line="300" w:lineRule="exact"/>
              <w:rPr>
                <w:rFonts w:hAnsi="宋体"/>
                <w:color w:val="000000"/>
                <w:szCs w:val="21"/>
              </w:rPr>
            </w:pPr>
            <w:r>
              <w:rPr>
                <w:rFonts w:hAnsi="宋体"/>
                <w:bCs/>
                <w:color w:val="000000"/>
                <w:szCs w:val="21"/>
              </w:rPr>
              <w:t>水源来自市政管网，</w:t>
            </w:r>
            <w:r>
              <w:rPr>
                <w:rFonts w:hint="eastAsia" w:hAnsi="宋体"/>
                <w:bCs/>
                <w:color w:val="000000"/>
                <w:szCs w:val="21"/>
              </w:rPr>
              <w:t>排水采用雨污分流制。</w:t>
            </w:r>
          </w:p>
        </w:tc>
        <w:tc>
          <w:tcPr>
            <w:tcW w:w="680" w:type="dxa"/>
            <w:noWrap w:val="0"/>
            <w:vAlign w:val="top"/>
          </w:tcPr>
          <w:p w14:paraId="25E15DB0">
            <w:pPr>
              <w:rPr>
                <w:rFonts w:hint="eastAsia"/>
                <w:color w:val="000000"/>
              </w:rPr>
            </w:pPr>
            <w:r>
              <w:rPr>
                <w:rFonts w:hAnsi="宋体"/>
                <w:color w:val="000000"/>
                <w:szCs w:val="21"/>
              </w:rPr>
              <w:t>新建</w:t>
            </w:r>
          </w:p>
        </w:tc>
      </w:tr>
      <w:tr w14:paraId="0B79A5B0">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cantSplit/>
          <w:trHeight w:val="900" w:hRule="atLeast"/>
          <w:jc w:val="center"/>
        </w:trPr>
        <w:tc>
          <w:tcPr>
            <w:tcW w:w="1174" w:type="dxa"/>
            <w:vMerge w:val="continue"/>
            <w:noWrap w:val="0"/>
            <w:vAlign w:val="center"/>
          </w:tcPr>
          <w:p w14:paraId="6F7BA6A6">
            <w:pPr>
              <w:spacing w:line="300" w:lineRule="exact"/>
              <w:jc w:val="center"/>
              <w:rPr>
                <w:rFonts w:hint="eastAsia"/>
                <w:bCs/>
                <w:color w:val="000000"/>
                <w:szCs w:val="21"/>
              </w:rPr>
            </w:pPr>
          </w:p>
        </w:tc>
        <w:tc>
          <w:tcPr>
            <w:tcW w:w="1441" w:type="dxa"/>
            <w:noWrap w:val="0"/>
            <w:vAlign w:val="center"/>
          </w:tcPr>
          <w:p w14:paraId="2D7979FF">
            <w:pPr>
              <w:spacing w:line="300" w:lineRule="exact"/>
              <w:jc w:val="center"/>
              <w:rPr>
                <w:rFonts w:hAnsi="宋体"/>
                <w:bCs/>
                <w:color w:val="000000"/>
                <w:szCs w:val="21"/>
              </w:rPr>
            </w:pPr>
            <w:r>
              <w:rPr>
                <w:rFonts w:hint="eastAsia" w:hAnsi="宋体"/>
                <w:bCs/>
                <w:color w:val="000000"/>
                <w:szCs w:val="21"/>
              </w:rPr>
              <w:t>消防及通讯</w:t>
            </w:r>
          </w:p>
        </w:tc>
        <w:tc>
          <w:tcPr>
            <w:tcW w:w="5352" w:type="dxa"/>
            <w:noWrap w:val="0"/>
            <w:vAlign w:val="center"/>
          </w:tcPr>
          <w:p w14:paraId="1A55EC7C">
            <w:pPr>
              <w:spacing w:line="300" w:lineRule="exact"/>
              <w:rPr>
                <w:rFonts w:hAnsi="宋体"/>
                <w:bCs/>
                <w:color w:val="000000"/>
                <w:szCs w:val="21"/>
              </w:rPr>
            </w:pPr>
            <w:r>
              <w:rPr>
                <w:rFonts w:hAnsi="宋体"/>
                <w:bCs/>
                <w:color w:val="000000"/>
                <w:szCs w:val="21"/>
              </w:rPr>
              <w:t>在其屋顶设一个高位消防水箱，有效容积</w:t>
            </w:r>
            <w:r>
              <w:rPr>
                <w:rFonts w:hint="eastAsia" w:ascii="宋体" w:hAnsi="宋体"/>
                <w:bCs/>
                <w:color w:val="000000"/>
                <w:szCs w:val="21"/>
              </w:rPr>
              <w:t>≥</w:t>
            </w:r>
            <w:r>
              <w:rPr>
                <w:bCs/>
                <w:color w:val="000000"/>
                <w:szCs w:val="21"/>
              </w:rPr>
              <w:t>18m³</w:t>
            </w:r>
            <w:r>
              <w:rPr>
                <w:rFonts w:hAnsi="宋体"/>
                <w:bCs/>
                <w:color w:val="000000"/>
                <w:szCs w:val="21"/>
              </w:rPr>
              <w:t>，材质为不锈钢。</w:t>
            </w:r>
            <w:r>
              <w:rPr>
                <w:rFonts w:hint="eastAsia" w:hAnsi="宋体"/>
                <w:bCs/>
                <w:color w:val="000000"/>
                <w:szCs w:val="21"/>
              </w:rPr>
              <w:t>通讯采用弱电系统。</w:t>
            </w:r>
          </w:p>
        </w:tc>
        <w:tc>
          <w:tcPr>
            <w:tcW w:w="680" w:type="dxa"/>
            <w:noWrap w:val="0"/>
            <w:vAlign w:val="top"/>
          </w:tcPr>
          <w:p w14:paraId="3169B8F3">
            <w:pPr>
              <w:rPr>
                <w:rFonts w:hAnsi="宋体"/>
                <w:color w:val="000000"/>
                <w:szCs w:val="21"/>
              </w:rPr>
            </w:pPr>
            <w:r>
              <w:rPr>
                <w:rFonts w:hAnsi="宋体"/>
                <w:color w:val="000000"/>
                <w:szCs w:val="21"/>
              </w:rPr>
              <w:t>新建</w:t>
            </w:r>
          </w:p>
        </w:tc>
      </w:tr>
      <w:tr w14:paraId="76682249">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cantSplit/>
          <w:trHeight w:val="333" w:hRule="atLeast"/>
          <w:jc w:val="center"/>
        </w:trPr>
        <w:tc>
          <w:tcPr>
            <w:tcW w:w="1174" w:type="dxa"/>
            <w:vMerge w:val="restart"/>
            <w:noWrap w:val="0"/>
            <w:vAlign w:val="center"/>
          </w:tcPr>
          <w:p w14:paraId="7D8894EC">
            <w:pPr>
              <w:spacing w:line="300" w:lineRule="exact"/>
              <w:jc w:val="center"/>
              <w:rPr>
                <w:bCs/>
                <w:color w:val="000000"/>
                <w:szCs w:val="21"/>
              </w:rPr>
            </w:pPr>
            <w:r>
              <w:rPr>
                <w:rFonts w:hAnsi="宋体"/>
                <w:bCs/>
                <w:color w:val="000000"/>
                <w:szCs w:val="21"/>
              </w:rPr>
              <w:t>环保</w:t>
            </w:r>
          </w:p>
          <w:p w14:paraId="589EA65C">
            <w:pPr>
              <w:spacing w:line="300" w:lineRule="exact"/>
              <w:jc w:val="center"/>
              <w:rPr>
                <w:bCs/>
                <w:color w:val="000000"/>
                <w:szCs w:val="21"/>
              </w:rPr>
            </w:pPr>
            <w:r>
              <w:rPr>
                <w:rFonts w:hAnsi="宋体"/>
                <w:bCs/>
                <w:color w:val="000000"/>
                <w:szCs w:val="21"/>
              </w:rPr>
              <w:t>工程</w:t>
            </w:r>
          </w:p>
        </w:tc>
        <w:tc>
          <w:tcPr>
            <w:tcW w:w="1441" w:type="dxa"/>
            <w:noWrap w:val="0"/>
            <w:vAlign w:val="center"/>
          </w:tcPr>
          <w:p w14:paraId="47D73176">
            <w:pPr>
              <w:pStyle w:val="298"/>
              <w:spacing w:before="0" w:after="0" w:line="300" w:lineRule="exact"/>
              <w:rPr>
                <w:bCs/>
                <w:color w:val="000000"/>
                <w:spacing w:val="-14"/>
                <w:szCs w:val="21"/>
              </w:rPr>
            </w:pPr>
            <w:r>
              <w:rPr>
                <w:rFonts w:hAnsi="宋体"/>
                <w:bCs/>
                <w:color w:val="000000"/>
                <w:szCs w:val="21"/>
              </w:rPr>
              <w:t>废水处理系统</w:t>
            </w:r>
          </w:p>
        </w:tc>
        <w:tc>
          <w:tcPr>
            <w:tcW w:w="5352" w:type="dxa"/>
            <w:noWrap w:val="0"/>
            <w:vAlign w:val="center"/>
          </w:tcPr>
          <w:p w14:paraId="3DB75A90">
            <w:pPr>
              <w:spacing w:line="300" w:lineRule="exact"/>
              <w:rPr>
                <w:bCs/>
                <w:color w:val="000000"/>
                <w:szCs w:val="21"/>
              </w:rPr>
            </w:pPr>
            <w:r>
              <w:rPr>
                <w:rFonts w:hAnsi="宋体"/>
                <w:bCs/>
                <w:color w:val="000000"/>
                <w:szCs w:val="21"/>
              </w:rPr>
              <w:t>新建污水处理站：处理规模不低于</w:t>
            </w:r>
            <w:r>
              <w:rPr>
                <w:rFonts w:hint="eastAsia"/>
                <w:bCs/>
                <w:color w:val="000000"/>
                <w:szCs w:val="21"/>
              </w:rPr>
              <w:t>120</w:t>
            </w:r>
            <w:r>
              <w:rPr>
                <w:bCs/>
                <w:color w:val="000000"/>
                <w:szCs w:val="21"/>
              </w:rPr>
              <w:t>m</w:t>
            </w:r>
            <w:r>
              <w:rPr>
                <w:color w:val="000000"/>
                <w:szCs w:val="21"/>
                <w:vertAlign w:val="superscript"/>
              </w:rPr>
              <w:t>3</w:t>
            </w:r>
            <w:r>
              <w:rPr>
                <w:bCs/>
                <w:color w:val="000000"/>
                <w:szCs w:val="21"/>
              </w:rPr>
              <w:t>/d</w:t>
            </w:r>
            <w:r>
              <w:rPr>
                <w:rFonts w:hAnsi="宋体"/>
                <w:bCs/>
                <w:color w:val="000000"/>
                <w:szCs w:val="21"/>
              </w:rPr>
              <w:t>，拟采用</w:t>
            </w:r>
            <w:r>
              <w:rPr>
                <w:rFonts w:hint="eastAsia" w:hAnsi="宋体"/>
                <w:bCs/>
                <w:color w:val="000000"/>
                <w:szCs w:val="21"/>
              </w:rPr>
              <w:t>二</w:t>
            </w:r>
            <w:r>
              <w:rPr>
                <w:rFonts w:hAnsi="宋体"/>
                <w:bCs/>
                <w:color w:val="000000"/>
                <w:szCs w:val="21"/>
              </w:rPr>
              <w:t>级强</w:t>
            </w:r>
            <w:r>
              <w:rPr>
                <w:rFonts w:hint="eastAsia" w:hAnsi="宋体"/>
                <w:bCs/>
                <w:color w:val="000000"/>
                <w:szCs w:val="21"/>
              </w:rPr>
              <w:t>+消毒</w:t>
            </w:r>
            <w:r>
              <w:rPr>
                <w:rFonts w:hAnsi="宋体"/>
                <w:bCs/>
                <w:color w:val="000000"/>
                <w:szCs w:val="21"/>
              </w:rPr>
              <w:t>化处理工艺；</w:t>
            </w:r>
          </w:p>
          <w:p w14:paraId="76389094">
            <w:pPr>
              <w:spacing w:line="300" w:lineRule="exact"/>
              <w:rPr>
                <w:rFonts w:hAnsi="宋体"/>
                <w:bCs/>
                <w:color w:val="000000"/>
                <w:szCs w:val="21"/>
              </w:rPr>
            </w:pPr>
            <w:r>
              <w:rPr>
                <w:rFonts w:hAnsi="宋体"/>
                <w:bCs/>
                <w:color w:val="000000"/>
                <w:szCs w:val="21"/>
              </w:rPr>
              <w:t>设置</w:t>
            </w:r>
            <w:r>
              <w:rPr>
                <w:rFonts w:hint="eastAsia" w:hAnsi="宋体"/>
                <w:bCs/>
                <w:color w:val="000000"/>
                <w:szCs w:val="21"/>
              </w:rPr>
              <w:t>化粪池4座总容积为140</w:t>
            </w:r>
            <w:r>
              <w:rPr>
                <w:bCs/>
                <w:color w:val="000000"/>
                <w:szCs w:val="21"/>
              </w:rPr>
              <w:t>m</w:t>
            </w:r>
            <w:r>
              <w:rPr>
                <w:color w:val="000000"/>
                <w:szCs w:val="21"/>
                <w:vertAlign w:val="superscript"/>
              </w:rPr>
              <w:t>3</w:t>
            </w:r>
            <w:r>
              <w:rPr>
                <w:rFonts w:hAnsi="宋体"/>
                <w:bCs/>
                <w:color w:val="000000"/>
                <w:szCs w:val="21"/>
              </w:rPr>
              <w:t>；事故水池一座，容积不低于</w:t>
            </w:r>
            <w:r>
              <w:rPr>
                <w:rFonts w:hint="eastAsia" w:hAnsi="宋体"/>
                <w:bCs/>
                <w:color w:val="000000"/>
                <w:szCs w:val="21"/>
              </w:rPr>
              <w:t>110</w:t>
            </w:r>
            <w:r>
              <w:rPr>
                <w:bCs/>
                <w:color w:val="000000"/>
                <w:szCs w:val="21"/>
              </w:rPr>
              <w:t>m</w:t>
            </w:r>
            <w:r>
              <w:rPr>
                <w:color w:val="000000"/>
                <w:szCs w:val="21"/>
                <w:vertAlign w:val="superscript"/>
              </w:rPr>
              <w:t>3</w:t>
            </w:r>
            <w:r>
              <w:rPr>
                <w:rFonts w:hAnsi="宋体"/>
                <w:bCs/>
                <w:color w:val="000000"/>
                <w:szCs w:val="21"/>
              </w:rPr>
              <w:t>；</w:t>
            </w:r>
          </w:p>
          <w:p w14:paraId="58256E95">
            <w:pPr>
              <w:spacing w:line="300" w:lineRule="exact"/>
              <w:rPr>
                <w:bCs/>
                <w:color w:val="000000"/>
                <w:szCs w:val="21"/>
              </w:rPr>
            </w:pPr>
            <w:r>
              <w:rPr>
                <w:rFonts w:hAnsi="宋体"/>
                <w:bCs/>
                <w:color w:val="000000"/>
                <w:szCs w:val="21"/>
              </w:rPr>
              <w:t>污水处理站地面全部作防渗处理；</w:t>
            </w:r>
          </w:p>
          <w:p w14:paraId="49E6CE8F">
            <w:pPr>
              <w:spacing w:line="300" w:lineRule="exact"/>
              <w:rPr>
                <w:bCs/>
                <w:color w:val="000000"/>
                <w:szCs w:val="21"/>
              </w:rPr>
            </w:pPr>
            <w:r>
              <w:rPr>
                <w:rFonts w:hint="eastAsia" w:hAnsi="宋体"/>
                <w:bCs/>
                <w:color w:val="000000"/>
                <w:szCs w:val="21"/>
              </w:rPr>
              <w:t>检验科单独容器</w:t>
            </w:r>
            <w:r>
              <w:rPr>
                <w:rFonts w:hAnsi="宋体"/>
                <w:bCs/>
                <w:color w:val="000000"/>
                <w:szCs w:val="21"/>
              </w:rPr>
              <w:t>（容积为</w:t>
            </w:r>
            <w:r>
              <w:rPr>
                <w:bCs/>
                <w:color w:val="000000"/>
                <w:szCs w:val="21"/>
              </w:rPr>
              <w:t>1</w:t>
            </w:r>
            <w:r>
              <w:rPr>
                <w:rFonts w:hint="eastAsia"/>
                <w:bCs/>
                <w:color w:val="000000"/>
                <w:szCs w:val="21"/>
              </w:rPr>
              <w:t>.0</w:t>
            </w:r>
            <w:r>
              <w:rPr>
                <w:bCs/>
                <w:color w:val="000000"/>
                <w:szCs w:val="21"/>
              </w:rPr>
              <w:t xml:space="preserve"> m</w:t>
            </w:r>
            <w:r>
              <w:rPr>
                <w:color w:val="000000"/>
                <w:szCs w:val="21"/>
                <w:vertAlign w:val="superscript"/>
              </w:rPr>
              <w:t>3</w:t>
            </w:r>
            <w:r>
              <w:rPr>
                <w:rFonts w:hAnsi="宋体"/>
                <w:bCs/>
                <w:color w:val="000000"/>
                <w:szCs w:val="21"/>
              </w:rPr>
              <w:t>）；</w:t>
            </w:r>
          </w:p>
          <w:p w14:paraId="4FD1E040">
            <w:pPr>
              <w:spacing w:line="300" w:lineRule="exact"/>
              <w:rPr>
                <w:bCs/>
                <w:color w:val="000000"/>
                <w:szCs w:val="21"/>
              </w:rPr>
            </w:pPr>
            <w:r>
              <w:rPr>
                <w:rFonts w:hAnsi="宋体"/>
                <w:bCs/>
                <w:color w:val="000000"/>
                <w:szCs w:val="21"/>
              </w:rPr>
              <w:t>食堂隔油池（容积为</w:t>
            </w:r>
            <w:r>
              <w:rPr>
                <w:rFonts w:hint="eastAsia"/>
                <w:bCs/>
                <w:color w:val="000000"/>
                <w:szCs w:val="21"/>
              </w:rPr>
              <w:t>0.9</w:t>
            </w:r>
            <w:r>
              <w:rPr>
                <w:bCs/>
                <w:color w:val="000000"/>
                <w:szCs w:val="21"/>
              </w:rPr>
              <w:t>m</w:t>
            </w:r>
            <w:r>
              <w:rPr>
                <w:color w:val="000000"/>
                <w:szCs w:val="21"/>
                <w:vertAlign w:val="superscript"/>
              </w:rPr>
              <w:t>3</w:t>
            </w:r>
            <w:r>
              <w:rPr>
                <w:rFonts w:hAnsi="宋体"/>
                <w:bCs/>
                <w:color w:val="000000"/>
                <w:szCs w:val="21"/>
              </w:rPr>
              <w:t>）。</w:t>
            </w:r>
          </w:p>
        </w:tc>
        <w:tc>
          <w:tcPr>
            <w:tcW w:w="680" w:type="dxa"/>
            <w:noWrap w:val="0"/>
            <w:vAlign w:val="top"/>
          </w:tcPr>
          <w:p w14:paraId="003A5FF3">
            <w:pPr>
              <w:jc w:val="center"/>
              <w:rPr>
                <w:color w:val="000000"/>
              </w:rPr>
            </w:pPr>
            <w:r>
              <w:rPr>
                <w:rFonts w:hAnsi="宋体"/>
                <w:color w:val="000000"/>
                <w:szCs w:val="21"/>
              </w:rPr>
              <w:t>新建</w:t>
            </w:r>
          </w:p>
        </w:tc>
      </w:tr>
      <w:tr w14:paraId="22F2EE65">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cantSplit/>
          <w:trHeight w:val="333" w:hRule="atLeast"/>
          <w:jc w:val="center"/>
        </w:trPr>
        <w:tc>
          <w:tcPr>
            <w:tcW w:w="1174" w:type="dxa"/>
            <w:vMerge w:val="continue"/>
            <w:noWrap w:val="0"/>
            <w:vAlign w:val="center"/>
          </w:tcPr>
          <w:p w14:paraId="3E5EFE21">
            <w:pPr>
              <w:spacing w:line="300" w:lineRule="exact"/>
              <w:jc w:val="center"/>
              <w:rPr>
                <w:bCs/>
                <w:color w:val="000000"/>
                <w:szCs w:val="21"/>
              </w:rPr>
            </w:pPr>
          </w:p>
        </w:tc>
        <w:tc>
          <w:tcPr>
            <w:tcW w:w="1441" w:type="dxa"/>
            <w:noWrap w:val="0"/>
            <w:vAlign w:val="center"/>
          </w:tcPr>
          <w:p w14:paraId="2B47A4D4">
            <w:pPr>
              <w:pStyle w:val="298"/>
              <w:spacing w:before="0" w:after="0" w:line="300" w:lineRule="exact"/>
              <w:rPr>
                <w:bCs/>
                <w:color w:val="000000"/>
                <w:szCs w:val="21"/>
              </w:rPr>
            </w:pPr>
            <w:r>
              <w:rPr>
                <w:rFonts w:hAnsi="宋体"/>
                <w:bCs/>
                <w:color w:val="000000"/>
                <w:szCs w:val="21"/>
              </w:rPr>
              <w:t>固废暂存系统</w:t>
            </w:r>
          </w:p>
        </w:tc>
        <w:tc>
          <w:tcPr>
            <w:tcW w:w="5352" w:type="dxa"/>
            <w:noWrap w:val="0"/>
            <w:vAlign w:val="center"/>
          </w:tcPr>
          <w:p w14:paraId="11943470">
            <w:pPr>
              <w:spacing w:line="300" w:lineRule="exact"/>
              <w:rPr>
                <w:bCs/>
                <w:color w:val="000000"/>
                <w:szCs w:val="21"/>
              </w:rPr>
            </w:pPr>
            <w:r>
              <w:rPr>
                <w:rFonts w:hAnsi="宋体"/>
                <w:bCs/>
                <w:color w:val="000000"/>
                <w:szCs w:val="21"/>
              </w:rPr>
              <w:t>设置医疗垃圾暂存间，</w:t>
            </w:r>
            <w:r>
              <w:rPr>
                <w:rFonts w:hint="eastAsia" w:hAnsi="宋体"/>
                <w:bCs/>
                <w:color w:val="000000"/>
                <w:szCs w:val="21"/>
              </w:rPr>
              <w:t>建筑</w:t>
            </w:r>
            <w:r>
              <w:rPr>
                <w:rFonts w:hAnsi="宋体"/>
                <w:bCs/>
                <w:color w:val="000000"/>
                <w:szCs w:val="21"/>
              </w:rPr>
              <w:t>面积为</w:t>
            </w:r>
            <w:r>
              <w:rPr>
                <w:rFonts w:hint="eastAsia"/>
                <w:bCs/>
                <w:color w:val="000000"/>
                <w:szCs w:val="21"/>
              </w:rPr>
              <w:t>6</w:t>
            </w:r>
            <w:r>
              <w:rPr>
                <w:bCs/>
                <w:color w:val="000000"/>
                <w:szCs w:val="21"/>
              </w:rPr>
              <w:t>0</w:t>
            </w:r>
            <w:r>
              <w:rPr>
                <w:rFonts w:hAnsi="宋体"/>
                <w:bCs/>
                <w:color w:val="000000"/>
                <w:szCs w:val="21"/>
              </w:rPr>
              <w:t>㎡，并设置明显标识。</w:t>
            </w:r>
          </w:p>
        </w:tc>
        <w:tc>
          <w:tcPr>
            <w:tcW w:w="680" w:type="dxa"/>
            <w:noWrap w:val="0"/>
            <w:vAlign w:val="top"/>
          </w:tcPr>
          <w:p w14:paraId="05812824">
            <w:pPr>
              <w:jc w:val="center"/>
              <w:rPr>
                <w:color w:val="000000"/>
              </w:rPr>
            </w:pPr>
            <w:r>
              <w:rPr>
                <w:rFonts w:hAnsi="宋体"/>
                <w:color w:val="000000"/>
                <w:szCs w:val="21"/>
              </w:rPr>
              <w:t>新建</w:t>
            </w:r>
          </w:p>
        </w:tc>
      </w:tr>
      <w:tr w14:paraId="33EF4104">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cantSplit/>
          <w:trHeight w:val="333" w:hRule="atLeast"/>
          <w:jc w:val="center"/>
        </w:trPr>
        <w:tc>
          <w:tcPr>
            <w:tcW w:w="1174" w:type="dxa"/>
            <w:vMerge w:val="continue"/>
            <w:noWrap w:val="0"/>
            <w:vAlign w:val="center"/>
          </w:tcPr>
          <w:p w14:paraId="1AF18542">
            <w:pPr>
              <w:spacing w:line="300" w:lineRule="exact"/>
              <w:jc w:val="center"/>
              <w:rPr>
                <w:bCs/>
                <w:color w:val="000000"/>
                <w:szCs w:val="21"/>
              </w:rPr>
            </w:pPr>
          </w:p>
        </w:tc>
        <w:tc>
          <w:tcPr>
            <w:tcW w:w="1441" w:type="dxa"/>
            <w:noWrap w:val="0"/>
            <w:vAlign w:val="center"/>
          </w:tcPr>
          <w:p w14:paraId="0D796D3A">
            <w:pPr>
              <w:pStyle w:val="298"/>
              <w:spacing w:before="0" w:after="0" w:line="300" w:lineRule="exact"/>
              <w:rPr>
                <w:bCs/>
                <w:color w:val="000000"/>
                <w:szCs w:val="21"/>
              </w:rPr>
            </w:pPr>
            <w:r>
              <w:rPr>
                <w:rFonts w:hAnsi="宋体"/>
                <w:bCs/>
                <w:color w:val="000000"/>
                <w:szCs w:val="21"/>
              </w:rPr>
              <w:t>废气处理系统</w:t>
            </w:r>
          </w:p>
        </w:tc>
        <w:tc>
          <w:tcPr>
            <w:tcW w:w="5352" w:type="dxa"/>
            <w:noWrap w:val="0"/>
            <w:vAlign w:val="center"/>
          </w:tcPr>
          <w:p w14:paraId="54BC126B">
            <w:pPr>
              <w:spacing w:line="300" w:lineRule="exact"/>
              <w:rPr>
                <w:bCs/>
                <w:color w:val="000000"/>
                <w:szCs w:val="21"/>
              </w:rPr>
            </w:pPr>
            <w:r>
              <w:rPr>
                <w:rFonts w:hAnsi="宋体"/>
                <w:bCs/>
                <w:color w:val="000000"/>
                <w:szCs w:val="21"/>
              </w:rPr>
              <w:t>食堂油烟净化系统。</w:t>
            </w:r>
          </w:p>
        </w:tc>
        <w:tc>
          <w:tcPr>
            <w:tcW w:w="680" w:type="dxa"/>
            <w:noWrap w:val="0"/>
            <w:vAlign w:val="top"/>
          </w:tcPr>
          <w:p w14:paraId="71C80049">
            <w:pPr>
              <w:jc w:val="center"/>
              <w:rPr>
                <w:color w:val="000000"/>
              </w:rPr>
            </w:pPr>
            <w:r>
              <w:rPr>
                <w:rFonts w:hAnsi="宋体"/>
                <w:color w:val="000000"/>
                <w:szCs w:val="21"/>
              </w:rPr>
              <w:t>新建</w:t>
            </w:r>
          </w:p>
        </w:tc>
      </w:tr>
      <w:tr w14:paraId="7289E800">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cantSplit/>
          <w:trHeight w:val="380" w:hRule="atLeast"/>
          <w:jc w:val="center"/>
        </w:trPr>
        <w:tc>
          <w:tcPr>
            <w:tcW w:w="1174" w:type="dxa"/>
            <w:vMerge w:val="continue"/>
            <w:noWrap w:val="0"/>
            <w:vAlign w:val="center"/>
          </w:tcPr>
          <w:p w14:paraId="4E6C7BF2">
            <w:pPr>
              <w:spacing w:line="300" w:lineRule="exact"/>
              <w:jc w:val="center"/>
              <w:rPr>
                <w:bCs/>
                <w:color w:val="000000"/>
                <w:szCs w:val="21"/>
              </w:rPr>
            </w:pPr>
          </w:p>
        </w:tc>
        <w:tc>
          <w:tcPr>
            <w:tcW w:w="1441" w:type="dxa"/>
            <w:noWrap w:val="0"/>
            <w:vAlign w:val="center"/>
          </w:tcPr>
          <w:p w14:paraId="270295D5">
            <w:pPr>
              <w:spacing w:line="300" w:lineRule="exact"/>
              <w:jc w:val="center"/>
              <w:rPr>
                <w:bCs/>
                <w:color w:val="000000"/>
                <w:szCs w:val="21"/>
              </w:rPr>
            </w:pPr>
            <w:r>
              <w:rPr>
                <w:rFonts w:hAnsi="宋体"/>
                <w:bCs/>
                <w:color w:val="000000"/>
                <w:szCs w:val="21"/>
              </w:rPr>
              <w:t>绿化</w:t>
            </w:r>
          </w:p>
        </w:tc>
        <w:tc>
          <w:tcPr>
            <w:tcW w:w="5352" w:type="dxa"/>
            <w:noWrap w:val="0"/>
            <w:vAlign w:val="center"/>
          </w:tcPr>
          <w:p w14:paraId="7D81AA60">
            <w:pPr>
              <w:spacing w:line="300" w:lineRule="exact"/>
              <w:rPr>
                <w:bCs/>
                <w:color w:val="000000"/>
                <w:szCs w:val="21"/>
              </w:rPr>
            </w:pPr>
            <w:r>
              <w:rPr>
                <w:rFonts w:hAnsi="宋体"/>
                <w:color w:val="000000"/>
                <w:szCs w:val="21"/>
              </w:rPr>
              <w:t>绿化面积</w:t>
            </w:r>
            <w:r>
              <w:rPr>
                <w:rFonts w:hint="eastAsia"/>
                <w:color w:val="000000"/>
                <w:szCs w:val="21"/>
              </w:rPr>
              <w:t>7625.92</w:t>
            </w:r>
            <w:r>
              <w:rPr>
                <w:rFonts w:hAnsi="宋体"/>
                <w:color w:val="000000"/>
                <w:szCs w:val="21"/>
              </w:rPr>
              <w:t>平方米。</w:t>
            </w:r>
          </w:p>
        </w:tc>
        <w:tc>
          <w:tcPr>
            <w:tcW w:w="680" w:type="dxa"/>
            <w:noWrap w:val="0"/>
            <w:vAlign w:val="top"/>
          </w:tcPr>
          <w:p w14:paraId="25529127">
            <w:pPr>
              <w:jc w:val="center"/>
              <w:rPr>
                <w:color w:val="000000"/>
              </w:rPr>
            </w:pPr>
            <w:r>
              <w:rPr>
                <w:rFonts w:hAnsi="宋体"/>
                <w:color w:val="000000"/>
                <w:szCs w:val="21"/>
              </w:rPr>
              <w:t>新建</w:t>
            </w:r>
          </w:p>
        </w:tc>
      </w:tr>
    </w:tbl>
    <w:p w14:paraId="07245895">
      <w:pPr>
        <w:spacing w:line="480" w:lineRule="exact"/>
        <w:ind w:firstLine="482"/>
        <w:rPr>
          <w:b/>
          <w:color w:val="000000"/>
          <w:sz w:val="24"/>
        </w:rPr>
      </w:pPr>
      <w:r>
        <w:rPr>
          <w:b/>
          <w:color w:val="000000"/>
          <w:sz w:val="24"/>
        </w:rPr>
        <w:t>4</w:t>
      </w:r>
      <w:r>
        <w:rPr>
          <w:rFonts w:hAnsi="宋体"/>
          <w:b/>
          <w:color w:val="000000"/>
          <w:sz w:val="24"/>
        </w:rPr>
        <w:t>、项目主要功能及技术经济指标</w:t>
      </w:r>
    </w:p>
    <w:p w14:paraId="597859A8">
      <w:pPr>
        <w:spacing w:line="500" w:lineRule="exact"/>
        <w:ind w:firstLine="480"/>
        <w:rPr>
          <w:rFonts w:hint="eastAsia" w:hAnsi="宋体"/>
          <w:color w:val="000000"/>
          <w:sz w:val="24"/>
        </w:rPr>
      </w:pPr>
      <w:r>
        <w:rPr>
          <w:rFonts w:hAnsi="宋体"/>
          <w:color w:val="000000"/>
          <w:sz w:val="24"/>
        </w:rPr>
        <w:t>项目主要功能及技术经济指标如下（表</w:t>
      </w:r>
      <w:r>
        <w:rPr>
          <w:color w:val="000000"/>
          <w:sz w:val="24"/>
        </w:rPr>
        <w:t>2.</w:t>
      </w:r>
      <w:r>
        <w:rPr>
          <w:rFonts w:hint="eastAsia"/>
          <w:color w:val="000000"/>
          <w:sz w:val="24"/>
        </w:rPr>
        <w:t>2</w:t>
      </w:r>
      <w:r>
        <w:rPr>
          <w:color w:val="000000"/>
          <w:sz w:val="24"/>
        </w:rPr>
        <w:t>-2</w:t>
      </w:r>
      <w:r>
        <w:rPr>
          <w:rFonts w:hAnsi="宋体"/>
          <w:color w:val="000000"/>
          <w:sz w:val="24"/>
        </w:rPr>
        <w:t>）：</w:t>
      </w:r>
    </w:p>
    <w:p w14:paraId="1FD78D30">
      <w:pPr>
        <w:spacing w:line="480" w:lineRule="exact"/>
        <w:jc w:val="center"/>
        <w:rPr>
          <w:rFonts w:hint="eastAsia"/>
          <w:b/>
          <w:color w:val="000000"/>
          <w:sz w:val="24"/>
        </w:rPr>
      </w:pPr>
      <w:r>
        <w:rPr>
          <w:b/>
          <w:color w:val="000000"/>
          <w:sz w:val="24"/>
        </w:rPr>
        <w:t>表2.</w:t>
      </w:r>
      <w:r>
        <w:rPr>
          <w:rFonts w:hint="eastAsia"/>
          <w:b/>
          <w:color w:val="000000"/>
          <w:sz w:val="24"/>
        </w:rPr>
        <w:t>2</w:t>
      </w:r>
      <w:r>
        <w:rPr>
          <w:b/>
          <w:color w:val="000000"/>
          <w:sz w:val="24"/>
        </w:rPr>
        <w:t>-2  项目主要功能及技术经济指标</w:t>
      </w:r>
    </w:p>
    <w:tbl>
      <w:tblPr>
        <w:tblStyle w:val="27"/>
        <w:tblW w:w="0" w:type="auto"/>
        <w:tblInd w:w="0" w:type="dxa"/>
        <w:tblLayout w:type="fixed"/>
        <w:tblCellMar>
          <w:top w:w="0" w:type="dxa"/>
          <w:left w:w="108" w:type="dxa"/>
          <w:bottom w:w="0" w:type="dxa"/>
          <w:right w:w="108" w:type="dxa"/>
        </w:tblCellMar>
      </w:tblPr>
      <w:tblGrid>
        <w:gridCol w:w="749"/>
        <w:gridCol w:w="2724"/>
        <w:gridCol w:w="713"/>
        <w:gridCol w:w="3044"/>
        <w:gridCol w:w="1510"/>
      </w:tblGrid>
      <w:tr w14:paraId="1B15FD32">
        <w:tblPrEx>
          <w:tblCellMar>
            <w:top w:w="0" w:type="dxa"/>
            <w:left w:w="108" w:type="dxa"/>
            <w:bottom w:w="0" w:type="dxa"/>
            <w:right w:w="108" w:type="dxa"/>
          </w:tblCellMar>
        </w:tblPrEx>
        <w:trPr>
          <w:trHeight w:val="349" w:hRule="atLeast"/>
        </w:trPr>
        <w:tc>
          <w:tcPr>
            <w:tcW w:w="749"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7CFC3AA6">
            <w:pPr>
              <w:jc w:val="center"/>
              <w:rPr>
                <w:b/>
                <w:color w:val="000000"/>
                <w:szCs w:val="21"/>
              </w:rPr>
            </w:pPr>
            <w:r>
              <w:rPr>
                <w:rFonts w:hint="eastAsia"/>
                <w:b/>
                <w:color w:val="000000"/>
                <w:szCs w:val="21"/>
              </w:rPr>
              <w:t>序号</w:t>
            </w:r>
          </w:p>
        </w:tc>
        <w:tc>
          <w:tcPr>
            <w:tcW w:w="2724"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3245DFAF">
            <w:pPr>
              <w:jc w:val="center"/>
              <w:rPr>
                <w:b/>
                <w:color w:val="000000"/>
                <w:szCs w:val="21"/>
              </w:rPr>
            </w:pPr>
            <w:r>
              <w:rPr>
                <w:rFonts w:hint="eastAsia"/>
                <w:b/>
                <w:color w:val="000000"/>
                <w:szCs w:val="21"/>
              </w:rPr>
              <w:t>指标名称</w:t>
            </w:r>
          </w:p>
        </w:tc>
        <w:tc>
          <w:tcPr>
            <w:tcW w:w="713"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480E5723">
            <w:pPr>
              <w:jc w:val="center"/>
              <w:rPr>
                <w:b/>
                <w:color w:val="000000"/>
                <w:szCs w:val="21"/>
              </w:rPr>
            </w:pPr>
            <w:r>
              <w:rPr>
                <w:rFonts w:hint="eastAsia"/>
                <w:b/>
                <w:color w:val="000000"/>
                <w:szCs w:val="21"/>
              </w:rPr>
              <w:t>单位</w:t>
            </w:r>
          </w:p>
        </w:tc>
        <w:tc>
          <w:tcPr>
            <w:tcW w:w="3044"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060D629D">
            <w:pPr>
              <w:jc w:val="center"/>
              <w:rPr>
                <w:b/>
                <w:color w:val="000000"/>
                <w:szCs w:val="21"/>
              </w:rPr>
            </w:pPr>
            <w:r>
              <w:rPr>
                <w:rFonts w:hint="eastAsia"/>
                <w:b/>
                <w:color w:val="000000"/>
                <w:szCs w:val="21"/>
              </w:rPr>
              <w:t>数量</w:t>
            </w:r>
          </w:p>
        </w:tc>
        <w:tc>
          <w:tcPr>
            <w:tcW w:w="1510"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01A1F532">
            <w:pPr>
              <w:jc w:val="center"/>
              <w:rPr>
                <w:b/>
                <w:color w:val="000000"/>
                <w:szCs w:val="21"/>
              </w:rPr>
            </w:pPr>
            <w:r>
              <w:rPr>
                <w:b/>
                <w:color w:val="000000"/>
                <w:szCs w:val="21"/>
              </w:rPr>
              <w:t>备注</w:t>
            </w:r>
          </w:p>
        </w:tc>
      </w:tr>
      <w:tr w14:paraId="78F827F2">
        <w:tblPrEx>
          <w:tblCellMar>
            <w:top w:w="0" w:type="dxa"/>
            <w:left w:w="108" w:type="dxa"/>
            <w:bottom w:w="0" w:type="dxa"/>
            <w:right w:w="108" w:type="dxa"/>
          </w:tblCellMar>
        </w:tblPrEx>
        <w:trPr>
          <w:trHeight w:val="453" w:hRule="atLeast"/>
        </w:trPr>
        <w:tc>
          <w:tcPr>
            <w:tcW w:w="749"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7B924706">
            <w:pPr>
              <w:jc w:val="center"/>
              <w:rPr>
                <w:color w:val="000000"/>
                <w:szCs w:val="21"/>
              </w:rPr>
            </w:pPr>
            <w:r>
              <w:rPr>
                <w:color w:val="000000"/>
                <w:szCs w:val="21"/>
              </w:rPr>
              <w:t>1</w:t>
            </w:r>
          </w:p>
        </w:tc>
        <w:tc>
          <w:tcPr>
            <w:tcW w:w="2724"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2EA29430">
            <w:pPr>
              <w:jc w:val="center"/>
              <w:rPr>
                <w:color w:val="000000"/>
                <w:szCs w:val="21"/>
              </w:rPr>
            </w:pPr>
            <w:r>
              <w:rPr>
                <w:rFonts w:hint="eastAsia"/>
                <w:color w:val="000000"/>
                <w:szCs w:val="21"/>
              </w:rPr>
              <w:t>总用地面积</w:t>
            </w:r>
          </w:p>
        </w:tc>
        <w:tc>
          <w:tcPr>
            <w:tcW w:w="713"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1CFFD789">
            <w:pPr>
              <w:jc w:val="center"/>
              <w:rPr>
                <w:color w:val="000000"/>
                <w:szCs w:val="21"/>
              </w:rPr>
            </w:pPr>
            <w:r>
              <w:rPr>
                <w:color w:val="000000"/>
                <w:szCs w:val="21"/>
              </w:rPr>
              <w:t>m</w:t>
            </w:r>
            <w:r>
              <w:rPr>
                <w:color w:val="000000"/>
                <w:szCs w:val="21"/>
                <w:vertAlign w:val="superscript"/>
              </w:rPr>
              <w:t>2</w:t>
            </w:r>
          </w:p>
        </w:tc>
        <w:tc>
          <w:tcPr>
            <w:tcW w:w="3044"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24861EFB">
            <w:pPr>
              <w:jc w:val="center"/>
              <w:rPr>
                <w:rFonts w:hint="eastAsia"/>
                <w:color w:val="000000"/>
                <w:szCs w:val="21"/>
              </w:rPr>
            </w:pPr>
            <w:r>
              <w:rPr>
                <w:rFonts w:hint="eastAsia"/>
                <w:color w:val="000000"/>
                <w:szCs w:val="21"/>
              </w:rPr>
              <w:t>20666.46</w:t>
            </w:r>
          </w:p>
        </w:tc>
        <w:tc>
          <w:tcPr>
            <w:tcW w:w="1510"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77F25CC5">
            <w:pPr>
              <w:jc w:val="center"/>
              <w:rPr>
                <w:rFonts w:hint="eastAsia"/>
                <w:color w:val="000000"/>
                <w:szCs w:val="21"/>
              </w:rPr>
            </w:pPr>
            <w:r>
              <w:rPr>
                <w:rFonts w:hint="eastAsia"/>
                <w:color w:val="000000"/>
                <w:szCs w:val="21"/>
              </w:rPr>
              <w:t>31亩</w:t>
            </w:r>
          </w:p>
        </w:tc>
      </w:tr>
      <w:tr w14:paraId="349F90B4">
        <w:tblPrEx>
          <w:tblCellMar>
            <w:top w:w="0" w:type="dxa"/>
            <w:left w:w="108" w:type="dxa"/>
            <w:bottom w:w="0" w:type="dxa"/>
            <w:right w:w="108" w:type="dxa"/>
          </w:tblCellMar>
        </w:tblPrEx>
        <w:trPr>
          <w:trHeight w:val="453" w:hRule="atLeast"/>
        </w:trPr>
        <w:tc>
          <w:tcPr>
            <w:tcW w:w="749"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1F9302CD">
            <w:pPr>
              <w:jc w:val="center"/>
              <w:rPr>
                <w:rFonts w:hint="eastAsia"/>
                <w:color w:val="000000"/>
                <w:szCs w:val="21"/>
              </w:rPr>
            </w:pPr>
            <w:r>
              <w:rPr>
                <w:rFonts w:hint="eastAsia"/>
                <w:color w:val="000000"/>
                <w:szCs w:val="21"/>
              </w:rPr>
              <w:t>2</w:t>
            </w:r>
          </w:p>
        </w:tc>
        <w:tc>
          <w:tcPr>
            <w:tcW w:w="2724"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7846A8AE">
            <w:pPr>
              <w:jc w:val="center"/>
              <w:rPr>
                <w:rFonts w:hint="eastAsia"/>
                <w:color w:val="000000"/>
                <w:szCs w:val="21"/>
              </w:rPr>
            </w:pPr>
            <w:r>
              <w:rPr>
                <w:rFonts w:hint="eastAsia"/>
                <w:color w:val="000000"/>
                <w:szCs w:val="21"/>
              </w:rPr>
              <w:t>总建筑面积</w:t>
            </w:r>
          </w:p>
        </w:tc>
        <w:tc>
          <w:tcPr>
            <w:tcW w:w="713"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5EF0DFCD">
            <w:pPr>
              <w:jc w:val="center"/>
              <w:rPr>
                <w:color w:val="000000"/>
                <w:szCs w:val="21"/>
              </w:rPr>
            </w:pPr>
            <w:r>
              <w:rPr>
                <w:color w:val="000000"/>
                <w:szCs w:val="21"/>
              </w:rPr>
              <w:t>m</w:t>
            </w:r>
            <w:r>
              <w:rPr>
                <w:color w:val="000000"/>
                <w:szCs w:val="21"/>
                <w:vertAlign w:val="superscript"/>
              </w:rPr>
              <w:t>2</w:t>
            </w:r>
          </w:p>
        </w:tc>
        <w:tc>
          <w:tcPr>
            <w:tcW w:w="3044"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6361A849">
            <w:pPr>
              <w:jc w:val="center"/>
              <w:rPr>
                <w:rFonts w:hint="eastAsia"/>
                <w:color w:val="000000"/>
                <w:szCs w:val="21"/>
              </w:rPr>
            </w:pPr>
            <w:r>
              <w:rPr>
                <w:rFonts w:hint="eastAsia"/>
                <w:color w:val="000000"/>
                <w:szCs w:val="21"/>
              </w:rPr>
              <w:t>34286</w:t>
            </w:r>
          </w:p>
        </w:tc>
        <w:tc>
          <w:tcPr>
            <w:tcW w:w="1510"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5785F76C">
            <w:pPr>
              <w:rPr>
                <w:color w:val="000000"/>
                <w:szCs w:val="21"/>
              </w:rPr>
            </w:pPr>
          </w:p>
        </w:tc>
      </w:tr>
      <w:tr w14:paraId="4B17CD33">
        <w:tblPrEx>
          <w:tblCellMar>
            <w:top w:w="0" w:type="dxa"/>
            <w:left w:w="108" w:type="dxa"/>
            <w:bottom w:w="0" w:type="dxa"/>
            <w:right w:w="108" w:type="dxa"/>
          </w:tblCellMar>
        </w:tblPrEx>
        <w:trPr>
          <w:trHeight w:val="349" w:hRule="atLeast"/>
        </w:trPr>
        <w:tc>
          <w:tcPr>
            <w:tcW w:w="749"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3E597A52">
            <w:pPr>
              <w:jc w:val="center"/>
              <w:rPr>
                <w:rFonts w:hint="eastAsia"/>
                <w:color w:val="000000"/>
                <w:szCs w:val="21"/>
              </w:rPr>
            </w:pPr>
            <w:r>
              <w:rPr>
                <w:rFonts w:hint="eastAsia"/>
                <w:color w:val="000000"/>
                <w:szCs w:val="21"/>
              </w:rPr>
              <w:t>2.1</w:t>
            </w:r>
          </w:p>
        </w:tc>
        <w:tc>
          <w:tcPr>
            <w:tcW w:w="2724"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0892DB6C">
            <w:pPr>
              <w:jc w:val="center"/>
              <w:rPr>
                <w:rFonts w:hint="eastAsia"/>
                <w:color w:val="000000"/>
                <w:szCs w:val="21"/>
              </w:rPr>
            </w:pPr>
            <w:r>
              <w:rPr>
                <w:rFonts w:hint="eastAsia"/>
                <w:color w:val="000000"/>
                <w:szCs w:val="21"/>
              </w:rPr>
              <w:t>地下建筑面积</w:t>
            </w:r>
          </w:p>
        </w:tc>
        <w:tc>
          <w:tcPr>
            <w:tcW w:w="713"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21E72A84">
            <w:pPr>
              <w:jc w:val="center"/>
              <w:rPr>
                <w:color w:val="000000"/>
                <w:szCs w:val="21"/>
              </w:rPr>
            </w:pPr>
            <w:r>
              <w:rPr>
                <w:color w:val="000000"/>
                <w:szCs w:val="21"/>
              </w:rPr>
              <w:t>m</w:t>
            </w:r>
            <w:r>
              <w:rPr>
                <w:color w:val="000000"/>
                <w:szCs w:val="21"/>
                <w:vertAlign w:val="superscript"/>
              </w:rPr>
              <w:t>2</w:t>
            </w:r>
          </w:p>
        </w:tc>
        <w:tc>
          <w:tcPr>
            <w:tcW w:w="3044"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026AEC43">
            <w:pPr>
              <w:jc w:val="center"/>
              <w:rPr>
                <w:rFonts w:hint="eastAsia"/>
                <w:color w:val="000000"/>
                <w:szCs w:val="21"/>
              </w:rPr>
            </w:pPr>
            <w:r>
              <w:rPr>
                <w:rFonts w:hint="eastAsia"/>
                <w:color w:val="000000"/>
                <w:szCs w:val="21"/>
              </w:rPr>
              <w:t>8915</w:t>
            </w:r>
          </w:p>
        </w:tc>
        <w:tc>
          <w:tcPr>
            <w:tcW w:w="1510"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54A36703">
            <w:pPr>
              <w:rPr>
                <w:color w:val="000000"/>
                <w:szCs w:val="21"/>
              </w:rPr>
            </w:pPr>
          </w:p>
        </w:tc>
      </w:tr>
      <w:tr w14:paraId="57179D6D">
        <w:tblPrEx>
          <w:tblCellMar>
            <w:top w:w="0" w:type="dxa"/>
            <w:left w:w="108" w:type="dxa"/>
            <w:bottom w:w="0" w:type="dxa"/>
            <w:right w:w="108" w:type="dxa"/>
          </w:tblCellMar>
        </w:tblPrEx>
        <w:trPr>
          <w:trHeight w:val="349" w:hRule="atLeast"/>
        </w:trPr>
        <w:tc>
          <w:tcPr>
            <w:tcW w:w="749"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1A8D625B">
            <w:pPr>
              <w:jc w:val="center"/>
              <w:rPr>
                <w:rFonts w:hint="eastAsia"/>
                <w:color w:val="000000"/>
                <w:szCs w:val="21"/>
              </w:rPr>
            </w:pPr>
            <w:r>
              <w:rPr>
                <w:rFonts w:hint="eastAsia"/>
                <w:color w:val="000000"/>
                <w:szCs w:val="21"/>
              </w:rPr>
              <w:t>2.1.1</w:t>
            </w:r>
          </w:p>
        </w:tc>
        <w:tc>
          <w:tcPr>
            <w:tcW w:w="2724"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215C9E94">
            <w:pPr>
              <w:jc w:val="center"/>
              <w:rPr>
                <w:rFonts w:hint="eastAsia"/>
                <w:color w:val="000000"/>
                <w:szCs w:val="21"/>
              </w:rPr>
            </w:pPr>
            <w:r>
              <w:rPr>
                <w:rFonts w:hint="eastAsia"/>
                <w:color w:val="000000"/>
                <w:szCs w:val="21"/>
              </w:rPr>
              <w:t>门诊综合楼、住院楼</w:t>
            </w:r>
          </w:p>
        </w:tc>
        <w:tc>
          <w:tcPr>
            <w:tcW w:w="713"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6C4F928B">
            <w:pPr>
              <w:jc w:val="center"/>
              <w:rPr>
                <w:color w:val="000000"/>
                <w:szCs w:val="21"/>
              </w:rPr>
            </w:pPr>
            <w:r>
              <w:rPr>
                <w:color w:val="000000"/>
                <w:szCs w:val="21"/>
              </w:rPr>
              <w:t>m</w:t>
            </w:r>
            <w:r>
              <w:rPr>
                <w:color w:val="000000"/>
                <w:szCs w:val="21"/>
                <w:vertAlign w:val="superscript"/>
              </w:rPr>
              <w:t>2</w:t>
            </w:r>
          </w:p>
        </w:tc>
        <w:tc>
          <w:tcPr>
            <w:tcW w:w="3044"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2A86065D">
            <w:pPr>
              <w:jc w:val="center"/>
              <w:rPr>
                <w:rFonts w:hint="eastAsia"/>
                <w:color w:val="000000"/>
                <w:szCs w:val="21"/>
              </w:rPr>
            </w:pPr>
            <w:r>
              <w:rPr>
                <w:rFonts w:hint="eastAsia" w:ascii="宋体" w:hAnsi="宋体"/>
                <w:bCs/>
                <w:color w:val="000000"/>
                <w:szCs w:val="21"/>
              </w:rPr>
              <w:t>19710</w:t>
            </w:r>
            <w:r>
              <w:rPr>
                <w:rFonts w:ascii="宋体" w:hAnsi="宋体"/>
                <w:bCs/>
                <w:color w:val="000000"/>
                <w:szCs w:val="21"/>
              </w:rPr>
              <w:t>m</w:t>
            </w:r>
            <w:r>
              <w:rPr>
                <w:rFonts w:ascii="宋体" w:hAnsi="宋体"/>
                <w:bCs/>
                <w:color w:val="000000"/>
                <w:szCs w:val="21"/>
                <w:vertAlign w:val="superscript"/>
              </w:rPr>
              <w:t>2</w:t>
            </w:r>
            <w:r>
              <w:rPr>
                <w:rFonts w:hint="eastAsia" w:ascii="宋体" w:hAnsi="宋体"/>
                <w:color w:val="000000"/>
                <w:szCs w:val="21"/>
              </w:rPr>
              <w:t>（包含地下建筑面积7750</w:t>
            </w:r>
            <w:r>
              <w:rPr>
                <w:rFonts w:ascii="宋体" w:hAnsi="宋体"/>
                <w:color w:val="000000"/>
                <w:szCs w:val="21"/>
              </w:rPr>
              <w:t>m</w:t>
            </w:r>
            <w:r>
              <w:rPr>
                <w:rFonts w:ascii="宋体" w:hAnsi="宋体"/>
                <w:color w:val="000000"/>
                <w:szCs w:val="21"/>
                <w:vertAlign w:val="superscript"/>
              </w:rPr>
              <w:t>2</w:t>
            </w:r>
            <w:r>
              <w:rPr>
                <w:rFonts w:hint="eastAsia" w:ascii="宋体" w:hAnsi="宋体"/>
                <w:color w:val="000000"/>
                <w:szCs w:val="21"/>
              </w:rPr>
              <w:t>）</w:t>
            </w:r>
          </w:p>
        </w:tc>
        <w:tc>
          <w:tcPr>
            <w:tcW w:w="1510"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4257219F">
            <w:pPr>
              <w:jc w:val="center"/>
              <w:rPr>
                <w:rFonts w:hint="eastAsia"/>
                <w:color w:val="000000"/>
                <w:szCs w:val="21"/>
              </w:rPr>
            </w:pPr>
            <w:r>
              <w:rPr>
                <w:rFonts w:hint="eastAsia"/>
                <w:color w:val="000000"/>
                <w:szCs w:val="21"/>
              </w:rPr>
              <w:t>7</w:t>
            </w:r>
            <w:r>
              <w:rPr>
                <w:color w:val="000000"/>
                <w:szCs w:val="21"/>
              </w:rPr>
              <w:t>层</w:t>
            </w:r>
          </w:p>
        </w:tc>
      </w:tr>
      <w:tr w14:paraId="68265292">
        <w:tblPrEx>
          <w:tblCellMar>
            <w:top w:w="0" w:type="dxa"/>
            <w:left w:w="108" w:type="dxa"/>
            <w:bottom w:w="0" w:type="dxa"/>
            <w:right w:w="108" w:type="dxa"/>
          </w:tblCellMar>
        </w:tblPrEx>
        <w:trPr>
          <w:trHeight w:val="349" w:hRule="atLeast"/>
        </w:trPr>
        <w:tc>
          <w:tcPr>
            <w:tcW w:w="749"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0B8E380A">
            <w:pPr>
              <w:jc w:val="center"/>
              <w:rPr>
                <w:rFonts w:hint="eastAsia"/>
                <w:color w:val="000000"/>
                <w:szCs w:val="21"/>
              </w:rPr>
            </w:pPr>
            <w:r>
              <w:rPr>
                <w:rFonts w:hint="eastAsia"/>
                <w:color w:val="000000"/>
                <w:szCs w:val="21"/>
              </w:rPr>
              <w:t>2.1.2</w:t>
            </w:r>
          </w:p>
        </w:tc>
        <w:tc>
          <w:tcPr>
            <w:tcW w:w="2724"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31609710">
            <w:pPr>
              <w:jc w:val="center"/>
              <w:rPr>
                <w:rFonts w:hint="eastAsia"/>
                <w:color w:val="000000"/>
                <w:szCs w:val="21"/>
              </w:rPr>
            </w:pPr>
            <w:r>
              <w:rPr>
                <w:rFonts w:hint="eastAsia"/>
                <w:color w:val="000000"/>
                <w:szCs w:val="21"/>
              </w:rPr>
              <w:t>综合业务用房（一期）</w:t>
            </w:r>
          </w:p>
        </w:tc>
        <w:tc>
          <w:tcPr>
            <w:tcW w:w="713"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552DF26D">
            <w:pPr>
              <w:jc w:val="center"/>
              <w:rPr>
                <w:color w:val="000000"/>
                <w:szCs w:val="21"/>
              </w:rPr>
            </w:pPr>
            <w:r>
              <w:rPr>
                <w:color w:val="000000"/>
                <w:szCs w:val="21"/>
              </w:rPr>
              <w:t>m</w:t>
            </w:r>
            <w:r>
              <w:rPr>
                <w:color w:val="000000"/>
                <w:szCs w:val="21"/>
                <w:vertAlign w:val="superscript"/>
              </w:rPr>
              <w:t>2</w:t>
            </w:r>
          </w:p>
        </w:tc>
        <w:tc>
          <w:tcPr>
            <w:tcW w:w="3044"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014BCECD">
            <w:pPr>
              <w:jc w:val="center"/>
              <w:rPr>
                <w:rFonts w:hint="eastAsia"/>
                <w:color w:val="000000"/>
                <w:szCs w:val="21"/>
              </w:rPr>
            </w:pPr>
            <w:r>
              <w:rPr>
                <w:rFonts w:hint="eastAsia"/>
                <w:bCs/>
                <w:color w:val="000000"/>
                <w:szCs w:val="21"/>
              </w:rPr>
              <w:t>8211</w:t>
            </w:r>
            <w:r>
              <w:rPr>
                <w:bCs/>
                <w:color w:val="000000"/>
                <w:szCs w:val="21"/>
              </w:rPr>
              <w:t>m</w:t>
            </w:r>
            <w:r>
              <w:rPr>
                <w:bCs/>
                <w:color w:val="000000"/>
                <w:szCs w:val="21"/>
                <w:vertAlign w:val="superscript"/>
              </w:rPr>
              <w:t>2</w:t>
            </w:r>
            <w:r>
              <w:rPr>
                <w:rFonts w:hint="eastAsia" w:ascii="宋体" w:hAnsi="宋体"/>
                <w:color w:val="000000"/>
                <w:szCs w:val="21"/>
              </w:rPr>
              <w:t>（包含地下建筑面积1165</w:t>
            </w:r>
            <w:r>
              <w:rPr>
                <w:rFonts w:ascii="宋体" w:hAnsi="宋体"/>
                <w:color w:val="000000"/>
                <w:szCs w:val="21"/>
              </w:rPr>
              <w:t>m</w:t>
            </w:r>
            <w:r>
              <w:rPr>
                <w:rFonts w:ascii="宋体" w:hAnsi="宋体"/>
                <w:color w:val="000000"/>
                <w:szCs w:val="21"/>
                <w:vertAlign w:val="superscript"/>
              </w:rPr>
              <w:t>2</w:t>
            </w:r>
            <w:r>
              <w:rPr>
                <w:rFonts w:hint="eastAsia" w:ascii="宋体" w:hAnsi="宋体"/>
                <w:color w:val="000000"/>
                <w:szCs w:val="21"/>
              </w:rPr>
              <w:t>）</w:t>
            </w:r>
          </w:p>
        </w:tc>
        <w:tc>
          <w:tcPr>
            <w:tcW w:w="1510"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7EBC2537">
            <w:pPr>
              <w:jc w:val="center"/>
              <w:rPr>
                <w:rFonts w:hint="eastAsia"/>
                <w:color w:val="000000"/>
                <w:szCs w:val="21"/>
              </w:rPr>
            </w:pPr>
            <w:r>
              <w:rPr>
                <w:rFonts w:hint="eastAsia"/>
                <w:color w:val="000000"/>
                <w:szCs w:val="21"/>
              </w:rPr>
              <w:t>7</w:t>
            </w:r>
            <w:r>
              <w:rPr>
                <w:color w:val="000000"/>
                <w:szCs w:val="21"/>
              </w:rPr>
              <w:t>层</w:t>
            </w:r>
          </w:p>
        </w:tc>
      </w:tr>
      <w:tr w14:paraId="3C00A01C">
        <w:tblPrEx>
          <w:tblCellMar>
            <w:top w:w="0" w:type="dxa"/>
            <w:left w:w="108" w:type="dxa"/>
            <w:bottom w:w="0" w:type="dxa"/>
            <w:right w:w="108" w:type="dxa"/>
          </w:tblCellMar>
        </w:tblPrEx>
        <w:trPr>
          <w:trHeight w:val="349" w:hRule="atLeast"/>
        </w:trPr>
        <w:tc>
          <w:tcPr>
            <w:tcW w:w="749"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55882171">
            <w:pPr>
              <w:jc w:val="center"/>
              <w:rPr>
                <w:rFonts w:hint="eastAsia"/>
                <w:color w:val="000000"/>
                <w:szCs w:val="21"/>
              </w:rPr>
            </w:pPr>
            <w:r>
              <w:rPr>
                <w:rFonts w:hint="eastAsia"/>
                <w:color w:val="000000"/>
                <w:szCs w:val="21"/>
              </w:rPr>
              <w:t>2.2</w:t>
            </w:r>
          </w:p>
        </w:tc>
        <w:tc>
          <w:tcPr>
            <w:tcW w:w="2724"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1F38DBA8">
            <w:pPr>
              <w:jc w:val="center"/>
              <w:rPr>
                <w:rFonts w:hint="eastAsia"/>
                <w:color w:val="000000"/>
                <w:szCs w:val="21"/>
              </w:rPr>
            </w:pPr>
            <w:r>
              <w:rPr>
                <w:rFonts w:hint="eastAsia"/>
                <w:color w:val="000000"/>
                <w:szCs w:val="21"/>
              </w:rPr>
              <w:t>地上建筑面积</w:t>
            </w:r>
          </w:p>
        </w:tc>
        <w:tc>
          <w:tcPr>
            <w:tcW w:w="713"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3039B117">
            <w:pPr>
              <w:jc w:val="center"/>
              <w:rPr>
                <w:color w:val="000000"/>
                <w:szCs w:val="21"/>
              </w:rPr>
            </w:pPr>
            <w:r>
              <w:rPr>
                <w:color w:val="000000"/>
                <w:szCs w:val="21"/>
              </w:rPr>
              <w:t>m</w:t>
            </w:r>
            <w:r>
              <w:rPr>
                <w:color w:val="000000"/>
                <w:szCs w:val="21"/>
                <w:vertAlign w:val="superscript"/>
              </w:rPr>
              <w:t>2</w:t>
            </w:r>
          </w:p>
        </w:tc>
        <w:tc>
          <w:tcPr>
            <w:tcW w:w="3044"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4332D19F">
            <w:pPr>
              <w:jc w:val="center"/>
              <w:rPr>
                <w:rFonts w:hint="eastAsia"/>
                <w:color w:val="000000"/>
                <w:szCs w:val="21"/>
              </w:rPr>
            </w:pPr>
            <w:r>
              <w:rPr>
                <w:rFonts w:hint="eastAsia"/>
                <w:color w:val="000000"/>
                <w:szCs w:val="21"/>
              </w:rPr>
              <w:t>25371</w:t>
            </w:r>
          </w:p>
        </w:tc>
        <w:tc>
          <w:tcPr>
            <w:tcW w:w="1510"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336818EC">
            <w:pPr>
              <w:jc w:val="center"/>
              <w:rPr>
                <w:rFonts w:hint="eastAsia"/>
                <w:color w:val="000000"/>
                <w:szCs w:val="21"/>
              </w:rPr>
            </w:pPr>
          </w:p>
        </w:tc>
      </w:tr>
      <w:tr w14:paraId="09858076">
        <w:tblPrEx>
          <w:tblCellMar>
            <w:top w:w="0" w:type="dxa"/>
            <w:left w:w="108" w:type="dxa"/>
            <w:bottom w:w="0" w:type="dxa"/>
            <w:right w:w="108" w:type="dxa"/>
          </w:tblCellMar>
        </w:tblPrEx>
        <w:trPr>
          <w:trHeight w:val="349" w:hRule="atLeast"/>
        </w:trPr>
        <w:tc>
          <w:tcPr>
            <w:tcW w:w="749"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7FF0C0BC">
            <w:pPr>
              <w:jc w:val="center"/>
              <w:rPr>
                <w:rFonts w:hint="eastAsia"/>
                <w:color w:val="000000"/>
                <w:szCs w:val="21"/>
              </w:rPr>
            </w:pPr>
            <w:r>
              <w:rPr>
                <w:rFonts w:hint="eastAsia"/>
                <w:color w:val="000000"/>
                <w:szCs w:val="21"/>
              </w:rPr>
              <w:t>2.2.1</w:t>
            </w:r>
          </w:p>
        </w:tc>
        <w:tc>
          <w:tcPr>
            <w:tcW w:w="2724"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0CCE619B">
            <w:pPr>
              <w:jc w:val="center"/>
              <w:rPr>
                <w:rFonts w:hint="eastAsia"/>
                <w:color w:val="000000"/>
                <w:szCs w:val="21"/>
              </w:rPr>
            </w:pPr>
            <w:r>
              <w:rPr>
                <w:rFonts w:hint="eastAsia"/>
                <w:color w:val="000000"/>
                <w:szCs w:val="21"/>
              </w:rPr>
              <w:t>门诊综合楼、住院楼</w:t>
            </w:r>
          </w:p>
        </w:tc>
        <w:tc>
          <w:tcPr>
            <w:tcW w:w="713"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5D4511A3">
            <w:pPr>
              <w:jc w:val="center"/>
              <w:rPr>
                <w:color w:val="000000"/>
                <w:szCs w:val="21"/>
              </w:rPr>
            </w:pPr>
            <w:r>
              <w:rPr>
                <w:color w:val="000000"/>
                <w:szCs w:val="21"/>
              </w:rPr>
              <w:t>m</w:t>
            </w:r>
            <w:r>
              <w:rPr>
                <w:color w:val="000000"/>
                <w:szCs w:val="21"/>
                <w:vertAlign w:val="superscript"/>
              </w:rPr>
              <w:t>2</w:t>
            </w:r>
          </w:p>
        </w:tc>
        <w:tc>
          <w:tcPr>
            <w:tcW w:w="3044"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42BBC268">
            <w:pPr>
              <w:jc w:val="center"/>
              <w:rPr>
                <w:rFonts w:hint="eastAsia"/>
                <w:color w:val="000000"/>
                <w:szCs w:val="21"/>
              </w:rPr>
            </w:pPr>
            <w:r>
              <w:rPr>
                <w:rFonts w:hint="eastAsia"/>
                <w:color w:val="000000"/>
                <w:szCs w:val="21"/>
              </w:rPr>
              <w:t>11960</w:t>
            </w:r>
          </w:p>
        </w:tc>
        <w:tc>
          <w:tcPr>
            <w:tcW w:w="1510"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1B94A865">
            <w:pPr>
              <w:jc w:val="center"/>
              <w:rPr>
                <w:rFonts w:hint="eastAsia"/>
                <w:color w:val="000000"/>
                <w:szCs w:val="21"/>
              </w:rPr>
            </w:pPr>
            <w:r>
              <w:rPr>
                <w:rFonts w:hint="eastAsia"/>
                <w:color w:val="000000"/>
                <w:szCs w:val="21"/>
              </w:rPr>
              <w:t>7层</w:t>
            </w:r>
          </w:p>
        </w:tc>
      </w:tr>
      <w:tr w14:paraId="69B342E4">
        <w:tblPrEx>
          <w:tblCellMar>
            <w:top w:w="0" w:type="dxa"/>
            <w:left w:w="108" w:type="dxa"/>
            <w:bottom w:w="0" w:type="dxa"/>
            <w:right w:w="108" w:type="dxa"/>
          </w:tblCellMar>
        </w:tblPrEx>
        <w:trPr>
          <w:trHeight w:val="349" w:hRule="atLeast"/>
        </w:trPr>
        <w:tc>
          <w:tcPr>
            <w:tcW w:w="749"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2079B6B1">
            <w:pPr>
              <w:jc w:val="center"/>
              <w:rPr>
                <w:rFonts w:hint="eastAsia"/>
                <w:color w:val="000000"/>
                <w:szCs w:val="21"/>
              </w:rPr>
            </w:pPr>
            <w:r>
              <w:rPr>
                <w:rFonts w:hint="eastAsia"/>
                <w:color w:val="000000"/>
                <w:szCs w:val="21"/>
              </w:rPr>
              <w:t>2.2.2</w:t>
            </w:r>
          </w:p>
        </w:tc>
        <w:tc>
          <w:tcPr>
            <w:tcW w:w="2724"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31307DBF">
            <w:pPr>
              <w:jc w:val="center"/>
              <w:rPr>
                <w:rFonts w:hint="eastAsia"/>
                <w:color w:val="000000"/>
                <w:szCs w:val="21"/>
              </w:rPr>
            </w:pPr>
            <w:r>
              <w:rPr>
                <w:rFonts w:hint="eastAsia"/>
                <w:color w:val="000000"/>
                <w:szCs w:val="21"/>
              </w:rPr>
              <w:t>后勤综合楼</w:t>
            </w:r>
          </w:p>
        </w:tc>
        <w:tc>
          <w:tcPr>
            <w:tcW w:w="713"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1FAD853F">
            <w:pPr>
              <w:jc w:val="center"/>
              <w:rPr>
                <w:color w:val="000000"/>
                <w:szCs w:val="21"/>
              </w:rPr>
            </w:pPr>
            <w:r>
              <w:rPr>
                <w:color w:val="000000"/>
                <w:szCs w:val="21"/>
              </w:rPr>
              <w:t>m</w:t>
            </w:r>
            <w:r>
              <w:rPr>
                <w:color w:val="000000"/>
                <w:szCs w:val="21"/>
                <w:vertAlign w:val="superscript"/>
              </w:rPr>
              <w:t>2</w:t>
            </w:r>
          </w:p>
        </w:tc>
        <w:tc>
          <w:tcPr>
            <w:tcW w:w="3044"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71B2699C">
            <w:pPr>
              <w:jc w:val="center"/>
              <w:rPr>
                <w:rFonts w:hint="eastAsia"/>
                <w:color w:val="000000"/>
                <w:szCs w:val="21"/>
              </w:rPr>
            </w:pPr>
            <w:r>
              <w:rPr>
                <w:rFonts w:hint="eastAsia"/>
                <w:color w:val="000000"/>
                <w:szCs w:val="21"/>
              </w:rPr>
              <w:t>3500</w:t>
            </w:r>
          </w:p>
        </w:tc>
        <w:tc>
          <w:tcPr>
            <w:tcW w:w="1510"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0D2DB60B">
            <w:pPr>
              <w:jc w:val="center"/>
              <w:rPr>
                <w:rFonts w:hint="eastAsia"/>
                <w:color w:val="000000"/>
                <w:szCs w:val="21"/>
              </w:rPr>
            </w:pPr>
            <w:r>
              <w:rPr>
                <w:rFonts w:hint="eastAsia"/>
                <w:color w:val="000000"/>
                <w:szCs w:val="21"/>
              </w:rPr>
              <w:t>4</w:t>
            </w:r>
            <w:r>
              <w:rPr>
                <w:color w:val="000000"/>
                <w:szCs w:val="21"/>
              </w:rPr>
              <w:t>层</w:t>
            </w:r>
          </w:p>
        </w:tc>
      </w:tr>
      <w:tr w14:paraId="37907E5A">
        <w:tblPrEx>
          <w:tblCellMar>
            <w:top w:w="0" w:type="dxa"/>
            <w:left w:w="108" w:type="dxa"/>
            <w:bottom w:w="0" w:type="dxa"/>
            <w:right w:w="108" w:type="dxa"/>
          </w:tblCellMar>
        </w:tblPrEx>
        <w:trPr>
          <w:trHeight w:val="349" w:hRule="atLeast"/>
        </w:trPr>
        <w:tc>
          <w:tcPr>
            <w:tcW w:w="749"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75CD44EE">
            <w:pPr>
              <w:jc w:val="center"/>
              <w:rPr>
                <w:rFonts w:hint="eastAsia"/>
                <w:color w:val="000000"/>
                <w:szCs w:val="21"/>
              </w:rPr>
            </w:pPr>
            <w:r>
              <w:rPr>
                <w:rFonts w:hint="eastAsia"/>
                <w:color w:val="000000"/>
                <w:szCs w:val="21"/>
              </w:rPr>
              <w:t>2.2.3</w:t>
            </w:r>
          </w:p>
        </w:tc>
        <w:tc>
          <w:tcPr>
            <w:tcW w:w="2724"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3548A1E1">
            <w:pPr>
              <w:jc w:val="center"/>
              <w:rPr>
                <w:rFonts w:hint="eastAsia"/>
                <w:color w:val="000000"/>
                <w:szCs w:val="21"/>
              </w:rPr>
            </w:pPr>
            <w:r>
              <w:rPr>
                <w:rFonts w:hint="eastAsia"/>
                <w:color w:val="000000"/>
                <w:szCs w:val="21"/>
              </w:rPr>
              <w:t>综合业务用房（一期）</w:t>
            </w:r>
          </w:p>
        </w:tc>
        <w:tc>
          <w:tcPr>
            <w:tcW w:w="713"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630AE3F2">
            <w:pPr>
              <w:jc w:val="center"/>
              <w:rPr>
                <w:color w:val="000000"/>
                <w:szCs w:val="21"/>
              </w:rPr>
            </w:pPr>
            <w:r>
              <w:rPr>
                <w:color w:val="000000"/>
                <w:szCs w:val="21"/>
              </w:rPr>
              <w:t>m</w:t>
            </w:r>
            <w:r>
              <w:rPr>
                <w:color w:val="000000"/>
                <w:szCs w:val="21"/>
                <w:vertAlign w:val="superscript"/>
              </w:rPr>
              <w:t>2</w:t>
            </w:r>
          </w:p>
        </w:tc>
        <w:tc>
          <w:tcPr>
            <w:tcW w:w="3044"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167D410D">
            <w:pPr>
              <w:jc w:val="center"/>
              <w:rPr>
                <w:rFonts w:hint="eastAsia"/>
                <w:color w:val="000000"/>
                <w:szCs w:val="21"/>
              </w:rPr>
            </w:pPr>
            <w:r>
              <w:rPr>
                <w:rFonts w:hint="eastAsia"/>
                <w:color w:val="000000"/>
                <w:szCs w:val="21"/>
              </w:rPr>
              <w:t>7046</w:t>
            </w:r>
          </w:p>
        </w:tc>
        <w:tc>
          <w:tcPr>
            <w:tcW w:w="1510"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4C6EA0A2">
            <w:pPr>
              <w:jc w:val="center"/>
              <w:rPr>
                <w:rFonts w:hint="eastAsia"/>
                <w:color w:val="000000"/>
                <w:szCs w:val="21"/>
              </w:rPr>
            </w:pPr>
            <w:r>
              <w:rPr>
                <w:rFonts w:hint="eastAsia"/>
                <w:color w:val="000000"/>
                <w:szCs w:val="21"/>
              </w:rPr>
              <w:t>7</w:t>
            </w:r>
            <w:r>
              <w:rPr>
                <w:color w:val="000000"/>
                <w:szCs w:val="21"/>
              </w:rPr>
              <w:t>层</w:t>
            </w:r>
          </w:p>
        </w:tc>
      </w:tr>
      <w:tr w14:paraId="3D90ED27">
        <w:tblPrEx>
          <w:tblCellMar>
            <w:top w:w="0" w:type="dxa"/>
            <w:left w:w="108" w:type="dxa"/>
            <w:bottom w:w="0" w:type="dxa"/>
            <w:right w:w="108" w:type="dxa"/>
          </w:tblCellMar>
        </w:tblPrEx>
        <w:trPr>
          <w:trHeight w:val="349" w:hRule="atLeast"/>
        </w:trPr>
        <w:tc>
          <w:tcPr>
            <w:tcW w:w="749"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4566A3AD">
            <w:pPr>
              <w:jc w:val="center"/>
              <w:rPr>
                <w:rFonts w:hint="eastAsia"/>
                <w:color w:val="000000"/>
                <w:szCs w:val="21"/>
              </w:rPr>
            </w:pPr>
            <w:r>
              <w:rPr>
                <w:rFonts w:hint="eastAsia"/>
                <w:color w:val="000000"/>
                <w:szCs w:val="21"/>
              </w:rPr>
              <w:t>2.2.4</w:t>
            </w:r>
          </w:p>
        </w:tc>
        <w:tc>
          <w:tcPr>
            <w:tcW w:w="2724"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24275249">
            <w:pPr>
              <w:jc w:val="center"/>
              <w:rPr>
                <w:rFonts w:hint="eastAsia"/>
                <w:color w:val="000000"/>
                <w:szCs w:val="21"/>
              </w:rPr>
            </w:pPr>
            <w:r>
              <w:rPr>
                <w:rFonts w:hint="eastAsia"/>
                <w:color w:val="000000"/>
                <w:szCs w:val="21"/>
              </w:rPr>
              <w:t>培训综合楼（二期）</w:t>
            </w:r>
          </w:p>
        </w:tc>
        <w:tc>
          <w:tcPr>
            <w:tcW w:w="713"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3BB87E93">
            <w:pPr>
              <w:jc w:val="center"/>
              <w:rPr>
                <w:color w:val="000000"/>
                <w:szCs w:val="21"/>
              </w:rPr>
            </w:pPr>
            <w:r>
              <w:rPr>
                <w:color w:val="000000"/>
                <w:szCs w:val="21"/>
              </w:rPr>
              <w:t>m</w:t>
            </w:r>
            <w:r>
              <w:rPr>
                <w:color w:val="000000"/>
                <w:szCs w:val="21"/>
                <w:vertAlign w:val="superscript"/>
              </w:rPr>
              <w:t>2</w:t>
            </w:r>
          </w:p>
        </w:tc>
        <w:tc>
          <w:tcPr>
            <w:tcW w:w="3044"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2FBF3347">
            <w:pPr>
              <w:jc w:val="center"/>
              <w:rPr>
                <w:rFonts w:hint="eastAsia"/>
                <w:color w:val="000000"/>
                <w:szCs w:val="21"/>
              </w:rPr>
            </w:pPr>
            <w:r>
              <w:rPr>
                <w:rFonts w:hint="eastAsia"/>
                <w:color w:val="000000"/>
                <w:szCs w:val="21"/>
              </w:rPr>
              <w:t>2745</w:t>
            </w:r>
          </w:p>
        </w:tc>
        <w:tc>
          <w:tcPr>
            <w:tcW w:w="1510"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168C276C">
            <w:pPr>
              <w:jc w:val="center"/>
              <w:rPr>
                <w:rFonts w:hint="eastAsia"/>
                <w:color w:val="000000"/>
                <w:szCs w:val="21"/>
              </w:rPr>
            </w:pPr>
            <w:r>
              <w:rPr>
                <w:rFonts w:hint="eastAsia"/>
                <w:color w:val="000000"/>
                <w:szCs w:val="21"/>
              </w:rPr>
              <w:t>4</w:t>
            </w:r>
            <w:r>
              <w:rPr>
                <w:color w:val="000000"/>
                <w:szCs w:val="21"/>
              </w:rPr>
              <w:t>层</w:t>
            </w:r>
          </w:p>
        </w:tc>
      </w:tr>
      <w:tr w14:paraId="0FC46916">
        <w:tblPrEx>
          <w:tblCellMar>
            <w:top w:w="0" w:type="dxa"/>
            <w:left w:w="108" w:type="dxa"/>
            <w:bottom w:w="0" w:type="dxa"/>
            <w:right w:w="108" w:type="dxa"/>
          </w:tblCellMar>
        </w:tblPrEx>
        <w:trPr>
          <w:trHeight w:val="349" w:hRule="atLeast"/>
        </w:trPr>
        <w:tc>
          <w:tcPr>
            <w:tcW w:w="749"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6A3FD3C5">
            <w:pPr>
              <w:jc w:val="center"/>
              <w:rPr>
                <w:rFonts w:hint="eastAsia"/>
                <w:color w:val="000000"/>
                <w:szCs w:val="21"/>
              </w:rPr>
            </w:pPr>
            <w:r>
              <w:rPr>
                <w:rFonts w:hint="eastAsia"/>
                <w:color w:val="000000"/>
                <w:szCs w:val="21"/>
              </w:rPr>
              <w:t>2.2.5</w:t>
            </w:r>
          </w:p>
        </w:tc>
        <w:tc>
          <w:tcPr>
            <w:tcW w:w="2724"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2FDA5480">
            <w:pPr>
              <w:jc w:val="center"/>
              <w:rPr>
                <w:rFonts w:hint="eastAsia"/>
                <w:color w:val="000000"/>
                <w:szCs w:val="21"/>
              </w:rPr>
            </w:pPr>
            <w:r>
              <w:rPr>
                <w:rFonts w:hint="eastAsia"/>
                <w:color w:val="000000"/>
                <w:szCs w:val="21"/>
              </w:rPr>
              <w:t>污水处理房</w:t>
            </w:r>
          </w:p>
        </w:tc>
        <w:tc>
          <w:tcPr>
            <w:tcW w:w="713"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3AE1F951">
            <w:pPr>
              <w:jc w:val="center"/>
              <w:rPr>
                <w:color w:val="000000"/>
                <w:szCs w:val="21"/>
              </w:rPr>
            </w:pPr>
            <w:r>
              <w:rPr>
                <w:color w:val="000000"/>
                <w:szCs w:val="21"/>
              </w:rPr>
              <w:t>m</w:t>
            </w:r>
            <w:r>
              <w:rPr>
                <w:color w:val="000000"/>
                <w:szCs w:val="21"/>
                <w:vertAlign w:val="superscript"/>
              </w:rPr>
              <w:t>2</w:t>
            </w:r>
          </w:p>
        </w:tc>
        <w:tc>
          <w:tcPr>
            <w:tcW w:w="3044"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5A35C6E1">
            <w:pPr>
              <w:jc w:val="center"/>
              <w:rPr>
                <w:rFonts w:hint="eastAsia"/>
                <w:color w:val="000000"/>
                <w:szCs w:val="21"/>
              </w:rPr>
            </w:pPr>
            <w:r>
              <w:rPr>
                <w:rFonts w:hint="eastAsia"/>
                <w:color w:val="000000"/>
                <w:szCs w:val="21"/>
              </w:rPr>
              <w:t>60</w:t>
            </w:r>
          </w:p>
        </w:tc>
        <w:tc>
          <w:tcPr>
            <w:tcW w:w="1510"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038D7EA1">
            <w:pPr>
              <w:jc w:val="center"/>
              <w:rPr>
                <w:color w:val="000000"/>
                <w:szCs w:val="21"/>
              </w:rPr>
            </w:pPr>
            <w:r>
              <w:rPr>
                <w:color w:val="000000"/>
                <w:szCs w:val="21"/>
              </w:rPr>
              <w:t>1层</w:t>
            </w:r>
          </w:p>
        </w:tc>
      </w:tr>
      <w:tr w14:paraId="538BE4C4">
        <w:tblPrEx>
          <w:tblCellMar>
            <w:top w:w="0" w:type="dxa"/>
            <w:left w:w="108" w:type="dxa"/>
            <w:bottom w:w="0" w:type="dxa"/>
            <w:right w:w="108" w:type="dxa"/>
          </w:tblCellMar>
        </w:tblPrEx>
        <w:trPr>
          <w:trHeight w:val="349" w:hRule="atLeast"/>
        </w:trPr>
        <w:tc>
          <w:tcPr>
            <w:tcW w:w="749"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425E5D02">
            <w:pPr>
              <w:jc w:val="center"/>
              <w:rPr>
                <w:rFonts w:hint="eastAsia"/>
                <w:color w:val="000000"/>
                <w:szCs w:val="21"/>
              </w:rPr>
            </w:pPr>
            <w:r>
              <w:rPr>
                <w:rFonts w:hint="eastAsia"/>
                <w:color w:val="000000"/>
                <w:szCs w:val="21"/>
              </w:rPr>
              <w:t>2.2.6</w:t>
            </w:r>
          </w:p>
        </w:tc>
        <w:tc>
          <w:tcPr>
            <w:tcW w:w="2724"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3DD38C24">
            <w:pPr>
              <w:jc w:val="center"/>
              <w:rPr>
                <w:rFonts w:hint="eastAsia"/>
                <w:color w:val="000000"/>
                <w:szCs w:val="21"/>
              </w:rPr>
            </w:pPr>
            <w:r>
              <w:rPr>
                <w:rFonts w:hint="eastAsia"/>
                <w:color w:val="000000"/>
                <w:szCs w:val="21"/>
              </w:rPr>
              <w:t>危废处理间</w:t>
            </w:r>
          </w:p>
        </w:tc>
        <w:tc>
          <w:tcPr>
            <w:tcW w:w="713"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7A499FD4">
            <w:pPr>
              <w:jc w:val="center"/>
              <w:rPr>
                <w:color w:val="000000"/>
                <w:szCs w:val="21"/>
              </w:rPr>
            </w:pPr>
            <w:r>
              <w:rPr>
                <w:color w:val="000000"/>
                <w:szCs w:val="21"/>
              </w:rPr>
              <w:t>m</w:t>
            </w:r>
            <w:r>
              <w:rPr>
                <w:color w:val="000000"/>
                <w:szCs w:val="21"/>
                <w:vertAlign w:val="superscript"/>
              </w:rPr>
              <w:t>2</w:t>
            </w:r>
          </w:p>
        </w:tc>
        <w:tc>
          <w:tcPr>
            <w:tcW w:w="3044"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3F363F34">
            <w:pPr>
              <w:jc w:val="center"/>
              <w:rPr>
                <w:rFonts w:hint="eastAsia"/>
                <w:color w:val="000000"/>
                <w:szCs w:val="21"/>
              </w:rPr>
            </w:pPr>
            <w:r>
              <w:rPr>
                <w:rFonts w:hint="eastAsia"/>
                <w:color w:val="000000"/>
                <w:szCs w:val="21"/>
              </w:rPr>
              <w:t>60</w:t>
            </w:r>
          </w:p>
        </w:tc>
        <w:tc>
          <w:tcPr>
            <w:tcW w:w="1510"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1639649A">
            <w:pPr>
              <w:jc w:val="center"/>
              <w:rPr>
                <w:color w:val="000000"/>
                <w:szCs w:val="21"/>
              </w:rPr>
            </w:pPr>
            <w:r>
              <w:rPr>
                <w:color w:val="000000"/>
                <w:szCs w:val="21"/>
              </w:rPr>
              <w:t>1层</w:t>
            </w:r>
          </w:p>
        </w:tc>
      </w:tr>
      <w:tr w14:paraId="67C82FBC">
        <w:tblPrEx>
          <w:tblCellMar>
            <w:top w:w="0" w:type="dxa"/>
            <w:left w:w="108" w:type="dxa"/>
            <w:bottom w:w="0" w:type="dxa"/>
            <w:right w:w="108" w:type="dxa"/>
          </w:tblCellMar>
        </w:tblPrEx>
        <w:trPr>
          <w:trHeight w:val="349" w:hRule="atLeast"/>
        </w:trPr>
        <w:tc>
          <w:tcPr>
            <w:tcW w:w="749"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1E65DF99">
            <w:pPr>
              <w:jc w:val="center"/>
              <w:rPr>
                <w:rFonts w:hint="eastAsia"/>
                <w:color w:val="000000"/>
                <w:szCs w:val="21"/>
              </w:rPr>
            </w:pPr>
            <w:r>
              <w:rPr>
                <w:rFonts w:hint="eastAsia"/>
                <w:color w:val="000000"/>
                <w:szCs w:val="21"/>
              </w:rPr>
              <w:t>3</w:t>
            </w:r>
          </w:p>
        </w:tc>
        <w:tc>
          <w:tcPr>
            <w:tcW w:w="2724"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2F6C325E">
            <w:pPr>
              <w:jc w:val="center"/>
              <w:rPr>
                <w:color w:val="000000"/>
                <w:szCs w:val="21"/>
              </w:rPr>
            </w:pPr>
            <w:r>
              <w:rPr>
                <w:color w:val="000000"/>
                <w:szCs w:val="21"/>
              </w:rPr>
              <w:t>绿地面积</w:t>
            </w:r>
          </w:p>
        </w:tc>
        <w:tc>
          <w:tcPr>
            <w:tcW w:w="713"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007B4924">
            <w:pPr>
              <w:jc w:val="center"/>
              <w:rPr>
                <w:color w:val="000000"/>
                <w:szCs w:val="21"/>
              </w:rPr>
            </w:pPr>
            <w:r>
              <w:rPr>
                <w:color w:val="000000"/>
                <w:szCs w:val="21"/>
              </w:rPr>
              <w:t>m</w:t>
            </w:r>
            <w:r>
              <w:rPr>
                <w:color w:val="000000"/>
                <w:szCs w:val="21"/>
                <w:vertAlign w:val="superscript"/>
              </w:rPr>
              <w:t>2</w:t>
            </w:r>
          </w:p>
        </w:tc>
        <w:tc>
          <w:tcPr>
            <w:tcW w:w="3044"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22833F1D">
            <w:pPr>
              <w:jc w:val="center"/>
              <w:rPr>
                <w:rFonts w:hint="eastAsia"/>
                <w:color w:val="000000"/>
                <w:szCs w:val="21"/>
              </w:rPr>
            </w:pPr>
            <w:r>
              <w:rPr>
                <w:rFonts w:hint="eastAsia"/>
                <w:color w:val="000000"/>
                <w:szCs w:val="21"/>
              </w:rPr>
              <w:t>7625.92</w:t>
            </w:r>
          </w:p>
        </w:tc>
        <w:tc>
          <w:tcPr>
            <w:tcW w:w="1510"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0B62872F">
            <w:pPr>
              <w:rPr>
                <w:color w:val="000000"/>
                <w:szCs w:val="21"/>
              </w:rPr>
            </w:pPr>
          </w:p>
        </w:tc>
      </w:tr>
      <w:tr w14:paraId="48A984FC">
        <w:tblPrEx>
          <w:tblCellMar>
            <w:top w:w="0" w:type="dxa"/>
            <w:left w:w="108" w:type="dxa"/>
            <w:bottom w:w="0" w:type="dxa"/>
            <w:right w:w="108" w:type="dxa"/>
          </w:tblCellMar>
        </w:tblPrEx>
        <w:trPr>
          <w:trHeight w:val="349" w:hRule="atLeast"/>
        </w:trPr>
        <w:tc>
          <w:tcPr>
            <w:tcW w:w="749"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0F60E760">
            <w:pPr>
              <w:jc w:val="center"/>
              <w:rPr>
                <w:rFonts w:hint="eastAsia"/>
                <w:color w:val="000000"/>
                <w:szCs w:val="21"/>
              </w:rPr>
            </w:pPr>
            <w:r>
              <w:rPr>
                <w:rFonts w:hint="eastAsia"/>
                <w:color w:val="000000"/>
                <w:szCs w:val="21"/>
              </w:rPr>
              <w:t>4</w:t>
            </w:r>
          </w:p>
        </w:tc>
        <w:tc>
          <w:tcPr>
            <w:tcW w:w="2724"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16276BBD">
            <w:pPr>
              <w:jc w:val="center"/>
              <w:rPr>
                <w:rFonts w:hint="eastAsia"/>
                <w:color w:val="000000"/>
                <w:szCs w:val="21"/>
              </w:rPr>
            </w:pPr>
            <w:r>
              <w:rPr>
                <w:rFonts w:hint="eastAsia"/>
                <w:color w:val="000000"/>
                <w:szCs w:val="21"/>
              </w:rPr>
              <w:t>建筑占地面积</w:t>
            </w:r>
          </w:p>
        </w:tc>
        <w:tc>
          <w:tcPr>
            <w:tcW w:w="713"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616F23A7">
            <w:pPr>
              <w:jc w:val="center"/>
              <w:rPr>
                <w:color w:val="000000"/>
                <w:szCs w:val="21"/>
              </w:rPr>
            </w:pPr>
            <w:r>
              <w:rPr>
                <w:color w:val="000000"/>
                <w:szCs w:val="21"/>
              </w:rPr>
              <w:t>m</w:t>
            </w:r>
            <w:r>
              <w:rPr>
                <w:color w:val="000000"/>
                <w:szCs w:val="21"/>
                <w:vertAlign w:val="superscript"/>
              </w:rPr>
              <w:t>2</w:t>
            </w:r>
          </w:p>
        </w:tc>
        <w:tc>
          <w:tcPr>
            <w:tcW w:w="3044"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6D8DB1D4">
            <w:pPr>
              <w:jc w:val="center"/>
              <w:rPr>
                <w:rFonts w:hint="eastAsia"/>
                <w:color w:val="000000"/>
                <w:szCs w:val="21"/>
              </w:rPr>
            </w:pPr>
            <w:r>
              <w:rPr>
                <w:rFonts w:hint="eastAsia"/>
                <w:color w:val="000000"/>
                <w:szCs w:val="21"/>
              </w:rPr>
              <w:t>6120</w:t>
            </w:r>
          </w:p>
        </w:tc>
        <w:tc>
          <w:tcPr>
            <w:tcW w:w="1510"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125C0F68">
            <w:pPr>
              <w:rPr>
                <w:color w:val="000000"/>
                <w:szCs w:val="21"/>
              </w:rPr>
            </w:pPr>
          </w:p>
        </w:tc>
      </w:tr>
      <w:tr w14:paraId="06E1FCC4">
        <w:tblPrEx>
          <w:tblCellMar>
            <w:top w:w="0" w:type="dxa"/>
            <w:left w:w="108" w:type="dxa"/>
            <w:bottom w:w="0" w:type="dxa"/>
            <w:right w:w="108" w:type="dxa"/>
          </w:tblCellMar>
        </w:tblPrEx>
        <w:trPr>
          <w:trHeight w:val="349" w:hRule="atLeast"/>
        </w:trPr>
        <w:tc>
          <w:tcPr>
            <w:tcW w:w="749"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3A266EB7">
            <w:pPr>
              <w:jc w:val="center"/>
              <w:rPr>
                <w:rFonts w:hint="eastAsia"/>
                <w:color w:val="000000"/>
                <w:szCs w:val="21"/>
              </w:rPr>
            </w:pPr>
            <w:r>
              <w:rPr>
                <w:rFonts w:hint="eastAsia"/>
                <w:color w:val="000000"/>
                <w:szCs w:val="21"/>
              </w:rPr>
              <w:t>5</w:t>
            </w:r>
          </w:p>
        </w:tc>
        <w:tc>
          <w:tcPr>
            <w:tcW w:w="2724"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3C3A26B4">
            <w:pPr>
              <w:jc w:val="center"/>
              <w:rPr>
                <w:rFonts w:hint="eastAsia"/>
                <w:color w:val="000000"/>
                <w:szCs w:val="21"/>
              </w:rPr>
            </w:pPr>
            <w:r>
              <w:rPr>
                <w:rFonts w:hint="eastAsia"/>
                <w:color w:val="000000"/>
                <w:szCs w:val="21"/>
              </w:rPr>
              <w:t>道路广场面积</w:t>
            </w:r>
          </w:p>
        </w:tc>
        <w:tc>
          <w:tcPr>
            <w:tcW w:w="713"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4EB7E72C">
            <w:pPr>
              <w:jc w:val="center"/>
              <w:rPr>
                <w:color w:val="000000"/>
                <w:szCs w:val="21"/>
              </w:rPr>
            </w:pPr>
            <w:r>
              <w:rPr>
                <w:color w:val="000000"/>
                <w:szCs w:val="21"/>
              </w:rPr>
              <w:t>m</w:t>
            </w:r>
            <w:r>
              <w:rPr>
                <w:color w:val="000000"/>
                <w:szCs w:val="21"/>
                <w:vertAlign w:val="superscript"/>
              </w:rPr>
              <w:t>2</w:t>
            </w:r>
          </w:p>
        </w:tc>
        <w:tc>
          <w:tcPr>
            <w:tcW w:w="3044"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7BCFF227">
            <w:pPr>
              <w:jc w:val="center"/>
              <w:rPr>
                <w:rFonts w:hint="eastAsia"/>
                <w:color w:val="000000"/>
                <w:szCs w:val="21"/>
              </w:rPr>
            </w:pPr>
            <w:r>
              <w:rPr>
                <w:rFonts w:hint="eastAsia"/>
                <w:color w:val="000000"/>
                <w:szCs w:val="21"/>
              </w:rPr>
              <w:t>6995</w:t>
            </w:r>
          </w:p>
        </w:tc>
        <w:tc>
          <w:tcPr>
            <w:tcW w:w="1510"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1E448234">
            <w:pPr>
              <w:rPr>
                <w:color w:val="000000"/>
                <w:szCs w:val="21"/>
              </w:rPr>
            </w:pPr>
          </w:p>
        </w:tc>
      </w:tr>
      <w:tr w14:paraId="6585202B">
        <w:tblPrEx>
          <w:tblCellMar>
            <w:top w:w="0" w:type="dxa"/>
            <w:left w:w="108" w:type="dxa"/>
            <w:bottom w:w="0" w:type="dxa"/>
            <w:right w:w="108" w:type="dxa"/>
          </w:tblCellMar>
        </w:tblPrEx>
        <w:trPr>
          <w:trHeight w:val="349" w:hRule="atLeast"/>
        </w:trPr>
        <w:tc>
          <w:tcPr>
            <w:tcW w:w="749"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33D7CCCB">
            <w:pPr>
              <w:jc w:val="center"/>
              <w:rPr>
                <w:rFonts w:hint="eastAsia"/>
                <w:color w:val="000000"/>
                <w:szCs w:val="21"/>
              </w:rPr>
            </w:pPr>
            <w:r>
              <w:rPr>
                <w:rFonts w:hint="eastAsia"/>
                <w:color w:val="000000"/>
                <w:szCs w:val="21"/>
              </w:rPr>
              <w:t>6</w:t>
            </w:r>
          </w:p>
        </w:tc>
        <w:tc>
          <w:tcPr>
            <w:tcW w:w="2724"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1553FBD5">
            <w:pPr>
              <w:jc w:val="center"/>
              <w:rPr>
                <w:color w:val="000000"/>
                <w:szCs w:val="21"/>
              </w:rPr>
            </w:pPr>
            <w:r>
              <w:rPr>
                <w:rFonts w:hint="eastAsia"/>
                <w:color w:val="000000"/>
                <w:szCs w:val="21"/>
              </w:rPr>
              <w:t>容积率</w:t>
            </w:r>
          </w:p>
        </w:tc>
        <w:tc>
          <w:tcPr>
            <w:tcW w:w="713"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6134713F">
            <w:pPr>
              <w:jc w:val="center"/>
              <w:rPr>
                <w:color w:val="000000"/>
                <w:szCs w:val="21"/>
              </w:rPr>
            </w:pPr>
          </w:p>
        </w:tc>
        <w:tc>
          <w:tcPr>
            <w:tcW w:w="3044"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2F8F20A6">
            <w:pPr>
              <w:jc w:val="center"/>
              <w:rPr>
                <w:rFonts w:hint="eastAsia"/>
                <w:color w:val="000000"/>
                <w:szCs w:val="21"/>
              </w:rPr>
            </w:pPr>
            <w:r>
              <w:rPr>
                <w:color w:val="000000"/>
                <w:szCs w:val="21"/>
              </w:rPr>
              <w:t>1.</w:t>
            </w:r>
            <w:r>
              <w:rPr>
                <w:rFonts w:hint="eastAsia"/>
                <w:color w:val="000000"/>
                <w:szCs w:val="21"/>
              </w:rPr>
              <w:t>22</w:t>
            </w:r>
          </w:p>
        </w:tc>
        <w:tc>
          <w:tcPr>
            <w:tcW w:w="1510"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15FF8F44">
            <w:pPr>
              <w:rPr>
                <w:color w:val="000000"/>
                <w:szCs w:val="21"/>
              </w:rPr>
            </w:pPr>
          </w:p>
        </w:tc>
      </w:tr>
      <w:tr w14:paraId="4194D314">
        <w:tblPrEx>
          <w:tblCellMar>
            <w:top w:w="0" w:type="dxa"/>
            <w:left w:w="108" w:type="dxa"/>
            <w:bottom w:w="0" w:type="dxa"/>
            <w:right w:w="108" w:type="dxa"/>
          </w:tblCellMar>
        </w:tblPrEx>
        <w:trPr>
          <w:trHeight w:val="349" w:hRule="atLeast"/>
        </w:trPr>
        <w:tc>
          <w:tcPr>
            <w:tcW w:w="749"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08A6CF2A">
            <w:pPr>
              <w:jc w:val="center"/>
              <w:rPr>
                <w:rFonts w:hint="eastAsia"/>
                <w:color w:val="000000"/>
                <w:szCs w:val="21"/>
              </w:rPr>
            </w:pPr>
            <w:r>
              <w:rPr>
                <w:rFonts w:hint="eastAsia"/>
                <w:color w:val="000000"/>
                <w:szCs w:val="21"/>
              </w:rPr>
              <w:t>7</w:t>
            </w:r>
          </w:p>
        </w:tc>
        <w:tc>
          <w:tcPr>
            <w:tcW w:w="2724"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5BC9FC66">
            <w:pPr>
              <w:jc w:val="center"/>
              <w:rPr>
                <w:color w:val="000000"/>
                <w:szCs w:val="21"/>
              </w:rPr>
            </w:pPr>
            <w:r>
              <w:rPr>
                <w:color w:val="000000"/>
                <w:szCs w:val="21"/>
              </w:rPr>
              <w:t>建筑密度</w:t>
            </w:r>
          </w:p>
        </w:tc>
        <w:tc>
          <w:tcPr>
            <w:tcW w:w="713"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35D68026">
            <w:pPr>
              <w:jc w:val="center"/>
              <w:rPr>
                <w:color w:val="000000"/>
                <w:szCs w:val="21"/>
              </w:rPr>
            </w:pPr>
            <w:r>
              <w:rPr>
                <w:color w:val="000000"/>
                <w:szCs w:val="21"/>
              </w:rPr>
              <w:t>%</w:t>
            </w:r>
          </w:p>
        </w:tc>
        <w:tc>
          <w:tcPr>
            <w:tcW w:w="3044"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132E4D62">
            <w:pPr>
              <w:jc w:val="center"/>
              <w:rPr>
                <w:rFonts w:hint="eastAsia"/>
                <w:color w:val="000000"/>
                <w:szCs w:val="21"/>
              </w:rPr>
            </w:pPr>
            <w:r>
              <w:rPr>
                <w:rFonts w:hint="eastAsia"/>
                <w:color w:val="000000"/>
                <w:szCs w:val="21"/>
              </w:rPr>
              <w:t>29.4</w:t>
            </w:r>
          </w:p>
        </w:tc>
        <w:tc>
          <w:tcPr>
            <w:tcW w:w="1510"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3C906C10">
            <w:pPr>
              <w:rPr>
                <w:color w:val="000000"/>
                <w:szCs w:val="21"/>
              </w:rPr>
            </w:pPr>
          </w:p>
        </w:tc>
      </w:tr>
      <w:tr w14:paraId="2378E07C">
        <w:tblPrEx>
          <w:tblCellMar>
            <w:top w:w="0" w:type="dxa"/>
            <w:left w:w="108" w:type="dxa"/>
            <w:bottom w:w="0" w:type="dxa"/>
            <w:right w:w="108" w:type="dxa"/>
          </w:tblCellMar>
        </w:tblPrEx>
        <w:trPr>
          <w:trHeight w:val="349" w:hRule="atLeast"/>
        </w:trPr>
        <w:tc>
          <w:tcPr>
            <w:tcW w:w="749"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5C1BF70C">
            <w:pPr>
              <w:jc w:val="center"/>
              <w:rPr>
                <w:rFonts w:hint="eastAsia"/>
                <w:color w:val="000000"/>
                <w:szCs w:val="21"/>
              </w:rPr>
            </w:pPr>
            <w:r>
              <w:rPr>
                <w:rFonts w:hint="eastAsia"/>
                <w:color w:val="000000"/>
                <w:szCs w:val="21"/>
              </w:rPr>
              <w:t>8</w:t>
            </w:r>
          </w:p>
        </w:tc>
        <w:tc>
          <w:tcPr>
            <w:tcW w:w="2724"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465BEB37">
            <w:pPr>
              <w:jc w:val="center"/>
              <w:rPr>
                <w:color w:val="000000"/>
                <w:szCs w:val="21"/>
              </w:rPr>
            </w:pPr>
            <w:r>
              <w:rPr>
                <w:rFonts w:hint="eastAsia"/>
                <w:color w:val="000000"/>
                <w:szCs w:val="21"/>
              </w:rPr>
              <w:t>绿化率</w:t>
            </w:r>
          </w:p>
        </w:tc>
        <w:tc>
          <w:tcPr>
            <w:tcW w:w="713"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105B6C35">
            <w:pPr>
              <w:jc w:val="center"/>
              <w:rPr>
                <w:color w:val="000000"/>
                <w:szCs w:val="21"/>
              </w:rPr>
            </w:pPr>
            <w:r>
              <w:rPr>
                <w:color w:val="000000"/>
                <w:szCs w:val="21"/>
              </w:rPr>
              <w:t>%</w:t>
            </w:r>
          </w:p>
        </w:tc>
        <w:tc>
          <w:tcPr>
            <w:tcW w:w="3044"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7D7F7057">
            <w:pPr>
              <w:jc w:val="center"/>
              <w:rPr>
                <w:rFonts w:hint="eastAsia"/>
                <w:color w:val="000000"/>
                <w:szCs w:val="21"/>
              </w:rPr>
            </w:pPr>
            <w:r>
              <w:rPr>
                <w:rFonts w:hint="eastAsia"/>
                <w:color w:val="000000"/>
                <w:szCs w:val="21"/>
              </w:rPr>
              <w:t>36.9</w:t>
            </w:r>
          </w:p>
        </w:tc>
        <w:tc>
          <w:tcPr>
            <w:tcW w:w="1510"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520899A7">
            <w:pPr>
              <w:rPr>
                <w:color w:val="000000"/>
                <w:szCs w:val="21"/>
              </w:rPr>
            </w:pPr>
          </w:p>
        </w:tc>
      </w:tr>
      <w:tr w14:paraId="020C53B5">
        <w:tblPrEx>
          <w:tblCellMar>
            <w:top w:w="0" w:type="dxa"/>
            <w:left w:w="108" w:type="dxa"/>
            <w:bottom w:w="0" w:type="dxa"/>
            <w:right w:w="108" w:type="dxa"/>
          </w:tblCellMar>
        </w:tblPrEx>
        <w:trPr>
          <w:trHeight w:val="349" w:hRule="atLeast"/>
        </w:trPr>
        <w:tc>
          <w:tcPr>
            <w:tcW w:w="749"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663EC998">
            <w:pPr>
              <w:jc w:val="center"/>
              <w:rPr>
                <w:rFonts w:hint="eastAsia"/>
                <w:color w:val="000000"/>
                <w:szCs w:val="21"/>
              </w:rPr>
            </w:pPr>
            <w:r>
              <w:rPr>
                <w:rFonts w:hint="eastAsia"/>
                <w:color w:val="000000"/>
                <w:szCs w:val="21"/>
              </w:rPr>
              <w:t>9</w:t>
            </w:r>
          </w:p>
        </w:tc>
        <w:tc>
          <w:tcPr>
            <w:tcW w:w="2724"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302366A0">
            <w:pPr>
              <w:jc w:val="center"/>
              <w:rPr>
                <w:color w:val="000000"/>
                <w:szCs w:val="21"/>
              </w:rPr>
            </w:pPr>
            <w:r>
              <w:rPr>
                <w:rFonts w:hint="eastAsia"/>
                <w:color w:val="000000"/>
                <w:szCs w:val="21"/>
              </w:rPr>
              <w:t>机动车停车位</w:t>
            </w:r>
          </w:p>
        </w:tc>
        <w:tc>
          <w:tcPr>
            <w:tcW w:w="713"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78E33F36">
            <w:pPr>
              <w:jc w:val="center"/>
              <w:rPr>
                <w:color w:val="000000"/>
                <w:szCs w:val="21"/>
              </w:rPr>
            </w:pPr>
            <w:r>
              <w:rPr>
                <w:rFonts w:hint="eastAsia"/>
                <w:color w:val="000000"/>
                <w:szCs w:val="21"/>
              </w:rPr>
              <w:t>个</w:t>
            </w:r>
          </w:p>
        </w:tc>
        <w:tc>
          <w:tcPr>
            <w:tcW w:w="3044"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0F9AB075">
            <w:pPr>
              <w:jc w:val="center"/>
              <w:rPr>
                <w:color w:val="000000"/>
                <w:szCs w:val="21"/>
              </w:rPr>
            </w:pPr>
            <w:r>
              <w:rPr>
                <w:rFonts w:hint="eastAsia"/>
                <w:color w:val="000000"/>
                <w:szCs w:val="21"/>
              </w:rPr>
              <w:t>200</w:t>
            </w:r>
          </w:p>
        </w:tc>
        <w:tc>
          <w:tcPr>
            <w:tcW w:w="1510"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544F544C">
            <w:pPr>
              <w:rPr>
                <w:color w:val="000000"/>
                <w:szCs w:val="21"/>
              </w:rPr>
            </w:pPr>
            <w:r>
              <w:rPr>
                <w:rFonts w:hint="eastAsia"/>
                <w:color w:val="000000"/>
                <w:szCs w:val="21"/>
              </w:rPr>
              <w:t>（地上85/地下115）</w:t>
            </w:r>
          </w:p>
        </w:tc>
      </w:tr>
      <w:tr w14:paraId="098A41E8">
        <w:tblPrEx>
          <w:tblCellMar>
            <w:top w:w="0" w:type="dxa"/>
            <w:left w:w="108" w:type="dxa"/>
            <w:bottom w:w="0" w:type="dxa"/>
            <w:right w:w="108" w:type="dxa"/>
          </w:tblCellMar>
        </w:tblPrEx>
        <w:trPr>
          <w:trHeight w:val="349" w:hRule="atLeast"/>
        </w:trPr>
        <w:tc>
          <w:tcPr>
            <w:tcW w:w="749"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5438024B">
            <w:pPr>
              <w:jc w:val="center"/>
              <w:rPr>
                <w:rFonts w:hint="eastAsia"/>
                <w:color w:val="000000"/>
                <w:szCs w:val="21"/>
              </w:rPr>
            </w:pPr>
            <w:r>
              <w:rPr>
                <w:rFonts w:hint="eastAsia"/>
                <w:color w:val="000000"/>
                <w:szCs w:val="21"/>
              </w:rPr>
              <w:t>10</w:t>
            </w:r>
          </w:p>
        </w:tc>
        <w:tc>
          <w:tcPr>
            <w:tcW w:w="2724"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57096BD8">
            <w:pPr>
              <w:jc w:val="center"/>
              <w:rPr>
                <w:rFonts w:hint="eastAsia"/>
                <w:color w:val="000000"/>
                <w:szCs w:val="21"/>
              </w:rPr>
            </w:pPr>
            <w:r>
              <w:rPr>
                <w:rFonts w:hint="eastAsia"/>
                <w:color w:val="000000"/>
                <w:szCs w:val="21"/>
              </w:rPr>
              <w:t>非机动车停车位</w:t>
            </w:r>
          </w:p>
        </w:tc>
        <w:tc>
          <w:tcPr>
            <w:tcW w:w="713"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6AF63EB1">
            <w:pPr>
              <w:jc w:val="center"/>
              <w:rPr>
                <w:rFonts w:hint="eastAsia"/>
                <w:color w:val="000000"/>
                <w:szCs w:val="21"/>
              </w:rPr>
            </w:pPr>
            <w:r>
              <w:rPr>
                <w:rFonts w:hint="eastAsia"/>
                <w:color w:val="000000"/>
                <w:szCs w:val="21"/>
              </w:rPr>
              <w:t>个</w:t>
            </w:r>
          </w:p>
        </w:tc>
        <w:tc>
          <w:tcPr>
            <w:tcW w:w="3044"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7C590C8F">
            <w:pPr>
              <w:jc w:val="center"/>
              <w:rPr>
                <w:rFonts w:hint="eastAsia"/>
                <w:color w:val="000000"/>
                <w:szCs w:val="21"/>
              </w:rPr>
            </w:pPr>
            <w:r>
              <w:rPr>
                <w:rFonts w:hint="eastAsia"/>
                <w:color w:val="000000"/>
                <w:szCs w:val="21"/>
              </w:rPr>
              <w:t>700</w:t>
            </w:r>
          </w:p>
        </w:tc>
        <w:tc>
          <w:tcPr>
            <w:tcW w:w="1510"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5A22ECB2">
            <w:pPr>
              <w:rPr>
                <w:color w:val="000000"/>
                <w:szCs w:val="21"/>
              </w:rPr>
            </w:pPr>
          </w:p>
        </w:tc>
      </w:tr>
      <w:tr w14:paraId="35E564EE">
        <w:tblPrEx>
          <w:tblCellMar>
            <w:top w:w="0" w:type="dxa"/>
            <w:left w:w="108" w:type="dxa"/>
            <w:bottom w:w="0" w:type="dxa"/>
            <w:right w:w="108" w:type="dxa"/>
          </w:tblCellMar>
        </w:tblPrEx>
        <w:trPr>
          <w:trHeight w:val="349" w:hRule="atLeast"/>
        </w:trPr>
        <w:tc>
          <w:tcPr>
            <w:tcW w:w="749"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5B1C8348">
            <w:pPr>
              <w:jc w:val="center"/>
              <w:rPr>
                <w:color w:val="000000"/>
                <w:szCs w:val="21"/>
              </w:rPr>
            </w:pPr>
            <w:r>
              <w:rPr>
                <w:rFonts w:hint="eastAsia"/>
                <w:color w:val="000000"/>
                <w:szCs w:val="21"/>
              </w:rPr>
              <w:t>11</w:t>
            </w:r>
          </w:p>
        </w:tc>
        <w:tc>
          <w:tcPr>
            <w:tcW w:w="2724"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7B95E1CA">
            <w:pPr>
              <w:jc w:val="center"/>
              <w:rPr>
                <w:color w:val="000000"/>
                <w:szCs w:val="21"/>
              </w:rPr>
            </w:pPr>
            <w:r>
              <w:rPr>
                <w:rFonts w:hint="eastAsia"/>
                <w:color w:val="000000"/>
                <w:szCs w:val="21"/>
              </w:rPr>
              <w:t>职工总数</w:t>
            </w:r>
          </w:p>
        </w:tc>
        <w:tc>
          <w:tcPr>
            <w:tcW w:w="713"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0BCC9650">
            <w:pPr>
              <w:jc w:val="center"/>
              <w:rPr>
                <w:color w:val="000000"/>
                <w:szCs w:val="21"/>
              </w:rPr>
            </w:pPr>
            <w:r>
              <w:rPr>
                <w:rFonts w:hint="eastAsia"/>
                <w:color w:val="000000"/>
                <w:szCs w:val="21"/>
              </w:rPr>
              <w:t>人</w:t>
            </w:r>
          </w:p>
        </w:tc>
        <w:tc>
          <w:tcPr>
            <w:tcW w:w="3044"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4E6237B5">
            <w:pPr>
              <w:jc w:val="center"/>
              <w:rPr>
                <w:rFonts w:hint="eastAsia"/>
                <w:color w:val="000000"/>
                <w:szCs w:val="21"/>
              </w:rPr>
            </w:pPr>
            <w:r>
              <w:rPr>
                <w:rFonts w:hint="eastAsia"/>
                <w:color w:val="000000"/>
                <w:szCs w:val="21"/>
              </w:rPr>
              <w:t>368</w:t>
            </w:r>
          </w:p>
        </w:tc>
        <w:tc>
          <w:tcPr>
            <w:tcW w:w="1510"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7A939B63">
            <w:pPr>
              <w:rPr>
                <w:color w:val="000000"/>
                <w:szCs w:val="21"/>
              </w:rPr>
            </w:pPr>
          </w:p>
        </w:tc>
      </w:tr>
      <w:tr w14:paraId="28D805D5">
        <w:tblPrEx>
          <w:tblCellMar>
            <w:top w:w="0" w:type="dxa"/>
            <w:left w:w="108" w:type="dxa"/>
            <w:bottom w:w="0" w:type="dxa"/>
            <w:right w:w="108" w:type="dxa"/>
          </w:tblCellMar>
        </w:tblPrEx>
        <w:trPr>
          <w:trHeight w:val="383" w:hRule="atLeast"/>
        </w:trPr>
        <w:tc>
          <w:tcPr>
            <w:tcW w:w="749"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04372E60">
            <w:pPr>
              <w:jc w:val="center"/>
              <w:rPr>
                <w:rFonts w:hint="eastAsia"/>
                <w:color w:val="000000"/>
                <w:szCs w:val="21"/>
              </w:rPr>
            </w:pPr>
            <w:r>
              <w:rPr>
                <w:color w:val="000000"/>
                <w:szCs w:val="21"/>
              </w:rPr>
              <w:t>1</w:t>
            </w:r>
            <w:r>
              <w:rPr>
                <w:rFonts w:hint="eastAsia"/>
                <w:color w:val="000000"/>
                <w:szCs w:val="21"/>
              </w:rPr>
              <w:t>2</w:t>
            </w:r>
          </w:p>
        </w:tc>
        <w:tc>
          <w:tcPr>
            <w:tcW w:w="2724"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50EE48EA">
            <w:pPr>
              <w:jc w:val="center"/>
              <w:rPr>
                <w:color w:val="000000"/>
                <w:szCs w:val="21"/>
              </w:rPr>
            </w:pPr>
            <w:r>
              <w:rPr>
                <w:rFonts w:hint="eastAsia"/>
                <w:color w:val="000000"/>
                <w:szCs w:val="21"/>
              </w:rPr>
              <w:t>总投资</w:t>
            </w:r>
          </w:p>
        </w:tc>
        <w:tc>
          <w:tcPr>
            <w:tcW w:w="713"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2639CE46">
            <w:pPr>
              <w:jc w:val="center"/>
              <w:rPr>
                <w:color w:val="000000"/>
                <w:szCs w:val="21"/>
              </w:rPr>
            </w:pPr>
            <w:r>
              <w:rPr>
                <w:rFonts w:hint="eastAsia"/>
                <w:color w:val="000000"/>
                <w:szCs w:val="21"/>
              </w:rPr>
              <w:t>万元</w:t>
            </w:r>
          </w:p>
        </w:tc>
        <w:tc>
          <w:tcPr>
            <w:tcW w:w="3044"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42CC7CDB">
            <w:pPr>
              <w:jc w:val="center"/>
              <w:rPr>
                <w:color w:val="000000"/>
                <w:szCs w:val="21"/>
              </w:rPr>
            </w:pPr>
            <w:r>
              <w:rPr>
                <w:rFonts w:hint="eastAsia"/>
                <w:color w:val="000000"/>
                <w:szCs w:val="21"/>
              </w:rPr>
              <w:t>27000</w:t>
            </w:r>
          </w:p>
        </w:tc>
        <w:tc>
          <w:tcPr>
            <w:tcW w:w="1510" w:type="dxa"/>
            <w:tcBorders>
              <w:top w:val="single" w:color="000000" w:sz="6" w:space="0"/>
              <w:left w:val="single" w:color="000000" w:sz="6" w:space="0"/>
              <w:bottom w:val="single" w:color="000000" w:sz="6" w:space="0"/>
              <w:right w:val="single" w:color="000000" w:sz="6" w:space="0"/>
            </w:tcBorders>
            <w:shd w:val="clear" w:color="auto" w:fill="FFFFFF"/>
            <w:noWrap w:val="0"/>
            <w:vAlign w:val="center"/>
          </w:tcPr>
          <w:p w14:paraId="2B2C407D">
            <w:pPr>
              <w:rPr>
                <w:color w:val="000000"/>
                <w:szCs w:val="21"/>
              </w:rPr>
            </w:pPr>
          </w:p>
        </w:tc>
      </w:tr>
    </w:tbl>
    <w:p w14:paraId="027C33DB">
      <w:pPr>
        <w:pStyle w:val="183"/>
        <w:ind w:firstLine="472"/>
        <w:rPr>
          <w:rFonts w:hint="eastAsia" w:eastAsia="仿宋_GB2312"/>
          <w:color w:val="000000"/>
          <w:sz w:val="24"/>
          <w:szCs w:val="24"/>
        </w:rPr>
      </w:pPr>
      <w:bookmarkStart w:id="126" w:name="_Toc217711309"/>
      <w:bookmarkEnd w:id="126"/>
      <w:bookmarkStart w:id="127" w:name="_Toc495500044"/>
      <w:r>
        <w:rPr>
          <w:rFonts w:eastAsia="仿宋_GB2312"/>
          <w:color w:val="000000"/>
          <w:sz w:val="24"/>
          <w:szCs w:val="24"/>
        </w:rPr>
        <w:t>2.</w:t>
      </w:r>
      <w:r>
        <w:rPr>
          <w:rFonts w:hint="eastAsia" w:eastAsia="仿宋_GB2312"/>
          <w:color w:val="000000"/>
          <w:sz w:val="24"/>
          <w:szCs w:val="24"/>
        </w:rPr>
        <w:t>2.3公辅设施</w:t>
      </w:r>
      <w:bookmarkEnd w:id="127"/>
    </w:p>
    <w:p w14:paraId="46A4DBC1">
      <w:pPr>
        <w:spacing w:line="480" w:lineRule="exact"/>
        <w:ind w:firstLine="482"/>
        <w:rPr>
          <w:b/>
          <w:color w:val="000000"/>
          <w:sz w:val="24"/>
        </w:rPr>
      </w:pPr>
      <w:r>
        <w:rPr>
          <w:b/>
          <w:color w:val="000000"/>
          <w:sz w:val="24"/>
        </w:rPr>
        <w:t>1、供配电系统</w:t>
      </w:r>
    </w:p>
    <w:p w14:paraId="3FB95A76">
      <w:pPr>
        <w:pStyle w:val="201"/>
        <w:spacing w:line="480" w:lineRule="exact"/>
        <w:ind w:firstLine="480"/>
        <w:rPr>
          <w:rFonts w:ascii="Times New Roman" w:hAnsi="Times New Roman"/>
          <w:color w:val="000000"/>
          <w:sz w:val="24"/>
        </w:rPr>
      </w:pPr>
      <w:r>
        <w:rPr>
          <w:rFonts w:hint="eastAsia" w:ascii="Times New Roman" w:hAnsi="宋体"/>
          <w:color w:val="000000"/>
          <w:sz w:val="24"/>
        </w:rPr>
        <w:t>项目</w:t>
      </w:r>
      <w:r>
        <w:rPr>
          <w:rFonts w:ascii="Times New Roman" w:hAnsi="宋体"/>
          <w:color w:val="000000"/>
          <w:sz w:val="24"/>
        </w:rPr>
        <w:t>手术室、消防控制室、柴油发电机房、消防负荷、血库、高低压配电室、走道照明、应急疏散照明均属一级负荷，</w:t>
      </w:r>
      <w:r>
        <w:rPr>
          <w:rFonts w:ascii="Times New Roman" w:hAnsi="Times New Roman"/>
          <w:color w:val="000000"/>
          <w:sz w:val="24"/>
        </w:rPr>
        <w:t>X</w:t>
      </w:r>
      <w:r>
        <w:rPr>
          <w:rFonts w:ascii="Times New Roman" w:hAnsi="宋体"/>
          <w:color w:val="000000"/>
          <w:sz w:val="24"/>
        </w:rPr>
        <w:t>光机、</w:t>
      </w:r>
      <w:r>
        <w:rPr>
          <w:rFonts w:ascii="Times New Roman" w:hAnsi="Times New Roman"/>
          <w:color w:val="000000"/>
          <w:sz w:val="24"/>
        </w:rPr>
        <w:t>CT</w:t>
      </w:r>
      <w:r>
        <w:rPr>
          <w:rFonts w:ascii="Times New Roman" w:hAnsi="宋体"/>
          <w:color w:val="000000"/>
          <w:sz w:val="24"/>
        </w:rPr>
        <w:t>、病床梯属二级负荷，其余均属三级负荷。本工程拟采用市电</w:t>
      </w:r>
      <w:r>
        <w:rPr>
          <w:rFonts w:ascii="Times New Roman" w:hAnsi="Times New Roman"/>
          <w:color w:val="000000"/>
          <w:sz w:val="24"/>
        </w:rPr>
        <w:t>10KV</w:t>
      </w:r>
      <w:r>
        <w:rPr>
          <w:rFonts w:ascii="Times New Roman" w:hAnsi="宋体"/>
          <w:color w:val="000000"/>
          <w:sz w:val="24"/>
        </w:rPr>
        <w:t>双回路高压电缆供电，并自备一台</w:t>
      </w:r>
      <w:r>
        <w:rPr>
          <w:rFonts w:ascii="Times New Roman" w:hAnsi="Times New Roman"/>
          <w:color w:val="000000"/>
          <w:sz w:val="24"/>
        </w:rPr>
        <w:t>250kW</w:t>
      </w:r>
      <w:r>
        <w:rPr>
          <w:rFonts w:ascii="Times New Roman" w:hAnsi="宋体"/>
          <w:color w:val="000000"/>
          <w:sz w:val="24"/>
        </w:rPr>
        <w:t>柴油发电机组作为备用电源。</w:t>
      </w:r>
      <w:r>
        <w:rPr>
          <w:rFonts w:ascii="Times New Roman" w:hAnsi="Times New Roman"/>
          <w:color w:val="000000"/>
          <w:sz w:val="24"/>
        </w:rPr>
        <w:t>10KV</w:t>
      </w:r>
      <w:r>
        <w:rPr>
          <w:rFonts w:ascii="Times New Roman" w:hAnsi="宋体"/>
          <w:color w:val="000000"/>
          <w:sz w:val="24"/>
        </w:rPr>
        <w:t>电源采用交联电力电缆埋地引入配电室。对一、二级用电负荷采用一路独立电源</w:t>
      </w:r>
      <w:r>
        <w:rPr>
          <w:rFonts w:ascii="Times New Roman" w:hAnsi="Times New Roman"/>
          <w:color w:val="000000"/>
          <w:sz w:val="24"/>
        </w:rPr>
        <w:t>+</w:t>
      </w:r>
      <w:r>
        <w:rPr>
          <w:rFonts w:ascii="Times New Roman" w:hAnsi="宋体"/>
          <w:color w:val="000000"/>
          <w:sz w:val="24"/>
        </w:rPr>
        <w:t>应急电源（柴油发电机）供电；对三级负荷则采用单回路电源供电。配电机房位于</w:t>
      </w:r>
      <w:r>
        <w:rPr>
          <w:rFonts w:hint="eastAsia" w:ascii="Times New Roman" w:hAnsi="宋体"/>
          <w:color w:val="000000"/>
          <w:sz w:val="24"/>
        </w:rPr>
        <w:t>门诊</w:t>
      </w:r>
      <w:r>
        <w:rPr>
          <w:rFonts w:ascii="Times New Roman" w:hAnsi="宋体"/>
          <w:color w:val="000000"/>
          <w:sz w:val="24"/>
        </w:rPr>
        <w:t>综合楼底层。</w:t>
      </w:r>
    </w:p>
    <w:p w14:paraId="665ACE0F">
      <w:pPr>
        <w:spacing w:line="480" w:lineRule="exact"/>
        <w:ind w:firstLine="482"/>
        <w:rPr>
          <w:b/>
          <w:color w:val="000000"/>
          <w:sz w:val="24"/>
        </w:rPr>
      </w:pPr>
      <w:r>
        <w:rPr>
          <w:b/>
          <w:color w:val="000000"/>
          <w:sz w:val="24"/>
        </w:rPr>
        <w:t>2、给排水设施</w:t>
      </w:r>
    </w:p>
    <w:p w14:paraId="18B7FA10">
      <w:pPr>
        <w:spacing w:line="480" w:lineRule="exact"/>
        <w:ind w:firstLine="480"/>
        <w:rPr>
          <w:rFonts w:hint="eastAsia"/>
          <w:color w:val="000000"/>
          <w:sz w:val="24"/>
        </w:rPr>
      </w:pPr>
      <w:r>
        <w:rPr>
          <w:color w:val="000000"/>
          <w:sz w:val="24"/>
        </w:rPr>
        <w:t>(1)</w:t>
      </w:r>
      <w:r>
        <w:rPr>
          <w:rFonts w:hAnsi="宋体"/>
          <w:color w:val="000000"/>
          <w:sz w:val="24"/>
        </w:rPr>
        <w:t>给水系</w:t>
      </w:r>
      <w:r>
        <w:rPr>
          <w:color w:val="000000"/>
          <w:sz w:val="24"/>
        </w:rPr>
        <w:t>统</w:t>
      </w:r>
    </w:p>
    <w:p w14:paraId="217E5B0B">
      <w:pPr>
        <w:spacing w:line="480" w:lineRule="exact"/>
        <w:ind w:firstLine="480"/>
        <w:rPr>
          <w:color w:val="000000"/>
          <w:sz w:val="24"/>
        </w:rPr>
      </w:pPr>
      <w:r>
        <w:rPr>
          <w:rFonts w:hAnsi="宋体"/>
          <w:color w:val="000000"/>
          <w:sz w:val="24"/>
        </w:rPr>
        <w:t>①市政给水水源：由市政给水干管引入</w:t>
      </w:r>
      <w:r>
        <w:rPr>
          <w:color w:val="000000"/>
          <w:sz w:val="24"/>
        </w:rPr>
        <w:t>DN150</w:t>
      </w:r>
      <w:r>
        <w:rPr>
          <w:rFonts w:hAnsi="宋体"/>
          <w:color w:val="000000"/>
          <w:sz w:val="24"/>
        </w:rPr>
        <w:t>给水管（水压约</w:t>
      </w:r>
      <w:r>
        <w:rPr>
          <w:color w:val="000000"/>
          <w:sz w:val="24"/>
        </w:rPr>
        <w:t>0.20MPa</w:t>
      </w:r>
      <w:r>
        <w:rPr>
          <w:rFonts w:hAnsi="宋体"/>
          <w:color w:val="000000"/>
          <w:sz w:val="24"/>
        </w:rPr>
        <w:t>）供至水泵房二次加压调节水箱，采用变频恒压泵供水。</w:t>
      </w:r>
    </w:p>
    <w:p w14:paraId="7983A825">
      <w:pPr>
        <w:spacing w:line="480" w:lineRule="exact"/>
        <w:ind w:firstLine="480"/>
        <w:rPr>
          <w:color w:val="000000"/>
          <w:sz w:val="24"/>
        </w:rPr>
      </w:pPr>
      <w:r>
        <w:rPr>
          <w:rFonts w:hAnsi="宋体"/>
          <w:color w:val="000000"/>
          <w:sz w:val="24"/>
        </w:rPr>
        <w:t>②室外生活给水系统：室外采用生活用水与室外消防用水合用管道系统。</w:t>
      </w:r>
    </w:p>
    <w:p w14:paraId="48514967">
      <w:pPr>
        <w:spacing w:line="480" w:lineRule="exact"/>
        <w:ind w:firstLine="480"/>
        <w:rPr>
          <w:color w:val="000000"/>
          <w:sz w:val="24"/>
        </w:rPr>
      </w:pPr>
      <w:r>
        <w:rPr>
          <w:rFonts w:hAnsi="宋体"/>
          <w:color w:val="000000"/>
          <w:sz w:val="24"/>
        </w:rPr>
        <w:t>③室内生活给水系统：给水系统采用竖向分区方式控制，最不利处用水器具处的静水压不超过</w:t>
      </w:r>
      <w:r>
        <w:rPr>
          <w:color w:val="000000"/>
          <w:sz w:val="24"/>
        </w:rPr>
        <w:t>0.50MPa</w:t>
      </w:r>
      <w:r>
        <w:rPr>
          <w:rFonts w:hAnsi="宋体"/>
          <w:color w:val="000000"/>
          <w:sz w:val="24"/>
        </w:rPr>
        <w:t>，入户管水压大于</w:t>
      </w:r>
      <w:r>
        <w:rPr>
          <w:color w:val="000000"/>
          <w:sz w:val="24"/>
        </w:rPr>
        <w:t>0.35MPa</w:t>
      </w:r>
      <w:r>
        <w:rPr>
          <w:rFonts w:hAnsi="宋体"/>
          <w:color w:val="000000"/>
          <w:sz w:val="24"/>
        </w:rPr>
        <w:t>者设减压阀。不仅可节约用水而且增加使用舒适感。生活给水二次加压水泵采用恒压变量变频调速泵组。</w:t>
      </w:r>
    </w:p>
    <w:p w14:paraId="3FDF0463">
      <w:pPr>
        <w:spacing w:line="480" w:lineRule="exact"/>
        <w:ind w:firstLine="480"/>
        <w:rPr>
          <w:color w:val="000000"/>
          <w:sz w:val="24"/>
        </w:rPr>
      </w:pPr>
      <w:r>
        <w:rPr>
          <w:rFonts w:hAnsi="宋体"/>
          <w:color w:val="000000"/>
          <w:sz w:val="24"/>
        </w:rPr>
        <w:t>④热水供应系统：本工程的住院病房、手术室等部位需设置热水供应。为节约能源，设计拟采用屋面太阳能结合屋面空气源热泵联合加热的方式供给生活热水。</w:t>
      </w:r>
    </w:p>
    <w:p w14:paraId="5C2992FF">
      <w:pPr>
        <w:spacing w:line="480" w:lineRule="exact"/>
        <w:ind w:firstLine="480"/>
        <w:rPr>
          <w:color w:val="000000"/>
          <w:sz w:val="24"/>
        </w:rPr>
      </w:pPr>
      <w:r>
        <w:rPr>
          <w:color w:val="000000"/>
          <w:sz w:val="24"/>
        </w:rPr>
        <w:t>(2)</w:t>
      </w:r>
      <w:r>
        <w:rPr>
          <w:rFonts w:hAnsi="宋体"/>
          <w:color w:val="000000"/>
          <w:sz w:val="24"/>
        </w:rPr>
        <w:t>排水系统</w:t>
      </w:r>
    </w:p>
    <w:p w14:paraId="153387D7">
      <w:pPr>
        <w:spacing w:line="480" w:lineRule="exact"/>
        <w:ind w:firstLine="480"/>
        <w:rPr>
          <w:rFonts w:hint="eastAsia"/>
          <w:color w:val="000000"/>
          <w:sz w:val="24"/>
        </w:rPr>
      </w:pPr>
      <w:bookmarkStart w:id="128" w:name="_Toc257038684"/>
      <w:r>
        <w:rPr>
          <w:rFonts w:hAnsi="宋体"/>
          <w:color w:val="000000"/>
          <w:sz w:val="24"/>
        </w:rPr>
        <w:t>项目排水采取雨污分流制</w:t>
      </w:r>
    </w:p>
    <w:p w14:paraId="01CB48DB">
      <w:pPr>
        <w:pStyle w:val="313"/>
        <w:spacing w:line="480" w:lineRule="exact"/>
        <w:rPr>
          <w:rFonts w:ascii="Times New Roman" w:hAnsi="Times New Roman" w:eastAsia="宋体"/>
          <w:color w:val="000000"/>
          <w:szCs w:val="24"/>
        </w:rPr>
      </w:pPr>
      <w:r>
        <w:rPr>
          <w:rFonts w:ascii="Times New Roman" w:eastAsia="宋体"/>
          <w:color w:val="000000"/>
          <w:szCs w:val="24"/>
        </w:rPr>
        <w:t>雨水排入市政雨水管网；生活污水、医疗废水汇集并经化粪池初步处理后，进入医院设置的污水处理站处理，各指标达到国家相关排放标准后，排入市政污水管网。最终送</w:t>
      </w:r>
      <w:r>
        <w:rPr>
          <w:rFonts w:hint="eastAsia" w:ascii="Times New Roman" w:eastAsia="宋体"/>
          <w:color w:val="000000"/>
          <w:szCs w:val="24"/>
        </w:rPr>
        <w:t>芒市</w:t>
      </w:r>
      <w:r>
        <w:rPr>
          <w:rFonts w:ascii="Times New Roman" w:eastAsia="宋体"/>
          <w:color w:val="000000"/>
          <w:szCs w:val="24"/>
        </w:rPr>
        <w:t>污水处理厂集中处理。</w:t>
      </w:r>
    </w:p>
    <w:p w14:paraId="7670F636">
      <w:pPr>
        <w:spacing w:line="480" w:lineRule="exact"/>
        <w:ind w:firstLine="482"/>
        <w:rPr>
          <w:b/>
          <w:color w:val="000000"/>
          <w:sz w:val="24"/>
        </w:rPr>
      </w:pPr>
      <w:r>
        <w:rPr>
          <w:b/>
          <w:color w:val="000000"/>
          <w:sz w:val="24"/>
        </w:rPr>
        <w:t>3、电气系统</w:t>
      </w:r>
      <w:bookmarkEnd w:id="128"/>
    </w:p>
    <w:p w14:paraId="7E993FDC">
      <w:pPr>
        <w:spacing w:line="480" w:lineRule="exact"/>
        <w:ind w:firstLine="480"/>
        <w:rPr>
          <w:color w:val="000000"/>
          <w:sz w:val="24"/>
        </w:rPr>
      </w:pPr>
      <w:r>
        <w:rPr>
          <w:rFonts w:hAnsi="宋体"/>
          <w:color w:val="000000"/>
          <w:sz w:val="24"/>
        </w:rPr>
        <w:t>（</w:t>
      </w:r>
      <w:r>
        <w:rPr>
          <w:color w:val="000000"/>
          <w:sz w:val="24"/>
        </w:rPr>
        <w:t>1</w:t>
      </w:r>
      <w:r>
        <w:rPr>
          <w:rFonts w:hAnsi="宋体"/>
          <w:color w:val="000000"/>
          <w:sz w:val="24"/>
        </w:rPr>
        <w:t>）强电系统</w:t>
      </w:r>
    </w:p>
    <w:p w14:paraId="4237AA51">
      <w:pPr>
        <w:spacing w:line="480" w:lineRule="exact"/>
        <w:ind w:firstLine="480"/>
        <w:rPr>
          <w:color w:val="000000"/>
          <w:sz w:val="24"/>
        </w:rPr>
      </w:pPr>
      <w:r>
        <w:rPr>
          <w:rFonts w:hAnsi="宋体"/>
          <w:color w:val="000000"/>
          <w:sz w:val="24"/>
        </w:rPr>
        <w:t>设置一台安装容量为</w:t>
      </w:r>
      <w:r>
        <w:rPr>
          <w:color w:val="000000"/>
          <w:sz w:val="24"/>
        </w:rPr>
        <w:t>1000kVA</w:t>
      </w:r>
      <w:r>
        <w:rPr>
          <w:rFonts w:hAnsi="宋体"/>
          <w:color w:val="000000"/>
          <w:sz w:val="24"/>
        </w:rPr>
        <w:t>的干式变压器供电，负载率</w:t>
      </w:r>
      <w:r>
        <w:rPr>
          <w:color w:val="000000"/>
          <w:sz w:val="24"/>
        </w:rPr>
        <w:t>77.1%</w:t>
      </w:r>
      <w:r>
        <w:rPr>
          <w:rFonts w:hAnsi="宋体"/>
          <w:color w:val="000000"/>
          <w:sz w:val="24"/>
        </w:rPr>
        <w:t>，接线组别</w:t>
      </w:r>
      <w:r>
        <w:rPr>
          <w:color w:val="000000"/>
          <w:sz w:val="24"/>
        </w:rPr>
        <w:t>D,yn11</w:t>
      </w:r>
      <w:r>
        <w:rPr>
          <w:rFonts w:hAnsi="宋体"/>
          <w:color w:val="000000"/>
          <w:sz w:val="24"/>
        </w:rPr>
        <w:t>。</w:t>
      </w:r>
      <w:r>
        <w:rPr>
          <w:color w:val="000000"/>
          <w:sz w:val="24"/>
        </w:rPr>
        <w:t>本工程低压配电系统采用单母线分段供电，设置分段联络开关。重要负荷采用放射式配电系统，一般负荷采用放射式链式混合供电方案。消防、应急疏散照明及所有的一类负荷均在末级设置双电源自动切换装置，以确保供电不间断。</w:t>
      </w:r>
    </w:p>
    <w:p w14:paraId="19E6083B">
      <w:pPr>
        <w:spacing w:line="480" w:lineRule="exact"/>
        <w:ind w:firstLine="480"/>
        <w:rPr>
          <w:color w:val="000000"/>
          <w:sz w:val="24"/>
        </w:rPr>
      </w:pPr>
      <w:r>
        <w:rPr>
          <w:rFonts w:hAnsi="宋体"/>
          <w:color w:val="000000"/>
          <w:sz w:val="24"/>
        </w:rPr>
        <w:t>（</w:t>
      </w:r>
      <w:r>
        <w:rPr>
          <w:color w:val="000000"/>
          <w:sz w:val="24"/>
        </w:rPr>
        <w:t>2</w:t>
      </w:r>
      <w:r>
        <w:rPr>
          <w:rFonts w:hAnsi="宋体"/>
          <w:color w:val="000000"/>
          <w:sz w:val="24"/>
        </w:rPr>
        <w:t>）弱电系统</w:t>
      </w:r>
    </w:p>
    <w:p w14:paraId="29BED07B">
      <w:pPr>
        <w:spacing w:line="480" w:lineRule="exact"/>
        <w:ind w:firstLine="480"/>
        <w:rPr>
          <w:color w:val="000000"/>
          <w:sz w:val="24"/>
        </w:rPr>
      </w:pPr>
      <w:r>
        <w:rPr>
          <w:rFonts w:hAnsi="宋体"/>
          <w:color w:val="000000"/>
          <w:sz w:val="24"/>
        </w:rPr>
        <w:t>弱</w:t>
      </w:r>
      <w:r>
        <w:rPr>
          <w:rFonts w:hint="eastAsia" w:hAnsi="宋体"/>
          <w:color w:val="000000"/>
          <w:sz w:val="24"/>
        </w:rPr>
        <w:t>电系</w:t>
      </w:r>
      <w:r>
        <w:rPr>
          <w:rFonts w:hAnsi="宋体"/>
          <w:color w:val="000000"/>
          <w:sz w:val="24"/>
        </w:rPr>
        <w:t>统包括火灾自动报警系统、综合布线系统、</w:t>
      </w:r>
      <w:r>
        <w:rPr>
          <w:color w:val="000000"/>
          <w:sz w:val="24"/>
        </w:rPr>
        <w:t>CCTV</w:t>
      </w:r>
      <w:r>
        <w:rPr>
          <w:rFonts w:hAnsi="宋体"/>
          <w:color w:val="000000"/>
          <w:sz w:val="24"/>
        </w:rPr>
        <w:t>闭路电视监控系统、</w:t>
      </w:r>
      <w:r>
        <w:rPr>
          <w:color w:val="000000"/>
          <w:sz w:val="24"/>
        </w:rPr>
        <w:t>CATV</w:t>
      </w:r>
      <w:r>
        <w:rPr>
          <w:rFonts w:hAnsi="宋体"/>
          <w:color w:val="000000"/>
          <w:sz w:val="24"/>
        </w:rPr>
        <w:t>有线电视系统、病房呼叫系统及</w:t>
      </w:r>
      <w:r>
        <w:rPr>
          <w:color w:val="000000"/>
          <w:sz w:val="24"/>
        </w:rPr>
        <w:t>LED</w:t>
      </w:r>
      <w:r>
        <w:rPr>
          <w:rFonts w:hAnsi="宋体"/>
          <w:color w:val="000000"/>
          <w:sz w:val="24"/>
        </w:rPr>
        <w:t>显示系统等。</w:t>
      </w:r>
    </w:p>
    <w:p w14:paraId="40AF2296">
      <w:pPr>
        <w:spacing w:line="480" w:lineRule="exact"/>
        <w:ind w:firstLine="482"/>
        <w:rPr>
          <w:b/>
          <w:color w:val="000000"/>
          <w:sz w:val="24"/>
        </w:rPr>
      </w:pPr>
      <w:bookmarkStart w:id="129" w:name="_Toc242791909"/>
      <w:r>
        <w:rPr>
          <w:b/>
          <w:color w:val="000000"/>
          <w:sz w:val="24"/>
        </w:rPr>
        <w:t>4、</w:t>
      </w:r>
      <w:bookmarkEnd w:id="129"/>
      <w:r>
        <w:rPr>
          <w:b/>
          <w:color w:val="000000"/>
          <w:sz w:val="24"/>
        </w:rPr>
        <w:t>消防设施</w:t>
      </w:r>
    </w:p>
    <w:p w14:paraId="4031538D">
      <w:pPr>
        <w:spacing w:line="360" w:lineRule="auto"/>
        <w:ind w:firstLine="480"/>
        <w:rPr>
          <w:rFonts w:hint="eastAsia" w:ascii="宋体" w:hAnsi="宋体"/>
          <w:color w:val="000000"/>
          <w:sz w:val="24"/>
        </w:rPr>
      </w:pPr>
      <w:r>
        <w:rPr>
          <w:rFonts w:hint="eastAsia" w:ascii="宋体" w:hAnsi="宋体"/>
          <w:color w:val="000000"/>
          <w:sz w:val="24"/>
        </w:rPr>
        <w:t>根据《建筑设计防火规范》（</w:t>
      </w:r>
      <w:r>
        <w:rPr>
          <w:rFonts w:ascii="宋体" w:hAnsi="宋体"/>
          <w:color w:val="000000"/>
          <w:sz w:val="24"/>
        </w:rPr>
        <w:t>GB50016-2006</w:t>
      </w:r>
      <w:r>
        <w:rPr>
          <w:rFonts w:hint="eastAsia" w:ascii="宋体" w:hAnsi="宋体"/>
          <w:color w:val="000000"/>
          <w:sz w:val="24"/>
        </w:rPr>
        <w:t>）及《建筑灭火器配置设计规范》（GB50140-2005）的规定，该医院同时火灾次数为一次，消防用水量以需水量最大的一座建筑物计，须设置室内，室外消火栓系统，并按规范要求配置灭火器。</w:t>
      </w:r>
    </w:p>
    <w:p w14:paraId="41B91732">
      <w:pPr>
        <w:spacing w:line="360" w:lineRule="auto"/>
        <w:ind w:firstLine="480"/>
        <w:rPr>
          <w:rFonts w:hint="eastAsia" w:ascii="宋体" w:hAnsi="宋体"/>
          <w:color w:val="000000"/>
          <w:sz w:val="24"/>
        </w:rPr>
      </w:pPr>
      <w:r>
        <w:rPr>
          <w:rFonts w:hint="eastAsia" w:ascii="宋体" w:hAnsi="宋体"/>
          <w:color w:val="000000"/>
          <w:sz w:val="24"/>
        </w:rPr>
        <w:t>（1）室外消防设计</w:t>
      </w:r>
    </w:p>
    <w:p w14:paraId="46E78ED3">
      <w:pPr>
        <w:spacing w:line="360" w:lineRule="auto"/>
        <w:ind w:firstLine="480"/>
        <w:rPr>
          <w:rFonts w:hint="eastAsia" w:ascii="宋体" w:hAnsi="宋体"/>
          <w:color w:val="000000"/>
          <w:sz w:val="24"/>
        </w:rPr>
      </w:pPr>
      <w:r>
        <w:rPr>
          <w:rFonts w:hint="eastAsia" w:ascii="宋体" w:hAnsi="宋体"/>
          <w:color w:val="000000"/>
          <w:sz w:val="24"/>
        </w:rPr>
        <w:t>室外消防采用市政给水管网直接供应，市政管网压力满足水量及水压要求。在院区自建市政给水管网上引入两根DN150给水管，并于建筑物周围连成环状，按间距不大于l00m均匀布置DN100室外消火栓，以满足室外消防要求。</w:t>
      </w:r>
    </w:p>
    <w:p w14:paraId="40E1CEA3">
      <w:pPr>
        <w:spacing w:line="360" w:lineRule="auto"/>
        <w:ind w:firstLine="480"/>
        <w:rPr>
          <w:rFonts w:hint="eastAsia" w:ascii="宋体" w:hAnsi="宋体"/>
          <w:color w:val="000000"/>
          <w:sz w:val="24"/>
        </w:rPr>
      </w:pPr>
      <w:r>
        <w:rPr>
          <w:rFonts w:hint="eastAsia" w:ascii="宋体" w:hAnsi="宋体"/>
          <w:color w:val="000000"/>
          <w:sz w:val="24"/>
        </w:rPr>
        <w:t>（2）室内消防设计</w:t>
      </w:r>
    </w:p>
    <w:p w14:paraId="277C385A">
      <w:pPr>
        <w:spacing w:line="360" w:lineRule="auto"/>
        <w:ind w:firstLine="480"/>
        <w:rPr>
          <w:rFonts w:hint="eastAsia" w:ascii="宋体" w:hAnsi="宋体"/>
          <w:color w:val="000000"/>
          <w:sz w:val="24"/>
        </w:rPr>
      </w:pPr>
      <w:r>
        <w:rPr>
          <w:rFonts w:hint="eastAsia" w:ascii="宋体" w:hAnsi="宋体"/>
          <w:color w:val="000000"/>
          <w:sz w:val="24"/>
        </w:rPr>
        <w:t>采用临时高压给水系统，设置地下消防水池、消防泵、高位消防水箱。消防水箱消防储水量满足火灾前期10min室内消防用水量要求，即9m</w:t>
      </w:r>
      <w:r>
        <w:rPr>
          <w:rFonts w:hint="eastAsia" w:ascii="宋体" w:hAnsi="宋体"/>
          <w:color w:val="000000"/>
          <w:sz w:val="24"/>
          <w:vertAlign w:val="superscript"/>
        </w:rPr>
        <w:t>3</w:t>
      </w:r>
      <w:r>
        <w:rPr>
          <w:rFonts w:hint="eastAsia" w:ascii="宋体" w:hAnsi="宋体"/>
          <w:color w:val="000000"/>
          <w:sz w:val="24"/>
        </w:rPr>
        <w:t>。平时及火灾前期10min由高位消防水箱供水并维持管网压力，火灾时启动消防泵供水，消火栓泵出口压力设计保证室内最不利点消火栓出口处水枪充实水柱不低于7m，消火栓栓口的出水压力不大于0.50MPa。</w:t>
      </w:r>
    </w:p>
    <w:p w14:paraId="5DF3F175">
      <w:pPr>
        <w:spacing w:line="360" w:lineRule="auto"/>
        <w:ind w:firstLine="480"/>
        <w:rPr>
          <w:rFonts w:hint="eastAsia" w:ascii="宋体" w:hAnsi="宋体"/>
          <w:color w:val="000000"/>
          <w:sz w:val="24"/>
        </w:rPr>
      </w:pPr>
      <w:r>
        <w:rPr>
          <w:rFonts w:hint="eastAsia" w:ascii="宋体" w:hAnsi="宋体"/>
          <w:color w:val="000000"/>
          <w:sz w:val="24"/>
        </w:rPr>
        <w:t>（3）消防水池</w:t>
      </w:r>
    </w:p>
    <w:p w14:paraId="1260E734">
      <w:pPr>
        <w:spacing w:line="360" w:lineRule="auto"/>
        <w:ind w:firstLine="480"/>
        <w:rPr>
          <w:rFonts w:hint="eastAsia" w:ascii="宋体" w:hAnsi="宋体"/>
          <w:color w:val="000000"/>
          <w:sz w:val="24"/>
        </w:rPr>
      </w:pPr>
      <w:r>
        <w:rPr>
          <w:rFonts w:hint="eastAsia" w:ascii="宋体" w:hAnsi="宋体"/>
          <w:color w:val="000000"/>
          <w:sz w:val="24"/>
        </w:rPr>
        <w:t>消防水池消防储水容积按满足火灾延续时间两小时室内消火栓用水量的要求设计。</w:t>
      </w:r>
    </w:p>
    <w:p w14:paraId="13B5B85A">
      <w:pPr>
        <w:spacing w:line="360" w:lineRule="auto"/>
        <w:ind w:firstLine="480"/>
        <w:rPr>
          <w:rFonts w:hint="eastAsia" w:ascii="宋体" w:hAnsi="宋体"/>
          <w:color w:val="000000"/>
          <w:sz w:val="24"/>
        </w:rPr>
      </w:pPr>
      <w:r>
        <w:rPr>
          <w:rFonts w:hint="eastAsia" w:ascii="宋体" w:hAnsi="宋体"/>
          <w:color w:val="000000"/>
          <w:sz w:val="24"/>
        </w:rPr>
        <w:t>（4）灭火器配置</w:t>
      </w:r>
    </w:p>
    <w:p w14:paraId="2618A77D">
      <w:pPr>
        <w:spacing w:line="480" w:lineRule="exact"/>
        <w:ind w:firstLine="480"/>
        <w:rPr>
          <w:rFonts w:hint="eastAsia" w:ascii="宋体" w:hAnsi="宋体"/>
          <w:color w:val="000000"/>
          <w:sz w:val="24"/>
        </w:rPr>
      </w:pPr>
      <w:r>
        <w:rPr>
          <w:rFonts w:hint="eastAsia" w:ascii="宋体" w:hAnsi="宋体"/>
          <w:color w:val="000000"/>
          <w:sz w:val="24"/>
        </w:rPr>
        <w:t>各单体均按《建筑灭火器配置设计规范》（GB50140-2005）配置磷酸铵盐干粉灭火器。</w:t>
      </w:r>
    </w:p>
    <w:p w14:paraId="1E7377CF">
      <w:pPr>
        <w:spacing w:line="480" w:lineRule="exact"/>
        <w:ind w:firstLine="482"/>
        <w:rPr>
          <w:b/>
          <w:color w:val="000000"/>
          <w:sz w:val="24"/>
        </w:rPr>
      </w:pPr>
      <w:r>
        <w:rPr>
          <w:rFonts w:hint="eastAsia"/>
          <w:b/>
          <w:color w:val="000000"/>
          <w:sz w:val="24"/>
        </w:rPr>
        <w:t>5</w:t>
      </w:r>
      <w:r>
        <w:rPr>
          <w:b/>
          <w:color w:val="000000"/>
          <w:sz w:val="24"/>
        </w:rPr>
        <w:t>、消毒设置</w:t>
      </w:r>
    </w:p>
    <w:p w14:paraId="3DC354AF">
      <w:pPr>
        <w:spacing w:line="480" w:lineRule="exact"/>
        <w:ind w:firstLine="480"/>
        <w:rPr>
          <w:rFonts w:hint="eastAsia"/>
          <w:color w:val="000000"/>
          <w:sz w:val="24"/>
        </w:rPr>
      </w:pPr>
      <w:r>
        <w:rPr>
          <w:color w:val="000000"/>
          <w:sz w:val="24"/>
        </w:rPr>
        <w:t>手术室：空气净化消毒，外加紫外线消毒；治疗室、抢救室、换药室：紫外线灯消毒；病房内：紫外线灯和来苏液湿拖地面消毒</w:t>
      </w:r>
      <w:r>
        <w:rPr>
          <w:rFonts w:hint="eastAsia"/>
          <w:color w:val="000000"/>
          <w:sz w:val="24"/>
        </w:rPr>
        <w:t>；</w:t>
      </w:r>
      <w:r>
        <w:rPr>
          <w:color w:val="000000"/>
          <w:sz w:val="24"/>
        </w:rPr>
        <w:t>办公室：来苏液湿拖地面消毒；走廊：来苏液湿拖地面消毒；洗衣房</w:t>
      </w:r>
      <w:r>
        <w:rPr>
          <w:rFonts w:hint="eastAsia"/>
          <w:color w:val="000000"/>
          <w:sz w:val="24"/>
        </w:rPr>
        <w:t>地面</w:t>
      </w:r>
      <w:r>
        <w:rPr>
          <w:color w:val="000000"/>
          <w:sz w:val="24"/>
        </w:rPr>
        <w:t>：来苏液消毒</w:t>
      </w:r>
      <w:r>
        <w:rPr>
          <w:rFonts w:hint="eastAsia"/>
          <w:color w:val="000000"/>
          <w:sz w:val="24"/>
        </w:rPr>
        <w:t>；病房床上用品：蒸汽消毒。</w:t>
      </w:r>
    </w:p>
    <w:p w14:paraId="64CCC258">
      <w:pPr>
        <w:pStyle w:val="183"/>
        <w:ind w:firstLine="472"/>
        <w:rPr>
          <w:rFonts w:hint="eastAsia" w:eastAsia="仿宋_GB2312"/>
          <w:color w:val="000000"/>
          <w:sz w:val="24"/>
          <w:szCs w:val="24"/>
        </w:rPr>
      </w:pPr>
      <w:bookmarkStart w:id="130" w:name="_Toc495500045"/>
      <w:r>
        <w:rPr>
          <w:rFonts w:eastAsia="仿宋_GB2312"/>
          <w:color w:val="000000"/>
          <w:sz w:val="24"/>
          <w:szCs w:val="24"/>
        </w:rPr>
        <w:t>2.</w:t>
      </w:r>
      <w:r>
        <w:rPr>
          <w:rFonts w:hint="eastAsia" w:eastAsia="仿宋_GB2312"/>
          <w:color w:val="000000"/>
          <w:sz w:val="24"/>
          <w:szCs w:val="24"/>
        </w:rPr>
        <w:t>2.4</w:t>
      </w:r>
      <w:r>
        <w:rPr>
          <w:rFonts w:eastAsia="仿宋_GB2312"/>
          <w:color w:val="000000"/>
          <w:sz w:val="24"/>
          <w:szCs w:val="24"/>
        </w:rPr>
        <w:t>工程定员和劳动制度</w:t>
      </w:r>
      <w:bookmarkEnd w:id="130"/>
    </w:p>
    <w:p w14:paraId="356EDC7D">
      <w:pPr>
        <w:spacing w:line="360" w:lineRule="auto"/>
        <w:ind w:firstLine="480"/>
        <w:rPr>
          <w:rFonts w:hint="eastAsia"/>
          <w:color w:val="000000"/>
        </w:rPr>
      </w:pPr>
      <w:r>
        <w:rPr>
          <w:color w:val="000000"/>
          <w:sz w:val="24"/>
        </w:rPr>
        <w:t>项目建成后</w:t>
      </w:r>
      <w:r>
        <w:rPr>
          <w:rFonts w:hint="eastAsia"/>
          <w:color w:val="000000"/>
          <w:sz w:val="24"/>
        </w:rPr>
        <w:t>按员工368人计</w:t>
      </w:r>
      <w:r>
        <w:rPr>
          <w:color w:val="000000"/>
          <w:sz w:val="24"/>
        </w:rPr>
        <w:t>，年工作时间365天，实行8小时工作制，夜间设有值班人员。</w:t>
      </w:r>
    </w:p>
    <w:p w14:paraId="152223A5">
      <w:pPr>
        <w:pStyle w:val="183"/>
        <w:ind w:firstLine="472"/>
        <w:rPr>
          <w:rFonts w:eastAsia="仿宋_GB2312"/>
          <w:color w:val="000000"/>
          <w:sz w:val="24"/>
          <w:szCs w:val="24"/>
        </w:rPr>
      </w:pPr>
      <w:bookmarkStart w:id="131" w:name="_Toc495500046"/>
      <w:r>
        <w:rPr>
          <w:rFonts w:eastAsia="仿宋_GB2312"/>
          <w:color w:val="000000"/>
          <w:sz w:val="24"/>
          <w:szCs w:val="24"/>
        </w:rPr>
        <w:t>2.</w:t>
      </w:r>
      <w:r>
        <w:rPr>
          <w:rFonts w:hint="eastAsia" w:eastAsia="仿宋_GB2312"/>
          <w:color w:val="000000"/>
          <w:sz w:val="24"/>
          <w:szCs w:val="24"/>
        </w:rPr>
        <w:t>2.5</w:t>
      </w:r>
      <w:r>
        <w:rPr>
          <w:rFonts w:eastAsia="仿宋_GB2312"/>
          <w:color w:val="000000"/>
          <w:sz w:val="24"/>
          <w:szCs w:val="24"/>
        </w:rPr>
        <w:t>主要生产设备配置</w:t>
      </w:r>
      <w:bookmarkEnd w:id="131"/>
    </w:p>
    <w:p w14:paraId="35B92CC3">
      <w:pPr>
        <w:spacing w:line="360" w:lineRule="auto"/>
        <w:ind w:firstLine="480"/>
        <w:rPr>
          <w:color w:val="000000"/>
          <w:sz w:val="24"/>
        </w:rPr>
      </w:pPr>
      <w:r>
        <w:rPr>
          <w:color w:val="000000"/>
          <w:sz w:val="24"/>
        </w:rPr>
        <w:t>拟建项目主要设备清单见表2.</w:t>
      </w:r>
      <w:r>
        <w:rPr>
          <w:rFonts w:hint="eastAsia"/>
          <w:color w:val="000000"/>
          <w:sz w:val="24"/>
        </w:rPr>
        <w:t>2</w:t>
      </w:r>
      <w:r>
        <w:rPr>
          <w:color w:val="000000"/>
          <w:sz w:val="24"/>
        </w:rPr>
        <w:t>-</w:t>
      </w:r>
      <w:r>
        <w:rPr>
          <w:rFonts w:hint="eastAsia"/>
          <w:color w:val="000000"/>
          <w:sz w:val="24"/>
        </w:rPr>
        <w:t>3</w:t>
      </w:r>
      <w:r>
        <w:rPr>
          <w:color w:val="000000"/>
          <w:sz w:val="24"/>
        </w:rPr>
        <w:t>。</w:t>
      </w:r>
    </w:p>
    <w:p w14:paraId="53056528">
      <w:pPr>
        <w:spacing w:line="480" w:lineRule="exact"/>
        <w:jc w:val="center"/>
        <w:rPr>
          <w:b/>
          <w:color w:val="000000"/>
          <w:sz w:val="24"/>
        </w:rPr>
      </w:pPr>
      <w:r>
        <w:rPr>
          <w:b/>
          <w:color w:val="000000"/>
          <w:sz w:val="24"/>
        </w:rPr>
        <w:t>表2.</w:t>
      </w:r>
      <w:r>
        <w:rPr>
          <w:rFonts w:hint="eastAsia"/>
          <w:b/>
          <w:color w:val="000000"/>
          <w:sz w:val="24"/>
        </w:rPr>
        <w:t>2</w:t>
      </w:r>
      <w:r>
        <w:rPr>
          <w:b/>
          <w:color w:val="000000"/>
          <w:sz w:val="24"/>
        </w:rPr>
        <w:t>-</w:t>
      </w:r>
      <w:r>
        <w:rPr>
          <w:rFonts w:hint="eastAsia"/>
          <w:b/>
          <w:color w:val="000000"/>
          <w:sz w:val="24"/>
        </w:rPr>
        <w:t>3</w:t>
      </w:r>
      <w:r>
        <w:rPr>
          <w:b/>
          <w:color w:val="000000"/>
          <w:sz w:val="24"/>
        </w:rPr>
        <w:t xml:space="preserve">  主要设备清单</w:t>
      </w:r>
    </w:p>
    <w:tbl>
      <w:tblPr>
        <w:tblStyle w:val="27"/>
        <w:tblW w:w="0" w:type="auto"/>
        <w:tblInd w:w="-108" w:type="dxa"/>
        <w:tblLayout w:type="fixed"/>
        <w:tblCellMar>
          <w:top w:w="0" w:type="dxa"/>
          <w:left w:w="108" w:type="dxa"/>
          <w:bottom w:w="0" w:type="dxa"/>
          <w:right w:w="108" w:type="dxa"/>
        </w:tblCellMar>
      </w:tblPr>
      <w:tblGrid>
        <w:gridCol w:w="630"/>
        <w:gridCol w:w="2823"/>
        <w:gridCol w:w="3412"/>
        <w:gridCol w:w="968"/>
        <w:gridCol w:w="1113"/>
      </w:tblGrid>
      <w:tr w14:paraId="083BBC11">
        <w:tblPrEx>
          <w:tblCellMar>
            <w:top w:w="0" w:type="dxa"/>
            <w:left w:w="108" w:type="dxa"/>
            <w:bottom w:w="0" w:type="dxa"/>
            <w:right w:w="108" w:type="dxa"/>
          </w:tblCellMar>
        </w:tblPrEx>
        <w:trPr>
          <w:trHeight w:val="745"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4411965F">
            <w:pPr>
              <w:spacing w:before="156"/>
              <w:jc w:val="center"/>
              <w:rPr>
                <w:rFonts w:ascii="宋体" w:hAnsi="宋体"/>
                <w:b/>
                <w:color w:val="000000"/>
                <w:szCs w:val="21"/>
              </w:rPr>
            </w:pPr>
            <w:bookmarkStart w:id="132" w:name="_Toc217711312"/>
            <w:bookmarkEnd w:id="132"/>
            <w:r>
              <w:rPr>
                <w:rFonts w:ascii="宋体" w:hAnsi="宋体"/>
                <w:b/>
                <w:color w:val="000000"/>
                <w:szCs w:val="21"/>
              </w:rPr>
              <w:t>序</w:t>
            </w:r>
          </w:p>
          <w:p w14:paraId="2AAB2C4D">
            <w:pPr>
              <w:spacing w:before="156"/>
              <w:jc w:val="center"/>
              <w:rPr>
                <w:rFonts w:ascii="宋体" w:hAnsi="宋体"/>
                <w:b/>
                <w:color w:val="000000"/>
                <w:szCs w:val="21"/>
              </w:rPr>
            </w:pPr>
            <w:r>
              <w:rPr>
                <w:rFonts w:ascii="宋体" w:hAnsi="宋体"/>
                <w:b/>
                <w:color w:val="000000"/>
                <w:szCs w:val="21"/>
              </w:rPr>
              <w:t>号</w:t>
            </w:r>
          </w:p>
        </w:tc>
        <w:tc>
          <w:tcPr>
            <w:tcW w:w="2823" w:type="dxa"/>
            <w:tcBorders>
              <w:top w:val="single" w:color="000000" w:sz="4" w:space="0"/>
              <w:left w:val="single" w:color="000000" w:sz="4" w:space="0"/>
              <w:bottom w:val="single" w:color="000000" w:sz="4" w:space="0"/>
              <w:right w:val="single" w:color="000000" w:sz="4" w:space="0"/>
            </w:tcBorders>
            <w:noWrap w:val="0"/>
            <w:vAlign w:val="center"/>
          </w:tcPr>
          <w:p w14:paraId="3DC96793">
            <w:pPr>
              <w:spacing w:before="156"/>
              <w:jc w:val="center"/>
              <w:rPr>
                <w:rFonts w:ascii="宋体" w:hAnsi="宋体"/>
                <w:b/>
                <w:color w:val="000000"/>
                <w:szCs w:val="21"/>
              </w:rPr>
            </w:pPr>
            <w:r>
              <w:rPr>
                <w:rFonts w:ascii="宋体" w:hAnsi="宋体"/>
                <w:b/>
                <w:color w:val="000000"/>
                <w:szCs w:val="21"/>
              </w:rPr>
              <w:t>设备名称</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1C1947CA">
            <w:pPr>
              <w:spacing w:before="156"/>
              <w:jc w:val="center"/>
              <w:rPr>
                <w:rFonts w:ascii="宋体" w:hAnsi="宋体"/>
                <w:b/>
                <w:color w:val="000000"/>
                <w:szCs w:val="21"/>
              </w:rPr>
            </w:pPr>
            <w:r>
              <w:rPr>
                <w:rFonts w:ascii="宋体" w:hAnsi="宋体"/>
                <w:b/>
                <w:color w:val="000000"/>
                <w:szCs w:val="21"/>
              </w:rPr>
              <w:t>规格型号</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3944D87D">
            <w:pPr>
              <w:spacing w:before="156"/>
              <w:jc w:val="center"/>
              <w:rPr>
                <w:rFonts w:ascii="宋体" w:hAnsi="宋体"/>
                <w:b/>
                <w:color w:val="000000"/>
                <w:szCs w:val="21"/>
              </w:rPr>
            </w:pPr>
            <w:r>
              <w:rPr>
                <w:rFonts w:ascii="宋体" w:hAnsi="宋体"/>
                <w:b/>
                <w:color w:val="000000"/>
                <w:szCs w:val="21"/>
              </w:rPr>
              <w:t>单位</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4DE2F950">
            <w:pPr>
              <w:spacing w:before="156"/>
              <w:jc w:val="center"/>
              <w:rPr>
                <w:rFonts w:ascii="宋体" w:hAnsi="宋体"/>
                <w:b/>
                <w:color w:val="000000"/>
                <w:szCs w:val="21"/>
              </w:rPr>
            </w:pPr>
            <w:r>
              <w:rPr>
                <w:rFonts w:ascii="宋体" w:hAnsi="宋体"/>
                <w:b/>
                <w:color w:val="000000"/>
                <w:szCs w:val="21"/>
              </w:rPr>
              <w:t>数量</w:t>
            </w:r>
          </w:p>
        </w:tc>
      </w:tr>
      <w:tr w14:paraId="741E5AF6">
        <w:tblPrEx>
          <w:tblCellMar>
            <w:top w:w="0" w:type="dxa"/>
            <w:left w:w="108" w:type="dxa"/>
            <w:bottom w:w="0" w:type="dxa"/>
            <w:right w:w="108" w:type="dxa"/>
          </w:tblCellMar>
        </w:tblPrEx>
        <w:trPr>
          <w:trHeight w:val="499"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3E5C374D">
            <w:pPr>
              <w:spacing w:before="156"/>
              <w:jc w:val="center"/>
              <w:rPr>
                <w:rFonts w:ascii="宋体" w:hAnsi="宋体"/>
                <w:color w:val="000000"/>
                <w:szCs w:val="21"/>
              </w:rPr>
            </w:pPr>
            <w:r>
              <w:rPr>
                <w:rFonts w:ascii="宋体" w:hAnsi="宋体"/>
                <w:color w:val="000000"/>
                <w:szCs w:val="21"/>
              </w:rPr>
              <w:t>1</w:t>
            </w:r>
          </w:p>
        </w:tc>
        <w:tc>
          <w:tcPr>
            <w:tcW w:w="2823" w:type="dxa"/>
            <w:tcBorders>
              <w:top w:val="single" w:color="000000" w:sz="4" w:space="0"/>
              <w:left w:val="single" w:color="000000" w:sz="4" w:space="0"/>
              <w:bottom w:val="single" w:color="000000" w:sz="4" w:space="0"/>
              <w:right w:val="single" w:color="000000" w:sz="4" w:space="0"/>
            </w:tcBorders>
            <w:noWrap w:val="0"/>
            <w:vAlign w:val="center"/>
          </w:tcPr>
          <w:p w14:paraId="4BC03D9C">
            <w:pPr>
              <w:jc w:val="center"/>
              <w:rPr>
                <w:rFonts w:hint="eastAsia" w:ascii="宋体" w:hAnsi="宋体" w:cs="宋体"/>
                <w:color w:val="000000"/>
                <w:szCs w:val="21"/>
              </w:rPr>
            </w:pPr>
            <w:r>
              <w:rPr>
                <w:rFonts w:hint="eastAsia" w:ascii="宋体" w:hAnsi="宋体"/>
                <w:color w:val="000000"/>
                <w:szCs w:val="21"/>
              </w:rPr>
              <w:t>根管检测仪</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155147E0">
            <w:pPr>
              <w:jc w:val="center"/>
              <w:rPr>
                <w:rFonts w:hint="eastAsia" w:ascii="宋体" w:hAnsi="宋体" w:cs="宋体"/>
                <w:color w:val="000000"/>
                <w:szCs w:val="21"/>
              </w:rPr>
            </w:pPr>
            <w:r>
              <w:rPr>
                <w:rFonts w:hint="eastAsia" w:ascii="宋体" w:hAnsi="宋体"/>
                <w:color w:val="000000"/>
                <w:szCs w:val="21"/>
              </w:rPr>
              <w:t>VDW</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28C021AE">
            <w:pPr>
              <w:spacing w:before="156"/>
              <w:jc w:val="center"/>
              <w:rPr>
                <w:rFonts w:ascii="宋体" w:hAnsi="宋体"/>
                <w:color w:val="000000"/>
                <w:szCs w:val="21"/>
              </w:rPr>
            </w:pPr>
            <w:r>
              <w:rPr>
                <w:rFonts w:ascii="宋体" w:hAnsi="宋体"/>
                <w:color w:val="000000"/>
                <w:szCs w:val="21"/>
              </w:rPr>
              <w:t>套</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3E9DC245">
            <w:pPr>
              <w:spacing w:before="156"/>
              <w:jc w:val="center"/>
              <w:rPr>
                <w:rFonts w:hint="eastAsia" w:ascii="宋体" w:hAnsi="宋体"/>
                <w:color w:val="000000"/>
                <w:szCs w:val="21"/>
              </w:rPr>
            </w:pPr>
            <w:r>
              <w:rPr>
                <w:rFonts w:hint="eastAsia" w:ascii="宋体" w:hAnsi="宋体"/>
                <w:color w:val="000000"/>
                <w:szCs w:val="21"/>
              </w:rPr>
              <w:t>2</w:t>
            </w:r>
          </w:p>
        </w:tc>
      </w:tr>
      <w:tr w14:paraId="4AB9F963">
        <w:tblPrEx>
          <w:tblCellMar>
            <w:top w:w="0" w:type="dxa"/>
            <w:left w:w="108" w:type="dxa"/>
            <w:bottom w:w="0" w:type="dxa"/>
            <w:right w:w="108" w:type="dxa"/>
          </w:tblCellMar>
        </w:tblPrEx>
        <w:trPr>
          <w:trHeight w:val="499"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7E8F0D08">
            <w:pPr>
              <w:spacing w:before="156"/>
              <w:jc w:val="center"/>
              <w:rPr>
                <w:rFonts w:hint="eastAsia" w:ascii="宋体" w:hAnsi="宋体"/>
                <w:color w:val="000000"/>
                <w:szCs w:val="21"/>
              </w:rPr>
            </w:pPr>
            <w:r>
              <w:rPr>
                <w:rFonts w:hint="eastAsia" w:ascii="宋体" w:hAnsi="宋体"/>
                <w:color w:val="000000"/>
                <w:szCs w:val="21"/>
              </w:rPr>
              <w:t>2</w:t>
            </w:r>
          </w:p>
        </w:tc>
        <w:tc>
          <w:tcPr>
            <w:tcW w:w="2823" w:type="dxa"/>
            <w:tcBorders>
              <w:top w:val="single" w:color="000000" w:sz="4" w:space="0"/>
              <w:left w:val="single" w:color="000000" w:sz="4" w:space="0"/>
              <w:bottom w:val="single" w:color="000000" w:sz="4" w:space="0"/>
              <w:right w:val="single" w:color="000000" w:sz="4" w:space="0"/>
            </w:tcBorders>
            <w:noWrap w:val="0"/>
            <w:vAlign w:val="center"/>
          </w:tcPr>
          <w:p w14:paraId="4A579269">
            <w:pPr>
              <w:jc w:val="center"/>
              <w:rPr>
                <w:rFonts w:hint="eastAsia" w:ascii="宋体" w:hAnsi="宋体" w:cs="宋体"/>
                <w:color w:val="000000"/>
                <w:szCs w:val="21"/>
              </w:rPr>
            </w:pPr>
            <w:r>
              <w:rPr>
                <w:rFonts w:hint="eastAsia" w:ascii="宋体" w:hAnsi="宋体"/>
                <w:color w:val="000000"/>
                <w:szCs w:val="21"/>
              </w:rPr>
              <w:t>牙科综合治疗仪</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0B504F62">
            <w:pPr>
              <w:jc w:val="center"/>
              <w:rPr>
                <w:rFonts w:hint="eastAsia" w:ascii="宋体" w:hAnsi="宋体" w:cs="宋体"/>
                <w:color w:val="000000"/>
                <w:szCs w:val="21"/>
              </w:rPr>
            </w:pPr>
            <w:r>
              <w:rPr>
                <w:rFonts w:hint="eastAsia" w:ascii="宋体" w:hAnsi="宋体"/>
                <w:color w:val="000000"/>
                <w:szCs w:val="21"/>
              </w:rPr>
              <w:t>GRACE-D</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35DF61C4">
            <w:pPr>
              <w:spacing w:before="156"/>
              <w:jc w:val="center"/>
              <w:rPr>
                <w:rFonts w:ascii="宋体" w:hAnsi="宋体"/>
                <w:color w:val="000000"/>
                <w:szCs w:val="21"/>
              </w:rPr>
            </w:pPr>
            <w:r>
              <w:rPr>
                <w:rFonts w:hint="eastAsia" w:ascii="宋体" w:hAnsi="宋体"/>
                <w:color w:val="000000"/>
                <w:szCs w:val="21"/>
              </w:rPr>
              <w:t>台</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0F5C0668">
            <w:pPr>
              <w:spacing w:before="156"/>
              <w:jc w:val="center"/>
              <w:rPr>
                <w:rFonts w:hint="eastAsia" w:ascii="宋体" w:hAnsi="宋体"/>
                <w:color w:val="000000"/>
                <w:szCs w:val="21"/>
              </w:rPr>
            </w:pPr>
            <w:r>
              <w:rPr>
                <w:rFonts w:hint="eastAsia" w:ascii="宋体" w:hAnsi="宋体"/>
                <w:color w:val="000000"/>
                <w:szCs w:val="21"/>
              </w:rPr>
              <w:t>2</w:t>
            </w:r>
          </w:p>
        </w:tc>
      </w:tr>
      <w:tr w14:paraId="091AA673">
        <w:tblPrEx>
          <w:tblCellMar>
            <w:top w:w="0" w:type="dxa"/>
            <w:left w:w="108" w:type="dxa"/>
            <w:bottom w:w="0" w:type="dxa"/>
            <w:right w:w="108" w:type="dxa"/>
          </w:tblCellMar>
        </w:tblPrEx>
        <w:trPr>
          <w:trHeight w:val="499"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48A6DC81">
            <w:pPr>
              <w:spacing w:before="156"/>
              <w:jc w:val="center"/>
              <w:rPr>
                <w:rFonts w:hint="eastAsia" w:ascii="宋体" w:hAnsi="宋体"/>
                <w:color w:val="000000"/>
                <w:szCs w:val="21"/>
              </w:rPr>
            </w:pPr>
            <w:r>
              <w:rPr>
                <w:rFonts w:hint="eastAsia" w:ascii="宋体" w:hAnsi="宋体"/>
                <w:color w:val="000000"/>
                <w:szCs w:val="21"/>
              </w:rPr>
              <w:t>3</w:t>
            </w:r>
          </w:p>
        </w:tc>
        <w:tc>
          <w:tcPr>
            <w:tcW w:w="2823" w:type="dxa"/>
            <w:tcBorders>
              <w:top w:val="single" w:color="000000" w:sz="4" w:space="0"/>
              <w:left w:val="single" w:color="000000" w:sz="4" w:space="0"/>
              <w:bottom w:val="single" w:color="000000" w:sz="4" w:space="0"/>
              <w:right w:val="single" w:color="000000" w:sz="4" w:space="0"/>
            </w:tcBorders>
            <w:noWrap w:val="0"/>
            <w:vAlign w:val="center"/>
          </w:tcPr>
          <w:p w14:paraId="119177BE">
            <w:pPr>
              <w:jc w:val="center"/>
              <w:rPr>
                <w:rFonts w:hint="eastAsia" w:ascii="宋体" w:hAnsi="宋体" w:cs="宋体"/>
                <w:color w:val="000000"/>
                <w:szCs w:val="21"/>
              </w:rPr>
            </w:pPr>
            <w:r>
              <w:rPr>
                <w:rFonts w:hint="eastAsia" w:ascii="宋体" w:hAnsi="宋体"/>
                <w:color w:val="000000"/>
                <w:szCs w:val="21"/>
              </w:rPr>
              <w:t>连体式综合牙科治疗机</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42E8FB7E">
            <w:pPr>
              <w:jc w:val="center"/>
              <w:rPr>
                <w:rFonts w:hint="eastAsia" w:ascii="宋体" w:hAnsi="宋体" w:cs="宋体"/>
                <w:color w:val="000000"/>
                <w:szCs w:val="21"/>
              </w:rPr>
            </w:pPr>
            <w:r>
              <w:rPr>
                <w:rFonts w:hint="eastAsia" w:ascii="宋体" w:hAnsi="宋体"/>
                <w:color w:val="000000"/>
                <w:szCs w:val="21"/>
              </w:rPr>
              <w:t>S2305</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3F8D951E">
            <w:pPr>
              <w:spacing w:before="156"/>
              <w:jc w:val="center"/>
              <w:rPr>
                <w:rFonts w:ascii="宋体" w:hAnsi="宋体"/>
                <w:color w:val="000000"/>
                <w:szCs w:val="21"/>
              </w:rPr>
            </w:pPr>
            <w:r>
              <w:rPr>
                <w:rFonts w:hint="eastAsia" w:ascii="宋体" w:hAnsi="宋体"/>
                <w:color w:val="000000"/>
                <w:szCs w:val="21"/>
              </w:rPr>
              <w:t>台</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4CDF6C5A">
            <w:pPr>
              <w:spacing w:before="156"/>
              <w:jc w:val="center"/>
              <w:rPr>
                <w:rFonts w:hint="eastAsia" w:ascii="宋体" w:hAnsi="宋体"/>
                <w:color w:val="000000"/>
                <w:szCs w:val="21"/>
              </w:rPr>
            </w:pPr>
            <w:r>
              <w:rPr>
                <w:rFonts w:hint="eastAsia" w:ascii="宋体" w:hAnsi="宋体"/>
                <w:color w:val="000000"/>
                <w:szCs w:val="21"/>
              </w:rPr>
              <w:t>2</w:t>
            </w:r>
          </w:p>
        </w:tc>
      </w:tr>
      <w:tr w14:paraId="73C7ACDF">
        <w:tblPrEx>
          <w:tblCellMar>
            <w:top w:w="0" w:type="dxa"/>
            <w:left w:w="108" w:type="dxa"/>
            <w:bottom w:w="0" w:type="dxa"/>
            <w:right w:w="108" w:type="dxa"/>
          </w:tblCellMar>
        </w:tblPrEx>
        <w:trPr>
          <w:trHeight w:val="499"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5B2C72E3">
            <w:pPr>
              <w:spacing w:before="156"/>
              <w:jc w:val="center"/>
              <w:rPr>
                <w:rFonts w:hint="eastAsia" w:ascii="宋体" w:hAnsi="宋体"/>
                <w:color w:val="000000"/>
                <w:szCs w:val="21"/>
              </w:rPr>
            </w:pPr>
            <w:r>
              <w:rPr>
                <w:rFonts w:hint="eastAsia" w:ascii="宋体" w:hAnsi="宋体"/>
                <w:color w:val="000000"/>
                <w:szCs w:val="21"/>
              </w:rPr>
              <w:t>4</w:t>
            </w:r>
          </w:p>
        </w:tc>
        <w:tc>
          <w:tcPr>
            <w:tcW w:w="2823" w:type="dxa"/>
            <w:tcBorders>
              <w:top w:val="single" w:color="000000" w:sz="4" w:space="0"/>
              <w:left w:val="single" w:color="000000" w:sz="4" w:space="0"/>
              <w:bottom w:val="single" w:color="000000" w:sz="4" w:space="0"/>
              <w:right w:val="single" w:color="000000" w:sz="4" w:space="0"/>
            </w:tcBorders>
            <w:noWrap w:val="0"/>
            <w:vAlign w:val="center"/>
          </w:tcPr>
          <w:p w14:paraId="20C8C6ED">
            <w:pPr>
              <w:jc w:val="center"/>
              <w:rPr>
                <w:rFonts w:hint="eastAsia" w:ascii="宋体" w:hAnsi="宋体" w:cs="宋体"/>
                <w:color w:val="000000"/>
                <w:szCs w:val="21"/>
              </w:rPr>
            </w:pPr>
            <w:r>
              <w:rPr>
                <w:rFonts w:hint="eastAsia" w:ascii="宋体" w:hAnsi="宋体"/>
                <w:color w:val="000000"/>
                <w:szCs w:val="21"/>
              </w:rPr>
              <w:t>灭菌封口机</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50A87C74">
            <w:pPr>
              <w:jc w:val="center"/>
              <w:rPr>
                <w:rFonts w:hint="eastAsia" w:ascii="宋体" w:hAnsi="宋体"/>
                <w:color w:val="000000"/>
                <w:szCs w:val="21"/>
              </w:rPr>
            </w:pP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743165CA">
            <w:pPr>
              <w:spacing w:before="156"/>
              <w:jc w:val="center"/>
              <w:rPr>
                <w:rFonts w:ascii="宋体" w:hAnsi="宋体"/>
                <w:color w:val="000000"/>
                <w:szCs w:val="21"/>
              </w:rPr>
            </w:pPr>
            <w:r>
              <w:rPr>
                <w:rFonts w:hint="eastAsia" w:ascii="宋体" w:hAnsi="宋体"/>
                <w:color w:val="000000"/>
                <w:szCs w:val="21"/>
              </w:rPr>
              <w:t>台</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55300A91">
            <w:pPr>
              <w:spacing w:before="156"/>
              <w:jc w:val="center"/>
              <w:rPr>
                <w:rFonts w:hint="eastAsia" w:ascii="宋体" w:hAnsi="宋体"/>
                <w:color w:val="000000"/>
                <w:szCs w:val="21"/>
              </w:rPr>
            </w:pPr>
            <w:r>
              <w:rPr>
                <w:rFonts w:hint="eastAsia" w:ascii="宋体" w:hAnsi="宋体"/>
                <w:color w:val="000000"/>
                <w:szCs w:val="21"/>
              </w:rPr>
              <w:t>2</w:t>
            </w:r>
          </w:p>
        </w:tc>
      </w:tr>
      <w:tr w14:paraId="1A87A551">
        <w:tblPrEx>
          <w:tblCellMar>
            <w:top w:w="0" w:type="dxa"/>
            <w:left w:w="108" w:type="dxa"/>
            <w:bottom w:w="0" w:type="dxa"/>
            <w:right w:w="108" w:type="dxa"/>
          </w:tblCellMar>
        </w:tblPrEx>
        <w:trPr>
          <w:trHeight w:val="499"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6D25B50B">
            <w:pPr>
              <w:spacing w:before="156"/>
              <w:jc w:val="center"/>
              <w:rPr>
                <w:rFonts w:hint="eastAsia" w:ascii="宋体" w:hAnsi="宋体"/>
                <w:color w:val="000000"/>
                <w:szCs w:val="21"/>
              </w:rPr>
            </w:pPr>
            <w:r>
              <w:rPr>
                <w:rFonts w:hint="eastAsia" w:ascii="宋体" w:hAnsi="宋体"/>
                <w:color w:val="000000"/>
                <w:szCs w:val="21"/>
              </w:rPr>
              <w:t>5</w:t>
            </w:r>
          </w:p>
        </w:tc>
        <w:tc>
          <w:tcPr>
            <w:tcW w:w="2823" w:type="dxa"/>
            <w:tcBorders>
              <w:top w:val="single" w:color="000000" w:sz="4" w:space="0"/>
              <w:left w:val="single" w:color="000000" w:sz="4" w:space="0"/>
              <w:bottom w:val="single" w:color="000000" w:sz="4" w:space="0"/>
              <w:right w:val="single" w:color="000000" w:sz="4" w:space="0"/>
            </w:tcBorders>
            <w:noWrap w:val="0"/>
            <w:vAlign w:val="center"/>
          </w:tcPr>
          <w:p w14:paraId="6215AB0F">
            <w:pPr>
              <w:jc w:val="center"/>
              <w:rPr>
                <w:rFonts w:hint="eastAsia" w:ascii="宋体" w:hAnsi="宋体" w:cs="宋体"/>
                <w:color w:val="000000"/>
                <w:szCs w:val="21"/>
              </w:rPr>
            </w:pPr>
            <w:r>
              <w:rPr>
                <w:rFonts w:hint="eastAsia" w:ascii="宋体" w:hAnsi="宋体"/>
                <w:color w:val="000000"/>
                <w:szCs w:val="21"/>
              </w:rPr>
              <w:t>综合牙科机</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417CCD86">
            <w:pPr>
              <w:jc w:val="center"/>
              <w:rPr>
                <w:rFonts w:hint="eastAsia" w:ascii="宋体" w:hAnsi="宋体" w:cs="宋体"/>
                <w:color w:val="000000"/>
                <w:szCs w:val="21"/>
              </w:rPr>
            </w:pPr>
            <w:r>
              <w:rPr>
                <w:rFonts w:hint="eastAsia" w:ascii="宋体" w:hAnsi="宋体"/>
                <w:color w:val="000000"/>
                <w:szCs w:val="21"/>
              </w:rPr>
              <w:t>AM6018</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705133CB">
            <w:pPr>
              <w:spacing w:before="156"/>
              <w:jc w:val="center"/>
              <w:rPr>
                <w:rFonts w:ascii="宋体" w:hAnsi="宋体"/>
                <w:color w:val="000000"/>
                <w:szCs w:val="21"/>
              </w:rPr>
            </w:pPr>
            <w:r>
              <w:rPr>
                <w:rFonts w:hint="eastAsia" w:ascii="宋体" w:hAnsi="宋体"/>
                <w:color w:val="000000"/>
                <w:szCs w:val="21"/>
              </w:rPr>
              <w:t>台</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2493C62F">
            <w:pPr>
              <w:spacing w:before="156"/>
              <w:jc w:val="center"/>
              <w:rPr>
                <w:rFonts w:hint="eastAsia" w:ascii="宋体" w:hAnsi="宋体"/>
                <w:color w:val="000000"/>
                <w:szCs w:val="21"/>
              </w:rPr>
            </w:pPr>
            <w:r>
              <w:rPr>
                <w:rFonts w:hint="eastAsia" w:ascii="宋体" w:hAnsi="宋体"/>
                <w:color w:val="000000"/>
                <w:szCs w:val="21"/>
              </w:rPr>
              <w:t>2</w:t>
            </w:r>
          </w:p>
        </w:tc>
      </w:tr>
      <w:tr w14:paraId="5F28BC97">
        <w:tblPrEx>
          <w:tblCellMar>
            <w:top w:w="0" w:type="dxa"/>
            <w:left w:w="108" w:type="dxa"/>
            <w:bottom w:w="0" w:type="dxa"/>
            <w:right w:w="108" w:type="dxa"/>
          </w:tblCellMar>
        </w:tblPrEx>
        <w:trPr>
          <w:trHeight w:val="499"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1284D72F">
            <w:pPr>
              <w:spacing w:before="156"/>
              <w:jc w:val="center"/>
              <w:rPr>
                <w:rFonts w:hint="eastAsia" w:ascii="宋体" w:hAnsi="宋体"/>
                <w:color w:val="000000"/>
                <w:szCs w:val="21"/>
              </w:rPr>
            </w:pPr>
            <w:r>
              <w:rPr>
                <w:rFonts w:hint="eastAsia" w:ascii="宋体" w:hAnsi="宋体"/>
                <w:color w:val="000000"/>
                <w:szCs w:val="21"/>
              </w:rPr>
              <w:t>6</w:t>
            </w:r>
          </w:p>
        </w:tc>
        <w:tc>
          <w:tcPr>
            <w:tcW w:w="2823" w:type="dxa"/>
            <w:tcBorders>
              <w:top w:val="single" w:color="000000" w:sz="4" w:space="0"/>
              <w:left w:val="single" w:color="000000" w:sz="4" w:space="0"/>
              <w:bottom w:val="single" w:color="000000" w:sz="4" w:space="0"/>
              <w:right w:val="single" w:color="000000" w:sz="4" w:space="0"/>
            </w:tcBorders>
            <w:noWrap w:val="0"/>
            <w:vAlign w:val="center"/>
          </w:tcPr>
          <w:p w14:paraId="0F96D3F0">
            <w:pPr>
              <w:jc w:val="center"/>
              <w:rPr>
                <w:rFonts w:hint="eastAsia" w:ascii="宋体" w:hAnsi="宋体" w:cs="宋体"/>
                <w:color w:val="000000"/>
                <w:szCs w:val="21"/>
              </w:rPr>
            </w:pPr>
            <w:r>
              <w:rPr>
                <w:rFonts w:hint="eastAsia" w:ascii="宋体" w:hAnsi="宋体"/>
                <w:color w:val="000000"/>
                <w:szCs w:val="21"/>
              </w:rPr>
              <w:t>牙科进口手机注油机</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05505480">
            <w:pPr>
              <w:jc w:val="center"/>
              <w:rPr>
                <w:rFonts w:hint="eastAsia" w:ascii="宋体" w:hAnsi="宋体" w:cs="宋体"/>
                <w:color w:val="000000"/>
                <w:szCs w:val="21"/>
              </w:rPr>
            </w:pPr>
            <w:r>
              <w:rPr>
                <w:rFonts w:hint="eastAsia" w:ascii="宋体" w:hAnsi="宋体"/>
                <w:color w:val="000000"/>
                <w:szCs w:val="21"/>
              </w:rPr>
              <w:t>301</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36C2CCBC">
            <w:pPr>
              <w:spacing w:before="156"/>
              <w:jc w:val="center"/>
              <w:rPr>
                <w:rFonts w:ascii="宋体" w:hAnsi="宋体"/>
                <w:color w:val="000000"/>
                <w:szCs w:val="21"/>
              </w:rPr>
            </w:pPr>
            <w:r>
              <w:rPr>
                <w:rFonts w:hint="eastAsia" w:ascii="宋体" w:hAnsi="宋体"/>
                <w:color w:val="000000"/>
                <w:szCs w:val="21"/>
              </w:rPr>
              <w:t>台</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5683FCF6">
            <w:pPr>
              <w:spacing w:before="156"/>
              <w:jc w:val="center"/>
              <w:rPr>
                <w:rFonts w:hint="eastAsia" w:ascii="宋体" w:hAnsi="宋体"/>
                <w:color w:val="000000"/>
                <w:szCs w:val="21"/>
              </w:rPr>
            </w:pPr>
            <w:r>
              <w:rPr>
                <w:rFonts w:hint="eastAsia" w:ascii="宋体" w:hAnsi="宋体"/>
                <w:color w:val="000000"/>
                <w:szCs w:val="21"/>
              </w:rPr>
              <w:t>1</w:t>
            </w:r>
          </w:p>
        </w:tc>
      </w:tr>
      <w:tr w14:paraId="52F6DDBF">
        <w:tblPrEx>
          <w:tblCellMar>
            <w:top w:w="0" w:type="dxa"/>
            <w:left w:w="108" w:type="dxa"/>
            <w:bottom w:w="0" w:type="dxa"/>
            <w:right w:w="108" w:type="dxa"/>
          </w:tblCellMar>
        </w:tblPrEx>
        <w:trPr>
          <w:trHeight w:val="499"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1A84EF60">
            <w:pPr>
              <w:spacing w:before="156"/>
              <w:jc w:val="center"/>
              <w:rPr>
                <w:rFonts w:hint="eastAsia" w:ascii="宋体" w:hAnsi="宋体"/>
                <w:color w:val="000000"/>
                <w:szCs w:val="21"/>
              </w:rPr>
            </w:pPr>
            <w:r>
              <w:rPr>
                <w:rFonts w:hint="eastAsia" w:ascii="宋体" w:hAnsi="宋体"/>
                <w:color w:val="000000"/>
                <w:szCs w:val="21"/>
              </w:rPr>
              <w:t>7</w:t>
            </w:r>
          </w:p>
        </w:tc>
        <w:tc>
          <w:tcPr>
            <w:tcW w:w="2823" w:type="dxa"/>
            <w:tcBorders>
              <w:top w:val="single" w:color="000000" w:sz="4" w:space="0"/>
              <w:left w:val="single" w:color="000000" w:sz="4" w:space="0"/>
              <w:bottom w:val="single" w:color="000000" w:sz="4" w:space="0"/>
              <w:right w:val="single" w:color="000000" w:sz="4" w:space="0"/>
            </w:tcBorders>
            <w:noWrap w:val="0"/>
            <w:vAlign w:val="center"/>
          </w:tcPr>
          <w:p w14:paraId="29C347B4">
            <w:pPr>
              <w:jc w:val="center"/>
              <w:rPr>
                <w:rFonts w:hint="eastAsia" w:ascii="宋体" w:hAnsi="宋体" w:cs="宋体"/>
                <w:color w:val="000000"/>
                <w:szCs w:val="21"/>
              </w:rPr>
            </w:pPr>
            <w:r>
              <w:rPr>
                <w:rFonts w:hint="eastAsia" w:ascii="宋体" w:hAnsi="宋体"/>
                <w:color w:val="000000"/>
                <w:szCs w:val="21"/>
              </w:rPr>
              <w:t>牙科综合治疗仪含泵</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6151C740">
            <w:pPr>
              <w:jc w:val="center"/>
              <w:rPr>
                <w:rFonts w:hint="eastAsia" w:ascii="宋体" w:hAnsi="宋体" w:cs="宋体"/>
                <w:color w:val="000000"/>
                <w:szCs w:val="21"/>
              </w:rPr>
            </w:pPr>
            <w:r>
              <w:rPr>
                <w:rFonts w:hint="eastAsia" w:ascii="宋体" w:hAnsi="宋体"/>
                <w:color w:val="000000"/>
                <w:szCs w:val="21"/>
              </w:rPr>
              <w:t>AM6018</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338305D3">
            <w:pPr>
              <w:spacing w:before="156"/>
              <w:jc w:val="center"/>
              <w:rPr>
                <w:rFonts w:ascii="宋体" w:hAnsi="宋体"/>
                <w:color w:val="000000"/>
                <w:szCs w:val="21"/>
              </w:rPr>
            </w:pPr>
            <w:r>
              <w:rPr>
                <w:rFonts w:hint="eastAsia" w:ascii="宋体" w:hAnsi="宋体"/>
                <w:color w:val="000000"/>
                <w:szCs w:val="21"/>
              </w:rPr>
              <w:t>台</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3C26F8DF">
            <w:pPr>
              <w:spacing w:before="156"/>
              <w:jc w:val="center"/>
              <w:rPr>
                <w:rFonts w:hint="eastAsia" w:ascii="宋体" w:hAnsi="宋体"/>
                <w:color w:val="000000"/>
                <w:szCs w:val="21"/>
              </w:rPr>
            </w:pPr>
            <w:r>
              <w:rPr>
                <w:rFonts w:hint="eastAsia" w:ascii="宋体" w:hAnsi="宋体"/>
                <w:color w:val="000000"/>
                <w:szCs w:val="21"/>
              </w:rPr>
              <w:t>2</w:t>
            </w:r>
          </w:p>
        </w:tc>
      </w:tr>
      <w:tr w14:paraId="6D754A6E">
        <w:tblPrEx>
          <w:tblCellMar>
            <w:top w:w="0" w:type="dxa"/>
            <w:left w:w="108" w:type="dxa"/>
            <w:bottom w:w="0" w:type="dxa"/>
            <w:right w:w="108" w:type="dxa"/>
          </w:tblCellMar>
        </w:tblPrEx>
        <w:trPr>
          <w:trHeight w:val="499"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79B9350A">
            <w:pPr>
              <w:spacing w:before="156"/>
              <w:jc w:val="center"/>
              <w:rPr>
                <w:rFonts w:hint="eastAsia" w:ascii="宋体" w:hAnsi="宋体"/>
                <w:color w:val="000000"/>
                <w:szCs w:val="21"/>
              </w:rPr>
            </w:pPr>
            <w:r>
              <w:rPr>
                <w:rFonts w:hint="eastAsia" w:ascii="宋体" w:hAnsi="宋体"/>
                <w:color w:val="000000"/>
                <w:szCs w:val="21"/>
              </w:rPr>
              <w:t>8</w:t>
            </w:r>
          </w:p>
        </w:tc>
        <w:tc>
          <w:tcPr>
            <w:tcW w:w="2823" w:type="dxa"/>
            <w:tcBorders>
              <w:top w:val="single" w:color="000000" w:sz="4" w:space="0"/>
              <w:left w:val="single" w:color="000000" w:sz="4" w:space="0"/>
              <w:bottom w:val="single" w:color="000000" w:sz="4" w:space="0"/>
              <w:right w:val="single" w:color="000000" w:sz="4" w:space="0"/>
            </w:tcBorders>
            <w:noWrap w:val="0"/>
            <w:vAlign w:val="center"/>
          </w:tcPr>
          <w:p w14:paraId="7607E024">
            <w:pPr>
              <w:jc w:val="center"/>
              <w:rPr>
                <w:rFonts w:hint="eastAsia" w:ascii="宋体" w:hAnsi="宋体" w:cs="宋体"/>
                <w:color w:val="000000"/>
                <w:szCs w:val="21"/>
              </w:rPr>
            </w:pPr>
            <w:r>
              <w:rPr>
                <w:rFonts w:hint="eastAsia" w:ascii="宋体" w:hAnsi="宋体"/>
                <w:color w:val="000000"/>
                <w:szCs w:val="21"/>
              </w:rPr>
              <w:t>蒸汽压力灭菌器</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7AEF45D0">
            <w:pPr>
              <w:jc w:val="center"/>
              <w:rPr>
                <w:rFonts w:hint="eastAsia" w:ascii="宋体" w:hAnsi="宋体" w:cs="宋体"/>
                <w:color w:val="000000"/>
                <w:szCs w:val="21"/>
              </w:rPr>
            </w:pPr>
            <w:r>
              <w:rPr>
                <w:rFonts w:hint="eastAsia" w:ascii="宋体" w:hAnsi="宋体"/>
                <w:color w:val="000000"/>
                <w:szCs w:val="21"/>
              </w:rPr>
              <w:t>2540MK</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7CE7CB79">
            <w:pPr>
              <w:spacing w:before="156"/>
              <w:jc w:val="center"/>
              <w:rPr>
                <w:rFonts w:ascii="宋体" w:hAnsi="宋体"/>
                <w:color w:val="000000"/>
                <w:szCs w:val="21"/>
              </w:rPr>
            </w:pPr>
            <w:r>
              <w:rPr>
                <w:rFonts w:hint="eastAsia" w:ascii="宋体" w:hAnsi="宋体"/>
                <w:color w:val="000000"/>
                <w:szCs w:val="21"/>
              </w:rPr>
              <w:t>台</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13AE5216">
            <w:pPr>
              <w:spacing w:before="156"/>
              <w:jc w:val="center"/>
              <w:rPr>
                <w:rFonts w:hint="eastAsia" w:ascii="宋体" w:hAnsi="宋体"/>
                <w:color w:val="000000"/>
                <w:szCs w:val="21"/>
              </w:rPr>
            </w:pPr>
            <w:r>
              <w:rPr>
                <w:rFonts w:hint="eastAsia" w:ascii="宋体" w:hAnsi="宋体"/>
                <w:color w:val="000000"/>
                <w:szCs w:val="21"/>
              </w:rPr>
              <w:t>2</w:t>
            </w:r>
          </w:p>
        </w:tc>
      </w:tr>
      <w:tr w14:paraId="76D37475">
        <w:tblPrEx>
          <w:tblCellMar>
            <w:top w:w="0" w:type="dxa"/>
            <w:left w:w="108" w:type="dxa"/>
            <w:bottom w:w="0" w:type="dxa"/>
            <w:right w:w="108" w:type="dxa"/>
          </w:tblCellMar>
        </w:tblPrEx>
        <w:trPr>
          <w:trHeight w:val="499"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7041CD29">
            <w:pPr>
              <w:spacing w:before="156"/>
              <w:jc w:val="center"/>
              <w:rPr>
                <w:rFonts w:hint="eastAsia" w:ascii="宋体" w:hAnsi="宋体"/>
                <w:color w:val="000000"/>
                <w:szCs w:val="21"/>
              </w:rPr>
            </w:pPr>
            <w:r>
              <w:rPr>
                <w:rFonts w:hint="eastAsia" w:ascii="宋体" w:hAnsi="宋体"/>
                <w:color w:val="000000"/>
                <w:szCs w:val="21"/>
              </w:rPr>
              <w:t>9</w:t>
            </w:r>
          </w:p>
        </w:tc>
        <w:tc>
          <w:tcPr>
            <w:tcW w:w="2823" w:type="dxa"/>
            <w:tcBorders>
              <w:top w:val="single" w:color="000000" w:sz="4" w:space="0"/>
              <w:left w:val="single" w:color="000000" w:sz="4" w:space="0"/>
              <w:bottom w:val="single" w:color="000000" w:sz="4" w:space="0"/>
              <w:right w:val="single" w:color="000000" w:sz="4" w:space="0"/>
            </w:tcBorders>
            <w:noWrap w:val="0"/>
            <w:vAlign w:val="center"/>
          </w:tcPr>
          <w:p w14:paraId="3004ADE6">
            <w:pPr>
              <w:jc w:val="center"/>
              <w:rPr>
                <w:rFonts w:hint="eastAsia" w:ascii="宋体" w:hAnsi="宋体" w:cs="宋体"/>
                <w:color w:val="000000"/>
                <w:szCs w:val="21"/>
              </w:rPr>
            </w:pPr>
            <w:r>
              <w:rPr>
                <w:rFonts w:hint="eastAsia" w:ascii="宋体" w:hAnsi="宋体"/>
                <w:color w:val="000000"/>
                <w:szCs w:val="21"/>
              </w:rPr>
              <w:t>巨光紫外线消毒车</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4742BCA5">
            <w:pPr>
              <w:jc w:val="center"/>
              <w:rPr>
                <w:rFonts w:hint="eastAsia" w:ascii="宋体" w:hAnsi="宋体" w:cs="宋体"/>
                <w:color w:val="000000"/>
                <w:szCs w:val="21"/>
              </w:rPr>
            </w:pPr>
            <w:r>
              <w:rPr>
                <w:rFonts w:hint="eastAsia" w:ascii="宋体" w:hAnsi="宋体"/>
                <w:color w:val="000000"/>
                <w:szCs w:val="21"/>
              </w:rPr>
              <w:t>ZXC型</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413403C4">
            <w:pPr>
              <w:spacing w:before="156"/>
              <w:jc w:val="center"/>
              <w:rPr>
                <w:rFonts w:ascii="宋体" w:hAnsi="宋体"/>
                <w:color w:val="000000"/>
                <w:szCs w:val="21"/>
              </w:rPr>
            </w:pPr>
            <w:r>
              <w:rPr>
                <w:rFonts w:hint="eastAsia" w:ascii="宋体" w:hAnsi="宋体"/>
                <w:color w:val="000000"/>
                <w:szCs w:val="21"/>
              </w:rPr>
              <w:t>台</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412E0981">
            <w:pPr>
              <w:spacing w:before="156"/>
              <w:jc w:val="center"/>
              <w:rPr>
                <w:rFonts w:hint="eastAsia" w:ascii="宋体" w:hAnsi="宋体"/>
                <w:color w:val="000000"/>
                <w:szCs w:val="21"/>
              </w:rPr>
            </w:pPr>
            <w:r>
              <w:rPr>
                <w:rFonts w:hint="eastAsia" w:ascii="宋体" w:hAnsi="宋体"/>
                <w:color w:val="000000"/>
                <w:szCs w:val="21"/>
              </w:rPr>
              <w:t>2</w:t>
            </w:r>
          </w:p>
        </w:tc>
      </w:tr>
      <w:tr w14:paraId="013E4F9A">
        <w:tblPrEx>
          <w:tblCellMar>
            <w:top w:w="0" w:type="dxa"/>
            <w:left w:w="108" w:type="dxa"/>
            <w:bottom w:w="0" w:type="dxa"/>
            <w:right w:w="108" w:type="dxa"/>
          </w:tblCellMar>
        </w:tblPrEx>
        <w:trPr>
          <w:trHeight w:val="499"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2046C1B7">
            <w:pPr>
              <w:spacing w:before="156"/>
              <w:jc w:val="center"/>
              <w:rPr>
                <w:rFonts w:hint="eastAsia" w:ascii="宋体" w:hAnsi="宋体"/>
                <w:color w:val="000000"/>
                <w:szCs w:val="21"/>
              </w:rPr>
            </w:pPr>
            <w:r>
              <w:rPr>
                <w:rFonts w:hint="eastAsia" w:ascii="宋体" w:hAnsi="宋体"/>
                <w:color w:val="000000"/>
                <w:szCs w:val="21"/>
              </w:rPr>
              <w:t>10</w:t>
            </w:r>
          </w:p>
        </w:tc>
        <w:tc>
          <w:tcPr>
            <w:tcW w:w="2823" w:type="dxa"/>
            <w:tcBorders>
              <w:top w:val="single" w:color="000000" w:sz="4" w:space="0"/>
              <w:left w:val="single" w:color="000000" w:sz="4" w:space="0"/>
              <w:bottom w:val="single" w:color="000000" w:sz="4" w:space="0"/>
              <w:right w:val="single" w:color="000000" w:sz="4" w:space="0"/>
            </w:tcBorders>
            <w:noWrap w:val="0"/>
            <w:vAlign w:val="center"/>
          </w:tcPr>
          <w:p w14:paraId="03629DC6">
            <w:pPr>
              <w:jc w:val="center"/>
              <w:rPr>
                <w:rFonts w:hint="eastAsia" w:ascii="宋体" w:hAnsi="宋体" w:cs="宋体"/>
                <w:color w:val="000000"/>
                <w:szCs w:val="21"/>
              </w:rPr>
            </w:pPr>
            <w:r>
              <w:rPr>
                <w:rFonts w:hint="eastAsia" w:ascii="宋体" w:hAnsi="宋体"/>
                <w:color w:val="000000"/>
                <w:szCs w:val="21"/>
              </w:rPr>
              <w:t>技工打磨机</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66BA8BC8">
            <w:pPr>
              <w:jc w:val="center"/>
              <w:rPr>
                <w:rFonts w:hint="eastAsia" w:ascii="宋体" w:hAnsi="宋体" w:cs="宋体"/>
                <w:color w:val="000000"/>
                <w:szCs w:val="21"/>
              </w:rPr>
            </w:pPr>
            <w:r>
              <w:rPr>
                <w:rFonts w:hint="eastAsia" w:ascii="宋体" w:hAnsi="宋体"/>
                <w:color w:val="000000"/>
                <w:szCs w:val="21"/>
              </w:rPr>
              <w:t>STRONG90</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10982B16">
            <w:pPr>
              <w:spacing w:before="156"/>
              <w:jc w:val="center"/>
              <w:rPr>
                <w:rFonts w:ascii="宋体" w:hAnsi="宋体"/>
                <w:color w:val="000000"/>
                <w:szCs w:val="21"/>
              </w:rPr>
            </w:pPr>
            <w:r>
              <w:rPr>
                <w:rFonts w:hint="eastAsia" w:ascii="宋体" w:hAnsi="宋体"/>
                <w:color w:val="000000"/>
                <w:szCs w:val="21"/>
              </w:rPr>
              <w:t>台</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705D0CD2">
            <w:pPr>
              <w:spacing w:before="156"/>
              <w:jc w:val="center"/>
              <w:rPr>
                <w:rFonts w:hint="eastAsia" w:ascii="宋体" w:hAnsi="宋体"/>
                <w:color w:val="000000"/>
                <w:szCs w:val="21"/>
              </w:rPr>
            </w:pPr>
            <w:r>
              <w:rPr>
                <w:rFonts w:hint="eastAsia" w:ascii="宋体" w:hAnsi="宋体"/>
                <w:color w:val="000000"/>
                <w:szCs w:val="21"/>
              </w:rPr>
              <w:t>2</w:t>
            </w:r>
          </w:p>
        </w:tc>
      </w:tr>
      <w:tr w14:paraId="45DDCDA8">
        <w:tblPrEx>
          <w:tblCellMar>
            <w:top w:w="0" w:type="dxa"/>
            <w:left w:w="108" w:type="dxa"/>
            <w:bottom w:w="0" w:type="dxa"/>
            <w:right w:w="108" w:type="dxa"/>
          </w:tblCellMar>
        </w:tblPrEx>
        <w:trPr>
          <w:trHeight w:val="499"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297A5D6B">
            <w:pPr>
              <w:spacing w:before="156"/>
              <w:jc w:val="center"/>
              <w:rPr>
                <w:rFonts w:hint="eastAsia" w:ascii="宋体" w:hAnsi="宋体"/>
                <w:color w:val="000000"/>
                <w:szCs w:val="21"/>
              </w:rPr>
            </w:pPr>
            <w:r>
              <w:rPr>
                <w:rFonts w:hint="eastAsia" w:ascii="宋体" w:hAnsi="宋体"/>
                <w:color w:val="000000"/>
                <w:szCs w:val="21"/>
              </w:rPr>
              <w:t>11</w:t>
            </w:r>
          </w:p>
        </w:tc>
        <w:tc>
          <w:tcPr>
            <w:tcW w:w="2823" w:type="dxa"/>
            <w:tcBorders>
              <w:top w:val="single" w:color="000000" w:sz="4" w:space="0"/>
              <w:left w:val="single" w:color="000000" w:sz="4" w:space="0"/>
              <w:bottom w:val="single" w:color="000000" w:sz="4" w:space="0"/>
              <w:right w:val="single" w:color="000000" w:sz="4" w:space="0"/>
            </w:tcBorders>
            <w:noWrap w:val="0"/>
            <w:vAlign w:val="center"/>
          </w:tcPr>
          <w:p w14:paraId="4B5BFCF7">
            <w:pPr>
              <w:jc w:val="center"/>
              <w:rPr>
                <w:rFonts w:hint="eastAsia" w:ascii="宋体" w:hAnsi="宋体" w:cs="宋体"/>
                <w:color w:val="000000"/>
                <w:szCs w:val="21"/>
              </w:rPr>
            </w:pPr>
            <w:r>
              <w:rPr>
                <w:rFonts w:hint="eastAsia" w:ascii="宋体" w:hAnsi="宋体"/>
                <w:color w:val="000000"/>
                <w:szCs w:val="21"/>
              </w:rPr>
              <w:t>唯他它比色板</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6B01D8BA">
            <w:pPr>
              <w:jc w:val="center"/>
              <w:rPr>
                <w:rFonts w:hint="eastAsia" w:ascii="宋体" w:hAnsi="宋体" w:cs="宋体"/>
                <w:color w:val="000000"/>
                <w:szCs w:val="21"/>
              </w:rPr>
            </w:pPr>
            <w:r>
              <w:rPr>
                <w:rFonts w:hint="eastAsia" w:ascii="宋体" w:hAnsi="宋体"/>
                <w:color w:val="000000"/>
                <w:szCs w:val="21"/>
              </w:rPr>
              <w:t>3D-MASTER</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2CB44250">
            <w:pPr>
              <w:spacing w:before="156"/>
              <w:jc w:val="center"/>
              <w:rPr>
                <w:rFonts w:ascii="宋体" w:hAnsi="宋体"/>
                <w:color w:val="000000"/>
                <w:szCs w:val="21"/>
              </w:rPr>
            </w:pPr>
            <w:r>
              <w:rPr>
                <w:rFonts w:hint="eastAsia" w:ascii="宋体" w:hAnsi="宋体"/>
                <w:color w:val="000000"/>
                <w:szCs w:val="21"/>
              </w:rPr>
              <w:t>台</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62F0FAC0">
            <w:pPr>
              <w:spacing w:before="156"/>
              <w:jc w:val="center"/>
              <w:rPr>
                <w:rFonts w:hint="eastAsia" w:ascii="宋体" w:hAnsi="宋体"/>
                <w:color w:val="000000"/>
                <w:szCs w:val="21"/>
              </w:rPr>
            </w:pPr>
            <w:r>
              <w:rPr>
                <w:rFonts w:hint="eastAsia" w:ascii="宋体" w:hAnsi="宋体"/>
                <w:color w:val="000000"/>
                <w:szCs w:val="21"/>
              </w:rPr>
              <w:t>2</w:t>
            </w:r>
          </w:p>
        </w:tc>
      </w:tr>
      <w:tr w14:paraId="64B4A93A">
        <w:tblPrEx>
          <w:tblCellMar>
            <w:top w:w="0" w:type="dxa"/>
            <w:left w:w="108" w:type="dxa"/>
            <w:bottom w:w="0" w:type="dxa"/>
            <w:right w:w="108" w:type="dxa"/>
          </w:tblCellMar>
        </w:tblPrEx>
        <w:trPr>
          <w:trHeight w:val="499"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19FF0902">
            <w:pPr>
              <w:spacing w:before="156"/>
              <w:jc w:val="center"/>
              <w:rPr>
                <w:rFonts w:hint="eastAsia" w:ascii="宋体" w:hAnsi="宋体"/>
                <w:color w:val="000000"/>
                <w:szCs w:val="21"/>
              </w:rPr>
            </w:pPr>
            <w:r>
              <w:rPr>
                <w:rFonts w:hint="eastAsia" w:ascii="宋体" w:hAnsi="宋体"/>
                <w:color w:val="000000"/>
                <w:szCs w:val="21"/>
              </w:rPr>
              <w:t>12</w:t>
            </w:r>
          </w:p>
        </w:tc>
        <w:tc>
          <w:tcPr>
            <w:tcW w:w="2823" w:type="dxa"/>
            <w:tcBorders>
              <w:top w:val="single" w:color="000000" w:sz="4" w:space="0"/>
              <w:left w:val="single" w:color="000000" w:sz="4" w:space="0"/>
              <w:bottom w:val="single" w:color="000000" w:sz="4" w:space="0"/>
              <w:right w:val="single" w:color="000000" w:sz="4" w:space="0"/>
            </w:tcBorders>
            <w:noWrap w:val="0"/>
            <w:vAlign w:val="center"/>
          </w:tcPr>
          <w:p w14:paraId="0B56C437">
            <w:pPr>
              <w:jc w:val="center"/>
              <w:rPr>
                <w:rFonts w:hint="eastAsia" w:ascii="宋体" w:hAnsi="宋体" w:cs="宋体"/>
                <w:color w:val="000000"/>
                <w:szCs w:val="21"/>
              </w:rPr>
            </w:pPr>
            <w:r>
              <w:rPr>
                <w:rFonts w:hint="eastAsia" w:ascii="宋体" w:hAnsi="宋体"/>
                <w:color w:val="000000"/>
                <w:szCs w:val="21"/>
              </w:rPr>
              <w:t>登士柏光固化机</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3C0AC6AB">
            <w:pPr>
              <w:jc w:val="center"/>
              <w:rPr>
                <w:rFonts w:hint="eastAsia" w:ascii="宋体" w:hAnsi="宋体"/>
                <w:color w:val="000000"/>
                <w:szCs w:val="21"/>
              </w:rPr>
            </w:pP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340FF3C6">
            <w:pPr>
              <w:spacing w:before="156"/>
              <w:jc w:val="center"/>
              <w:rPr>
                <w:rFonts w:ascii="宋体" w:hAnsi="宋体"/>
                <w:color w:val="000000"/>
                <w:szCs w:val="21"/>
              </w:rPr>
            </w:pPr>
            <w:r>
              <w:rPr>
                <w:rFonts w:hint="eastAsia" w:ascii="宋体" w:hAnsi="宋体"/>
                <w:color w:val="000000"/>
                <w:szCs w:val="21"/>
              </w:rPr>
              <w:t>台</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62A60055">
            <w:pPr>
              <w:spacing w:before="156"/>
              <w:jc w:val="center"/>
              <w:rPr>
                <w:rFonts w:hint="eastAsia" w:ascii="宋体" w:hAnsi="宋体"/>
                <w:color w:val="000000"/>
                <w:szCs w:val="21"/>
              </w:rPr>
            </w:pPr>
            <w:r>
              <w:rPr>
                <w:rFonts w:hint="eastAsia" w:ascii="宋体" w:hAnsi="宋体"/>
                <w:color w:val="000000"/>
                <w:szCs w:val="21"/>
              </w:rPr>
              <w:t>2</w:t>
            </w:r>
          </w:p>
        </w:tc>
      </w:tr>
      <w:tr w14:paraId="21B26286">
        <w:tblPrEx>
          <w:tblCellMar>
            <w:top w:w="0" w:type="dxa"/>
            <w:left w:w="108" w:type="dxa"/>
            <w:bottom w:w="0" w:type="dxa"/>
            <w:right w:w="108" w:type="dxa"/>
          </w:tblCellMar>
        </w:tblPrEx>
        <w:trPr>
          <w:trHeight w:val="499"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460C8F1F">
            <w:pPr>
              <w:spacing w:before="156"/>
              <w:jc w:val="center"/>
              <w:rPr>
                <w:rFonts w:hint="eastAsia" w:ascii="宋体" w:hAnsi="宋体"/>
                <w:color w:val="000000"/>
                <w:szCs w:val="21"/>
              </w:rPr>
            </w:pPr>
            <w:r>
              <w:rPr>
                <w:rFonts w:hint="eastAsia" w:ascii="宋体" w:hAnsi="宋体"/>
                <w:color w:val="000000"/>
                <w:szCs w:val="21"/>
              </w:rPr>
              <w:t>13</w:t>
            </w:r>
          </w:p>
        </w:tc>
        <w:tc>
          <w:tcPr>
            <w:tcW w:w="2823" w:type="dxa"/>
            <w:tcBorders>
              <w:top w:val="single" w:color="000000" w:sz="4" w:space="0"/>
              <w:left w:val="single" w:color="000000" w:sz="4" w:space="0"/>
              <w:bottom w:val="single" w:color="000000" w:sz="4" w:space="0"/>
              <w:right w:val="single" w:color="000000" w:sz="4" w:space="0"/>
            </w:tcBorders>
            <w:noWrap w:val="0"/>
            <w:vAlign w:val="center"/>
          </w:tcPr>
          <w:p w14:paraId="6A4F5409">
            <w:pPr>
              <w:jc w:val="center"/>
              <w:rPr>
                <w:rFonts w:hint="eastAsia" w:ascii="宋体" w:hAnsi="宋体" w:cs="宋体"/>
                <w:color w:val="000000"/>
                <w:szCs w:val="21"/>
              </w:rPr>
            </w:pPr>
            <w:r>
              <w:rPr>
                <w:rFonts w:hint="eastAsia" w:ascii="宋体" w:hAnsi="宋体"/>
                <w:color w:val="000000"/>
                <w:szCs w:val="21"/>
              </w:rPr>
              <w:t>奥林巴斯显微镜（机构合并）</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1C59F42D">
            <w:pPr>
              <w:jc w:val="center"/>
              <w:rPr>
                <w:rFonts w:hint="eastAsia" w:ascii="宋体" w:hAnsi="宋体" w:cs="宋体"/>
                <w:color w:val="000000"/>
                <w:szCs w:val="21"/>
              </w:rPr>
            </w:pPr>
            <w:r>
              <w:rPr>
                <w:rFonts w:hint="eastAsia" w:ascii="宋体" w:hAnsi="宋体"/>
                <w:color w:val="000000"/>
                <w:szCs w:val="21"/>
              </w:rPr>
              <w:t>CX31</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3EAFE5A1">
            <w:pPr>
              <w:spacing w:before="156"/>
              <w:jc w:val="center"/>
              <w:rPr>
                <w:rFonts w:ascii="宋体" w:hAnsi="宋体"/>
                <w:color w:val="000000"/>
                <w:szCs w:val="21"/>
              </w:rPr>
            </w:pPr>
            <w:r>
              <w:rPr>
                <w:rFonts w:ascii="宋体" w:hAnsi="宋体"/>
                <w:color w:val="000000"/>
                <w:szCs w:val="21"/>
              </w:rPr>
              <w:t>台</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01B5E53A">
            <w:pPr>
              <w:spacing w:before="156"/>
              <w:jc w:val="center"/>
              <w:rPr>
                <w:rFonts w:hint="eastAsia" w:ascii="宋体" w:hAnsi="宋体"/>
                <w:color w:val="000000"/>
                <w:szCs w:val="21"/>
              </w:rPr>
            </w:pPr>
            <w:r>
              <w:rPr>
                <w:rFonts w:hint="eastAsia" w:ascii="宋体" w:hAnsi="宋体"/>
                <w:color w:val="000000"/>
                <w:szCs w:val="21"/>
              </w:rPr>
              <w:t>4</w:t>
            </w:r>
          </w:p>
        </w:tc>
      </w:tr>
      <w:tr w14:paraId="448D2067">
        <w:tblPrEx>
          <w:tblCellMar>
            <w:top w:w="0" w:type="dxa"/>
            <w:left w:w="108" w:type="dxa"/>
            <w:bottom w:w="0" w:type="dxa"/>
            <w:right w:w="108" w:type="dxa"/>
          </w:tblCellMar>
        </w:tblPrEx>
        <w:trPr>
          <w:trHeight w:val="377"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70F68C8F">
            <w:pPr>
              <w:spacing w:before="156"/>
              <w:jc w:val="center"/>
              <w:rPr>
                <w:rFonts w:hint="eastAsia" w:ascii="宋体" w:hAnsi="宋体"/>
                <w:color w:val="000000"/>
                <w:szCs w:val="21"/>
              </w:rPr>
            </w:pPr>
            <w:r>
              <w:rPr>
                <w:rFonts w:hint="eastAsia" w:ascii="宋体" w:hAnsi="宋体"/>
                <w:color w:val="000000"/>
                <w:szCs w:val="21"/>
              </w:rPr>
              <w:t>14</w:t>
            </w:r>
          </w:p>
        </w:tc>
        <w:tc>
          <w:tcPr>
            <w:tcW w:w="2823" w:type="dxa"/>
            <w:tcBorders>
              <w:top w:val="single" w:color="000000" w:sz="4" w:space="0"/>
              <w:left w:val="single" w:color="000000" w:sz="4" w:space="0"/>
              <w:bottom w:val="single" w:color="000000" w:sz="4" w:space="0"/>
              <w:right w:val="single" w:color="000000" w:sz="4" w:space="0"/>
            </w:tcBorders>
            <w:noWrap w:val="0"/>
            <w:vAlign w:val="center"/>
          </w:tcPr>
          <w:p w14:paraId="7A21292F">
            <w:pPr>
              <w:jc w:val="center"/>
              <w:rPr>
                <w:rFonts w:hint="eastAsia" w:ascii="宋体" w:hAnsi="宋体" w:cs="宋体"/>
                <w:color w:val="000000"/>
                <w:szCs w:val="21"/>
              </w:rPr>
            </w:pPr>
            <w:r>
              <w:rPr>
                <w:rFonts w:hint="eastAsia" w:ascii="宋体" w:hAnsi="宋体"/>
                <w:color w:val="000000"/>
                <w:szCs w:val="21"/>
              </w:rPr>
              <w:t>格力立式空调（机构合并）</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239344AA">
            <w:pPr>
              <w:jc w:val="center"/>
              <w:rPr>
                <w:rFonts w:hint="eastAsia" w:ascii="宋体" w:hAnsi="宋体" w:cs="宋体"/>
                <w:color w:val="000000"/>
                <w:szCs w:val="21"/>
              </w:rPr>
            </w:pPr>
            <w:r>
              <w:rPr>
                <w:rFonts w:hint="eastAsia" w:ascii="宋体" w:hAnsi="宋体"/>
                <w:color w:val="000000"/>
                <w:szCs w:val="21"/>
              </w:rPr>
              <w:t>KFR-T2L</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60550E59">
            <w:pPr>
              <w:spacing w:before="156"/>
              <w:jc w:val="center"/>
              <w:rPr>
                <w:rFonts w:ascii="宋体" w:hAnsi="宋体"/>
                <w:color w:val="000000"/>
                <w:szCs w:val="21"/>
              </w:rPr>
            </w:pPr>
            <w:r>
              <w:rPr>
                <w:rFonts w:ascii="宋体" w:hAnsi="宋体"/>
                <w:color w:val="000000"/>
                <w:szCs w:val="21"/>
              </w:rPr>
              <w:t>台</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4C6BF5AF">
            <w:pPr>
              <w:spacing w:before="156"/>
              <w:jc w:val="center"/>
              <w:rPr>
                <w:rFonts w:hint="eastAsia" w:ascii="宋体" w:hAnsi="宋体"/>
                <w:color w:val="000000"/>
                <w:szCs w:val="21"/>
              </w:rPr>
            </w:pPr>
            <w:r>
              <w:rPr>
                <w:rFonts w:hint="eastAsia" w:ascii="宋体" w:hAnsi="宋体"/>
                <w:color w:val="000000"/>
                <w:szCs w:val="21"/>
              </w:rPr>
              <w:t>2</w:t>
            </w:r>
          </w:p>
        </w:tc>
      </w:tr>
      <w:tr w14:paraId="2EC8DDCC">
        <w:tblPrEx>
          <w:tblCellMar>
            <w:top w:w="0" w:type="dxa"/>
            <w:left w:w="108" w:type="dxa"/>
            <w:bottom w:w="0" w:type="dxa"/>
            <w:right w:w="108" w:type="dxa"/>
          </w:tblCellMar>
        </w:tblPrEx>
        <w:trPr>
          <w:trHeight w:val="499"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44378EBA">
            <w:pPr>
              <w:spacing w:before="156"/>
              <w:jc w:val="center"/>
              <w:rPr>
                <w:rFonts w:hint="eastAsia" w:ascii="宋体" w:hAnsi="宋体"/>
                <w:color w:val="000000"/>
                <w:szCs w:val="21"/>
              </w:rPr>
            </w:pPr>
            <w:r>
              <w:rPr>
                <w:rFonts w:hint="eastAsia" w:ascii="宋体" w:hAnsi="宋体"/>
                <w:color w:val="000000"/>
                <w:szCs w:val="21"/>
              </w:rPr>
              <w:t>15</w:t>
            </w:r>
          </w:p>
        </w:tc>
        <w:tc>
          <w:tcPr>
            <w:tcW w:w="2823" w:type="dxa"/>
            <w:tcBorders>
              <w:top w:val="single" w:color="000000" w:sz="4" w:space="0"/>
              <w:left w:val="single" w:color="000000" w:sz="4" w:space="0"/>
              <w:bottom w:val="single" w:color="000000" w:sz="4" w:space="0"/>
              <w:right w:val="single" w:color="000000" w:sz="4" w:space="0"/>
            </w:tcBorders>
            <w:noWrap w:val="0"/>
            <w:vAlign w:val="center"/>
          </w:tcPr>
          <w:p w14:paraId="5B097C60">
            <w:pPr>
              <w:jc w:val="center"/>
              <w:rPr>
                <w:rFonts w:hint="eastAsia" w:ascii="宋体" w:hAnsi="宋体" w:cs="宋体"/>
                <w:color w:val="000000"/>
                <w:szCs w:val="21"/>
              </w:rPr>
            </w:pPr>
            <w:r>
              <w:rPr>
                <w:rFonts w:hint="eastAsia" w:ascii="宋体" w:hAnsi="宋体"/>
                <w:color w:val="000000"/>
                <w:szCs w:val="21"/>
              </w:rPr>
              <w:t>安图洗板机</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5817613C">
            <w:pPr>
              <w:jc w:val="center"/>
              <w:rPr>
                <w:rFonts w:hint="eastAsia" w:ascii="宋体" w:hAnsi="宋体" w:cs="宋体"/>
                <w:color w:val="000000"/>
                <w:szCs w:val="21"/>
              </w:rPr>
            </w:pPr>
            <w:r>
              <w:rPr>
                <w:rFonts w:hint="eastAsia" w:ascii="宋体" w:hAnsi="宋体"/>
                <w:color w:val="000000"/>
                <w:szCs w:val="21"/>
              </w:rPr>
              <w:t>IWO-960</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7E4C70A8">
            <w:pPr>
              <w:spacing w:before="156"/>
              <w:jc w:val="center"/>
              <w:rPr>
                <w:rFonts w:ascii="宋体" w:hAnsi="宋体"/>
                <w:color w:val="000000"/>
                <w:szCs w:val="21"/>
              </w:rPr>
            </w:pPr>
            <w:r>
              <w:rPr>
                <w:rFonts w:ascii="宋体" w:hAnsi="宋体"/>
                <w:color w:val="000000"/>
                <w:szCs w:val="21"/>
              </w:rPr>
              <w:t>台</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41AEC4CA">
            <w:pPr>
              <w:spacing w:before="156"/>
              <w:jc w:val="center"/>
              <w:rPr>
                <w:rFonts w:hint="eastAsia" w:ascii="宋体" w:hAnsi="宋体"/>
                <w:color w:val="000000"/>
                <w:szCs w:val="21"/>
              </w:rPr>
            </w:pPr>
            <w:r>
              <w:rPr>
                <w:rFonts w:hint="eastAsia" w:ascii="宋体" w:hAnsi="宋体"/>
                <w:color w:val="000000"/>
                <w:szCs w:val="21"/>
              </w:rPr>
              <w:t>2</w:t>
            </w:r>
          </w:p>
        </w:tc>
      </w:tr>
      <w:tr w14:paraId="63D621CD">
        <w:tblPrEx>
          <w:tblCellMar>
            <w:top w:w="0" w:type="dxa"/>
            <w:left w:w="108" w:type="dxa"/>
            <w:bottom w:w="0" w:type="dxa"/>
            <w:right w:w="108" w:type="dxa"/>
          </w:tblCellMar>
        </w:tblPrEx>
        <w:trPr>
          <w:trHeight w:val="499"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7ED58797">
            <w:pPr>
              <w:spacing w:before="156"/>
              <w:jc w:val="center"/>
              <w:rPr>
                <w:rFonts w:hint="eastAsia" w:ascii="宋体" w:hAnsi="宋体"/>
                <w:color w:val="000000"/>
                <w:szCs w:val="21"/>
              </w:rPr>
            </w:pPr>
            <w:r>
              <w:rPr>
                <w:rFonts w:hint="eastAsia" w:ascii="宋体" w:hAnsi="宋体"/>
                <w:color w:val="000000"/>
                <w:szCs w:val="21"/>
              </w:rPr>
              <w:t>16</w:t>
            </w:r>
          </w:p>
        </w:tc>
        <w:tc>
          <w:tcPr>
            <w:tcW w:w="2823" w:type="dxa"/>
            <w:tcBorders>
              <w:top w:val="single" w:color="000000" w:sz="4" w:space="0"/>
              <w:left w:val="single" w:color="000000" w:sz="4" w:space="0"/>
              <w:bottom w:val="single" w:color="000000" w:sz="4" w:space="0"/>
              <w:right w:val="single" w:color="000000" w:sz="4" w:space="0"/>
            </w:tcBorders>
            <w:noWrap w:val="0"/>
            <w:vAlign w:val="center"/>
          </w:tcPr>
          <w:p w14:paraId="5A5E08B9">
            <w:pPr>
              <w:jc w:val="center"/>
              <w:rPr>
                <w:rFonts w:hint="eastAsia" w:ascii="宋体" w:hAnsi="宋体" w:cs="宋体"/>
                <w:color w:val="000000"/>
                <w:szCs w:val="21"/>
              </w:rPr>
            </w:pPr>
            <w:r>
              <w:rPr>
                <w:rFonts w:hint="eastAsia" w:ascii="宋体" w:hAnsi="宋体"/>
                <w:color w:val="000000"/>
                <w:szCs w:val="21"/>
              </w:rPr>
              <w:t>全自动化学发光仪（机构合并）</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34FC2A0E">
            <w:pPr>
              <w:jc w:val="center"/>
              <w:rPr>
                <w:rFonts w:hint="eastAsia" w:ascii="宋体" w:hAnsi="宋体" w:cs="宋体"/>
                <w:color w:val="000000"/>
                <w:szCs w:val="21"/>
              </w:rPr>
            </w:pPr>
            <w:r>
              <w:rPr>
                <w:rFonts w:hint="eastAsia" w:ascii="宋体" w:hAnsi="宋体"/>
                <w:color w:val="000000"/>
                <w:szCs w:val="21"/>
              </w:rPr>
              <w:t>MagLumi800</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146CB1E7">
            <w:pPr>
              <w:spacing w:before="156"/>
              <w:jc w:val="center"/>
              <w:rPr>
                <w:rFonts w:ascii="宋体" w:hAnsi="宋体"/>
                <w:color w:val="000000"/>
                <w:szCs w:val="21"/>
              </w:rPr>
            </w:pPr>
            <w:r>
              <w:rPr>
                <w:rFonts w:ascii="宋体" w:hAnsi="宋体"/>
                <w:color w:val="000000"/>
                <w:szCs w:val="21"/>
              </w:rPr>
              <w:t>台</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585299ED">
            <w:pPr>
              <w:spacing w:before="156"/>
              <w:jc w:val="center"/>
              <w:rPr>
                <w:rFonts w:hint="eastAsia" w:ascii="宋体" w:hAnsi="宋体"/>
                <w:color w:val="000000"/>
                <w:szCs w:val="21"/>
              </w:rPr>
            </w:pPr>
            <w:r>
              <w:rPr>
                <w:rFonts w:hint="eastAsia" w:ascii="宋体" w:hAnsi="宋体"/>
                <w:color w:val="000000"/>
                <w:szCs w:val="21"/>
              </w:rPr>
              <w:t>2</w:t>
            </w:r>
          </w:p>
        </w:tc>
      </w:tr>
      <w:tr w14:paraId="4F5D7DDF">
        <w:tblPrEx>
          <w:tblCellMar>
            <w:top w:w="0" w:type="dxa"/>
            <w:left w:w="108" w:type="dxa"/>
            <w:bottom w:w="0" w:type="dxa"/>
            <w:right w:w="108" w:type="dxa"/>
          </w:tblCellMar>
        </w:tblPrEx>
        <w:trPr>
          <w:trHeight w:val="499"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3C1776BD">
            <w:pPr>
              <w:spacing w:before="156"/>
              <w:jc w:val="center"/>
              <w:rPr>
                <w:rFonts w:hint="eastAsia" w:ascii="宋体" w:hAnsi="宋体"/>
                <w:color w:val="000000"/>
                <w:szCs w:val="21"/>
              </w:rPr>
            </w:pPr>
            <w:r>
              <w:rPr>
                <w:rFonts w:hint="eastAsia" w:ascii="宋体" w:hAnsi="宋体"/>
                <w:color w:val="000000"/>
                <w:szCs w:val="21"/>
              </w:rPr>
              <w:t>17</w:t>
            </w:r>
          </w:p>
        </w:tc>
        <w:tc>
          <w:tcPr>
            <w:tcW w:w="2823" w:type="dxa"/>
            <w:tcBorders>
              <w:top w:val="single" w:color="000000" w:sz="4" w:space="0"/>
              <w:left w:val="single" w:color="000000" w:sz="4" w:space="0"/>
              <w:bottom w:val="single" w:color="000000" w:sz="4" w:space="0"/>
              <w:right w:val="single" w:color="000000" w:sz="4" w:space="0"/>
            </w:tcBorders>
            <w:noWrap w:val="0"/>
            <w:vAlign w:val="center"/>
          </w:tcPr>
          <w:p w14:paraId="117369EF">
            <w:pPr>
              <w:jc w:val="center"/>
              <w:rPr>
                <w:rFonts w:hint="eastAsia" w:ascii="宋体" w:hAnsi="宋体" w:cs="宋体"/>
                <w:color w:val="000000"/>
                <w:szCs w:val="21"/>
              </w:rPr>
            </w:pPr>
            <w:r>
              <w:rPr>
                <w:rFonts w:hint="eastAsia" w:ascii="宋体" w:hAnsi="宋体"/>
                <w:color w:val="000000"/>
                <w:szCs w:val="21"/>
              </w:rPr>
              <w:t>纯水机（机构合并）</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006F0531">
            <w:pPr>
              <w:jc w:val="center"/>
              <w:rPr>
                <w:rFonts w:hint="eastAsia" w:ascii="宋体" w:hAnsi="宋体" w:cs="宋体"/>
                <w:color w:val="000000"/>
                <w:szCs w:val="21"/>
              </w:rPr>
            </w:pPr>
            <w:r>
              <w:rPr>
                <w:rFonts w:hint="eastAsia" w:ascii="宋体" w:hAnsi="宋体"/>
                <w:color w:val="000000"/>
                <w:szCs w:val="21"/>
              </w:rPr>
              <w:t>优普20L</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30C3EDE8">
            <w:pPr>
              <w:spacing w:before="156"/>
              <w:jc w:val="center"/>
              <w:rPr>
                <w:rFonts w:ascii="宋体" w:hAnsi="宋体"/>
                <w:color w:val="000000"/>
                <w:szCs w:val="21"/>
              </w:rPr>
            </w:pPr>
            <w:r>
              <w:rPr>
                <w:rFonts w:ascii="宋体" w:hAnsi="宋体"/>
                <w:color w:val="000000"/>
                <w:szCs w:val="21"/>
              </w:rPr>
              <w:t>台</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6EA79B64">
            <w:pPr>
              <w:spacing w:before="156"/>
              <w:jc w:val="center"/>
              <w:rPr>
                <w:rFonts w:hint="eastAsia" w:ascii="宋体" w:hAnsi="宋体"/>
                <w:color w:val="000000"/>
                <w:szCs w:val="21"/>
              </w:rPr>
            </w:pPr>
            <w:r>
              <w:rPr>
                <w:rFonts w:hint="eastAsia" w:ascii="宋体" w:hAnsi="宋体"/>
                <w:color w:val="000000"/>
                <w:szCs w:val="21"/>
              </w:rPr>
              <w:t>2</w:t>
            </w:r>
          </w:p>
        </w:tc>
      </w:tr>
      <w:tr w14:paraId="12672FD5">
        <w:tblPrEx>
          <w:tblCellMar>
            <w:top w:w="0" w:type="dxa"/>
            <w:left w:w="108" w:type="dxa"/>
            <w:bottom w:w="0" w:type="dxa"/>
            <w:right w:w="108" w:type="dxa"/>
          </w:tblCellMar>
        </w:tblPrEx>
        <w:trPr>
          <w:trHeight w:val="377"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3CDDC671">
            <w:pPr>
              <w:spacing w:before="156"/>
              <w:jc w:val="center"/>
              <w:rPr>
                <w:rFonts w:hint="eastAsia" w:ascii="宋体" w:hAnsi="宋体"/>
                <w:color w:val="000000"/>
                <w:szCs w:val="21"/>
              </w:rPr>
            </w:pPr>
            <w:r>
              <w:rPr>
                <w:rFonts w:hint="eastAsia" w:ascii="宋体" w:hAnsi="宋体"/>
                <w:color w:val="000000"/>
                <w:szCs w:val="21"/>
              </w:rPr>
              <w:t>18</w:t>
            </w:r>
          </w:p>
        </w:tc>
        <w:tc>
          <w:tcPr>
            <w:tcW w:w="2823" w:type="dxa"/>
            <w:tcBorders>
              <w:top w:val="single" w:color="000000" w:sz="4" w:space="0"/>
              <w:left w:val="single" w:color="000000" w:sz="4" w:space="0"/>
              <w:bottom w:val="single" w:color="000000" w:sz="4" w:space="0"/>
              <w:right w:val="single" w:color="000000" w:sz="4" w:space="0"/>
            </w:tcBorders>
            <w:noWrap w:val="0"/>
            <w:vAlign w:val="center"/>
          </w:tcPr>
          <w:p w14:paraId="456432C6">
            <w:pPr>
              <w:jc w:val="center"/>
              <w:rPr>
                <w:rFonts w:hint="eastAsia" w:ascii="宋体" w:hAnsi="宋体" w:cs="宋体"/>
                <w:color w:val="000000"/>
                <w:szCs w:val="21"/>
              </w:rPr>
            </w:pPr>
            <w:r>
              <w:rPr>
                <w:rFonts w:hint="eastAsia" w:ascii="宋体" w:hAnsi="宋体"/>
                <w:color w:val="000000"/>
                <w:szCs w:val="21"/>
              </w:rPr>
              <w:t>迈瑞五分类血球（机构合并）</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3B7E10E5">
            <w:pPr>
              <w:jc w:val="center"/>
              <w:rPr>
                <w:rFonts w:hint="eastAsia" w:ascii="宋体" w:hAnsi="宋体" w:cs="宋体"/>
                <w:color w:val="000000"/>
                <w:szCs w:val="21"/>
              </w:rPr>
            </w:pPr>
            <w:r>
              <w:rPr>
                <w:rFonts w:hint="eastAsia" w:ascii="宋体" w:hAnsi="宋体"/>
                <w:color w:val="000000"/>
                <w:szCs w:val="21"/>
              </w:rPr>
              <w:t>BC-5180</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201ED819">
            <w:pPr>
              <w:spacing w:before="156"/>
              <w:jc w:val="center"/>
              <w:rPr>
                <w:rFonts w:ascii="宋体" w:hAnsi="宋体"/>
                <w:color w:val="000000"/>
                <w:szCs w:val="21"/>
              </w:rPr>
            </w:pPr>
            <w:r>
              <w:rPr>
                <w:rFonts w:ascii="宋体" w:hAnsi="宋体"/>
                <w:color w:val="000000"/>
                <w:szCs w:val="21"/>
              </w:rPr>
              <w:t>台</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733301D4">
            <w:pPr>
              <w:spacing w:before="156"/>
              <w:jc w:val="center"/>
              <w:rPr>
                <w:rFonts w:hint="eastAsia" w:ascii="宋体" w:hAnsi="宋体"/>
                <w:color w:val="000000"/>
                <w:szCs w:val="21"/>
              </w:rPr>
            </w:pPr>
            <w:r>
              <w:rPr>
                <w:rFonts w:hint="eastAsia" w:ascii="宋体" w:hAnsi="宋体"/>
                <w:color w:val="000000"/>
                <w:szCs w:val="21"/>
              </w:rPr>
              <w:t>2</w:t>
            </w:r>
          </w:p>
        </w:tc>
      </w:tr>
      <w:tr w14:paraId="50BB9CD1">
        <w:tblPrEx>
          <w:tblCellMar>
            <w:top w:w="0" w:type="dxa"/>
            <w:left w:w="108" w:type="dxa"/>
            <w:bottom w:w="0" w:type="dxa"/>
            <w:right w:w="108" w:type="dxa"/>
          </w:tblCellMar>
        </w:tblPrEx>
        <w:trPr>
          <w:trHeight w:val="377"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589D783A">
            <w:pPr>
              <w:spacing w:before="156"/>
              <w:jc w:val="center"/>
              <w:rPr>
                <w:rFonts w:hint="eastAsia" w:ascii="宋体" w:hAnsi="宋体"/>
                <w:color w:val="000000"/>
                <w:szCs w:val="21"/>
              </w:rPr>
            </w:pPr>
            <w:r>
              <w:rPr>
                <w:rFonts w:hint="eastAsia" w:ascii="宋体" w:hAnsi="宋体"/>
                <w:color w:val="000000"/>
                <w:szCs w:val="21"/>
              </w:rPr>
              <w:t>19</w:t>
            </w:r>
          </w:p>
        </w:tc>
        <w:tc>
          <w:tcPr>
            <w:tcW w:w="2823" w:type="dxa"/>
            <w:tcBorders>
              <w:top w:val="single" w:color="000000" w:sz="4" w:space="0"/>
              <w:left w:val="single" w:color="000000" w:sz="4" w:space="0"/>
              <w:bottom w:val="single" w:color="000000" w:sz="4" w:space="0"/>
              <w:right w:val="single" w:color="000000" w:sz="4" w:space="0"/>
            </w:tcBorders>
            <w:noWrap w:val="0"/>
            <w:vAlign w:val="center"/>
          </w:tcPr>
          <w:p w14:paraId="5CF38ECB">
            <w:pPr>
              <w:jc w:val="center"/>
              <w:rPr>
                <w:rFonts w:hint="eastAsia" w:ascii="宋体" w:hAnsi="宋体" w:cs="宋体"/>
                <w:color w:val="000000"/>
                <w:szCs w:val="21"/>
              </w:rPr>
            </w:pPr>
            <w:r>
              <w:rPr>
                <w:rFonts w:hint="eastAsia" w:ascii="宋体" w:hAnsi="宋体"/>
                <w:color w:val="000000"/>
                <w:szCs w:val="21"/>
              </w:rPr>
              <w:t>安图酶标仪（机构合并）</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6376B52D">
            <w:pPr>
              <w:jc w:val="center"/>
              <w:rPr>
                <w:rFonts w:hint="eastAsia" w:ascii="宋体" w:hAnsi="宋体" w:cs="宋体"/>
                <w:color w:val="000000"/>
                <w:szCs w:val="21"/>
              </w:rPr>
            </w:pPr>
            <w:r>
              <w:rPr>
                <w:rFonts w:hint="eastAsia" w:ascii="宋体" w:hAnsi="宋体"/>
                <w:color w:val="000000"/>
                <w:szCs w:val="21"/>
              </w:rPr>
              <w:t>PHOMO</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1BAA3AAE">
            <w:pPr>
              <w:spacing w:before="156"/>
              <w:jc w:val="center"/>
              <w:rPr>
                <w:rFonts w:ascii="宋体" w:hAnsi="宋体"/>
                <w:color w:val="000000"/>
                <w:szCs w:val="21"/>
              </w:rPr>
            </w:pPr>
            <w:r>
              <w:rPr>
                <w:rFonts w:ascii="宋体" w:hAnsi="宋体"/>
                <w:color w:val="000000"/>
                <w:szCs w:val="21"/>
              </w:rPr>
              <w:t>台</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4CDF7001">
            <w:pPr>
              <w:spacing w:before="156"/>
              <w:jc w:val="center"/>
              <w:rPr>
                <w:rFonts w:hint="eastAsia" w:ascii="宋体" w:hAnsi="宋体"/>
                <w:color w:val="000000"/>
                <w:szCs w:val="21"/>
              </w:rPr>
            </w:pPr>
            <w:r>
              <w:rPr>
                <w:rFonts w:hint="eastAsia" w:ascii="宋体" w:hAnsi="宋体"/>
                <w:color w:val="000000"/>
                <w:szCs w:val="21"/>
              </w:rPr>
              <w:t>2</w:t>
            </w:r>
          </w:p>
        </w:tc>
      </w:tr>
      <w:tr w14:paraId="3621D544">
        <w:tblPrEx>
          <w:tblCellMar>
            <w:top w:w="0" w:type="dxa"/>
            <w:left w:w="108" w:type="dxa"/>
            <w:bottom w:w="0" w:type="dxa"/>
            <w:right w:w="108" w:type="dxa"/>
          </w:tblCellMar>
        </w:tblPrEx>
        <w:trPr>
          <w:trHeight w:val="499"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2DA75E93">
            <w:pPr>
              <w:spacing w:before="156"/>
              <w:jc w:val="center"/>
              <w:rPr>
                <w:rFonts w:hint="eastAsia" w:ascii="宋体" w:hAnsi="宋体"/>
                <w:color w:val="000000"/>
                <w:szCs w:val="21"/>
              </w:rPr>
            </w:pPr>
            <w:r>
              <w:rPr>
                <w:rFonts w:hint="eastAsia" w:ascii="宋体" w:hAnsi="宋体"/>
                <w:color w:val="000000"/>
                <w:szCs w:val="21"/>
              </w:rPr>
              <w:t>20</w:t>
            </w:r>
          </w:p>
        </w:tc>
        <w:tc>
          <w:tcPr>
            <w:tcW w:w="2823" w:type="dxa"/>
            <w:tcBorders>
              <w:top w:val="single" w:color="000000" w:sz="4" w:space="0"/>
              <w:left w:val="single" w:color="000000" w:sz="4" w:space="0"/>
              <w:bottom w:val="single" w:color="000000" w:sz="4" w:space="0"/>
              <w:right w:val="single" w:color="000000" w:sz="4" w:space="0"/>
            </w:tcBorders>
            <w:noWrap w:val="0"/>
            <w:vAlign w:val="center"/>
          </w:tcPr>
          <w:p w14:paraId="44D37D54">
            <w:pPr>
              <w:jc w:val="center"/>
              <w:rPr>
                <w:rFonts w:hint="eastAsia" w:ascii="宋体" w:hAnsi="宋体" w:cs="宋体"/>
                <w:color w:val="000000"/>
                <w:szCs w:val="21"/>
              </w:rPr>
            </w:pPr>
            <w:r>
              <w:rPr>
                <w:rFonts w:hint="eastAsia" w:ascii="宋体" w:hAnsi="宋体"/>
                <w:color w:val="000000"/>
                <w:szCs w:val="21"/>
              </w:rPr>
              <w:t>福意联可调控恒温箱</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153DEEE1">
            <w:pPr>
              <w:jc w:val="center"/>
              <w:rPr>
                <w:rFonts w:hint="eastAsia" w:ascii="宋体" w:hAnsi="宋体" w:cs="宋体"/>
                <w:color w:val="000000"/>
                <w:szCs w:val="21"/>
              </w:rPr>
            </w:pPr>
            <w:r>
              <w:rPr>
                <w:rFonts w:hint="eastAsia" w:ascii="宋体" w:hAnsi="宋体"/>
                <w:color w:val="000000"/>
                <w:szCs w:val="21"/>
              </w:rPr>
              <w:t>50L</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597D9F28">
            <w:pPr>
              <w:spacing w:before="156"/>
              <w:jc w:val="center"/>
              <w:rPr>
                <w:rFonts w:ascii="宋体" w:hAnsi="宋体"/>
                <w:color w:val="000000"/>
                <w:szCs w:val="21"/>
              </w:rPr>
            </w:pPr>
            <w:r>
              <w:rPr>
                <w:rFonts w:ascii="宋体" w:hAnsi="宋体"/>
                <w:color w:val="000000"/>
                <w:szCs w:val="21"/>
              </w:rPr>
              <w:t>套</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1A25F404">
            <w:pPr>
              <w:spacing w:before="156"/>
              <w:jc w:val="center"/>
              <w:rPr>
                <w:rFonts w:hint="eastAsia" w:ascii="宋体" w:hAnsi="宋体"/>
                <w:color w:val="000000"/>
                <w:szCs w:val="21"/>
              </w:rPr>
            </w:pPr>
            <w:r>
              <w:rPr>
                <w:rFonts w:hint="eastAsia" w:ascii="宋体" w:hAnsi="宋体"/>
                <w:color w:val="000000"/>
                <w:szCs w:val="21"/>
              </w:rPr>
              <w:t>2</w:t>
            </w:r>
          </w:p>
        </w:tc>
      </w:tr>
      <w:tr w14:paraId="1EF1D6C3">
        <w:tblPrEx>
          <w:tblCellMar>
            <w:top w:w="0" w:type="dxa"/>
            <w:left w:w="108" w:type="dxa"/>
            <w:bottom w:w="0" w:type="dxa"/>
            <w:right w:w="108" w:type="dxa"/>
          </w:tblCellMar>
        </w:tblPrEx>
        <w:trPr>
          <w:trHeight w:val="446"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05B05577">
            <w:pPr>
              <w:spacing w:before="156"/>
              <w:jc w:val="center"/>
              <w:rPr>
                <w:rFonts w:hint="eastAsia" w:ascii="宋体" w:hAnsi="宋体"/>
                <w:color w:val="000000"/>
                <w:szCs w:val="21"/>
              </w:rPr>
            </w:pPr>
            <w:r>
              <w:rPr>
                <w:rFonts w:hint="eastAsia" w:ascii="宋体" w:hAnsi="宋体"/>
                <w:color w:val="000000"/>
                <w:szCs w:val="21"/>
              </w:rPr>
              <w:t>21</w:t>
            </w:r>
          </w:p>
        </w:tc>
        <w:tc>
          <w:tcPr>
            <w:tcW w:w="2823" w:type="dxa"/>
            <w:tcBorders>
              <w:top w:val="single" w:color="000000" w:sz="4" w:space="0"/>
              <w:left w:val="single" w:color="000000" w:sz="4" w:space="0"/>
              <w:bottom w:val="single" w:color="000000" w:sz="4" w:space="0"/>
              <w:right w:val="single" w:color="000000" w:sz="4" w:space="0"/>
            </w:tcBorders>
            <w:noWrap w:val="0"/>
            <w:vAlign w:val="center"/>
          </w:tcPr>
          <w:p w14:paraId="41ACC061">
            <w:pPr>
              <w:jc w:val="center"/>
              <w:rPr>
                <w:rFonts w:hint="eastAsia" w:ascii="宋体" w:hAnsi="宋体" w:cs="宋体"/>
                <w:color w:val="000000"/>
                <w:szCs w:val="21"/>
              </w:rPr>
            </w:pPr>
            <w:r>
              <w:rPr>
                <w:rFonts w:hint="eastAsia" w:ascii="宋体" w:hAnsi="宋体"/>
                <w:color w:val="000000"/>
                <w:szCs w:val="21"/>
              </w:rPr>
              <w:t>迈瑞全自动化学免疫分析仪</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7381779A">
            <w:pPr>
              <w:jc w:val="center"/>
              <w:rPr>
                <w:rFonts w:hint="eastAsia" w:ascii="宋体" w:hAnsi="宋体" w:cs="宋体"/>
                <w:color w:val="000000"/>
                <w:szCs w:val="21"/>
              </w:rPr>
            </w:pPr>
            <w:r>
              <w:rPr>
                <w:rFonts w:hint="eastAsia" w:ascii="宋体" w:hAnsi="宋体"/>
                <w:color w:val="000000"/>
                <w:szCs w:val="21"/>
              </w:rPr>
              <w:t>CL-2000i</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456834B5">
            <w:pPr>
              <w:spacing w:before="156"/>
              <w:jc w:val="center"/>
              <w:rPr>
                <w:rFonts w:ascii="宋体" w:hAnsi="宋体"/>
                <w:color w:val="000000"/>
                <w:szCs w:val="21"/>
              </w:rPr>
            </w:pPr>
            <w:r>
              <w:rPr>
                <w:rFonts w:hint="eastAsia" w:ascii="宋体" w:hAnsi="宋体"/>
                <w:color w:val="000000"/>
                <w:szCs w:val="21"/>
              </w:rPr>
              <w:t>台</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1C8D4C77">
            <w:pPr>
              <w:spacing w:before="156"/>
              <w:jc w:val="center"/>
              <w:rPr>
                <w:rFonts w:hint="eastAsia" w:ascii="宋体" w:hAnsi="宋体"/>
                <w:color w:val="000000"/>
                <w:szCs w:val="21"/>
              </w:rPr>
            </w:pPr>
            <w:r>
              <w:rPr>
                <w:rFonts w:hint="eastAsia" w:ascii="宋体" w:hAnsi="宋体"/>
                <w:color w:val="000000"/>
                <w:szCs w:val="21"/>
              </w:rPr>
              <w:t>2</w:t>
            </w:r>
          </w:p>
        </w:tc>
      </w:tr>
      <w:tr w14:paraId="1C32A2D2">
        <w:tblPrEx>
          <w:tblCellMar>
            <w:top w:w="0" w:type="dxa"/>
            <w:left w:w="108" w:type="dxa"/>
            <w:bottom w:w="0" w:type="dxa"/>
            <w:right w:w="108" w:type="dxa"/>
          </w:tblCellMar>
        </w:tblPrEx>
        <w:trPr>
          <w:trHeight w:val="377"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03A94520">
            <w:pPr>
              <w:spacing w:before="156"/>
              <w:jc w:val="center"/>
              <w:rPr>
                <w:rFonts w:hint="eastAsia" w:ascii="宋体" w:hAnsi="宋体"/>
                <w:color w:val="000000"/>
                <w:szCs w:val="21"/>
              </w:rPr>
            </w:pPr>
            <w:r>
              <w:rPr>
                <w:rFonts w:hint="eastAsia" w:ascii="宋体" w:hAnsi="宋体"/>
                <w:color w:val="000000"/>
                <w:szCs w:val="21"/>
              </w:rPr>
              <w:t>22</w:t>
            </w:r>
          </w:p>
        </w:tc>
        <w:tc>
          <w:tcPr>
            <w:tcW w:w="2823" w:type="dxa"/>
            <w:tcBorders>
              <w:top w:val="single" w:color="000000" w:sz="4" w:space="0"/>
              <w:left w:val="single" w:color="000000" w:sz="4" w:space="0"/>
              <w:bottom w:val="single" w:color="000000" w:sz="4" w:space="0"/>
              <w:right w:val="single" w:color="000000" w:sz="4" w:space="0"/>
            </w:tcBorders>
            <w:noWrap w:val="0"/>
            <w:vAlign w:val="center"/>
          </w:tcPr>
          <w:p w14:paraId="184A225C">
            <w:pPr>
              <w:jc w:val="center"/>
              <w:rPr>
                <w:rFonts w:hint="eastAsia" w:ascii="宋体" w:hAnsi="宋体" w:cs="宋体"/>
                <w:color w:val="000000"/>
                <w:szCs w:val="21"/>
              </w:rPr>
            </w:pPr>
            <w:r>
              <w:rPr>
                <w:rFonts w:hint="eastAsia" w:ascii="宋体" w:hAnsi="宋体"/>
                <w:color w:val="000000"/>
                <w:szCs w:val="21"/>
              </w:rPr>
              <w:t>阴道炎检测仪（五联检）</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7819BA07">
            <w:pPr>
              <w:jc w:val="center"/>
              <w:rPr>
                <w:rFonts w:hint="eastAsia" w:ascii="宋体" w:hAnsi="宋体" w:cs="宋体"/>
                <w:color w:val="000000"/>
                <w:szCs w:val="21"/>
              </w:rPr>
            </w:pPr>
            <w:r>
              <w:rPr>
                <w:rFonts w:hint="eastAsia" w:ascii="宋体" w:hAnsi="宋体"/>
                <w:color w:val="000000"/>
                <w:szCs w:val="21"/>
              </w:rPr>
              <w:t>LIS-V400</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37FF6C7D">
            <w:pPr>
              <w:spacing w:before="156"/>
              <w:jc w:val="center"/>
              <w:rPr>
                <w:rFonts w:hint="eastAsia" w:ascii="宋体" w:hAnsi="宋体"/>
                <w:color w:val="000000"/>
                <w:szCs w:val="21"/>
              </w:rPr>
            </w:pPr>
            <w:r>
              <w:rPr>
                <w:rFonts w:hint="eastAsia" w:ascii="宋体" w:hAnsi="宋体"/>
                <w:color w:val="000000"/>
                <w:szCs w:val="21"/>
              </w:rPr>
              <w:t>套</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4500E182">
            <w:pPr>
              <w:spacing w:before="156"/>
              <w:jc w:val="center"/>
              <w:rPr>
                <w:rFonts w:hint="eastAsia" w:ascii="宋体" w:hAnsi="宋体"/>
                <w:color w:val="000000"/>
                <w:szCs w:val="21"/>
              </w:rPr>
            </w:pPr>
            <w:r>
              <w:rPr>
                <w:rFonts w:hint="eastAsia" w:ascii="宋体" w:hAnsi="宋体"/>
                <w:color w:val="000000"/>
                <w:szCs w:val="21"/>
              </w:rPr>
              <w:t>2</w:t>
            </w:r>
          </w:p>
        </w:tc>
      </w:tr>
      <w:tr w14:paraId="75AE8DCC">
        <w:tblPrEx>
          <w:tblCellMar>
            <w:top w:w="0" w:type="dxa"/>
            <w:left w:w="108" w:type="dxa"/>
            <w:bottom w:w="0" w:type="dxa"/>
            <w:right w:w="108" w:type="dxa"/>
          </w:tblCellMar>
        </w:tblPrEx>
        <w:trPr>
          <w:trHeight w:val="377"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0BB628E2">
            <w:pPr>
              <w:spacing w:before="156"/>
              <w:jc w:val="center"/>
              <w:rPr>
                <w:rFonts w:hint="eastAsia" w:ascii="宋体" w:hAnsi="宋体"/>
                <w:color w:val="000000"/>
                <w:szCs w:val="21"/>
              </w:rPr>
            </w:pPr>
            <w:r>
              <w:rPr>
                <w:rFonts w:hint="eastAsia" w:ascii="宋体" w:hAnsi="宋体"/>
                <w:color w:val="000000"/>
                <w:szCs w:val="21"/>
              </w:rPr>
              <w:t>23</w:t>
            </w:r>
          </w:p>
        </w:tc>
        <w:tc>
          <w:tcPr>
            <w:tcW w:w="2823" w:type="dxa"/>
            <w:tcBorders>
              <w:top w:val="single" w:color="000000" w:sz="4" w:space="0"/>
              <w:left w:val="single" w:color="000000" w:sz="4" w:space="0"/>
              <w:bottom w:val="single" w:color="000000" w:sz="4" w:space="0"/>
              <w:right w:val="single" w:color="000000" w:sz="4" w:space="0"/>
            </w:tcBorders>
            <w:noWrap w:val="0"/>
            <w:vAlign w:val="center"/>
          </w:tcPr>
          <w:p w14:paraId="719782B7">
            <w:pPr>
              <w:jc w:val="center"/>
              <w:rPr>
                <w:rFonts w:hint="eastAsia" w:ascii="宋体" w:hAnsi="宋体" w:cs="宋体"/>
                <w:color w:val="000000"/>
                <w:szCs w:val="21"/>
              </w:rPr>
            </w:pPr>
            <w:r>
              <w:rPr>
                <w:rFonts w:hint="eastAsia" w:ascii="宋体" w:hAnsi="宋体"/>
                <w:color w:val="000000"/>
                <w:szCs w:val="21"/>
              </w:rPr>
              <w:t>血液分析仪</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0D4404B9">
            <w:pPr>
              <w:jc w:val="center"/>
              <w:rPr>
                <w:rFonts w:hint="eastAsia" w:ascii="宋体" w:hAnsi="宋体" w:cs="宋体"/>
                <w:color w:val="000000"/>
                <w:szCs w:val="21"/>
              </w:rPr>
            </w:pPr>
            <w:r>
              <w:rPr>
                <w:rFonts w:hint="eastAsia" w:ascii="宋体" w:hAnsi="宋体"/>
                <w:color w:val="000000"/>
                <w:szCs w:val="21"/>
              </w:rPr>
              <w:t>XS-500i</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6B8A1679">
            <w:pPr>
              <w:spacing w:before="156"/>
              <w:jc w:val="center"/>
              <w:rPr>
                <w:rFonts w:ascii="宋体" w:hAnsi="宋体"/>
                <w:color w:val="000000"/>
                <w:szCs w:val="21"/>
              </w:rPr>
            </w:pPr>
            <w:r>
              <w:rPr>
                <w:rFonts w:ascii="宋体" w:hAnsi="宋体"/>
                <w:color w:val="000000"/>
                <w:szCs w:val="21"/>
              </w:rPr>
              <w:t>台</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125BD6E9">
            <w:pPr>
              <w:spacing w:before="156"/>
              <w:jc w:val="center"/>
              <w:rPr>
                <w:rFonts w:hint="eastAsia" w:ascii="宋体" w:hAnsi="宋体"/>
                <w:color w:val="000000"/>
                <w:szCs w:val="21"/>
              </w:rPr>
            </w:pPr>
            <w:r>
              <w:rPr>
                <w:rFonts w:hint="eastAsia" w:ascii="宋体" w:hAnsi="宋体"/>
                <w:color w:val="000000"/>
                <w:szCs w:val="21"/>
              </w:rPr>
              <w:t>2</w:t>
            </w:r>
          </w:p>
        </w:tc>
      </w:tr>
      <w:tr w14:paraId="069C0775">
        <w:tblPrEx>
          <w:tblCellMar>
            <w:top w:w="0" w:type="dxa"/>
            <w:left w:w="108" w:type="dxa"/>
            <w:bottom w:w="0" w:type="dxa"/>
            <w:right w:w="108" w:type="dxa"/>
          </w:tblCellMar>
        </w:tblPrEx>
        <w:trPr>
          <w:trHeight w:val="423"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1173707B">
            <w:pPr>
              <w:spacing w:before="156"/>
              <w:jc w:val="center"/>
              <w:rPr>
                <w:rFonts w:hint="eastAsia" w:ascii="宋体" w:hAnsi="宋体"/>
                <w:color w:val="000000"/>
                <w:szCs w:val="21"/>
              </w:rPr>
            </w:pPr>
            <w:r>
              <w:rPr>
                <w:rFonts w:hint="eastAsia" w:ascii="宋体" w:hAnsi="宋体"/>
                <w:color w:val="000000"/>
                <w:szCs w:val="21"/>
              </w:rPr>
              <w:t>24</w:t>
            </w:r>
          </w:p>
        </w:tc>
        <w:tc>
          <w:tcPr>
            <w:tcW w:w="2823" w:type="dxa"/>
            <w:tcBorders>
              <w:top w:val="single" w:color="000000" w:sz="4" w:space="0"/>
              <w:left w:val="single" w:color="000000" w:sz="4" w:space="0"/>
              <w:bottom w:val="single" w:color="000000" w:sz="4" w:space="0"/>
              <w:right w:val="single" w:color="000000" w:sz="4" w:space="0"/>
            </w:tcBorders>
            <w:noWrap w:val="0"/>
            <w:vAlign w:val="center"/>
          </w:tcPr>
          <w:p w14:paraId="0A8F545A">
            <w:pPr>
              <w:jc w:val="center"/>
              <w:rPr>
                <w:rFonts w:hint="eastAsia" w:ascii="宋体" w:hAnsi="宋体" w:cs="宋体"/>
                <w:color w:val="000000"/>
                <w:szCs w:val="21"/>
              </w:rPr>
            </w:pPr>
            <w:r>
              <w:rPr>
                <w:rFonts w:hint="eastAsia" w:ascii="宋体" w:hAnsi="宋体"/>
                <w:color w:val="000000"/>
                <w:szCs w:val="21"/>
              </w:rPr>
              <w:t>化验离心机</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4B7A53CD">
            <w:pPr>
              <w:jc w:val="center"/>
              <w:rPr>
                <w:rFonts w:hint="eastAsia" w:ascii="宋体" w:hAnsi="宋体" w:cs="宋体"/>
                <w:color w:val="000000"/>
                <w:szCs w:val="21"/>
              </w:rPr>
            </w:pPr>
            <w:r>
              <w:rPr>
                <w:rFonts w:hint="eastAsia" w:ascii="宋体" w:hAnsi="宋体"/>
                <w:color w:val="000000"/>
                <w:szCs w:val="21"/>
              </w:rPr>
              <w:t>LDZ-2</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2EE2A0C2">
            <w:pPr>
              <w:spacing w:before="156"/>
              <w:jc w:val="center"/>
              <w:rPr>
                <w:rFonts w:ascii="宋体" w:hAnsi="宋体"/>
                <w:color w:val="000000"/>
                <w:szCs w:val="21"/>
              </w:rPr>
            </w:pPr>
            <w:r>
              <w:rPr>
                <w:rFonts w:ascii="宋体" w:hAnsi="宋体"/>
                <w:color w:val="000000"/>
                <w:szCs w:val="21"/>
              </w:rPr>
              <w:t>台</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6148F58D">
            <w:pPr>
              <w:spacing w:before="156"/>
              <w:jc w:val="center"/>
              <w:rPr>
                <w:rFonts w:hint="eastAsia" w:ascii="宋体" w:hAnsi="宋体"/>
                <w:color w:val="000000"/>
                <w:szCs w:val="21"/>
              </w:rPr>
            </w:pPr>
            <w:r>
              <w:rPr>
                <w:rFonts w:hint="eastAsia" w:ascii="宋体" w:hAnsi="宋体"/>
                <w:color w:val="000000"/>
                <w:szCs w:val="21"/>
              </w:rPr>
              <w:t>2</w:t>
            </w:r>
          </w:p>
        </w:tc>
      </w:tr>
      <w:tr w14:paraId="60882388">
        <w:tblPrEx>
          <w:tblCellMar>
            <w:top w:w="0" w:type="dxa"/>
            <w:left w:w="108" w:type="dxa"/>
            <w:bottom w:w="0" w:type="dxa"/>
            <w:right w:w="108" w:type="dxa"/>
          </w:tblCellMar>
        </w:tblPrEx>
        <w:trPr>
          <w:trHeight w:val="377"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53A82FEB">
            <w:pPr>
              <w:spacing w:before="156"/>
              <w:jc w:val="center"/>
              <w:rPr>
                <w:rFonts w:hint="eastAsia" w:ascii="宋体" w:hAnsi="宋体"/>
                <w:color w:val="000000"/>
                <w:szCs w:val="21"/>
              </w:rPr>
            </w:pPr>
            <w:r>
              <w:rPr>
                <w:rFonts w:hint="eastAsia" w:ascii="宋体" w:hAnsi="宋体"/>
                <w:color w:val="000000"/>
                <w:szCs w:val="21"/>
              </w:rPr>
              <w:t>25</w:t>
            </w:r>
          </w:p>
        </w:tc>
        <w:tc>
          <w:tcPr>
            <w:tcW w:w="2823" w:type="dxa"/>
            <w:tcBorders>
              <w:top w:val="single" w:color="000000" w:sz="4" w:space="0"/>
              <w:left w:val="single" w:color="000000" w:sz="4" w:space="0"/>
              <w:bottom w:val="single" w:color="000000" w:sz="4" w:space="0"/>
              <w:right w:val="single" w:color="000000" w:sz="4" w:space="0"/>
            </w:tcBorders>
            <w:noWrap w:val="0"/>
            <w:vAlign w:val="center"/>
          </w:tcPr>
          <w:p w14:paraId="256F8D76">
            <w:pPr>
              <w:jc w:val="center"/>
              <w:rPr>
                <w:rFonts w:hint="eastAsia" w:ascii="宋体" w:hAnsi="宋体" w:cs="宋体"/>
                <w:color w:val="000000"/>
                <w:szCs w:val="21"/>
              </w:rPr>
            </w:pPr>
            <w:r>
              <w:rPr>
                <w:rFonts w:hint="eastAsia" w:ascii="宋体" w:hAnsi="宋体"/>
                <w:color w:val="000000"/>
                <w:szCs w:val="21"/>
              </w:rPr>
              <w:t>血凝仪</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4C661CA7">
            <w:pPr>
              <w:jc w:val="center"/>
              <w:rPr>
                <w:rFonts w:hint="eastAsia" w:ascii="宋体" w:hAnsi="宋体" w:cs="宋体"/>
                <w:color w:val="000000"/>
                <w:szCs w:val="21"/>
              </w:rPr>
            </w:pPr>
            <w:r>
              <w:rPr>
                <w:rFonts w:hint="eastAsia" w:ascii="宋体" w:hAnsi="宋体"/>
                <w:color w:val="000000"/>
                <w:szCs w:val="21"/>
              </w:rPr>
              <w:t>CA-500</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6682D8CB">
            <w:pPr>
              <w:spacing w:before="156"/>
              <w:jc w:val="center"/>
              <w:rPr>
                <w:rFonts w:ascii="宋体" w:hAnsi="宋体"/>
                <w:color w:val="000000"/>
                <w:szCs w:val="21"/>
              </w:rPr>
            </w:pPr>
            <w:r>
              <w:rPr>
                <w:rFonts w:hint="eastAsia" w:ascii="宋体" w:hAnsi="宋体"/>
                <w:color w:val="000000"/>
                <w:szCs w:val="21"/>
              </w:rPr>
              <w:t>台</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6838A596">
            <w:pPr>
              <w:spacing w:before="156"/>
              <w:jc w:val="center"/>
              <w:rPr>
                <w:rFonts w:hint="eastAsia" w:ascii="宋体" w:hAnsi="宋体"/>
                <w:color w:val="000000"/>
                <w:szCs w:val="21"/>
              </w:rPr>
            </w:pPr>
            <w:r>
              <w:rPr>
                <w:rFonts w:hint="eastAsia" w:ascii="宋体" w:hAnsi="宋体"/>
                <w:color w:val="000000"/>
                <w:szCs w:val="21"/>
              </w:rPr>
              <w:t>2</w:t>
            </w:r>
          </w:p>
        </w:tc>
      </w:tr>
      <w:tr w14:paraId="3F63D0FE">
        <w:tblPrEx>
          <w:tblCellMar>
            <w:top w:w="0" w:type="dxa"/>
            <w:left w:w="108" w:type="dxa"/>
            <w:bottom w:w="0" w:type="dxa"/>
            <w:right w:w="108" w:type="dxa"/>
          </w:tblCellMar>
        </w:tblPrEx>
        <w:trPr>
          <w:trHeight w:val="536"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6198864E">
            <w:pPr>
              <w:spacing w:before="156"/>
              <w:jc w:val="center"/>
              <w:rPr>
                <w:rFonts w:hint="eastAsia" w:ascii="宋体" w:hAnsi="宋体"/>
                <w:color w:val="000000"/>
                <w:szCs w:val="21"/>
              </w:rPr>
            </w:pPr>
            <w:r>
              <w:rPr>
                <w:rFonts w:hint="eastAsia" w:ascii="宋体" w:hAnsi="宋体"/>
                <w:color w:val="000000"/>
                <w:szCs w:val="21"/>
              </w:rPr>
              <w:t>26</w:t>
            </w:r>
          </w:p>
        </w:tc>
        <w:tc>
          <w:tcPr>
            <w:tcW w:w="2823" w:type="dxa"/>
            <w:tcBorders>
              <w:top w:val="single" w:color="000000" w:sz="4" w:space="0"/>
              <w:left w:val="single" w:color="000000" w:sz="4" w:space="0"/>
              <w:bottom w:val="single" w:color="000000" w:sz="4" w:space="0"/>
              <w:right w:val="single" w:color="000000" w:sz="4" w:space="0"/>
            </w:tcBorders>
            <w:noWrap w:val="0"/>
            <w:vAlign w:val="center"/>
          </w:tcPr>
          <w:p w14:paraId="6B1C9925">
            <w:pPr>
              <w:jc w:val="center"/>
              <w:rPr>
                <w:rFonts w:hint="eastAsia" w:ascii="宋体" w:hAnsi="宋体" w:cs="宋体"/>
                <w:color w:val="000000"/>
                <w:szCs w:val="21"/>
              </w:rPr>
            </w:pPr>
            <w:r>
              <w:rPr>
                <w:rFonts w:hint="eastAsia" w:ascii="宋体" w:hAnsi="宋体"/>
                <w:color w:val="000000"/>
                <w:szCs w:val="21"/>
              </w:rPr>
              <w:t>电解分析仪</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108FA622">
            <w:pPr>
              <w:jc w:val="center"/>
              <w:rPr>
                <w:rFonts w:hint="eastAsia" w:ascii="宋体" w:hAnsi="宋体" w:cs="宋体"/>
                <w:color w:val="000000"/>
                <w:szCs w:val="21"/>
              </w:rPr>
            </w:pPr>
            <w:r>
              <w:rPr>
                <w:rFonts w:hint="eastAsia" w:ascii="宋体" w:hAnsi="宋体"/>
                <w:color w:val="000000"/>
                <w:szCs w:val="21"/>
              </w:rPr>
              <w:t>AFT-500</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21C395D6">
            <w:pPr>
              <w:spacing w:before="156"/>
              <w:jc w:val="center"/>
              <w:rPr>
                <w:rFonts w:ascii="宋体" w:hAnsi="宋体"/>
                <w:color w:val="000000"/>
                <w:szCs w:val="21"/>
              </w:rPr>
            </w:pPr>
            <w:r>
              <w:rPr>
                <w:rFonts w:hint="eastAsia" w:ascii="宋体" w:hAnsi="宋体"/>
                <w:color w:val="000000"/>
                <w:szCs w:val="21"/>
              </w:rPr>
              <w:t>台</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26BF2180">
            <w:pPr>
              <w:spacing w:before="156"/>
              <w:jc w:val="center"/>
              <w:rPr>
                <w:rFonts w:hint="eastAsia" w:ascii="宋体" w:hAnsi="宋体"/>
                <w:color w:val="000000"/>
                <w:szCs w:val="21"/>
              </w:rPr>
            </w:pPr>
            <w:r>
              <w:rPr>
                <w:rFonts w:hint="eastAsia" w:ascii="宋体" w:hAnsi="宋体"/>
                <w:color w:val="000000"/>
                <w:szCs w:val="21"/>
              </w:rPr>
              <w:t>2</w:t>
            </w:r>
          </w:p>
        </w:tc>
      </w:tr>
      <w:tr w14:paraId="12D2595E">
        <w:tblPrEx>
          <w:tblCellMar>
            <w:top w:w="0" w:type="dxa"/>
            <w:left w:w="108" w:type="dxa"/>
            <w:bottom w:w="0" w:type="dxa"/>
            <w:right w:w="108" w:type="dxa"/>
          </w:tblCellMar>
        </w:tblPrEx>
        <w:trPr>
          <w:trHeight w:val="499"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3B3E9B3E">
            <w:pPr>
              <w:spacing w:before="156"/>
              <w:jc w:val="center"/>
              <w:rPr>
                <w:rFonts w:hint="eastAsia" w:ascii="宋体" w:hAnsi="宋体"/>
                <w:color w:val="000000"/>
                <w:szCs w:val="21"/>
              </w:rPr>
            </w:pPr>
            <w:r>
              <w:rPr>
                <w:rFonts w:hint="eastAsia" w:ascii="宋体" w:hAnsi="宋体"/>
                <w:color w:val="000000"/>
                <w:szCs w:val="21"/>
              </w:rPr>
              <w:t>27</w:t>
            </w:r>
          </w:p>
        </w:tc>
        <w:tc>
          <w:tcPr>
            <w:tcW w:w="2823" w:type="dxa"/>
            <w:tcBorders>
              <w:top w:val="single" w:color="000000" w:sz="4" w:space="0"/>
              <w:left w:val="single" w:color="000000" w:sz="4" w:space="0"/>
              <w:bottom w:val="single" w:color="000000" w:sz="4" w:space="0"/>
              <w:right w:val="single" w:color="000000" w:sz="4" w:space="0"/>
            </w:tcBorders>
            <w:noWrap w:val="0"/>
            <w:vAlign w:val="center"/>
          </w:tcPr>
          <w:p w14:paraId="63408852">
            <w:pPr>
              <w:jc w:val="center"/>
              <w:rPr>
                <w:rFonts w:hint="eastAsia" w:ascii="宋体" w:hAnsi="宋体" w:cs="宋体"/>
                <w:color w:val="000000"/>
                <w:szCs w:val="21"/>
              </w:rPr>
            </w:pPr>
            <w:r>
              <w:rPr>
                <w:rFonts w:hint="eastAsia" w:ascii="宋体" w:hAnsi="宋体"/>
                <w:color w:val="000000"/>
                <w:szCs w:val="21"/>
              </w:rPr>
              <w:t>DELL电脑台式机</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71632543">
            <w:pPr>
              <w:jc w:val="center"/>
              <w:rPr>
                <w:rFonts w:hint="eastAsia" w:ascii="宋体" w:hAnsi="宋体" w:cs="宋体"/>
                <w:color w:val="000000"/>
                <w:szCs w:val="21"/>
              </w:rPr>
            </w:pPr>
            <w:r>
              <w:rPr>
                <w:rFonts w:hint="eastAsia" w:ascii="宋体" w:hAnsi="宋体"/>
                <w:color w:val="000000"/>
                <w:szCs w:val="21"/>
              </w:rPr>
              <w:t>6Q2PGZ1</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292FE7E8">
            <w:pPr>
              <w:spacing w:before="156"/>
              <w:jc w:val="center"/>
              <w:rPr>
                <w:rFonts w:hint="eastAsia" w:ascii="宋体" w:hAnsi="宋体"/>
                <w:color w:val="000000"/>
                <w:szCs w:val="21"/>
              </w:rPr>
            </w:pPr>
            <w:r>
              <w:rPr>
                <w:rFonts w:hint="eastAsia" w:ascii="宋体" w:hAnsi="宋体"/>
                <w:color w:val="000000"/>
                <w:szCs w:val="21"/>
              </w:rPr>
              <w:t>台</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1CEBF488">
            <w:pPr>
              <w:spacing w:before="156"/>
              <w:jc w:val="center"/>
              <w:rPr>
                <w:rFonts w:hint="eastAsia" w:ascii="宋体" w:hAnsi="宋体"/>
                <w:color w:val="000000"/>
                <w:szCs w:val="21"/>
              </w:rPr>
            </w:pPr>
            <w:r>
              <w:rPr>
                <w:rFonts w:hint="eastAsia" w:ascii="宋体" w:hAnsi="宋体"/>
                <w:color w:val="000000"/>
                <w:szCs w:val="21"/>
              </w:rPr>
              <w:t>2</w:t>
            </w:r>
          </w:p>
        </w:tc>
      </w:tr>
      <w:tr w14:paraId="69D6CD03">
        <w:tblPrEx>
          <w:tblCellMar>
            <w:top w:w="0" w:type="dxa"/>
            <w:left w:w="108" w:type="dxa"/>
            <w:bottom w:w="0" w:type="dxa"/>
            <w:right w:w="108" w:type="dxa"/>
          </w:tblCellMar>
        </w:tblPrEx>
        <w:trPr>
          <w:trHeight w:val="377"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54A6F6CA">
            <w:pPr>
              <w:spacing w:before="156"/>
              <w:jc w:val="center"/>
              <w:rPr>
                <w:rFonts w:hint="eastAsia" w:ascii="宋体" w:hAnsi="宋体"/>
                <w:color w:val="000000"/>
                <w:szCs w:val="21"/>
              </w:rPr>
            </w:pPr>
            <w:r>
              <w:rPr>
                <w:rFonts w:hint="eastAsia" w:ascii="宋体" w:hAnsi="宋体"/>
                <w:color w:val="000000"/>
                <w:szCs w:val="21"/>
              </w:rPr>
              <w:t>28</w:t>
            </w:r>
          </w:p>
        </w:tc>
        <w:tc>
          <w:tcPr>
            <w:tcW w:w="2823" w:type="dxa"/>
            <w:tcBorders>
              <w:top w:val="single" w:color="000000" w:sz="4" w:space="0"/>
              <w:left w:val="single" w:color="000000" w:sz="4" w:space="0"/>
              <w:bottom w:val="single" w:color="000000" w:sz="4" w:space="0"/>
              <w:right w:val="single" w:color="000000" w:sz="4" w:space="0"/>
            </w:tcBorders>
            <w:noWrap w:val="0"/>
            <w:vAlign w:val="center"/>
          </w:tcPr>
          <w:p w14:paraId="58D2E9AB">
            <w:pPr>
              <w:jc w:val="center"/>
              <w:rPr>
                <w:rFonts w:hint="eastAsia" w:ascii="宋体" w:hAnsi="宋体" w:cs="宋体"/>
                <w:color w:val="000000"/>
                <w:szCs w:val="21"/>
              </w:rPr>
            </w:pPr>
            <w:r>
              <w:rPr>
                <w:rFonts w:hint="eastAsia" w:ascii="宋体" w:hAnsi="宋体"/>
                <w:color w:val="000000"/>
                <w:szCs w:val="21"/>
              </w:rPr>
              <w:t>电动吸引器</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534DEB1A">
            <w:pPr>
              <w:jc w:val="center"/>
              <w:rPr>
                <w:rFonts w:ascii="宋体" w:hAnsi="宋体" w:cs="宋体"/>
                <w:color w:val="000000"/>
                <w:szCs w:val="21"/>
              </w:rPr>
            </w:pP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4B271966">
            <w:pPr>
              <w:spacing w:before="156"/>
              <w:jc w:val="center"/>
              <w:rPr>
                <w:rFonts w:hint="eastAsia" w:ascii="宋体" w:hAnsi="宋体"/>
                <w:color w:val="000000"/>
                <w:szCs w:val="21"/>
              </w:rPr>
            </w:pPr>
            <w:r>
              <w:rPr>
                <w:rFonts w:hint="eastAsia" w:ascii="宋体" w:hAnsi="宋体"/>
                <w:color w:val="000000"/>
                <w:szCs w:val="21"/>
              </w:rPr>
              <w:t>套</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459E3317">
            <w:pPr>
              <w:spacing w:before="156"/>
              <w:jc w:val="center"/>
              <w:rPr>
                <w:rFonts w:ascii="宋体" w:hAnsi="宋体"/>
                <w:color w:val="000000"/>
                <w:szCs w:val="21"/>
              </w:rPr>
            </w:pPr>
            <w:r>
              <w:rPr>
                <w:rFonts w:ascii="宋体" w:hAnsi="宋体"/>
                <w:color w:val="000000"/>
                <w:szCs w:val="21"/>
              </w:rPr>
              <w:t>1</w:t>
            </w:r>
          </w:p>
        </w:tc>
      </w:tr>
      <w:tr w14:paraId="7404E9BF">
        <w:tblPrEx>
          <w:tblCellMar>
            <w:top w:w="0" w:type="dxa"/>
            <w:left w:w="108" w:type="dxa"/>
            <w:bottom w:w="0" w:type="dxa"/>
            <w:right w:w="108" w:type="dxa"/>
          </w:tblCellMar>
        </w:tblPrEx>
        <w:trPr>
          <w:trHeight w:val="384"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4B34D9A5">
            <w:pPr>
              <w:spacing w:before="156"/>
              <w:jc w:val="center"/>
              <w:rPr>
                <w:rFonts w:hint="eastAsia" w:ascii="宋体" w:hAnsi="宋体"/>
                <w:color w:val="000000"/>
                <w:szCs w:val="21"/>
              </w:rPr>
            </w:pPr>
            <w:r>
              <w:rPr>
                <w:rFonts w:hint="eastAsia" w:ascii="宋体" w:hAnsi="宋体"/>
                <w:color w:val="000000"/>
                <w:szCs w:val="21"/>
              </w:rPr>
              <w:t>29</w:t>
            </w:r>
          </w:p>
        </w:tc>
        <w:tc>
          <w:tcPr>
            <w:tcW w:w="2823" w:type="dxa"/>
            <w:tcBorders>
              <w:top w:val="single" w:color="000000" w:sz="4" w:space="0"/>
              <w:left w:val="single" w:color="000000" w:sz="4" w:space="0"/>
              <w:bottom w:val="single" w:color="000000" w:sz="4" w:space="0"/>
              <w:right w:val="single" w:color="000000" w:sz="4" w:space="0"/>
            </w:tcBorders>
            <w:noWrap w:val="0"/>
            <w:vAlign w:val="center"/>
          </w:tcPr>
          <w:p w14:paraId="35C8A4F4">
            <w:pPr>
              <w:jc w:val="center"/>
              <w:rPr>
                <w:rFonts w:hint="eastAsia" w:ascii="宋体" w:hAnsi="宋体" w:cs="宋体"/>
                <w:color w:val="000000"/>
                <w:szCs w:val="21"/>
              </w:rPr>
            </w:pPr>
            <w:r>
              <w:rPr>
                <w:rFonts w:hint="eastAsia" w:ascii="宋体" w:hAnsi="宋体"/>
                <w:color w:val="000000"/>
                <w:szCs w:val="21"/>
              </w:rPr>
              <w:t>电子阴道镜</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219031AE">
            <w:pPr>
              <w:jc w:val="center"/>
              <w:rPr>
                <w:rFonts w:hint="eastAsia" w:ascii="宋体" w:hAnsi="宋体" w:cs="宋体"/>
                <w:color w:val="000000"/>
                <w:szCs w:val="21"/>
              </w:rPr>
            </w:pPr>
            <w:r>
              <w:rPr>
                <w:rFonts w:hint="eastAsia" w:ascii="宋体" w:hAnsi="宋体"/>
                <w:color w:val="000000"/>
                <w:szCs w:val="21"/>
              </w:rPr>
              <w:t>SLC-2000B</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67DE2969">
            <w:pPr>
              <w:spacing w:before="156"/>
              <w:jc w:val="center"/>
              <w:rPr>
                <w:rFonts w:hint="eastAsia" w:ascii="宋体" w:hAnsi="宋体"/>
                <w:color w:val="000000"/>
                <w:szCs w:val="21"/>
              </w:rPr>
            </w:pPr>
            <w:r>
              <w:rPr>
                <w:rFonts w:hint="eastAsia" w:ascii="宋体" w:hAnsi="宋体"/>
                <w:color w:val="000000"/>
                <w:szCs w:val="21"/>
              </w:rPr>
              <w:t>台</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226235AC">
            <w:pPr>
              <w:spacing w:before="156"/>
              <w:jc w:val="center"/>
              <w:rPr>
                <w:rFonts w:hint="eastAsia" w:ascii="宋体" w:hAnsi="宋体"/>
                <w:color w:val="000000"/>
                <w:szCs w:val="21"/>
              </w:rPr>
            </w:pPr>
            <w:r>
              <w:rPr>
                <w:rFonts w:hint="eastAsia" w:ascii="宋体" w:hAnsi="宋体"/>
                <w:color w:val="000000"/>
                <w:szCs w:val="21"/>
              </w:rPr>
              <w:t>2</w:t>
            </w:r>
          </w:p>
        </w:tc>
      </w:tr>
      <w:tr w14:paraId="4D42928C">
        <w:tblPrEx>
          <w:tblCellMar>
            <w:top w:w="0" w:type="dxa"/>
            <w:left w:w="108" w:type="dxa"/>
            <w:bottom w:w="0" w:type="dxa"/>
            <w:right w:w="108" w:type="dxa"/>
          </w:tblCellMar>
        </w:tblPrEx>
        <w:trPr>
          <w:trHeight w:val="384"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707354F5">
            <w:pPr>
              <w:spacing w:before="156"/>
              <w:jc w:val="center"/>
              <w:rPr>
                <w:rFonts w:hint="eastAsia" w:ascii="宋体" w:hAnsi="宋体"/>
                <w:color w:val="000000"/>
                <w:szCs w:val="21"/>
              </w:rPr>
            </w:pPr>
            <w:r>
              <w:rPr>
                <w:rFonts w:hint="eastAsia" w:ascii="宋体" w:hAnsi="宋体"/>
                <w:color w:val="000000"/>
                <w:szCs w:val="21"/>
              </w:rPr>
              <w:t>30</w:t>
            </w:r>
          </w:p>
        </w:tc>
        <w:tc>
          <w:tcPr>
            <w:tcW w:w="2823" w:type="dxa"/>
            <w:tcBorders>
              <w:top w:val="single" w:color="000000" w:sz="4" w:space="0"/>
              <w:left w:val="single" w:color="000000" w:sz="4" w:space="0"/>
              <w:bottom w:val="single" w:color="000000" w:sz="4" w:space="0"/>
              <w:right w:val="single" w:color="000000" w:sz="4" w:space="0"/>
            </w:tcBorders>
            <w:noWrap w:val="0"/>
            <w:vAlign w:val="center"/>
          </w:tcPr>
          <w:p w14:paraId="6CB9EA23">
            <w:pPr>
              <w:jc w:val="center"/>
              <w:rPr>
                <w:rFonts w:hint="eastAsia" w:ascii="宋体" w:hAnsi="宋体" w:cs="宋体"/>
                <w:color w:val="000000"/>
                <w:szCs w:val="21"/>
              </w:rPr>
            </w:pPr>
            <w:r>
              <w:rPr>
                <w:rFonts w:hint="eastAsia" w:ascii="宋体" w:hAnsi="宋体"/>
                <w:color w:val="000000"/>
                <w:szCs w:val="21"/>
              </w:rPr>
              <w:t>臭氧治疗仪</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6371558A">
            <w:pPr>
              <w:jc w:val="center"/>
              <w:rPr>
                <w:rFonts w:hint="eastAsia" w:ascii="宋体" w:hAnsi="宋体" w:cs="宋体"/>
                <w:color w:val="000000"/>
                <w:szCs w:val="21"/>
              </w:rPr>
            </w:pPr>
            <w:r>
              <w:rPr>
                <w:rFonts w:hint="eastAsia" w:ascii="宋体" w:hAnsi="宋体"/>
                <w:color w:val="000000"/>
                <w:szCs w:val="21"/>
              </w:rPr>
              <w:t>WM03-B</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1D4FCCCF">
            <w:pPr>
              <w:spacing w:before="156"/>
              <w:jc w:val="center"/>
              <w:rPr>
                <w:rFonts w:ascii="宋体" w:hAnsi="宋体"/>
                <w:color w:val="000000"/>
                <w:szCs w:val="21"/>
              </w:rPr>
            </w:pPr>
            <w:r>
              <w:rPr>
                <w:rFonts w:hint="eastAsia" w:ascii="宋体" w:hAnsi="宋体"/>
                <w:color w:val="000000"/>
                <w:szCs w:val="21"/>
              </w:rPr>
              <w:t>台</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48AC7C83">
            <w:pPr>
              <w:spacing w:before="156"/>
              <w:jc w:val="center"/>
              <w:rPr>
                <w:rFonts w:hint="eastAsia" w:ascii="宋体" w:hAnsi="宋体"/>
                <w:color w:val="000000"/>
                <w:szCs w:val="21"/>
              </w:rPr>
            </w:pPr>
            <w:r>
              <w:rPr>
                <w:rFonts w:hint="eastAsia" w:ascii="宋体" w:hAnsi="宋体"/>
                <w:color w:val="000000"/>
                <w:szCs w:val="21"/>
              </w:rPr>
              <w:t>2</w:t>
            </w:r>
          </w:p>
        </w:tc>
      </w:tr>
      <w:tr w14:paraId="663B9B5D">
        <w:tblPrEx>
          <w:tblCellMar>
            <w:top w:w="0" w:type="dxa"/>
            <w:left w:w="108" w:type="dxa"/>
            <w:bottom w:w="0" w:type="dxa"/>
            <w:right w:w="108" w:type="dxa"/>
          </w:tblCellMar>
        </w:tblPrEx>
        <w:trPr>
          <w:trHeight w:val="384"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44C8F4E0">
            <w:pPr>
              <w:spacing w:before="156"/>
              <w:jc w:val="center"/>
              <w:rPr>
                <w:rFonts w:hint="eastAsia" w:ascii="宋体" w:hAnsi="宋体"/>
                <w:color w:val="000000"/>
                <w:szCs w:val="21"/>
              </w:rPr>
            </w:pPr>
            <w:r>
              <w:rPr>
                <w:rFonts w:hint="eastAsia" w:ascii="宋体" w:hAnsi="宋体"/>
                <w:color w:val="000000"/>
                <w:szCs w:val="21"/>
              </w:rPr>
              <w:t>31</w:t>
            </w:r>
          </w:p>
        </w:tc>
        <w:tc>
          <w:tcPr>
            <w:tcW w:w="2823" w:type="dxa"/>
            <w:tcBorders>
              <w:top w:val="single" w:color="000000" w:sz="4" w:space="0"/>
              <w:left w:val="single" w:color="000000" w:sz="4" w:space="0"/>
              <w:bottom w:val="single" w:color="000000" w:sz="4" w:space="0"/>
              <w:right w:val="single" w:color="000000" w:sz="4" w:space="0"/>
            </w:tcBorders>
            <w:noWrap w:val="0"/>
            <w:vAlign w:val="center"/>
          </w:tcPr>
          <w:p w14:paraId="4D8A5498">
            <w:pPr>
              <w:jc w:val="center"/>
              <w:rPr>
                <w:rFonts w:hint="eastAsia" w:ascii="宋体" w:hAnsi="宋体" w:cs="宋体"/>
                <w:color w:val="000000"/>
                <w:szCs w:val="21"/>
              </w:rPr>
            </w:pPr>
            <w:r>
              <w:rPr>
                <w:rFonts w:hint="eastAsia" w:ascii="宋体" w:hAnsi="宋体"/>
                <w:color w:val="000000"/>
                <w:szCs w:val="21"/>
              </w:rPr>
              <w:t>冷光单孔手术灯</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3E41B346">
            <w:pPr>
              <w:jc w:val="center"/>
              <w:rPr>
                <w:rFonts w:hint="eastAsia" w:ascii="宋体" w:hAnsi="宋体" w:cs="Arial"/>
                <w:color w:val="000000"/>
                <w:szCs w:val="21"/>
              </w:rPr>
            </w:pPr>
            <w:r>
              <w:rPr>
                <w:rFonts w:ascii="宋体" w:hAnsi="宋体" w:cs="Arial"/>
                <w:color w:val="000000"/>
                <w:szCs w:val="21"/>
              </w:rPr>
              <w:t>KLOIL.I</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13A4599E">
            <w:pPr>
              <w:spacing w:before="156"/>
              <w:jc w:val="center"/>
              <w:rPr>
                <w:rFonts w:ascii="宋体" w:hAnsi="宋体"/>
                <w:color w:val="000000"/>
                <w:szCs w:val="21"/>
              </w:rPr>
            </w:pPr>
            <w:r>
              <w:rPr>
                <w:rFonts w:hint="eastAsia" w:ascii="宋体" w:hAnsi="宋体"/>
                <w:color w:val="000000"/>
                <w:szCs w:val="21"/>
              </w:rPr>
              <w:t>台</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29B69B43">
            <w:pPr>
              <w:spacing w:before="156"/>
              <w:jc w:val="center"/>
              <w:rPr>
                <w:rFonts w:hint="eastAsia" w:ascii="宋体" w:hAnsi="宋体"/>
                <w:color w:val="000000"/>
                <w:szCs w:val="21"/>
              </w:rPr>
            </w:pPr>
            <w:r>
              <w:rPr>
                <w:rFonts w:hint="eastAsia" w:ascii="宋体" w:hAnsi="宋体"/>
                <w:color w:val="000000"/>
                <w:szCs w:val="21"/>
              </w:rPr>
              <w:t>8</w:t>
            </w:r>
          </w:p>
        </w:tc>
      </w:tr>
      <w:tr w14:paraId="7C82086A">
        <w:tblPrEx>
          <w:tblCellMar>
            <w:top w:w="0" w:type="dxa"/>
            <w:left w:w="108" w:type="dxa"/>
            <w:bottom w:w="0" w:type="dxa"/>
            <w:right w:w="108" w:type="dxa"/>
          </w:tblCellMar>
        </w:tblPrEx>
        <w:trPr>
          <w:trHeight w:val="384"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1B701BF1">
            <w:pPr>
              <w:spacing w:before="156"/>
              <w:jc w:val="center"/>
              <w:rPr>
                <w:rFonts w:hint="eastAsia" w:ascii="宋体" w:hAnsi="宋体"/>
                <w:color w:val="000000"/>
                <w:szCs w:val="21"/>
              </w:rPr>
            </w:pPr>
            <w:r>
              <w:rPr>
                <w:rFonts w:hint="eastAsia" w:ascii="宋体" w:hAnsi="宋体"/>
                <w:color w:val="000000"/>
                <w:szCs w:val="21"/>
              </w:rPr>
              <w:t>32</w:t>
            </w:r>
          </w:p>
        </w:tc>
        <w:tc>
          <w:tcPr>
            <w:tcW w:w="2823" w:type="dxa"/>
            <w:tcBorders>
              <w:top w:val="single" w:color="000000" w:sz="4" w:space="0"/>
              <w:left w:val="single" w:color="000000" w:sz="4" w:space="0"/>
              <w:bottom w:val="single" w:color="000000" w:sz="4" w:space="0"/>
              <w:right w:val="single" w:color="000000" w:sz="4" w:space="0"/>
            </w:tcBorders>
            <w:noWrap w:val="0"/>
            <w:vAlign w:val="center"/>
          </w:tcPr>
          <w:p w14:paraId="36345F10">
            <w:pPr>
              <w:jc w:val="center"/>
              <w:rPr>
                <w:rFonts w:hint="eastAsia" w:ascii="宋体" w:hAnsi="宋体" w:cs="宋体"/>
                <w:color w:val="000000"/>
                <w:szCs w:val="21"/>
              </w:rPr>
            </w:pPr>
            <w:r>
              <w:rPr>
                <w:rFonts w:hint="eastAsia" w:ascii="宋体" w:hAnsi="宋体"/>
                <w:color w:val="000000"/>
                <w:szCs w:val="21"/>
              </w:rPr>
              <w:t>珠海和佳微波综合治疗仪</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3BFACF14">
            <w:pPr>
              <w:jc w:val="center"/>
              <w:rPr>
                <w:rFonts w:hint="eastAsia" w:ascii="宋体" w:hAnsi="宋体" w:cs="Arial"/>
                <w:color w:val="000000"/>
                <w:szCs w:val="21"/>
              </w:rPr>
            </w:pPr>
            <w:r>
              <w:rPr>
                <w:rFonts w:ascii="宋体" w:hAnsi="宋体" w:cs="Arial"/>
                <w:color w:val="000000"/>
                <w:szCs w:val="21"/>
              </w:rPr>
              <w:t>CYP-I</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23550A30">
            <w:pPr>
              <w:spacing w:before="156"/>
              <w:jc w:val="center"/>
              <w:rPr>
                <w:rFonts w:ascii="宋体" w:hAnsi="宋体"/>
                <w:color w:val="000000"/>
                <w:szCs w:val="21"/>
              </w:rPr>
            </w:pPr>
            <w:r>
              <w:rPr>
                <w:rFonts w:hint="eastAsia" w:ascii="宋体" w:hAnsi="宋体"/>
                <w:color w:val="000000"/>
                <w:szCs w:val="21"/>
              </w:rPr>
              <w:t>台</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62847DFD">
            <w:pPr>
              <w:spacing w:before="156"/>
              <w:jc w:val="center"/>
              <w:rPr>
                <w:rFonts w:hint="eastAsia" w:ascii="宋体" w:hAnsi="宋体"/>
                <w:color w:val="000000"/>
                <w:szCs w:val="21"/>
              </w:rPr>
            </w:pPr>
            <w:r>
              <w:rPr>
                <w:rFonts w:hint="eastAsia" w:ascii="宋体" w:hAnsi="宋体"/>
                <w:color w:val="000000"/>
                <w:szCs w:val="21"/>
              </w:rPr>
              <w:t>8</w:t>
            </w:r>
          </w:p>
        </w:tc>
      </w:tr>
      <w:tr w14:paraId="127017A8">
        <w:tblPrEx>
          <w:tblCellMar>
            <w:top w:w="0" w:type="dxa"/>
            <w:left w:w="108" w:type="dxa"/>
            <w:bottom w:w="0" w:type="dxa"/>
            <w:right w:w="108" w:type="dxa"/>
          </w:tblCellMar>
        </w:tblPrEx>
        <w:trPr>
          <w:trHeight w:val="384"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06B79C5D">
            <w:pPr>
              <w:spacing w:before="156"/>
              <w:jc w:val="center"/>
              <w:rPr>
                <w:rFonts w:hint="eastAsia" w:ascii="宋体" w:hAnsi="宋体"/>
                <w:color w:val="000000"/>
                <w:szCs w:val="21"/>
              </w:rPr>
            </w:pPr>
            <w:r>
              <w:rPr>
                <w:rFonts w:hint="eastAsia" w:ascii="宋体" w:hAnsi="宋体"/>
                <w:color w:val="000000"/>
                <w:szCs w:val="21"/>
              </w:rPr>
              <w:t>33</w:t>
            </w:r>
          </w:p>
        </w:tc>
        <w:tc>
          <w:tcPr>
            <w:tcW w:w="2823" w:type="dxa"/>
            <w:tcBorders>
              <w:top w:val="single" w:color="000000" w:sz="4" w:space="0"/>
              <w:left w:val="single" w:color="000000" w:sz="4" w:space="0"/>
              <w:bottom w:val="single" w:color="000000" w:sz="4" w:space="0"/>
              <w:right w:val="single" w:color="000000" w:sz="4" w:space="0"/>
            </w:tcBorders>
            <w:noWrap w:val="0"/>
            <w:vAlign w:val="center"/>
          </w:tcPr>
          <w:p w14:paraId="5EFB26F3">
            <w:pPr>
              <w:jc w:val="center"/>
              <w:rPr>
                <w:rFonts w:hint="eastAsia" w:ascii="宋体" w:hAnsi="宋体" w:cs="宋体"/>
                <w:color w:val="000000"/>
                <w:szCs w:val="21"/>
              </w:rPr>
            </w:pPr>
            <w:r>
              <w:rPr>
                <w:rFonts w:hint="eastAsia" w:ascii="宋体" w:hAnsi="宋体"/>
                <w:color w:val="000000"/>
                <w:szCs w:val="21"/>
              </w:rPr>
              <w:t>乳房治疗仪</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32A11AD4">
            <w:pPr>
              <w:jc w:val="center"/>
              <w:rPr>
                <w:rFonts w:hint="eastAsia" w:ascii="宋体" w:hAnsi="宋体" w:cs="Arial"/>
                <w:color w:val="000000"/>
                <w:szCs w:val="21"/>
              </w:rPr>
            </w:pPr>
            <w:r>
              <w:rPr>
                <w:rFonts w:ascii="宋体" w:hAnsi="宋体" w:cs="Arial"/>
                <w:color w:val="000000"/>
                <w:szCs w:val="21"/>
              </w:rPr>
              <w:t>JPD-2000</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235F54A2">
            <w:pPr>
              <w:spacing w:before="156"/>
              <w:jc w:val="center"/>
              <w:rPr>
                <w:rFonts w:ascii="宋体" w:hAnsi="宋体"/>
                <w:color w:val="000000"/>
                <w:szCs w:val="21"/>
              </w:rPr>
            </w:pPr>
            <w:r>
              <w:rPr>
                <w:rFonts w:hint="eastAsia" w:ascii="宋体" w:hAnsi="宋体"/>
                <w:color w:val="000000"/>
                <w:szCs w:val="21"/>
              </w:rPr>
              <w:t>台</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4A12654B">
            <w:pPr>
              <w:spacing w:before="156"/>
              <w:jc w:val="center"/>
              <w:rPr>
                <w:rFonts w:hint="eastAsia" w:ascii="宋体" w:hAnsi="宋体"/>
                <w:color w:val="000000"/>
                <w:szCs w:val="21"/>
              </w:rPr>
            </w:pPr>
            <w:r>
              <w:rPr>
                <w:rFonts w:hint="eastAsia" w:ascii="宋体" w:hAnsi="宋体"/>
                <w:color w:val="000000"/>
                <w:szCs w:val="21"/>
              </w:rPr>
              <w:t>8</w:t>
            </w:r>
          </w:p>
        </w:tc>
      </w:tr>
      <w:tr w14:paraId="12C07F1F">
        <w:tblPrEx>
          <w:tblCellMar>
            <w:top w:w="0" w:type="dxa"/>
            <w:left w:w="108" w:type="dxa"/>
            <w:bottom w:w="0" w:type="dxa"/>
            <w:right w:w="108" w:type="dxa"/>
          </w:tblCellMar>
        </w:tblPrEx>
        <w:trPr>
          <w:trHeight w:val="384"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4F295467">
            <w:pPr>
              <w:spacing w:before="156"/>
              <w:jc w:val="center"/>
              <w:rPr>
                <w:rFonts w:hint="eastAsia" w:ascii="宋体" w:hAnsi="宋体"/>
                <w:color w:val="000000"/>
                <w:szCs w:val="21"/>
              </w:rPr>
            </w:pPr>
            <w:r>
              <w:rPr>
                <w:rFonts w:hint="eastAsia" w:ascii="宋体" w:hAnsi="宋体"/>
                <w:color w:val="000000"/>
                <w:szCs w:val="21"/>
              </w:rPr>
              <w:t>34</w:t>
            </w:r>
          </w:p>
        </w:tc>
        <w:tc>
          <w:tcPr>
            <w:tcW w:w="2823" w:type="dxa"/>
            <w:tcBorders>
              <w:top w:val="single" w:color="000000" w:sz="4" w:space="0"/>
              <w:left w:val="single" w:color="000000" w:sz="4" w:space="0"/>
              <w:bottom w:val="single" w:color="000000" w:sz="4" w:space="0"/>
              <w:right w:val="single" w:color="000000" w:sz="4" w:space="0"/>
            </w:tcBorders>
            <w:noWrap w:val="0"/>
            <w:vAlign w:val="center"/>
          </w:tcPr>
          <w:p w14:paraId="74DAEBBD">
            <w:pPr>
              <w:jc w:val="center"/>
              <w:rPr>
                <w:rFonts w:hint="eastAsia" w:ascii="宋体" w:hAnsi="宋体" w:cs="宋体"/>
                <w:color w:val="000000"/>
                <w:szCs w:val="21"/>
              </w:rPr>
            </w:pPr>
            <w:r>
              <w:rPr>
                <w:rFonts w:hint="eastAsia" w:ascii="宋体" w:hAnsi="宋体"/>
                <w:color w:val="000000"/>
                <w:szCs w:val="21"/>
              </w:rPr>
              <w:t>乳腺治疗仪</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42877D71">
            <w:pPr>
              <w:jc w:val="center"/>
              <w:rPr>
                <w:rFonts w:ascii="宋体" w:hAnsi="宋体" w:cs="宋体"/>
                <w:color w:val="000000"/>
                <w:szCs w:val="21"/>
              </w:rPr>
            </w:pP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199A3BD4">
            <w:pPr>
              <w:spacing w:before="156"/>
              <w:jc w:val="center"/>
              <w:rPr>
                <w:rFonts w:ascii="宋体" w:hAnsi="宋体"/>
                <w:color w:val="000000"/>
                <w:szCs w:val="21"/>
              </w:rPr>
            </w:pPr>
            <w:r>
              <w:rPr>
                <w:rFonts w:hint="eastAsia" w:ascii="宋体" w:hAnsi="宋体"/>
                <w:color w:val="000000"/>
                <w:szCs w:val="21"/>
              </w:rPr>
              <w:t>台</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1617DCBE">
            <w:pPr>
              <w:spacing w:before="156"/>
              <w:jc w:val="center"/>
              <w:rPr>
                <w:rFonts w:hint="eastAsia" w:ascii="宋体" w:hAnsi="宋体"/>
                <w:color w:val="000000"/>
                <w:szCs w:val="21"/>
              </w:rPr>
            </w:pPr>
            <w:r>
              <w:rPr>
                <w:rFonts w:hint="eastAsia" w:ascii="宋体" w:hAnsi="宋体"/>
                <w:color w:val="000000"/>
                <w:szCs w:val="21"/>
              </w:rPr>
              <w:t>8</w:t>
            </w:r>
          </w:p>
        </w:tc>
      </w:tr>
      <w:tr w14:paraId="15444901">
        <w:tblPrEx>
          <w:tblCellMar>
            <w:top w:w="0" w:type="dxa"/>
            <w:left w:w="108" w:type="dxa"/>
            <w:bottom w:w="0" w:type="dxa"/>
            <w:right w:w="108" w:type="dxa"/>
          </w:tblCellMar>
        </w:tblPrEx>
        <w:trPr>
          <w:trHeight w:val="384"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77365925">
            <w:pPr>
              <w:spacing w:before="156"/>
              <w:jc w:val="center"/>
              <w:rPr>
                <w:rFonts w:hint="eastAsia" w:ascii="宋体" w:hAnsi="宋体"/>
                <w:color w:val="000000"/>
                <w:szCs w:val="21"/>
              </w:rPr>
            </w:pPr>
            <w:r>
              <w:rPr>
                <w:rFonts w:hint="eastAsia" w:ascii="宋体" w:hAnsi="宋体"/>
                <w:color w:val="000000"/>
                <w:szCs w:val="21"/>
              </w:rPr>
              <w:t>35</w:t>
            </w:r>
          </w:p>
        </w:tc>
        <w:tc>
          <w:tcPr>
            <w:tcW w:w="2823" w:type="dxa"/>
            <w:tcBorders>
              <w:top w:val="single" w:color="000000" w:sz="4" w:space="0"/>
              <w:left w:val="single" w:color="000000" w:sz="4" w:space="0"/>
              <w:bottom w:val="single" w:color="000000" w:sz="4" w:space="0"/>
              <w:right w:val="single" w:color="000000" w:sz="4" w:space="0"/>
            </w:tcBorders>
            <w:noWrap w:val="0"/>
            <w:vAlign w:val="center"/>
          </w:tcPr>
          <w:p w14:paraId="304D3562">
            <w:pPr>
              <w:jc w:val="center"/>
              <w:rPr>
                <w:rFonts w:hint="eastAsia" w:ascii="宋体" w:hAnsi="宋体" w:cs="宋体"/>
                <w:color w:val="000000"/>
                <w:szCs w:val="21"/>
              </w:rPr>
            </w:pPr>
            <w:r>
              <w:rPr>
                <w:rFonts w:hint="eastAsia" w:ascii="宋体" w:hAnsi="宋体"/>
                <w:color w:val="000000"/>
                <w:szCs w:val="21"/>
              </w:rPr>
              <w:t>鱼跃制氧机</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489C54DD">
            <w:pPr>
              <w:jc w:val="center"/>
              <w:rPr>
                <w:rFonts w:hint="eastAsia" w:ascii="宋体" w:hAnsi="宋体" w:cs="宋体"/>
                <w:color w:val="000000"/>
                <w:szCs w:val="21"/>
              </w:rPr>
            </w:pPr>
            <w:r>
              <w:rPr>
                <w:rFonts w:hint="eastAsia" w:ascii="宋体" w:hAnsi="宋体"/>
                <w:color w:val="000000"/>
                <w:szCs w:val="21"/>
              </w:rPr>
              <w:t>7F-3DW</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4290995A">
            <w:pPr>
              <w:spacing w:before="156"/>
              <w:jc w:val="center"/>
              <w:rPr>
                <w:rFonts w:ascii="宋体" w:hAnsi="宋体"/>
                <w:color w:val="000000"/>
                <w:szCs w:val="21"/>
              </w:rPr>
            </w:pPr>
            <w:r>
              <w:rPr>
                <w:rFonts w:hint="eastAsia" w:ascii="宋体" w:hAnsi="宋体"/>
                <w:color w:val="000000"/>
                <w:szCs w:val="21"/>
              </w:rPr>
              <w:t>台</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73D714EA">
            <w:pPr>
              <w:spacing w:before="156"/>
              <w:jc w:val="center"/>
              <w:rPr>
                <w:rFonts w:hint="eastAsia" w:ascii="宋体" w:hAnsi="宋体"/>
                <w:color w:val="000000"/>
                <w:szCs w:val="21"/>
              </w:rPr>
            </w:pPr>
            <w:r>
              <w:rPr>
                <w:rFonts w:hint="eastAsia" w:ascii="宋体" w:hAnsi="宋体"/>
                <w:color w:val="000000"/>
                <w:szCs w:val="21"/>
              </w:rPr>
              <w:t>8</w:t>
            </w:r>
          </w:p>
        </w:tc>
      </w:tr>
      <w:tr w14:paraId="26F98690">
        <w:tblPrEx>
          <w:tblCellMar>
            <w:top w:w="0" w:type="dxa"/>
            <w:left w:w="108" w:type="dxa"/>
            <w:bottom w:w="0" w:type="dxa"/>
            <w:right w:w="108" w:type="dxa"/>
          </w:tblCellMar>
        </w:tblPrEx>
        <w:trPr>
          <w:trHeight w:val="384"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4D968CAE">
            <w:pPr>
              <w:spacing w:before="156"/>
              <w:jc w:val="center"/>
              <w:rPr>
                <w:rFonts w:hint="eastAsia" w:ascii="宋体" w:hAnsi="宋体"/>
                <w:color w:val="000000"/>
                <w:szCs w:val="21"/>
              </w:rPr>
            </w:pPr>
            <w:r>
              <w:rPr>
                <w:rFonts w:hint="eastAsia" w:ascii="宋体" w:hAnsi="宋体"/>
                <w:color w:val="000000"/>
                <w:szCs w:val="21"/>
              </w:rPr>
              <w:t>36</w:t>
            </w:r>
          </w:p>
        </w:tc>
        <w:tc>
          <w:tcPr>
            <w:tcW w:w="2823" w:type="dxa"/>
            <w:tcBorders>
              <w:top w:val="single" w:color="000000" w:sz="4" w:space="0"/>
              <w:left w:val="single" w:color="000000" w:sz="4" w:space="0"/>
              <w:bottom w:val="single" w:color="000000" w:sz="4" w:space="0"/>
              <w:right w:val="single" w:color="000000" w:sz="4" w:space="0"/>
            </w:tcBorders>
            <w:noWrap w:val="0"/>
            <w:vAlign w:val="center"/>
          </w:tcPr>
          <w:p w14:paraId="65EA1BD1">
            <w:pPr>
              <w:jc w:val="center"/>
              <w:rPr>
                <w:rFonts w:hint="eastAsia" w:ascii="宋体" w:hAnsi="宋体" w:cs="宋体"/>
                <w:color w:val="000000"/>
                <w:szCs w:val="21"/>
              </w:rPr>
            </w:pPr>
            <w:r>
              <w:rPr>
                <w:rFonts w:hint="eastAsia" w:ascii="宋体" w:hAnsi="宋体"/>
                <w:color w:val="000000"/>
                <w:szCs w:val="21"/>
              </w:rPr>
              <w:t>氧气瓶推车</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065DC827">
            <w:pPr>
              <w:jc w:val="center"/>
              <w:rPr>
                <w:rFonts w:ascii="宋体" w:hAnsi="宋体" w:cs="宋体"/>
                <w:color w:val="000000"/>
                <w:szCs w:val="21"/>
              </w:rPr>
            </w:pP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7EBDEB7C">
            <w:pPr>
              <w:spacing w:before="156"/>
              <w:jc w:val="center"/>
              <w:rPr>
                <w:rFonts w:hint="eastAsia" w:ascii="宋体" w:hAnsi="宋体"/>
                <w:color w:val="000000"/>
                <w:szCs w:val="21"/>
              </w:rPr>
            </w:pPr>
            <w:r>
              <w:rPr>
                <w:rFonts w:hint="eastAsia" w:ascii="宋体" w:hAnsi="宋体"/>
                <w:color w:val="000000"/>
                <w:szCs w:val="21"/>
              </w:rPr>
              <w:t>辆</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59AF34B3">
            <w:pPr>
              <w:spacing w:before="156"/>
              <w:jc w:val="center"/>
              <w:rPr>
                <w:rFonts w:hint="eastAsia" w:ascii="宋体" w:hAnsi="宋体"/>
                <w:color w:val="000000"/>
                <w:szCs w:val="21"/>
              </w:rPr>
            </w:pPr>
            <w:r>
              <w:rPr>
                <w:rFonts w:hint="eastAsia" w:ascii="宋体" w:hAnsi="宋体"/>
                <w:color w:val="000000"/>
                <w:szCs w:val="21"/>
              </w:rPr>
              <w:t>8</w:t>
            </w:r>
          </w:p>
        </w:tc>
      </w:tr>
      <w:tr w14:paraId="1A539B11">
        <w:tblPrEx>
          <w:tblCellMar>
            <w:top w:w="0" w:type="dxa"/>
            <w:left w:w="108" w:type="dxa"/>
            <w:bottom w:w="0" w:type="dxa"/>
            <w:right w:w="108" w:type="dxa"/>
          </w:tblCellMar>
        </w:tblPrEx>
        <w:trPr>
          <w:trHeight w:val="384"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63E70225">
            <w:pPr>
              <w:spacing w:before="156"/>
              <w:jc w:val="center"/>
              <w:rPr>
                <w:rFonts w:hint="eastAsia" w:ascii="宋体" w:hAnsi="宋体"/>
                <w:color w:val="000000"/>
                <w:szCs w:val="21"/>
              </w:rPr>
            </w:pPr>
            <w:r>
              <w:rPr>
                <w:rFonts w:hint="eastAsia" w:ascii="宋体" w:hAnsi="宋体"/>
                <w:color w:val="000000"/>
                <w:szCs w:val="21"/>
              </w:rPr>
              <w:t>37</w:t>
            </w:r>
          </w:p>
        </w:tc>
        <w:tc>
          <w:tcPr>
            <w:tcW w:w="2823" w:type="dxa"/>
            <w:tcBorders>
              <w:top w:val="single" w:color="000000" w:sz="4" w:space="0"/>
              <w:left w:val="single" w:color="000000" w:sz="4" w:space="0"/>
              <w:bottom w:val="single" w:color="000000" w:sz="4" w:space="0"/>
              <w:right w:val="single" w:color="000000" w:sz="4" w:space="0"/>
            </w:tcBorders>
            <w:noWrap w:val="0"/>
            <w:vAlign w:val="center"/>
          </w:tcPr>
          <w:p w14:paraId="0BFC3E18">
            <w:pPr>
              <w:jc w:val="center"/>
              <w:rPr>
                <w:rFonts w:hint="eastAsia" w:ascii="宋体" w:hAnsi="宋体" w:cs="宋体"/>
                <w:color w:val="000000"/>
                <w:szCs w:val="21"/>
              </w:rPr>
            </w:pPr>
            <w:r>
              <w:rPr>
                <w:rFonts w:hint="eastAsia" w:ascii="宋体" w:hAnsi="宋体"/>
                <w:color w:val="000000"/>
                <w:szCs w:val="21"/>
              </w:rPr>
              <w:t>谊安呼吸机</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6A4C7660">
            <w:pPr>
              <w:jc w:val="center"/>
              <w:rPr>
                <w:rFonts w:hint="eastAsia" w:ascii="宋体" w:hAnsi="宋体" w:cs="宋体"/>
                <w:color w:val="000000"/>
                <w:szCs w:val="21"/>
              </w:rPr>
            </w:pPr>
            <w:r>
              <w:rPr>
                <w:rFonts w:hint="eastAsia" w:ascii="宋体" w:hAnsi="宋体"/>
                <w:color w:val="000000"/>
                <w:szCs w:val="21"/>
              </w:rPr>
              <w:t>shangrila520</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1179E930">
            <w:pPr>
              <w:spacing w:before="156"/>
              <w:jc w:val="center"/>
              <w:rPr>
                <w:rFonts w:ascii="宋体" w:hAnsi="宋体"/>
                <w:color w:val="000000"/>
                <w:szCs w:val="21"/>
              </w:rPr>
            </w:pPr>
            <w:r>
              <w:rPr>
                <w:rFonts w:hint="eastAsia" w:ascii="宋体" w:hAnsi="宋体"/>
                <w:color w:val="000000"/>
                <w:szCs w:val="21"/>
              </w:rPr>
              <w:t>台</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34E85790">
            <w:pPr>
              <w:spacing w:before="156"/>
              <w:jc w:val="center"/>
              <w:rPr>
                <w:rFonts w:ascii="宋体" w:hAnsi="宋体"/>
                <w:color w:val="000000"/>
                <w:szCs w:val="21"/>
              </w:rPr>
            </w:pPr>
            <w:r>
              <w:rPr>
                <w:rFonts w:hint="eastAsia" w:ascii="宋体" w:hAnsi="宋体"/>
                <w:color w:val="000000"/>
                <w:szCs w:val="21"/>
              </w:rPr>
              <w:t>6</w:t>
            </w:r>
          </w:p>
        </w:tc>
      </w:tr>
      <w:tr w14:paraId="3B4A4DB5">
        <w:tblPrEx>
          <w:tblCellMar>
            <w:top w:w="0" w:type="dxa"/>
            <w:left w:w="108" w:type="dxa"/>
            <w:bottom w:w="0" w:type="dxa"/>
            <w:right w:w="108" w:type="dxa"/>
          </w:tblCellMar>
        </w:tblPrEx>
        <w:trPr>
          <w:trHeight w:val="384"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1728683A">
            <w:pPr>
              <w:spacing w:before="156"/>
              <w:jc w:val="center"/>
              <w:rPr>
                <w:rFonts w:hint="eastAsia" w:ascii="宋体" w:hAnsi="宋体"/>
                <w:color w:val="000000"/>
                <w:szCs w:val="21"/>
              </w:rPr>
            </w:pPr>
            <w:r>
              <w:rPr>
                <w:rFonts w:hint="eastAsia" w:ascii="宋体" w:hAnsi="宋体"/>
                <w:color w:val="000000"/>
                <w:szCs w:val="21"/>
              </w:rPr>
              <w:t>38</w:t>
            </w:r>
          </w:p>
        </w:tc>
        <w:tc>
          <w:tcPr>
            <w:tcW w:w="2823" w:type="dxa"/>
            <w:tcBorders>
              <w:top w:val="single" w:color="000000" w:sz="4" w:space="0"/>
              <w:left w:val="single" w:color="000000" w:sz="4" w:space="0"/>
              <w:bottom w:val="single" w:color="000000" w:sz="4" w:space="0"/>
              <w:right w:val="single" w:color="000000" w:sz="4" w:space="0"/>
            </w:tcBorders>
            <w:noWrap w:val="0"/>
            <w:vAlign w:val="center"/>
          </w:tcPr>
          <w:p w14:paraId="7A741ADB">
            <w:pPr>
              <w:jc w:val="center"/>
              <w:rPr>
                <w:rFonts w:hint="eastAsia" w:ascii="宋体" w:hAnsi="宋体" w:cs="宋体"/>
                <w:color w:val="000000"/>
                <w:szCs w:val="21"/>
              </w:rPr>
            </w:pPr>
            <w:r>
              <w:rPr>
                <w:rFonts w:hint="eastAsia" w:ascii="宋体" w:hAnsi="宋体"/>
                <w:color w:val="000000"/>
                <w:szCs w:val="21"/>
              </w:rPr>
              <w:t>7C电动流产吸引机</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39218B83">
            <w:pPr>
              <w:jc w:val="center"/>
              <w:rPr>
                <w:rFonts w:hint="eastAsia" w:ascii="宋体" w:hAnsi="宋体" w:cs="宋体"/>
                <w:color w:val="000000"/>
                <w:szCs w:val="21"/>
              </w:rPr>
            </w:pPr>
            <w:r>
              <w:rPr>
                <w:rFonts w:hint="eastAsia" w:ascii="宋体" w:hAnsi="宋体"/>
                <w:color w:val="000000"/>
                <w:szCs w:val="21"/>
              </w:rPr>
              <w:t>鱼跃</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49B58D7D">
            <w:pPr>
              <w:spacing w:before="156"/>
              <w:jc w:val="center"/>
              <w:rPr>
                <w:rFonts w:ascii="宋体" w:hAnsi="宋体"/>
                <w:color w:val="000000"/>
                <w:szCs w:val="21"/>
              </w:rPr>
            </w:pPr>
            <w:r>
              <w:rPr>
                <w:rFonts w:hint="eastAsia" w:ascii="宋体" w:hAnsi="宋体"/>
                <w:color w:val="000000"/>
                <w:szCs w:val="21"/>
              </w:rPr>
              <w:t>台</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724C3963">
            <w:pPr>
              <w:spacing w:before="156"/>
              <w:jc w:val="center"/>
              <w:rPr>
                <w:rFonts w:hint="eastAsia" w:ascii="宋体" w:hAnsi="宋体"/>
                <w:color w:val="000000"/>
                <w:szCs w:val="21"/>
              </w:rPr>
            </w:pPr>
            <w:r>
              <w:rPr>
                <w:rFonts w:hint="eastAsia" w:ascii="宋体" w:hAnsi="宋体"/>
                <w:color w:val="000000"/>
                <w:szCs w:val="21"/>
              </w:rPr>
              <w:t>4</w:t>
            </w:r>
          </w:p>
        </w:tc>
      </w:tr>
      <w:tr w14:paraId="3E65690D">
        <w:tblPrEx>
          <w:tblCellMar>
            <w:top w:w="0" w:type="dxa"/>
            <w:left w:w="108" w:type="dxa"/>
            <w:bottom w:w="0" w:type="dxa"/>
            <w:right w:w="108" w:type="dxa"/>
          </w:tblCellMar>
        </w:tblPrEx>
        <w:trPr>
          <w:trHeight w:val="384"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5285C0C2">
            <w:pPr>
              <w:spacing w:before="156"/>
              <w:jc w:val="center"/>
              <w:rPr>
                <w:rFonts w:hint="eastAsia" w:ascii="宋体" w:hAnsi="宋体"/>
                <w:color w:val="000000"/>
                <w:szCs w:val="21"/>
              </w:rPr>
            </w:pPr>
            <w:r>
              <w:rPr>
                <w:rFonts w:hint="eastAsia" w:ascii="宋体" w:hAnsi="宋体"/>
                <w:color w:val="000000"/>
                <w:szCs w:val="21"/>
              </w:rPr>
              <w:t>39</w:t>
            </w:r>
          </w:p>
        </w:tc>
        <w:tc>
          <w:tcPr>
            <w:tcW w:w="2823" w:type="dxa"/>
            <w:tcBorders>
              <w:top w:val="single" w:color="000000" w:sz="4" w:space="0"/>
              <w:left w:val="single" w:color="000000" w:sz="4" w:space="0"/>
              <w:bottom w:val="single" w:color="000000" w:sz="4" w:space="0"/>
              <w:right w:val="single" w:color="000000" w:sz="4" w:space="0"/>
            </w:tcBorders>
            <w:noWrap w:val="0"/>
            <w:vAlign w:val="center"/>
          </w:tcPr>
          <w:p w14:paraId="07ED12CE">
            <w:pPr>
              <w:jc w:val="center"/>
              <w:rPr>
                <w:rFonts w:hint="eastAsia" w:ascii="宋体" w:hAnsi="宋体" w:cs="宋体"/>
                <w:color w:val="000000"/>
                <w:szCs w:val="21"/>
              </w:rPr>
            </w:pPr>
            <w:r>
              <w:rPr>
                <w:rFonts w:hint="eastAsia" w:ascii="宋体" w:hAnsi="宋体"/>
                <w:color w:val="000000"/>
                <w:szCs w:val="21"/>
              </w:rPr>
              <w:t>迈瑞监护仪</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38E44463">
            <w:pPr>
              <w:jc w:val="center"/>
              <w:rPr>
                <w:rFonts w:hint="eastAsia" w:ascii="宋体" w:hAnsi="宋体" w:cs="宋体"/>
                <w:color w:val="000000"/>
                <w:szCs w:val="21"/>
              </w:rPr>
            </w:pPr>
            <w:r>
              <w:rPr>
                <w:rFonts w:hint="eastAsia" w:ascii="宋体" w:hAnsi="宋体"/>
                <w:color w:val="000000"/>
                <w:szCs w:val="21"/>
              </w:rPr>
              <w:t>PM9000</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6903ADD1">
            <w:pPr>
              <w:spacing w:before="156"/>
              <w:jc w:val="center"/>
              <w:rPr>
                <w:rFonts w:ascii="宋体" w:hAnsi="宋体"/>
                <w:color w:val="000000"/>
                <w:szCs w:val="21"/>
              </w:rPr>
            </w:pPr>
            <w:r>
              <w:rPr>
                <w:rFonts w:hint="eastAsia" w:ascii="宋体" w:hAnsi="宋体"/>
                <w:color w:val="000000"/>
                <w:szCs w:val="21"/>
              </w:rPr>
              <w:t>套</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3B815322">
            <w:pPr>
              <w:spacing w:before="156"/>
              <w:jc w:val="center"/>
              <w:rPr>
                <w:rFonts w:hint="eastAsia" w:ascii="宋体" w:hAnsi="宋体"/>
                <w:color w:val="000000"/>
                <w:szCs w:val="21"/>
              </w:rPr>
            </w:pPr>
            <w:r>
              <w:rPr>
                <w:rFonts w:hint="eastAsia" w:ascii="宋体" w:hAnsi="宋体"/>
                <w:color w:val="000000"/>
                <w:szCs w:val="21"/>
              </w:rPr>
              <w:t>1</w:t>
            </w:r>
          </w:p>
        </w:tc>
      </w:tr>
      <w:tr w14:paraId="45FF6755">
        <w:tblPrEx>
          <w:tblCellMar>
            <w:top w:w="0" w:type="dxa"/>
            <w:left w:w="108" w:type="dxa"/>
            <w:bottom w:w="0" w:type="dxa"/>
            <w:right w:w="108" w:type="dxa"/>
          </w:tblCellMar>
        </w:tblPrEx>
        <w:trPr>
          <w:trHeight w:val="384"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18DE524F">
            <w:pPr>
              <w:spacing w:before="156"/>
              <w:jc w:val="center"/>
              <w:rPr>
                <w:rFonts w:hint="eastAsia" w:ascii="宋体" w:hAnsi="宋体"/>
                <w:color w:val="000000"/>
                <w:szCs w:val="21"/>
              </w:rPr>
            </w:pPr>
            <w:r>
              <w:rPr>
                <w:rFonts w:hint="eastAsia" w:ascii="宋体" w:hAnsi="宋体"/>
                <w:color w:val="000000"/>
                <w:szCs w:val="21"/>
              </w:rPr>
              <w:t>40</w:t>
            </w:r>
          </w:p>
        </w:tc>
        <w:tc>
          <w:tcPr>
            <w:tcW w:w="2823" w:type="dxa"/>
            <w:tcBorders>
              <w:top w:val="single" w:color="000000" w:sz="4" w:space="0"/>
              <w:left w:val="single" w:color="000000" w:sz="4" w:space="0"/>
              <w:bottom w:val="single" w:color="000000" w:sz="4" w:space="0"/>
              <w:right w:val="single" w:color="000000" w:sz="4" w:space="0"/>
            </w:tcBorders>
            <w:noWrap w:val="0"/>
            <w:vAlign w:val="center"/>
          </w:tcPr>
          <w:p w14:paraId="2ACBAEF0">
            <w:pPr>
              <w:jc w:val="center"/>
              <w:rPr>
                <w:rFonts w:hint="eastAsia" w:ascii="宋体" w:hAnsi="宋体" w:cs="宋体"/>
                <w:color w:val="000000"/>
                <w:szCs w:val="21"/>
              </w:rPr>
            </w:pPr>
            <w:r>
              <w:rPr>
                <w:rFonts w:hint="eastAsia" w:ascii="宋体" w:hAnsi="宋体"/>
                <w:color w:val="000000"/>
                <w:szCs w:val="21"/>
              </w:rPr>
              <w:t>病房呼叫主机</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239CD8EF">
            <w:pPr>
              <w:jc w:val="center"/>
              <w:rPr>
                <w:rFonts w:ascii="宋体" w:hAnsi="宋体" w:cs="宋体"/>
                <w:color w:val="000000"/>
                <w:szCs w:val="21"/>
              </w:rPr>
            </w:pP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422D7C63">
            <w:pPr>
              <w:spacing w:before="156"/>
              <w:jc w:val="center"/>
              <w:rPr>
                <w:rFonts w:ascii="宋体" w:hAnsi="宋体"/>
                <w:color w:val="000000"/>
                <w:szCs w:val="21"/>
              </w:rPr>
            </w:pPr>
            <w:r>
              <w:rPr>
                <w:rFonts w:hint="eastAsia" w:ascii="宋体" w:hAnsi="宋体"/>
                <w:color w:val="000000"/>
                <w:szCs w:val="21"/>
              </w:rPr>
              <w:t>台</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66C1CD63">
            <w:pPr>
              <w:spacing w:before="156"/>
              <w:jc w:val="center"/>
              <w:rPr>
                <w:rFonts w:hint="eastAsia" w:ascii="宋体" w:hAnsi="宋体"/>
                <w:color w:val="000000"/>
                <w:szCs w:val="21"/>
              </w:rPr>
            </w:pPr>
            <w:r>
              <w:rPr>
                <w:rFonts w:hint="eastAsia" w:ascii="宋体" w:hAnsi="宋体"/>
                <w:color w:val="000000"/>
                <w:szCs w:val="21"/>
              </w:rPr>
              <w:t>4</w:t>
            </w:r>
          </w:p>
        </w:tc>
      </w:tr>
      <w:tr w14:paraId="5264A861">
        <w:tblPrEx>
          <w:tblCellMar>
            <w:top w:w="0" w:type="dxa"/>
            <w:left w:w="108" w:type="dxa"/>
            <w:bottom w:w="0" w:type="dxa"/>
            <w:right w:w="108" w:type="dxa"/>
          </w:tblCellMar>
        </w:tblPrEx>
        <w:trPr>
          <w:trHeight w:val="384"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02AC2603">
            <w:pPr>
              <w:spacing w:before="156"/>
              <w:jc w:val="center"/>
              <w:rPr>
                <w:rFonts w:hint="eastAsia" w:ascii="宋体" w:hAnsi="宋体"/>
                <w:color w:val="000000"/>
                <w:szCs w:val="21"/>
              </w:rPr>
            </w:pPr>
            <w:r>
              <w:rPr>
                <w:rFonts w:hint="eastAsia" w:ascii="宋体" w:hAnsi="宋体"/>
                <w:color w:val="000000"/>
                <w:szCs w:val="21"/>
              </w:rPr>
              <w:t>41</w:t>
            </w:r>
          </w:p>
        </w:tc>
        <w:tc>
          <w:tcPr>
            <w:tcW w:w="2823" w:type="dxa"/>
            <w:tcBorders>
              <w:top w:val="single" w:color="000000" w:sz="4" w:space="0"/>
              <w:left w:val="single" w:color="000000" w:sz="4" w:space="0"/>
              <w:bottom w:val="single" w:color="000000" w:sz="4" w:space="0"/>
              <w:right w:val="single" w:color="000000" w:sz="4" w:space="0"/>
            </w:tcBorders>
            <w:noWrap w:val="0"/>
            <w:vAlign w:val="center"/>
          </w:tcPr>
          <w:p w14:paraId="1A1B94AF">
            <w:pPr>
              <w:jc w:val="center"/>
              <w:rPr>
                <w:rFonts w:hint="eastAsia" w:ascii="宋体" w:hAnsi="宋体" w:cs="宋体"/>
                <w:color w:val="000000"/>
                <w:szCs w:val="21"/>
              </w:rPr>
            </w:pPr>
            <w:r>
              <w:rPr>
                <w:rFonts w:hint="eastAsia" w:ascii="宋体" w:hAnsi="宋体"/>
                <w:color w:val="000000"/>
                <w:szCs w:val="21"/>
              </w:rPr>
              <w:t>经皮黄疸仪</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065A1180">
            <w:pPr>
              <w:jc w:val="center"/>
              <w:rPr>
                <w:rFonts w:ascii="宋体" w:hAnsi="宋体" w:cs="宋体"/>
                <w:color w:val="000000"/>
                <w:szCs w:val="21"/>
              </w:rPr>
            </w:pPr>
            <w:r>
              <w:rPr>
                <w:rFonts w:hint="eastAsia" w:ascii="宋体" w:hAnsi="宋体"/>
                <w:color w:val="000000"/>
                <w:szCs w:val="21"/>
              </w:rPr>
              <w:t>JH20-1B</w:t>
            </w:r>
          </w:p>
          <w:p w14:paraId="739131F9">
            <w:pPr>
              <w:jc w:val="center"/>
              <w:rPr>
                <w:rFonts w:ascii="宋体" w:hAnsi="宋体" w:cs="宋体"/>
                <w:color w:val="000000"/>
                <w:szCs w:val="21"/>
              </w:rPr>
            </w:pP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0E7D4B58">
            <w:pPr>
              <w:spacing w:before="156"/>
              <w:jc w:val="center"/>
              <w:rPr>
                <w:rFonts w:ascii="宋体" w:hAnsi="宋体"/>
                <w:color w:val="000000"/>
                <w:szCs w:val="21"/>
              </w:rPr>
            </w:pPr>
            <w:r>
              <w:rPr>
                <w:rFonts w:hint="eastAsia" w:ascii="宋体" w:hAnsi="宋体"/>
                <w:color w:val="000000"/>
                <w:szCs w:val="21"/>
              </w:rPr>
              <w:t>台</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6AF06D88">
            <w:pPr>
              <w:spacing w:before="156"/>
              <w:jc w:val="center"/>
              <w:rPr>
                <w:rFonts w:hint="eastAsia" w:ascii="宋体" w:hAnsi="宋体"/>
                <w:color w:val="000000"/>
                <w:szCs w:val="21"/>
              </w:rPr>
            </w:pPr>
            <w:r>
              <w:rPr>
                <w:rFonts w:hint="eastAsia" w:ascii="宋体" w:hAnsi="宋体"/>
                <w:color w:val="000000"/>
                <w:szCs w:val="21"/>
              </w:rPr>
              <w:t>4</w:t>
            </w:r>
          </w:p>
        </w:tc>
      </w:tr>
      <w:tr w14:paraId="68154390">
        <w:tblPrEx>
          <w:tblCellMar>
            <w:top w:w="0" w:type="dxa"/>
            <w:left w:w="108" w:type="dxa"/>
            <w:bottom w:w="0" w:type="dxa"/>
            <w:right w:w="108" w:type="dxa"/>
          </w:tblCellMar>
        </w:tblPrEx>
        <w:trPr>
          <w:trHeight w:val="384"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238D4807">
            <w:pPr>
              <w:spacing w:before="156"/>
              <w:jc w:val="center"/>
              <w:rPr>
                <w:rFonts w:hint="eastAsia" w:ascii="宋体" w:hAnsi="宋体"/>
                <w:color w:val="000000"/>
                <w:szCs w:val="21"/>
              </w:rPr>
            </w:pPr>
            <w:r>
              <w:rPr>
                <w:rFonts w:hint="eastAsia" w:ascii="宋体" w:hAnsi="宋体"/>
                <w:color w:val="000000"/>
                <w:szCs w:val="21"/>
              </w:rPr>
              <w:t>42</w:t>
            </w:r>
          </w:p>
        </w:tc>
        <w:tc>
          <w:tcPr>
            <w:tcW w:w="2823" w:type="dxa"/>
            <w:tcBorders>
              <w:top w:val="single" w:color="000000" w:sz="4" w:space="0"/>
              <w:left w:val="single" w:color="000000" w:sz="4" w:space="0"/>
              <w:bottom w:val="single" w:color="000000" w:sz="4" w:space="0"/>
              <w:right w:val="single" w:color="000000" w:sz="4" w:space="0"/>
            </w:tcBorders>
            <w:noWrap w:val="0"/>
            <w:vAlign w:val="center"/>
          </w:tcPr>
          <w:p w14:paraId="15BDD0D2">
            <w:pPr>
              <w:jc w:val="center"/>
              <w:rPr>
                <w:rFonts w:hint="eastAsia" w:ascii="宋体" w:hAnsi="宋体" w:cs="宋体"/>
                <w:color w:val="000000"/>
                <w:szCs w:val="21"/>
              </w:rPr>
            </w:pPr>
            <w:r>
              <w:rPr>
                <w:rFonts w:hint="eastAsia" w:ascii="宋体" w:hAnsi="宋体"/>
                <w:color w:val="000000"/>
                <w:szCs w:val="21"/>
              </w:rPr>
              <w:t>抢救车</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07EDE924">
            <w:pPr>
              <w:jc w:val="center"/>
              <w:rPr>
                <w:rFonts w:ascii="宋体" w:hAnsi="宋体" w:cs="宋体"/>
                <w:color w:val="000000"/>
                <w:szCs w:val="21"/>
              </w:rPr>
            </w:pP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27F47A0F">
            <w:pPr>
              <w:spacing w:before="156"/>
              <w:jc w:val="center"/>
              <w:rPr>
                <w:rFonts w:hint="eastAsia" w:ascii="宋体" w:hAnsi="宋体"/>
                <w:color w:val="000000"/>
                <w:szCs w:val="21"/>
              </w:rPr>
            </w:pPr>
            <w:r>
              <w:rPr>
                <w:rFonts w:hint="eastAsia" w:ascii="宋体" w:hAnsi="宋体"/>
                <w:color w:val="000000"/>
                <w:szCs w:val="21"/>
              </w:rPr>
              <w:t>辆</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5D11B29B">
            <w:pPr>
              <w:spacing w:before="156"/>
              <w:jc w:val="center"/>
              <w:rPr>
                <w:rFonts w:hint="eastAsia" w:ascii="宋体" w:hAnsi="宋体"/>
                <w:color w:val="000000"/>
                <w:szCs w:val="21"/>
              </w:rPr>
            </w:pPr>
            <w:r>
              <w:rPr>
                <w:rFonts w:hint="eastAsia" w:ascii="宋体" w:hAnsi="宋体"/>
                <w:color w:val="000000"/>
                <w:szCs w:val="21"/>
              </w:rPr>
              <w:t>2</w:t>
            </w:r>
          </w:p>
        </w:tc>
      </w:tr>
      <w:tr w14:paraId="129ACB6F">
        <w:tblPrEx>
          <w:tblCellMar>
            <w:top w:w="0" w:type="dxa"/>
            <w:left w:w="108" w:type="dxa"/>
            <w:bottom w:w="0" w:type="dxa"/>
            <w:right w:w="108" w:type="dxa"/>
          </w:tblCellMar>
        </w:tblPrEx>
        <w:trPr>
          <w:trHeight w:val="384"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6F1A807E">
            <w:pPr>
              <w:spacing w:before="156"/>
              <w:jc w:val="center"/>
              <w:rPr>
                <w:rFonts w:hint="eastAsia" w:ascii="宋体" w:hAnsi="宋体"/>
                <w:color w:val="000000"/>
                <w:szCs w:val="21"/>
              </w:rPr>
            </w:pPr>
            <w:r>
              <w:rPr>
                <w:rFonts w:hint="eastAsia" w:ascii="宋体" w:hAnsi="宋体"/>
                <w:color w:val="000000"/>
                <w:szCs w:val="21"/>
              </w:rPr>
              <w:t>43</w:t>
            </w:r>
          </w:p>
        </w:tc>
        <w:tc>
          <w:tcPr>
            <w:tcW w:w="2823" w:type="dxa"/>
            <w:tcBorders>
              <w:top w:val="single" w:color="000000" w:sz="4" w:space="0"/>
              <w:left w:val="single" w:color="000000" w:sz="4" w:space="0"/>
              <w:bottom w:val="single" w:color="000000" w:sz="4" w:space="0"/>
              <w:right w:val="single" w:color="000000" w:sz="4" w:space="0"/>
            </w:tcBorders>
            <w:noWrap w:val="0"/>
            <w:vAlign w:val="center"/>
          </w:tcPr>
          <w:p w14:paraId="322C0A21">
            <w:pPr>
              <w:jc w:val="center"/>
              <w:rPr>
                <w:rFonts w:hint="eastAsia" w:ascii="宋体" w:hAnsi="宋体" w:cs="宋体"/>
                <w:color w:val="000000"/>
                <w:szCs w:val="21"/>
              </w:rPr>
            </w:pPr>
            <w:r>
              <w:rPr>
                <w:rFonts w:hint="eastAsia" w:ascii="宋体" w:hAnsi="宋体"/>
                <w:color w:val="000000"/>
                <w:szCs w:val="21"/>
              </w:rPr>
              <w:t>心电监护仪</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0053A58C">
            <w:pPr>
              <w:jc w:val="center"/>
              <w:rPr>
                <w:rFonts w:hint="eastAsia" w:ascii="宋体" w:hAnsi="宋体" w:cs="宋体"/>
                <w:color w:val="000000"/>
                <w:szCs w:val="21"/>
              </w:rPr>
            </w:pPr>
            <w:r>
              <w:rPr>
                <w:rFonts w:hint="eastAsia" w:ascii="宋体" w:hAnsi="宋体"/>
                <w:color w:val="000000"/>
                <w:szCs w:val="21"/>
              </w:rPr>
              <w:t>PM-8000</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35C57737">
            <w:pPr>
              <w:spacing w:before="156"/>
              <w:jc w:val="center"/>
              <w:rPr>
                <w:rFonts w:ascii="宋体" w:hAnsi="宋体"/>
                <w:color w:val="000000"/>
                <w:szCs w:val="21"/>
              </w:rPr>
            </w:pPr>
            <w:r>
              <w:rPr>
                <w:rFonts w:hint="eastAsia" w:ascii="宋体" w:hAnsi="宋体"/>
                <w:color w:val="000000"/>
                <w:szCs w:val="21"/>
              </w:rPr>
              <w:t>台</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070F9034">
            <w:pPr>
              <w:spacing w:before="156"/>
              <w:jc w:val="center"/>
              <w:rPr>
                <w:rFonts w:hint="eastAsia" w:ascii="宋体" w:hAnsi="宋体"/>
                <w:color w:val="000000"/>
                <w:szCs w:val="21"/>
              </w:rPr>
            </w:pPr>
            <w:r>
              <w:rPr>
                <w:rFonts w:hint="eastAsia" w:ascii="宋体" w:hAnsi="宋体"/>
                <w:color w:val="000000"/>
                <w:szCs w:val="21"/>
              </w:rPr>
              <w:t>8</w:t>
            </w:r>
          </w:p>
        </w:tc>
      </w:tr>
      <w:tr w14:paraId="0DACB6BF">
        <w:tblPrEx>
          <w:tblCellMar>
            <w:top w:w="0" w:type="dxa"/>
            <w:left w:w="108" w:type="dxa"/>
            <w:bottom w:w="0" w:type="dxa"/>
            <w:right w:w="108" w:type="dxa"/>
          </w:tblCellMar>
        </w:tblPrEx>
        <w:trPr>
          <w:trHeight w:val="384"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06D3BD7E">
            <w:pPr>
              <w:spacing w:before="156"/>
              <w:jc w:val="center"/>
              <w:rPr>
                <w:rFonts w:hint="eastAsia" w:ascii="宋体" w:hAnsi="宋体"/>
                <w:color w:val="000000"/>
                <w:szCs w:val="21"/>
              </w:rPr>
            </w:pPr>
            <w:r>
              <w:rPr>
                <w:rFonts w:hint="eastAsia" w:ascii="宋体" w:hAnsi="宋体"/>
                <w:color w:val="000000"/>
                <w:szCs w:val="21"/>
              </w:rPr>
              <w:t>44</w:t>
            </w:r>
          </w:p>
        </w:tc>
        <w:tc>
          <w:tcPr>
            <w:tcW w:w="2823" w:type="dxa"/>
            <w:tcBorders>
              <w:top w:val="single" w:color="000000" w:sz="4" w:space="0"/>
              <w:left w:val="single" w:color="000000" w:sz="4" w:space="0"/>
              <w:bottom w:val="single" w:color="000000" w:sz="4" w:space="0"/>
              <w:right w:val="single" w:color="000000" w:sz="4" w:space="0"/>
            </w:tcBorders>
            <w:noWrap w:val="0"/>
            <w:vAlign w:val="center"/>
          </w:tcPr>
          <w:p w14:paraId="5F392FCD">
            <w:pPr>
              <w:jc w:val="center"/>
              <w:rPr>
                <w:rFonts w:hint="eastAsia" w:ascii="宋体" w:hAnsi="宋体" w:cs="宋体"/>
                <w:color w:val="000000"/>
                <w:szCs w:val="21"/>
              </w:rPr>
            </w:pPr>
            <w:r>
              <w:rPr>
                <w:rFonts w:hint="eastAsia" w:ascii="宋体" w:hAnsi="宋体"/>
                <w:color w:val="000000"/>
                <w:szCs w:val="21"/>
              </w:rPr>
              <w:t>输液泵</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3C495E21">
            <w:pPr>
              <w:jc w:val="center"/>
              <w:rPr>
                <w:rFonts w:hint="eastAsia" w:ascii="宋体" w:hAnsi="宋体" w:cs="宋体"/>
                <w:color w:val="000000"/>
                <w:szCs w:val="21"/>
              </w:rPr>
            </w:pPr>
            <w:r>
              <w:rPr>
                <w:rFonts w:hint="eastAsia" w:ascii="宋体" w:hAnsi="宋体"/>
                <w:color w:val="000000"/>
                <w:szCs w:val="21"/>
              </w:rPr>
              <w:t>EP-500</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04BD430B">
            <w:pPr>
              <w:spacing w:before="156"/>
              <w:jc w:val="center"/>
              <w:rPr>
                <w:rFonts w:hint="eastAsia" w:ascii="宋体" w:hAnsi="宋体"/>
                <w:color w:val="000000"/>
                <w:szCs w:val="21"/>
              </w:rPr>
            </w:pPr>
            <w:r>
              <w:rPr>
                <w:rFonts w:hint="eastAsia" w:ascii="宋体" w:hAnsi="宋体"/>
                <w:color w:val="000000"/>
                <w:szCs w:val="21"/>
              </w:rPr>
              <w:t>台</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59A62EA8">
            <w:pPr>
              <w:spacing w:before="156"/>
              <w:jc w:val="center"/>
              <w:rPr>
                <w:rFonts w:hint="eastAsia" w:ascii="宋体" w:hAnsi="宋体"/>
                <w:color w:val="000000"/>
                <w:szCs w:val="21"/>
              </w:rPr>
            </w:pPr>
            <w:r>
              <w:rPr>
                <w:rFonts w:hint="eastAsia" w:ascii="宋体" w:hAnsi="宋体"/>
                <w:color w:val="000000"/>
                <w:szCs w:val="21"/>
              </w:rPr>
              <w:t>6</w:t>
            </w:r>
          </w:p>
        </w:tc>
      </w:tr>
      <w:tr w14:paraId="0EAB5FEA">
        <w:tblPrEx>
          <w:tblCellMar>
            <w:top w:w="0" w:type="dxa"/>
            <w:left w:w="108" w:type="dxa"/>
            <w:bottom w:w="0" w:type="dxa"/>
            <w:right w:w="108" w:type="dxa"/>
          </w:tblCellMar>
        </w:tblPrEx>
        <w:trPr>
          <w:trHeight w:val="384"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4A6E274A">
            <w:pPr>
              <w:spacing w:before="156"/>
              <w:jc w:val="center"/>
              <w:rPr>
                <w:rFonts w:hint="eastAsia" w:ascii="宋体" w:hAnsi="宋体"/>
                <w:color w:val="000000"/>
                <w:szCs w:val="21"/>
              </w:rPr>
            </w:pPr>
            <w:r>
              <w:rPr>
                <w:rFonts w:hint="eastAsia" w:ascii="宋体" w:hAnsi="宋体"/>
                <w:color w:val="000000"/>
                <w:szCs w:val="21"/>
              </w:rPr>
              <w:t>45</w:t>
            </w:r>
          </w:p>
        </w:tc>
        <w:tc>
          <w:tcPr>
            <w:tcW w:w="2823" w:type="dxa"/>
            <w:tcBorders>
              <w:top w:val="single" w:color="000000" w:sz="4" w:space="0"/>
              <w:left w:val="single" w:color="000000" w:sz="4" w:space="0"/>
              <w:bottom w:val="single" w:color="000000" w:sz="4" w:space="0"/>
              <w:right w:val="single" w:color="000000" w:sz="4" w:space="0"/>
            </w:tcBorders>
            <w:noWrap w:val="0"/>
            <w:vAlign w:val="center"/>
          </w:tcPr>
          <w:p w14:paraId="77E6E82F">
            <w:pPr>
              <w:jc w:val="center"/>
              <w:rPr>
                <w:rFonts w:hint="eastAsia" w:ascii="宋体" w:hAnsi="宋体" w:cs="宋体"/>
                <w:color w:val="000000"/>
                <w:szCs w:val="21"/>
              </w:rPr>
            </w:pPr>
            <w:r>
              <w:rPr>
                <w:rFonts w:hint="eastAsia" w:ascii="宋体" w:hAnsi="宋体"/>
                <w:color w:val="000000"/>
                <w:szCs w:val="21"/>
              </w:rPr>
              <w:t>辐射式新生儿抢救台</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5140CF64">
            <w:pPr>
              <w:jc w:val="center"/>
              <w:rPr>
                <w:rFonts w:hint="eastAsia" w:ascii="宋体" w:hAnsi="宋体" w:cs="Arial"/>
                <w:color w:val="000000"/>
                <w:szCs w:val="21"/>
              </w:rPr>
            </w:pPr>
            <w:r>
              <w:rPr>
                <w:rFonts w:ascii="宋体" w:hAnsi="宋体" w:cs="Arial"/>
                <w:color w:val="000000"/>
                <w:szCs w:val="21"/>
              </w:rPr>
              <w:t>FXQ3</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2038918B">
            <w:pPr>
              <w:spacing w:before="156"/>
              <w:jc w:val="center"/>
              <w:rPr>
                <w:rFonts w:hint="eastAsia" w:ascii="宋体" w:hAnsi="宋体"/>
                <w:color w:val="000000"/>
                <w:szCs w:val="21"/>
              </w:rPr>
            </w:pPr>
            <w:r>
              <w:rPr>
                <w:rFonts w:hint="eastAsia" w:ascii="宋体" w:hAnsi="宋体"/>
                <w:color w:val="000000"/>
                <w:szCs w:val="21"/>
              </w:rPr>
              <w:t>个</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3FD8F8D7">
            <w:pPr>
              <w:spacing w:before="156"/>
              <w:jc w:val="center"/>
              <w:rPr>
                <w:rFonts w:hint="eastAsia" w:ascii="宋体" w:hAnsi="宋体"/>
                <w:color w:val="000000"/>
                <w:szCs w:val="21"/>
              </w:rPr>
            </w:pPr>
            <w:r>
              <w:rPr>
                <w:rFonts w:hint="eastAsia" w:ascii="宋体" w:hAnsi="宋体"/>
                <w:color w:val="000000"/>
                <w:szCs w:val="21"/>
              </w:rPr>
              <w:t>4</w:t>
            </w:r>
          </w:p>
        </w:tc>
      </w:tr>
      <w:tr w14:paraId="3581EC68">
        <w:tblPrEx>
          <w:tblCellMar>
            <w:top w:w="0" w:type="dxa"/>
            <w:left w:w="108" w:type="dxa"/>
            <w:bottom w:w="0" w:type="dxa"/>
            <w:right w:w="108" w:type="dxa"/>
          </w:tblCellMar>
        </w:tblPrEx>
        <w:trPr>
          <w:trHeight w:val="384"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69242109">
            <w:pPr>
              <w:spacing w:before="156"/>
              <w:jc w:val="center"/>
              <w:rPr>
                <w:rFonts w:hint="eastAsia" w:ascii="宋体" w:hAnsi="宋体"/>
                <w:color w:val="000000"/>
                <w:szCs w:val="21"/>
              </w:rPr>
            </w:pPr>
            <w:r>
              <w:rPr>
                <w:rFonts w:hint="eastAsia" w:ascii="宋体" w:hAnsi="宋体"/>
                <w:color w:val="000000"/>
                <w:szCs w:val="21"/>
              </w:rPr>
              <w:t>46</w:t>
            </w:r>
          </w:p>
        </w:tc>
        <w:tc>
          <w:tcPr>
            <w:tcW w:w="2823" w:type="dxa"/>
            <w:tcBorders>
              <w:top w:val="single" w:color="000000" w:sz="4" w:space="0"/>
              <w:left w:val="single" w:color="000000" w:sz="4" w:space="0"/>
              <w:bottom w:val="single" w:color="000000" w:sz="4" w:space="0"/>
              <w:right w:val="single" w:color="000000" w:sz="4" w:space="0"/>
            </w:tcBorders>
            <w:noWrap w:val="0"/>
            <w:vAlign w:val="center"/>
          </w:tcPr>
          <w:p w14:paraId="52EE0E3D">
            <w:pPr>
              <w:jc w:val="center"/>
              <w:rPr>
                <w:rFonts w:hint="eastAsia" w:ascii="宋体" w:hAnsi="宋体" w:cs="宋体"/>
                <w:color w:val="000000"/>
                <w:szCs w:val="21"/>
              </w:rPr>
            </w:pPr>
            <w:r>
              <w:rPr>
                <w:rFonts w:hint="eastAsia" w:ascii="宋体" w:hAnsi="宋体"/>
                <w:color w:val="000000"/>
                <w:szCs w:val="21"/>
              </w:rPr>
              <w:t>新生儿咽候镜</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4DCA43D3">
            <w:pPr>
              <w:jc w:val="center"/>
              <w:rPr>
                <w:rFonts w:ascii="宋体" w:hAnsi="宋体" w:cs="宋体"/>
                <w:color w:val="000000"/>
                <w:szCs w:val="21"/>
              </w:rPr>
            </w:pP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295409B9">
            <w:pPr>
              <w:spacing w:before="156"/>
              <w:jc w:val="center"/>
              <w:rPr>
                <w:rFonts w:ascii="宋体" w:hAnsi="宋体"/>
                <w:color w:val="000000"/>
                <w:szCs w:val="21"/>
              </w:rPr>
            </w:pPr>
            <w:r>
              <w:rPr>
                <w:rFonts w:hint="eastAsia" w:ascii="宋体" w:hAnsi="宋体"/>
                <w:color w:val="000000"/>
                <w:szCs w:val="21"/>
              </w:rPr>
              <w:t>台</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1409F444">
            <w:pPr>
              <w:spacing w:before="156"/>
              <w:jc w:val="center"/>
              <w:rPr>
                <w:rFonts w:hint="eastAsia" w:ascii="宋体" w:hAnsi="宋体"/>
                <w:color w:val="000000"/>
                <w:szCs w:val="21"/>
              </w:rPr>
            </w:pPr>
            <w:r>
              <w:rPr>
                <w:rFonts w:hint="eastAsia" w:ascii="宋体" w:hAnsi="宋体"/>
                <w:color w:val="000000"/>
                <w:szCs w:val="21"/>
              </w:rPr>
              <w:t>4</w:t>
            </w:r>
          </w:p>
        </w:tc>
      </w:tr>
      <w:tr w14:paraId="062CBEAD">
        <w:tblPrEx>
          <w:tblCellMar>
            <w:top w:w="0" w:type="dxa"/>
            <w:left w:w="108" w:type="dxa"/>
            <w:bottom w:w="0" w:type="dxa"/>
            <w:right w:w="108" w:type="dxa"/>
          </w:tblCellMar>
        </w:tblPrEx>
        <w:trPr>
          <w:trHeight w:val="384"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6C92BC0A">
            <w:pPr>
              <w:spacing w:before="156"/>
              <w:jc w:val="center"/>
              <w:rPr>
                <w:rFonts w:hint="eastAsia" w:ascii="宋体" w:hAnsi="宋体"/>
                <w:color w:val="000000"/>
                <w:szCs w:val="21"/>
              </w:rPr>
            </w:pPr>
            <w:r>
              <w:rPr>
                <w:rFonts w:hint="eastAsia" w:ascii="宋体" w:hAnsi="宋体"/>
                <w:color w:val="000000"/>
                <w:szCs w:val="21"/>
              </w:rPr>
              <w:t>47</w:t>
            </w:r>
          </w:p>
        </w:tc>
        <w:tc>
          <w:tcPr>
            <w:tcW w:w="2823" w:type="dxa"/>
            <w:tcBorders>
              <w:top w:val="single" w:color="000000" w:sz="4" w:space="0"/>
              <w:left w:val="single" w:color="000000" w:sz="4" w:space="0"/>
              <w:bottom w:val="single" w:color="000000" w:sz="4" w:space="0"/>
              <w:right w:val="single" w:color="000000" w:sz="4" w:space="0"/>
            </w:tcBorders>
            <w:noWrap w:val="0"/>
            <w:vAlign w:val="center"/>
          </w:tcPr>
          <w:p w14:paraId="5A7450E7">
            <w:pPr>
              <w:jc w:val="center"/>
              <w:rPr>
                <w:rFonts w:hint="eastAsia" w:ascii="宋体" w:hAnsi="宋体" w:cs="宋体"/>
                <w:color w:val="000000"/>
                <w:szCs w:val="21"/>
              </w:rPr>
            </w:pPr>
            <w:r>
              <w:rPr>
                <w:rFonts w:hint="eastAsia" w:ascii="宋体" w:hAnsi="宋体"/>
                <w:color w:val="000000"/>
                <w:szCs w:val="21"/>
              </w:rPr>
              <w:t>输液泵</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1992F8F9">
            <w:pPr>
              <w:jc w:val="center"/>
              <w:rPr>
                <w:rFonts w:hint="eastAsia" w:ascii="宋体" w:hAnsi="宋体" w:cs="宋体"/>
                <w:color w:val="000000"/>
                <w:szCs w:val="21"/>
              </w:rPr>
            </w:pPr>
            <w:r>
              <w:rPr>
                <w:rFonts w:hint="eastAsia" w:ascii="宋体" w:hAnsi="宋体"/>
                <w:color w:val="000000"/>
                <w:szCs w:val="21"/>
              </w:rPr>
              <w:t>EP-500</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36B4A7D6">
            <w:pPr>
              <w:spacing w:before="156"/>
              <w:jc w:val="center"/>
              <w:rPr>
                <w:rFonts w:ascii="宋体" w:hAnsi="宋体"/>
                <w:color w:val="000000"/>
                <w:szCs w:val="21"/>
              </w:rPr>
            </w:pPr>
            <w:r>
              <w:rPr>
                <w:rFonts w:hint="eastAsia" w:ascii="宋体" w:hAnsi="宋体"/>
                <w:color w:val="000000"/>
                <w:szCs w:val="21"/>
              </w:rPr>
              <w:t>台</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2C0B3358">
            <w:pPr>
              <w:spacing w:before="156"/>
              <w:jc w:val="center"/>
              <w:rPr>
                <w:rFonts w:hint="eastAsia" w:ascii="宋体" w:hAnsi="宋体"/>
                <w:color w:val="000000"/>
                <w:szCs w:val="21"/>
              </w:rPr>
            </w:pPr>
            <w:r>
              <w:rPr>
                <w:rFonts w:hint="eastAsia" w:ascii="宋体" w:hAnsi="宋体"/>
                <w:color w:val="000000"/>
                <w:szCs w:val="21"/>
              </w:rPr>
              <w:t>4</w:t>
            </w:r>
          </w:p>
        </w:tc>
      </w:tr>
      <w:tr w14:paraId="63E0B474">
        <w:tblPrEx>
          <w:tblCellMar>
            <w:top w:w="0" w:type="dxa"/>
            <w:left w:w="108" w:type="dxa"/>
            <w:bottom w:w="0" w:type="dxa"/>
            <w:right w:w="108" w:type="dxa"/>
          </w:tblCellMar>
        </w:tblPrEx>
        <w:trPr>
          <w:trHeight w:val="384"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16BD9768">
            <w:pPr>
              <w:spacing w:before="156"/>
              <w:jc w:val="center"/>
              <w:rPr>
                <w:rFonts w:hint="eastAsia" w:ascii="宋体" w:hAnsi="宋体"/>
                <w:color w:val="000000"/>
                <w:szCs w:val="21"/>
              </w:rPr>
            </w:pPr>
            <w:r>
              <w:rPr>
                <w:rFonts w:hint="eastAsia" w:ascii="宋体" w:hAnsi="宋体"/>
                <w:color w:val="000000"/>
                <w:szCs w:val="21"/>
              </w:rPr>
              <w:t>48</w:t>
            </w:r>
          </w:p>
        </w:tc>
        <w:tc>
          <w:tcPr>
            <w:tcW w:w="2823" w:type="dxa"/>
            <w:tcBorders>
              <w:top w:val="single" w:color="000000" w:sz="4" w:space="0"/>
              <w:left w:val="single" w:color="000000" w:sz="4" w:space="0"/>
              <w:bottom w:val="single" w:color="000000" w:sz="4" w:space="0"/>
              <w:right w:val="single" w:color="000000" w:sz="4" w:space="0"/>
            </w:tcBorders>
            <w:noWrap w:val="0"/>
            <w:vAlign w:val="center"/>
          </w:tcPr>
          <w:p w14:paraId="34F1A5F3">
            <w:pPr>
              <w:jc w:val="center"/>
              <w:rPr>
                <w:rFonts w:hint="eastAsia" w:ascii="宋体" w:hAnsi="宋体" w:cs="宋体"/>
                <w:color w:val="000000"/>
                <w:szCs w:val="21"/>
              </w:rPr>
            </w:pPr>
            <w:r>
              <w:rPr>
                <w:rFonts w:hint="eastAsia" w:ascii="宋体" w:hAnsi="宋体"/>
                <w:color w:val="000000"/>
                <w:szCs w:val="21"/>
              </w:rPr>
              <w:t>婴儿培养箱(带双面蓝光)</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6B4E1F21">
            <w:pPr>
              <w:jc w:val="center"/>
              <w:rPr>
                <w:rFonts w:hint="eastAsia" w:ascii="宋体" w:hAnsi="宋体" w:cs="宋体"/>
                <w:color w:val="000000"/>
                <w:szCs w:val="21"/>
              </w:rPr>
            </w:pPr>
            <w:r>
              <w:rPr>
                <w:rFonts w:hint="eastAsia" w:ascii="宋体" w:hAnsi="宋体"/>
                <w:color w:val="000000"/>
                <w:szCs w:val="21"/>
              </w:rPr>
              <w:t>YP-90AC</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679AD573">
            <w:pPr>
              <w:spacing w:before="156"/>
              <w:jc w:val="center"/>
              <w:rPr>
                <w:rFonts w:ascii="宋体" w:hAnsi="宋体"/>
                <w:color w:val="000000"/>
                <w:szCs w:val="21"/>
              </w:rPr>
            </w:pPr>
            <w:r>
              <w:rPr>
                <w:rFonts w:hint="eastAsia" w:ascii="宋体" w:hAnsi="宋体"/>
                <w:color w:val="000000"/>
                <w:szCs w:val="21"/>
              </w:rPr>
              <w:t>个</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67AB9E2B">
            <w:pPr>
              <w:spacing w:before="156"/>
              <w:jc w:val="center"/>
              <w:rPr>
                <w:rFonts w:hint="eastAsia" w:ascii="宋体" w:hAnsi="宋体"/>
                <w:color w:val="000000"/>
                <w:szCs w:val="21"/>
              </w:rPr>
            </w:pPr>
            <w:r>
              <w:rPr>
                <w:rFonts w:hint="eastAsia" w:ascii="宋体" w:hAnsi="宋体"/>
                <w:color w:val="000000"/>
                <w:szCs w:val="21"/>
              </w:rPr>
              <w:t>8</w:t>
            </w:r>
          </w:p>
        </w:tc>
      </w:tr>
      <w:tr w14:paraId="333E964B">
        <w:tblPrEx>
          <w:tblCellMar>
            <w:top w:w="0" w:type="dxa"/>
            <w:left w:w="108" w:type="dxa"/>
            <w:bottom w:w="0" w:type="dxa"/>
            <w:right w:w="108" w:type="dxa"/>
          </w:tblCellMar>
        </w:tblPrEx>
        <w:trPr>
          <w:trHeight w:val="384"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06D522EA">
            <w:pPr>
              <w:spacing w:before="156"/>
              <w:jc w:val="center"/>
              <w:rPr>
                <w:rFonts w:hint="eastAsia" w:ascii="宋体" w:hAnsi="宋体"/>
                <w:color w:val="000000"/>
                <w:szCs w:val="21"/>
              </w:rPr>
            </w:pPr>
            <w:r>
              <w:rPr>
                <w:rFonts w:hint="eastAsia" w:ascii="宋体" w:hAnsi="宋体"/>
                <w:color w:val="000000"/>
                <w:szCs w:val="21"/>
              </w:rPr>
              <w:t>49</w:t>
            </w:r>
          </w:p>
        </w:tc>
        <w:tc>
          <w:tcPr>
            <w:tcW w:w="2823" w:type="dxa"/>
            <w:tcBorders>
              <w:top w:val="single" w:color="000000" w:sz="4" w:space="0"/>
              <w:left w:val="single" w:color="000000" w:sz="4" w:space="0"/>
              <w:bottom w:val="single" w:color="000000" w:sz="4" w:space="0"/>
              <w:right w:val="single" w:color="000000" w:sz="4" w:space="0"/>
            </w:tcBorders>
            <w:noWrap w:val="0"/>
            <w:vAlign w:val="center"/>
          </w:tcPr>
          <w:p w14:paraId="6B858414">
            <w:pPr>
              <w:jc w:val="center"/>
              <w:rPr>
                <w:rFonts w:hint="eastAsia" w:ascii="宋体" w:hAnsi="宋体" w:cs="宋体"/>
                <w:color w:val="000000"/>
                <w:szCs w:val="21"/>
              </w:rPr>
            </w:pPr>
            <w:r>
              <w:rPr>
                <w:rFonts w:hint="eastAsia" w:ascii="宋体" w:hAnsi="宋体"/>
                <w:color w:val="000000"/>
                <w:szCs w:val="21"/>
              </w:rPr>
              <w:t>婴儿培养箱（带单面蓝光）</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7CA93543">
            <w:pPr>
              <w:jc w:val="center"/>
              <w:rPr>
                <w:rFonts w:hint="eastAsia" w:ascii="宋体" w:hAnsi="宋体" w:cs="宋体"/>
                <w:color w:val="000000"/>
                <w:szCs w:val="21"/>
              </w:rPr>
            </w:pPr>
            <w:r>
              <w:rPr>
                <w:rFonts w:hint="eastAsia" w:ascii="宋体" w:hAnsi="宋体"/>
                <w:color w:val="000000"/>
                <w:szCs w:val="21"/>
              </w:rPr>
              <w:t>YP-91AB</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1BA4A904">
            <w:pPr>
              <w:spacing w:before="156"/>
              <w:jc w:val="center"/>
              <w:rPr>
                <w:rFonts w:hint="eastAsia" w:ascii="宋体" w:hAnsi="宋体"/>
                <w:color w:val="000000"/>
                <w:szCs w:val="21"/>
              </w:rPr>
            </w:pPr>
            <w:r>
              <w:rPr>
                <w:rFonts w:hint="eastAsia" w:ascii="宋体" w:hAnsi="宋体"/>
                <w:color w:val="000000"/>
                <w:szCs w:val="21"/>
              </w:rPr>
              <w:t>个</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2FDFF708">
            <w:pPr>
              <w:spacing w:before="156"/>
              <w:jc w:val="center"/>
              <w:rPr>
                <w:rFonts w:hint="eastAsia" w:ascii="宋体" w:hAnsi="宋体"/>
                <w:color w:val="000000"/>
                <w:szCs w:val="21"/>
              </w:rPr>
            </w:pPr>
            <w:r>
              <w:rPr>
                <w:rFonts w:hint="eastAsia" w:ascii="宋体" w:hAnsi="宋体"/>
                <w:color w:val="000000"/>
                <w:szCs w:val="21"/>
              </w:rPr>
              <w:t>8</w:t>
            </w:r>
          </w:p>
        </w:tc>
      </w:tr>
      <w:tr w14:paraId="0EB3E91D">
        <w:tblPrEx>
          <w:tblCellMar>
            <w:top w:w="0" w:type="dxa"/>
            <w:left w:w="108" w:type="dxa"/>
            <w:bottom w:w="0" w:type="dxa"/>
            <w:right w:w="108" w:type="dxa"/>
          </w:tblCellMar>
        </w:tblPrEx>
        <w:trPr>
          <w:trHeight w:val="384"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702DCBC0">
            <w:pPr>
              <w:spacing w:before="156"/>
              <w:jc w:val="center"/>
              <w:rPr>
                <w:rFonts w:hint="eastAsia" w:ascii="宋体" w:hAnsi="宋体"/>
                <w:color w:val="000000"/>
                <w:szCs w:val="21"/>
              </w:rPr>
            </w:pPr>
            <w:r>
              <w:rPr>
                <w:rFonts w:hint="eastAsia" w:ascii="宋体" w:hAnsi="宋体"/>
                <w:color w:val="000000"/>
                <w:szCs w:val="21"/>
              </w:rPr>
              <w:t>50</w:t>
            </w:r>
          </w:p>
        </w:tc>
        <w:tc>
          <w:tcPr>
            <w:tcW w:w="2823" w:type="dxa"/>
            <w:tcBorders>
              <w:top w:val="single" w:color="000000" w:sz="4" w:space="0"/>
              <w:left w:val="single" w:color="000000" w:sz="4" w:space="0"/>
              <w:bottom w:val="single" w:color="000000" w:sz="4" w:space="0"/>
              <w:right w:val="single" w:color="000000" w:sz="4" w:space="0"/>
            </w:tcBorders>
            <w:noWrap w:val="0"/>
            <w:vAlign w:val="center"/>
          </w:tcPr>
          <w:p w14:paraId="4FFA726B">
            <w:pPr>
              <w:jc w:val="center"/>
              <w:rPr>
                <w:rFonts w:hint="eastAsia" w:ascii="宋体" w:hAnsi="宋体" w:cs="宋体"/>
                <w:color w:val="000000"/>
                <w:szCs w:val="21"/>
              </w:rPr>
            </w:pPr>
            <w:r>
              <w:rPr>
                <w:rFonts w:hint="eastAsia" w:ascii="宋体" w:hAnsi="宋体"/>
                <w:color w:val="000000"/>
                <w:szCs w:val="21"/>
              </w:rPr>
              <w:t>捷锐空气混合器</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02649E19">
            <w:pPr>
              <w:jc w:val="center"/>
              <w:rPr>
                <w:rFonts w:hint="eastAsia" w:ascii="宋体" w:hAnsi="宋体" w:cs="宋体"/>
                <w:color w:val="000000"/>
                <w:szCs w:val="21"/>
              </w:rPr>
            </w:pPr>
            <w:r>
              <w:rPr>
                <w:rFonts w:hint="eastAsia" w:ascii="宋体" w:hAnsi="宋体"/>
                <w:color w:val="000000"/>
                <w:szCs w:val="21"/>
              </w:rPr>
              <w:t>AD-3000SPD</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2EBD4A09">
            <w:pPr>
              <w:spacing w:before="156"/>
              <w:jc w:val="center"/>
              <w:rPr>
                <w:rFonts w:ascii="宋体" w:hAnsi="宋体"/>
                <w:color w:val="000000"/>
                <w:szCs w:val="21"/>
              </w:rPr>
            </w:pPr>
            <w:r>
              <w:rPr>
                <w:rFonts w:hint="eastAsia" w:ascii="宋体" w:hAnsi="宋体"/>
                <w:color w:val="000000"/>
                <w:szCs w:val="21"/>
              </w:rPr>
              <w:t>台</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020E99A3">
            <w:pPr>
              <w:spacing w:before="156"/>
              <w:jc w:val="center"/>
              <w:rPr>
                <w:rFonts w:hint="eastAsia" w:ascii="宋体" w:hAnsi="宋体"/>
                <w:color w:val="000000"/>
                <w:szCs w:val="21"/>
              </w:rPr>
            </w:pPr>
            <w:r>
              <w:rPr>
                <w:rFonts w:hint="eastAsia" w:ascii="宋体" w:hAnsi="宋体"/>
                <w:color w:val="000000"/>
                <w:szCs w:val="21"/>
              </w:rPr>
              <w:t>4</w:t>
            </w:r>
          </w:p>
        </w:tc>
      </w:tr>
      <w:tr w14:paraId="7F6F7D87">
        <w:tblPrEx>
          <w:tblCellMar>
            <w:top w:w="0" w:type="dxa"/>
            <w:left w:w="108" w:type="dxa"/>
            <w:bottom w:w="0" w:type="dxa"/>
            <w:right w:w="108" w:type="dxa"/>
          </w:tblCellMar>
        </w:tblPrEx>
        <w:trPr>
          <w:trHeight w:val="384"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384C5C23">
            <w:pPr>
              <w:spacing w:before="156"/>
              <w:jc w:val="center"/>
              <w:rPr>
                <w:rFonts w:hint="eastAsia" w:ascii="宋体" w:hAnsi="宋体"/>
                <w:color w:val="000000"/>
                <w:szCs w:val="21"/>
              </w:rPr>
            </w:pPr>
            <w:r>
              <w:rPr>
                <w:rFonts w:hint="eastAsia" w:ascii="宋体" w:hAnsi="宋体"/>
                <w:color w:val="000000"/>
                <w:szCs w:val="21"/>
              </w:rPr>
              <w:t>51</w:t>
            </w:r>
          </w:p>
        </w:tc>
        <w:tc>
          <w:tcPr>
            <w:tcW w:w="2823" w:type="dxa"/>
            <w:tcBorders>
              <w:top w:val="single" w:color="000000" w:sz="4" w:space="0"/>
              <w:left w:val="single" w:color="000000" w:sz="4" w:space="0"/>
              <w:bottom w:val="single" w:color="000000" w:sz="4" w:space="0"/>
              <w:right w:val="single" w:color="000000" w:sz="4" w:space="0"/>
            </w:tcBorders>
            <w:noWrap w:val="0"/>
            <w:vAlign w:val="center"/>
          </w:tcPr>
          <w:p w14:paraId="6CC4F83E">
            <w:pPr>
              <w:jc w:val="center"/>
              <w:rPr>
                <w:rFonts w:hint="eastAsia" w:ascii="宋体" w:hAnsi="宋体" w:cs="宋体"/>
                <w:color w:val="000000"/>
                <w:szCs w:val="21"/>
              </w:rPr>
            </w:pPr>
            <w:r>
              <w:rPr>
                <w:rFonts w:hint="eastAsia" w:ascii="宋体" w:hAnsi="宋体"/>
                <w:color w:val="000000"/>
                <w:szCs w:val="21"/>
              </w:rPr>
              <w:t>捷锐空气混合器</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777CF4B1">
            <w:pPr>
              <w:jc w:val="center"/>
              <w:rPr>
                <w:rFonts w:hint="eastAsia" w:ascii="宋体" w:hAnsi="宋体" w:cs="宋体"/>
                <w:color w:val="000000"/>
                <w:szCs w:val="21"/>
              </w:rPr>
            </w:pPr>
            <w:r>
              <w:rPr>
                <w:rFonts w:hint="eastAsia" w:ascii="宋体" w:hAnsi="宋体"/>
                <w:color w:val="000000"/>
                <w:szCs w:val="21"/>
              </w:rPr>
              <w:t>AD-3001SPD</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364B3D8F">
            <w:pPr>
              <w:spacing w:before="156"/>
              <w:jc w:val="center"/>
              <w:rPr>
                <w:rFonts w:ascii="宋体" w:hAnsi="宋体"/>
                <w:color w:val="000000"/>
                <w:szCs w:val="21"/>
              </w:rPr>
            </w:pPr>
            <w:r>
              <w:rPr>
                <w:rFonts w:hint="eastAsia" w:ascii="宋体" w:hAnsi="宋体"/>
                <w:color w:val="000000"/>
                <w:szCs w:val="21"/>
              </w:rPr>
              <w:t>台</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67340214">
            <w:pPr>
              <w:spacing w:before="156"/>
              <w:jc w:val="center"/>
              <w:rPr>
                <w:rFonts w:hint="eastAsia" w:ascii="宋体" w:hAnsi="宋体"/>
                <w:color w:val="000000"/>
                <w:szCs w:val="21"/>
              </w:rPr>
            </w:pPr>
            <w:r>
              <w:rPr>
                <w:rFonts w:hint="eastAsia" w:ascii="宋体" w:hAnsi="宋体"/>
                <w:color w:val="000000"/>
                <w:szCs w:val="21"/>
              </w:rPr>
              <w:t>4</w:t>
            </w:r>
          </w:p>
        </w:tc>
      </w:tr>
      <w:tr w14:paraId="7B22A595">
        <w:tblPrEx>
          <w:tblCellMar>
            <w:top w:w="0" w:type="dxa"/>
            <w:left w:w="108" w:type="dxa"/>
            <w:bottom w:w="0" w:type="dxa"/>
            <w:right w:w="108" w:type="dxa"/>
          </w:tblCellMar>
        </w:tblPrEx>
        <w:trPr>
          <w:trHeight w:val="384"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573F8360">
            <w:pPr>
              <w:spacing w:before="156"/>
              <w:jc w:val="center"/>
              <w:rPr>
                <w:rFonts w:hint="eastAsia" w:ascii="宋体" w:hAnsi="宋体"/>
                <w:color w:val="000000"/>
                <w:szCs w:val="21"/>
              </w:rPr>
            </w:pPr>
            <w:r>
              <w:rPr>
                <w:rFonts w:hint="eastAsia" w:ascii="宋体" w:hAnsi="宋体"/>
                <w:color w:val="000000"/>
                <w:szCs w:val="21"/>
              </w:rPr>
              <w:t>52</w:t>
            </w:r>
          </w:p>
        </w:tc>
        <w:tc>
          <w:tcPr>
            <w:tcW w:w="2823" w:type="dxa"/>
            <w:tcBorders>
              <w:top w:val="single" w:color="000000" w:sz="4" w:space="0"/>
              <w:left w:val="single" w:color="000000" w:sz="4" w:space="0"/>
              <w:bottom w:val="single" w:color="000000" w:sz="4" w:space="0"/>
              <w:right w:val="single" w:color="000000" w:sz="4" w:space="0"/>
            </w:tcBorders>
            <w:noWrap w:val="0"/>
            <w:vAlign w:val="center"/>
          </w:tcPr>
          <w:p w14:paraId="43C34711">
            <w:pPr>
              <w:jc w:val="center"/>
              <w:rPr>
                <w:rFonts w:hint="eastAsia" w:ascii="宋体" w:hAnsi="宋体" w:cs="宋体"/>
                <w:color w:val="000000"/>
                <w:szCs w:val="21"/>
              </w:rPr>
            </w:pPr>
            <w:r>
              <w:rPr>
                <w:rFonts w:hint="eastAsia" w:ascii="宋体" w:hAnsi="宋体"/>
                <w:color w:val="000000"/>
                <w:szCs w:val="21"/>
              </w:rPr>
              <w:t>双道微量注射泵</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0AB441A6">
            <w:pPr>
              <w:jc w:val="center"/>
              <w:rPr>
                <w:rFonts w:hint="eastAsia" w:ascii="宋体" w:hAnsi="宋体" w:cs="宋体"/>
                <w:color w:val="000000"/>
                <w:szCs w:val="21"/>
              </w:rPr>
            </w:pPr>
            <w:r>
              <w:rPr>
                <w:rFonts w:hint="eastAsia" w:ascii="宋体" w:hAnsi="宋体"/>
                <w:color w:val="000000"/>
                <w:szCs w:val="21"/>
              </w:rPr>
              <w:t>WZS-50F6</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4AED2B02">
            <w:pPr>
              <w:spacing w:before="156"/>
              <w:jc w:val="center"/>
              <w:rPr>
                <w:rFonts w:ascii="宋体" w:hAnsi="宋体"/>
                <w:color w:val="000000"/>
                <w:szCs w:val="21"/>
              </w:rPr>
            </w:pPr>
            <w:r>
              <w:rPr>
                <w:rFonts w:hint="eastAsia" w:ascii="宋体" w:hAnsi="宋体"/>
                <w:color w:val="000000"/>
                <w:szCs w:val="21"/>
              </w:rPr>
              <w:t>台</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32CCA90E">
            <w:pPr>
              <w:spacing w:before="156"/>
              <w:jc w:val="center"/>
              <w:rPr>
                <w:rFonts w:hint="eastAsia" w:ascii="宋体" w:hAnsi="宋体"/>
                <w:color w:val="000000"/>
                <w:szCs w:val="21"/>
              </w:rPr>
            </w:pPr>
            <w:r>
              <w:rPr>
                <w:rFonts w:hint="eastAsia" w:ascii="宋体" w:hAnsi="宋体"/>
                <w:color w:val="000000"/>
                <w:szCs w:val="21"/>
              </w:rPr>
              <w:t>4</w:t>
            </w:r>
          </w:p>
        </w:tc>
      </w:tr>
      <w:tr w14:paraId="3F1C9585">
        <w:tblPrEx>
          <w:tblCellMar>
            <w:top w:w="0" w:type="dxa"/>
            <w:left w:w="108" w:type="dxa"/>
            <w:bottom w:w="0" w:type="dxa"/>
            <w:right w:w="108" w:type="dxa"/>
          </w:tblCellMar>
        </w:tblPrEx>
        <w:trPr>
          <w:trHeight w:val="384"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56933227">
            <w:pPr>
              <w:spacing w:before="156"/>
              <w:jc w:val="center"/>
              <w:rPr>
                <w:rFonts w:hint="eastAsia" w:ascii="宋体" w:hAnsi="宋体"/>
                <w:color w:val="000000"/>
                <w:szCs w:val="21"/>
              </w:rPr>
            </w:pPr>
            <w:r>
              <w:rPr>
                <w:rFonts w:hint="eastAsia" w:ascii="宋体" w:hAnsi="宋体"/>
                <w:color w:val="000000"/>
                <w:szCs w:val="21"/>
              </w:rPr>
              <w:t>53</w:t>
            </w:r>
          </w:p>
        </w:tc>
        <w:tc>
          <w:tcPr>
            <w:tcW w:w="2823" w:type="dxa"/>
            <w:tcBorders>
              <w:top w:val="single" w:color="000000" w:sz="4" w:space="0"/>
              <w:left w:val="single" w:color="000000" w:sz="4" w:space="0"/>
              <w:bottom w:val="single" w:color="000000" w:sz="4" w:space="0"/>
              <w:right w:val="single" w:color="000000" w:sz="4" w:space="0"/>
            </w:tcBorders>
            <w:noWrap w:val="0"/>
            <w:vAlign w:val="center"/>
          </w:tcPr>
          <w:p w14:paraId="75E42AAE">
            <w:pPr>
              <w:jc w:val="center"/>
              <w:rPr>
                <w:rFonts w:hint="eastAsia" w:ascii="宋体" w:hAnsi="宋体" w:cs="宋体"/>
                <w:color w:val="000000"/>
                <w:szCs w:val="21"/>
              </w:rPr>
            </w:pPr>
            <w:r>
              <w:rPr>
                <w:rFonts w:hint="eastAsia" w:ascii="宋体" w:hAnsi="宋体"/>
                <w:color w:val="000000"/>
                <w:szCs w:val="21"/>
              </w:rPr>
              <w:t>心电监护仪</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03B6B653">
            <w:pPr>
              <w:jc w:val="center"/>
              <w:rPr>
                <w:rFonts w:hint="eastAsia" w:ascii="宋体" w:hAnsi="宋体" w:cs="宋体"/>
                <w:color w:val="000000"/>
                <w:szCs w:val="21"/>
              </w:rPr>
            </w:pPr>
            <w:r>
              <w:rPr>
                <w:rFonts w:hint="eastAsia" w:ascii="宋体" w:hAnsi="宋体"/>
                <w:color w:val="000000"/>
                <w:szCs w:val="21"/>
              </w:rPr>
              <w:t>PM-8000</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6A0F9647">
            <w:pPr>
              <w:spacing w:before="156"/>
              <w:jc w:val="center"/>
              <w:rPr>
                <w:rFonts w:ascii="宋体" w:hAnsi="宋体"/>
                <w:color w:val="000000"/>
                <w:szCs w:val="21"/>
              </w:rPr>
            </w:pPr>
            <w:r>
              <w:rPr>
                <w:rFonts w:hint="eastAsia" w:ascii="宋体" w:hAnsi="宋体"/>
                <w:color w:val="000000"/>
                <w:szCs w:val="21"/>
              </w:rPr>
              <w:t>台</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3A5CD033">
            <w:pPr>
              <w:spacing w:before="156"/>
              <w:jc w:val="center"/>
              <w:rPr>
                <w:rFonts w:hint="eastAsia" w:ascii="宋体" w:hAnsi="宋体"/>
                <w:color w:val="000000"/>
                <w:szCs w:val="21"/>
              </w:rPr>
            </w:pPr>
            <w:r>
              <w:rPr>
                <w:rFonts w:hint="eastAsia" w:ascii="宋体" w:hAnsi="宋体"/>
                <w:color w:val="000000"/>
                <w:szCs w:val="21"/>
              </w:rPr>
              <w:t>4</w:t>
            </w:r>
          </w:p>
        </w:tc>
      </w:tr>
      <w:tr w14:paraId="77B49675">
        <w:tblPrEx>
          <w:tblCellMar>
            <w:top w:w="0" w:type="dxa"/>
            <w:left w:w="108" w:type="dxa"/>
            <w:bottom w:w="0" w:type="dxa"/>
            <w:right w:w="108" w:type="dxa"/>
          </w:tblCellMar>
        </w:tblPrEx>
        <w:trPr>
          <w:trHeight w:val="384"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12701FF8">
            <w:pPr>
              <w:spacing w:before="156"/>
              <w:jc w:val="center"/>
              <w:rPr>
                <w:rFonts w:hint="eastAsia" w:ascii="宋体" w:hAnsi="宋体"/>
                <w:color w:val="000000"/>
                <w:szCs w:val="21"/>
              </w:rPr>
            </w:pPr>
            <w:r>
              <w:rPr>
                <w:rFonts w:hint="eastAsia" w:ascii="宋体" w:hAnsi="宋体"/>
                <w:color w:val="000000"/>
                <w:szCs w:val="21"/>
              </w:rPr>
              <w:t>54</w:t>
            </w:r>
          </w:p>
        </w:tc>
        <w:tc>
          <w:tcPr>
            <w:tcW w:w="2823" w:type="dxa"/>
            <w:tcBorders>
              <w:top w:val="single" w:color="000000" w:sz="4" w:space="0"/>
              <w:left w:val="single" w:color="000000" w:sz="4" w:space="0"/>
              <w:bottom w:val="single" w:color="000000" w:sz="4" w:space="0"/>
              <w:right w:val="single" w:color="000000" w:sz="4" w:space="0"/>
            </w:tcBorders>
            <w:noWrap w:val="0"/>
            <w:vAlign w:val="center"/>
          </w:tcPr>
          <w:p w14:paraId="16C24370">
            <w:pPr>
              <w:jc w:val="center"/>
              <w:rPr>
                <w:rFonts w:hint="eastAsia" w:ascii="宋体" w:hAnsi="宋体" w:cs="宋体"/>
                <w:color w:val="000000"/>
                <w:szCs w:val="21"/>
              </w:rPr>
            </w:pPr>
            <w:r>
              <w:rPr>
                <w:rFonts w:hint="eastAsia" w:ascii="宋体" w:hAnsi="宋体"/>
                <w:color w:val="000000"/>
                <w:szCs w:val="21"/>
              </w:rPr>
              <w:t>黄疸治疗仪</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2F07BACF">
            <w:pPr>
              <w:jc w:val="center"/>
              <w:rPr>
                <w:rFonts w:hint="eastAsia" w:ascii="宋体" w:hAnsi="宋体" w:cs="宋体"/>
                <w:color w:val="000000"/>
                <w:szCs w:val="21"/>
              </w:rPr>
            </w:pPr>
            <w:r>
              <w:rPr>
                <w:rFonts w:hint="eastAsia" w:ascii="宋体" w:hAnsi="宋体"/>
                <w:color w:val="000000"/>
                <w:szCs w:val="21"/>
              </w:rPr>
              <w:t>XHZ</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00F051AF">
            <w:pPr>
              <w:spacing w:before="156"/>
              <w:jc w:val="center"/>
              <w:rPr>
                <w:rFonts w:ascii="宋体" w:hAnsi="宋体"/>
                <w:color w:val="000000"/>
                <w:szCs w:val="21"/>
              </w:rPr>
            </w:pPr>
            <w:r>
              <w:rPr>
                <w:rFonts w:hint="eastAsia" w:ascii="宋体" w:hAnsi="宋体"/>
                <w:color w:val="000000"/>
                <w:szCs w:val="21"/>
              </w:rPr>
              <w:t>台</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014D2BA4">
            <w:pPr>
              <w:spacing w:before="156"/>
              <w:jc w:val="center"/>
              <w:rPr>
                <w:rFonts w:hint="eastAsia" w:ascii="宋体" w:hAnsi="宋体"/>
                <w:color w:val="000000"/>
                <w:szCs w:val="21"/>
              </w:rPr>
            </w:pPr>
            <w:r>
              <w:rPr>
                <w:rFonts w:hint="eastAsia" w:ascii="宋体" w:hAnsi="宋体"/>
                <w:color w:val="000000"/>
                <w:szCs w:val="21"/>
              </w:rPr>
              <w:t>2</w:t>
            </w:r>
          </w:p>
        </w:tc>
      </w:tr>
      <w:tr w14:paraId="134C04CB">
        <w:tblPrEx>
          <w:tblCellMar>
            <w:top w:w="0" w:type="dxa"/>
            <w:left w:w="108" w:type="dxa"/>
            <w:bottom w:w="0" w:type="dxa"/>
            <w:right w:w="108" w:type="dxa"/>
          </w:tblCellMar>
        </w:tblPrEx>
        <w:trPr>
          <w:trHeight w:val="384"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68C4ECA5">
            <w:pPr>
              <w:spacing w:before="156"/>
              <w:jc w:val="center"/>
              <w:rPr>
                <w:rFonts w:hint="eastAsia" w:ascii="宋体" w:hAnsi="宋体"/>
                <w:color w:val="000000"/>
                <w:szCs w:val="21"/>
              </w:rPr>
            </w:pPr>
            <w:r>
              <w:rPr>
                <w:rFonts w:hint="eastAsia" w:ascii="宋体" w:hAnsi="宋体"/>
                <w:color w:val="000000"/>
                <w:szCs w:val="21"/>
              </w:rPr>
              <w:t>55</w:t>
            </w:r>
          </w:p>
        </w:tc>
        <w:tc>
          <w:tcPr>
            <w:tcW w:w="2823" w:type="dxa"/>
            <w:tcBorders>
              <w:top w:val="single" w:color="000000" w:sz="4" w:space="0"/>
              <w:left w:val="single" w:color="000000" w:sz="4" w:space="0"/>
              <w:bottom w:val="single" w:color="000000" w:sz="4" w:space="0"/>
              <w:right w:val="single" w:color="000000" w:sz="4" w:space="0"/>
            </w:tcBorders>
            <w:noWrap w:val="0"/>
            <w:vAlign w:val="center"/>
          </w:tcPr>
          <w:p w14:paraId="2E1C438B">
            <w:pPr>
              <w:jc w:val="center"/>
              <w:rPr>
                <w:rFonts w:hint="eastAsia" w:ascii="宋体" w:hAnsi="宋体" w:cs="宋体"/>
                <w:color w:val="000000"/>
                <w:szCs w:val="21"/>
              </w:rPr>
            </w:pPr>
            <w:r>
              <w:rPr>
                <w:rFonts w:hint="eastAsia" w:ascii="宋体" w:hAnsi="宋体"/>
                <w:color w:val="000000"/>
                <w:szCs w:val="21"/>
              </w:rPr>
              <w:t>单头电磁治疗仪</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3FD14611">
            <w:pPr>
              <w:jc w:val="center"/>
              <w:rPr>
                <w:rFonts w:hint="eastAsia" w:ascii="宋体" w:hAnsi="宋体" w:cs="宋体"/>
                <w:color w:val="000000"/>
                <w:szCs w:val="21"/>
              </w:rPr>
            </w:pPr>
            <w:r>
              <w:rPr>
                <w:rFonts w:hint="eastAsia" w:ascii="宋体" w:hAnsi="宋体"/>
                <w:color w:val="000000"/>
                <w:szCs w:val="21"/>
              </w:rPr>
              <w:t>DP-L1</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5322C3D6">
            <w:pPr>
              <w:spacing w:before="156"/>
              <w:jc w:val="center"/>
              <w:rPr>
                <w:rFonts w:ascii="宋体" w:hAnsi="宋体"/>
                <w:color w:val="000000"/>
                <w:szCs w:val="21"/>
              </w:rPr>
            </w:pPr>
            <w:r>
              <w:rPr>
                <w:rFonts w:hint="eastAsia" w:ascii="宋体" w:hAnsi="宋体"/>
                <w:color w:val="000000"/>
                <w:szCs w:val="21"/>
              </w:rPr>
              <w:t>台</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71C03191">
            <w:pPr>
              <w:spacing w:before="156"/>
              <w:jc w:val="center"/>
              <w:rPr>
                <w:rFonts w:hint="eastAsia" w:ascii="宋体" w:hAnsi="宋体"/>
                <w:color w:val="000000"/>
                <w:szCs w:val="21"/>
              </w:rPr>
            </w:pPr>
            <w:r>
              <w:rPr>
                <w:rFonts w:hint="eastAsia" w:ascii="宋体" w:hAnsi="宋体"/>
                <w:color w:val="000000"/>
                <w:szCs w:val="21"/>
              </w:rPr>
              <w:t>1</w:t>
            </w:r>
          </w:p>
        </w:tc>
      </w:tr>
      <w:tr w14:paraId="5C26EE20">
        <w:tblPrEx>
          <w:tblCellMar>
            <w:top w:w="0" w:type="dxa"/>
            <w:left w:w="108" w:type="dxa"/>
            <w:bottom w:w="0" w:type="dxa"/>
            <w:right w:w="108" w:type="dxa"/>
          </w:tblCellMar>
        </w:tblPrEx>
        <w:trPr>
          <w:trHeight w:val="384"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7479E33E">
            <w:pPr>
              <w:spacing w:before="156"/>
              <w:jc w:val="center"/>
              <w:rPr>
                <w:rFonts w:hint="eastAsia" w:ascii="宋体" w:hAnsi="宋体"/>
                <w:color w:val="000000"/>
                <w:szCs w:val="21"/>
              </w:rPr>
            </w:pPr>
            <w:r>
              <w:rPr>
                <w:rFonts w:hint="eastAsia" w:ascii="宋体" w:hAnsi="宋体"/>
                <w:color w:val="000000"/>
                <w:szCs w:val="21"/>
              </w:rPr>
              <w:t>56</w:t>
            </w:r>
          </w:p>
        </w:tc>
        <w:tc>
          <w:tcPr>
            <w:tcW w:w="2823" w:type="dxa"/>
            <w:tcBorders>
              <w:top w:val="single" w:color="000000" w:sz="4" w:space="0"/>
              <w:left w:val="single" w:color="000000" w:sz="4" w:space="0"/>
              <w:bottom w:val="single" w:color="000000" w:sz="4" w:space="0"/>
              <w:right w:val="single" w:color="000000" w:sz="4" w:space="0"/>
            </w:tcBorders>
            <w:noWrap w:val="0"/>
            <w:vAlign w:val="center"/>
          </w:tcPr>
          <w:p w14:paraId="21AAED59">
            <w:pPr>
              <w:jc w:val="center"/>
              <w:rPr>
                <w:rFonts w:hint="eastAsia" w:ascii="宋体" w:hAnsi="宋体" w:cs="宋体"/>
                <w:color w:val="000000"/>
                <w:szCs w:val="21"/>
              </w:rPr>
            </w:pPr>
            <w:r>
              <w:rPr>
                <w:rFonts w:hint="eastAsia" w:ascii="宋体" w:hAnsi="宋体"/>
                <w:color w:val="000000"/>
                <w:szCs w:val="21"/>
              </w:rPr>
              <w:t>婴儿保暖台</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43851DD4">
            <w:pPr>
              <w:jc w:val="center"/>
              <w:rPr>
                <w:rFonts w:hint="eastAsia" w:ascii="宋体" w:hAnsi="宋体" w:cs="宋体"/>
                <w:color w:val="000000"/>
                <w:szCs w:val="21"/>
              </w:rPr>
            </w:pPr>
            <w:r>
              <w:rPr>
                <w:rFonts w:hint="eastAsia" w:ascii="宋体" w:hAnsi="宋体"/>
                <w:color w:val="000000"/>
                <w:szCs w:val="21"/>
              </w:rPr>
              <w:t>YP-90AB</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6C77CB63">
            <w:pPr>
              <w:spacing w:before="156"/>
              <w:jc w:val="center"/>
              <w:rPr>
                <w:rFonts w:hint="eastAsia" w:ascii="宋体" w:hAnsi="宋体"/>
                <w:color w:val="000000"/>
                <w:szCs w:val="21"/>
              </w:rPr>
            </w:pPr>
            <w:r>
              <w:rPr>
                <w:rFonts w:hint="eastAsia" w:ascii="宋体" w:hAnsi="宋体"/>
                <w:color w:val="000000"/>
                <w:szCs w:val="21"/>
              </w:rPr>
              <w:t>个</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55B4AD1D">
            <w:pPr>
              <w:spacing w:before="156"/>
              <w:jc w:val="center"/>
              <w:rPr>
                <w:rFonts w:hint="eastAsia" w:ascii="宋体" w:hAnsi="宋体"/>
                <w:color w:val="000000"/>
                <w:szCs w:val="21"/>
              </w:rPr>
            </w:pPr>
            <w:r>
              <w:rPr>
                <w:rFonts w:hint="eastAsia" w:ascii="宋体" w:hAnsi="宋体"/>
                <w:color w:val="000000"/>
                <w:szCs w:val="21"/>
              </w:rPr>
              <w:t>2</w:t>
            </w:r>
          </w:p>
        </w:tc>
      </w:tr>
      <w:tr w14:paraId="54D4D28D">
        <w:tblPrEx>
          <w:tblCellMar>
            <w:top w:w="0" w:type="dxa"/>
            <w:left w:w="108" w:type="dxa"/>
            <w:bottom w:w="0" w:type="dxa"/>
            <w:right w:w="108" w:type="dxa"/>
          </w:tblCellMar>
        </w:tblPrEx>
        <w:trPr>
          <w:trHeight w:val="384"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7535295A">
            <w:pPr>
              <w:spacing w:before="156"/>
              <w:jc w:val="center"/>
              <w:rPr>
                <w:rFonts w:hint="eastAsia" w:ascii="宋体" w:hAnsi="宋体"/>
                <w:color w:val="000000"/>
                <w:szCs w:val="21"/>
              </w:rPr>
            </w:pPr>
            <w:r>
              <w:rPr>
                <w:rFonts w:hint="eastAsia" w:ascii="宋体" w:hAnsi="宋体"/>
                <w:color w:val="000000"/>
                <w:szCs w:val="21"/>
              </w:rPr>
              <w:t>57</w:t>
            </w:r>
          </w:p>
        </w:tc>
        <w:tc>
          <w:tcPr>
            <w:tcW w:w="2823" w:type="dxa"/>
            <w:tcBorders>
              <w:top w:val="single" w:color="000000" w:sz="4" w:space="0"/>
              <w:left w:val="single" w:color="000000" w:sz="4" w:space="0"/>
              <w:bottom w:val="single" w:color="000000" w:sz="4" w:space="0"/>
              <w:right w:val="single" w:color="000000" w:sz="4" w:space="0"/>
            </w:tcBorders>
            <w:noWrap w:val="0"/>
            <w:vAlign w:val="center"/>
          </w:tcPr>
          <w:p w14:paraId="3A352618">
            <w:pPr>
              <w:jc w:val="center"/>
              <w:rPr>
                <w:rFonts w:hint="eastAsia" w:ascii="宋体" w:hAnsi="宋体" w:cs="宋体"/>
                <w:color w:val="000000"/>
                <w:szCs w:val="21"/>
              </w:rPr>
            </w:pPr>
            <w:r>
              <w:rPr>
                <w:rFonts w:hint="eastAsia" w:ascii="宋体" w:hAnsi="宋体"/>
                <w:color w:val="000000"/>
                <w:szCs w:val="21"/>
              </w:rPr>
              <w:t>婴儿无接触输氧头罩</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1CBFC37F">
            <w:pPr>
              <w:jc w:val="center"/>
              <w:rPr>
                <w:rFonts w:hint="eastAsia" w:ascii="宋体" w:hAnsi="宋体" w:cs="宋体"/>
                <w:color w:val="000000"/>
                <w:szCs w:val="21"/>
              </w:rPr>
            </w:pPr>
            <w:r>
              <w:rPr>
                <w:rFonts w:hint="eastAsia" w:ascii="宋体" w:hAnsi="宋体"/>
                <w:color w:val="000000"/>
                <w:szCs w:val="21"/>
              </w:rPr>
              <w:t>YZ-160</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2AB0808E">
            <w:pPr>
              <w:spacing w:before="156"/>
              <w:jc w:val="center"/>
              <w:rPr>
                <w:rFonts w:ascii="宋体" w:hAnsi="宋体"/>
                <w:color w:val="000000"/>
                <w:szCs w:val="21"/>
              </w:rPr>
            </w:pPr>
            <w:r>
              <w:rPr>
                <w:rFonts w:hint="eastAsia" w:ascii="宋体" w:hAnsi="宋体"/>
                <w:color w:val="000000"/>
                <w:szCs w:val="21"/>
              </w:rPr>
              <w:t>个</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228D7411">
            <w:pPr>
              <w:spacing w:before="156"/>
              <w:jc w:val="center"/>
              <w:rPr>
                <w:rFonts w:hint="eastAsia" w:ascii="宋体" w:hAnsi="宋体"/>
                <w:color w:val="000000"/>
                <w:szCs w:val="21"/>
              </w:rPr>
            </w:pPr>
            <w:r>
              <w:rPr>
                <w:rFonts w:hint="eastAsia" w:ascii="宋体" w:hAnsi="宋体"/>
                <w:color w:val="000000"/>
                <w:szCs w:val="21"/>
              </w:rPr>
              <w:t>4</w:t>
            </w:r>
          </w:p>
        </w:tc>
      </w:tr>
      <w:tr w14:paraId="53942118">
        <w:tblPrEx>
          <w:tblCellMar>
            <w:top w:w="0" w:type="dxa"/>
            <w:left w:w="108" w:type="dxa"/>
            <w:bottom w:w="0" w:type="dxa"/>
            <w:right w:w="108" w:type="dxa"/>
          </w:tblCellMar>
        </w:tblPrEx>
        <w:trPr>
          <w:trHeight w:val="384"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74AB877F">
            <w:pPr>
              <w:spacing w:before="156"/>
              <w:jc w:val="center"/>
              <w:rPr>
                <w:rFonts w:hint="eastAsia" w:ascii="宋体" w:hAnsi="宋体"/>
                <w:color w:val="000000"/>
                <w:szCs w:val="21"/>
              </w:rPr>
            </w:pPr>
            <w:r>
              <w:rPr>
                <w:rFonts w:hint="eastAsia" w:ascii="宋体" w:hAnsi="宋体"/>
                <w:color w:val="000000"/>
                <w:szCs w:val="21"/>
              </w:rPr>
              <w:t>58</w:t>
            </w:r>
          </w:p>
        </w:tc>
        <w:tc>
          <w:tcPr>
            <w:tcW w:w="2823" w:type="dxa"/>
            <w:tcBorders>
              <w:top w:val="single" w:color="000000" w:sz="4" w:space="0"/>
              <w:left w:val="single" w:color="000000" w:sz="4" w:space="0"/>
              <w:bottom w:val="single" w:color="000000" w:sz="4" w:space="0"/>
              <w:right w:val="single" w:color="000000" w:sz="4" w:space="0"/>
            </w:tcBorders>
            <w:noWrap w:val="0"/>
            <w:vAlign w:val="center"/>
          </w:tcPr>
          <w:p w14:paraId="102EB9F1">
            <w:pPr>
              <w:jc w:val="center"/>
              <w:rPr>
                <w:rFonts w:hint="eastAsia" w:ascii="宋体" w:hAnsi="宋体" w:cs="宋体"/>
                <w:color w:val="000000"/>
                <w:szCs w:val="21"/>
              </w:rPr>
            </w:pPr>
            <w:r>
              <w:rPr>
                <w:rFonts w:hint="eastAsia" w:ascii="宋体" w:hAnsi="宋体"/>
                <w:color w:val="000000"/>
                <w:szCs w:val="21"/>
              </w:rPr>
              <w:t>电子婴儿秤</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45333103">
            <w:pPr>
              <w:jc w:val="center"/>
              <w:rPr>
                <w:rFonts w:hint="eastAsia" w:ascii="宋体" w:hAnsi="宋体" w:cs="宋体"/>
                <w:color w:val="000000"/>
                <w:szCs w:val="21"/>
              </w:rPr>
            </w:pPr>
            <w:r>
              <w:rPr>
                <w:rFonts w:hint="eastAsia" w:ascii="宋体" w:hAnsi="宋体"/>
                <w:color w:val="000000"/>
                <w:szCs w:val="21"/>
              </w:rPr>
              <w:t>DY-Ⅱ</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08A3AD57">
            <w:pPr>
              <w:spacing w:before="156"/>
              <w:jc w:val="center"/>
              <w:rPr>
                <w:rFonts w:ascii="宋体" w:hAnsi="宋体"/>
                <w:color w:val="000000"/>
                <w:szCs w:val="21"/>
              </w:rPr>
            </w:pPr>
            <w:r>
              <w:rPr>
                <w:rFonts w:hint="eastAsia" w:ascii="宋体" w:hAnsi="宋体"/>
                <w:color w:val="000000"/>
                <w:szCs w:val="21"/>
              </w:rPr>
              <w:t>台</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5A4C4C28">
            <w:pPr>
              <w:spacing w:before="156"/>
              <w:jc w:val="center"/>
              <w:rPr>
                <w:rFonts w:hint="eastAsia" w:ascii="宋体" w:hAnsi="宋体"/>
                <w:color w:val="000000"/>
                <w:szCs w:val="21"/>
              </w:rPr>
            </w:pPr>
            <w:r>
              <w:rPr>
                <w:rFonts w:hint="eastAsia" w:ascii="宋体" w:hAnsi="宋体"/>
                <w:color w:val="000000"/>
                <w:szCs w:val="21"/>
              </w:rPr>
              <w:t>4</w:t>
            </w:r>
          </w:p>
        </w:tc>
      </w:tr>
      <w:tr w14:paraId="70162FFE">
        <w:tblPrEx>
          <w:tblCellMar>
            <w:top w:w="0" w:type="dxa"/>
            <w:left w:w="108" w:type="dxa"/>
            <w:bottom w:w="0" w:type="dxa"/>
            <w:right w:w="108" w:type="dxa"/>
          </w:tblCellMar>
        </w:tblPrEx>
        <w:trPr>
          <w:trHeight w:val="384"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734A9D0E">
            <w:pPr>
              <w:spacing w:before="156"/>
              <w:jc w:val="center"/>
              <w:rPr>
                <w:rFonts w:hint="eastAsia" w:ascii="宋体" w:hAnsi="宋体"/>
                <w:color w:val="000000"/>
                <w:szCs w:val="21"/>
              </w:rPr>
            </w:pPr>
            <w:r>
              <w:rPr>
                <w:rFonts w:hint="eastAsia" w:ascii="宋体" w:hAnsi="宋体"/>
                <w:color w:val="000000"/>
                <w:szCs w:val="21"/>
              </w:rPr>
              <w:t>59</w:t>
            </w:r>
          </w:p>
        </w:tc>
        <w:tc>
          <w:tcPr>
            <w:tcW w:w="2823" w:type="dxa"/>
            <w:tcBorders>
              <w:top w:val="single" w:color="000000" w:sz="4" w:space="0"/>
              <w:left w:val="single" w:color="000000" w:sz="4" w:space="0"/>
              <w:bottom w:val="single" w:color="000000" w:sz="4" w:space="0"/>
              <w:right w:val="single" w:color="000000" w:sz="4" w:space="0"/>
            </w:tcBorders>
            <w:noWrap w:val="0"/>
            <w:vAlign w:val="center"/>
          </w:tcPr>
          <w:p w14:paraId="67EDD040">
            <w:pPr>
              <w:jc w:val="center"/>
              <w:rPr>
                <w:rFonts w:hint="eastAsia" w:ascii="宋体" w:hAnsi="宋体" w:cs="宋体"/>
                <w:color w:val="000000"/>
                <w:szCs w:val="21"/>
              </w:rPr>
            </w:pPr>
            <w:r>
              <w:rPr>
                <w:rFonts w:hint="eastAsia" w:ascii="宋体" w:hAnsi="宋体"/>
                <w:color w:val="000000"/>
                <w:szCs w:val="21"/>
              </w:rPr>
              <w:t>心电监护仪</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213818B4">
            <w:pPr>
              <w:jc w:val="center"/>
              <w:rPr>
                <w:rFonts w:hint="eastAsia" w:ascii="宋体" w:hAnsi="宋体" w:cs="宋体"/>
                <w:color w:val="000000"/>
                <w:szCs w:val="21"/>
              </w:rPr>
            </w:pPr>
            <w:r>
              <w:rPr>
                <w:rFonts w:hint="eastAsia" w:ascii="宋体" w:hAnsi="宋体"/>
                <w:color w:val="000000"/>
                <w:szCs w:val="21"/>
              </w:rPr>
              <w:t>PM-8000</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4E1F72C8">
            <w:pPr>
              <w:spacing w:before="156"/>
              <w:jc w:val="center"/>
              <w:rPr>
                <w:rFonts w:ascii="宋体" w:hAnsi="宋体"/>
                <w:color w:val="000000"/>
                <w:szCs w:val="21"/>
              </w:rPr>
            </w:pPr>
            <w:r>
              <w:rPr>
                <w:rFonts w:hint="eastAsia" w:ascii="宋体" w:hAnsi="宋体"/>
                <w:color w:val="000000"/>
                <w:szCs w:val="21"/>
              </w:rPr>
              <w:t>台</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245310DC">
            <w:pPr>
              <w:spacing w:before="156"/>
              <w:jc w:val="center"/>
              <w:rPr>
                <w:rFonts w:hint="eastAsia" w:ascii="宋体" w:hAnsi="宋体"/>
                <w:color w:val="000000"/>
                <w:szCs w:val="21"/>
              </w:rPr>
            </w:pPr>
            <w:r>
              <w:rPr>
                <w:rFonts w:hint="eastAsia" w:ascii="宋体" w:hAnsi="宋体"/>
                <w:color w:val="000000"/>
                <w:szCs w:val="21"/>
              </w:rPr>
              <w:t>4</w:t>
            </w:r>
          </w:p>
        </w:tc>
      </w:tr>
      <w:tr w14:paraId="31EDB8B8">
        <w:tblPrEx>
          <w:tblCellMar>
            <w:top w:w="0" w:type="dxa"/>
            <w:left w:w="108" w:type="dxa"/>
            <w:bottom w:w="0" w:type="dxa"/>
            <w:right w:w="108" w:type="dxa"/>
          </w:tblCellMar>
        </w:tblPrEx>
        <w:trPr>
          <w:trHeight w:val="384"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004BC217">
            <w:pPr>
              <w:spacing w:before="156"/>
              <w:jc w:val="center"/>
              <w:rPr>
                <w:rFonts w:hint="eastAsia" w:ascii="宋体" w:hAnsi="宋体"/>
                <w:color w:val="000000"/>
                <w:szCs w:val="21"/>
              </w:rPr>
            </w:pPr>
            <w:r>
              <w:rPr>
                <w:rFonts w:hint="eastAsia" w:ascii="宋体" w:hAnsi="宋体"/>
                <w:color w:val="000000"/>
                <w:szCs w:val="21"/>
              </w:rPr>
              <w:t>60</w:t>
            </w:r>
          </w:p>
        </w:tc>
        <w:tc>
          <w:tcPr>
            <w:tcW w:w="2823" w:type="dxa"/>
            <w:tcBorders>
              <w:top w:val="single" w:color="000000" w:sz="4" w:space="0"/>
              <w:left w:val="single" w:color="000000" w:sz="4" w:space="0"/>
              <w:bottom w:val="single" w:color="000000" w:sz="4" w:space="0"/>
              <w:right w:val="single" w:color="000000" w:sz="4" w:space="0"/>
            </w:tcBorders>
            <w:noWrap w:val="0"/>
            <w:vAlign w:val="center"/>
          </w:tcPr>
          <w:p w14:paraId="67082329">
            <w:pPr>
              <w:jc w:val="center"/>
              <w:rPr>
                <w:rFonts w:hint="eastAsia" w:ascii="宋体" w:hAnsi="宋体" w:cs="宋体"/>
                <w:color w:val="000000"/>
                <w:szCs w:val="21"/>
              </w:rPr>
            </w:pPr>
            <w:r>
              <w:rPr>
                <w:rFonts w:hint="eastAsia" w:ascii="宋体" w:hAnsi="宋体"/>
                <w:color w:val="000000"/>
                <w:szCs w:val="21"/>
              </w:rPr>
              <w:t>新生儿监护自救仪</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59420611">
            <w:pPr>
              <w:jc w:val="center"/>
              <w:rPr>
                <w:rFonts w:hint="eastAsia" w:ascii="宋体" w:hAnsi="宋体" w:cs="宋体"/>
                <w:color w:val="000000"/>
                <w:szCs w:val="21"/>
              </w:rPr>
            </w:pPr>
            <w:r>
              <w:rPr>
                <w:rFonts w:hint="eastAsia" w:ascii="宋体" w:hAnsi="宋体"/>
                <w:color w:val="000000"/>
                <w:szCs w:val="21"/>
              </w:rPr>
              <w:t>CR-21</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31AD33CC">
            <w:pPr>
              <w:spacing w:before="156"/>
              <w:jc w:val="center"/>
              <w:rPr>
                <w:rFonts w:hint="eastAsia" w:ascii="宋体" w:hAnsi="宋体"/>
                <w:color w:val="000000"/>
                <w:szCs w:val="21"/>
              </w:rPr>
            </w:pPr>
            <w:r>
              <w:rPr>
                <w:rFonts w:hint="eastAsia" w:ascii="宋体" w:hAnsi="宋体"/>
                <w:color w:val="000000"/>
                <w:szCs w:val="21"/>
              </w:rPr>
              <w:t>台</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7D36C2B3">
            <w:pPr>
              <w:spacing w:before="156"/>
              <w:jc w:val="center"/>
              <w:rPr>
                <w:rFonts w:hint="eastAsia" w:ascii="宋体" w:hAnsi="宋体"/>
                <w:color w:val="000000"/>
                <w:szCs w:val="21"/>
              </w:rPr>
            </w:pPr>
            <w:r>
              <w:rPr>
                <w:rFonts w:hint="eastAsia" w:ascii="宋体" w:hAnsi="宋体"/>
                <w:color w:val="000000"/>
                <w:szCs w:val="21"/>
              </w:rPr>
              <w:t>5</w:t>
            </w:r>
          </w:p>
        </w:tc>
      </w:tr>
      <w:tr w14:paraId="43D96C18">
        <w:tblPrEx>
          <w:tblCellMar>
            <w:top w:w="0" w:type="dxa"/>
            <w:left w:w="108" w:type="dxa"/>
            <w:bottom w:w="0" w:type="dxa"/>
            <w:right w:w="108" w:type="dxa"/>
          </w:tblCellMar>
        </w:tblPrEx>
        <w:trPr>
          <w:trHeight w:val="384"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2E536948">
            <w:pPr>
              <w:spacing w:before="156"/>
              <w:jc w:val="center"/>
              <w:rPr>
                <w:rFonts w:hint="eastAsia" w:ascii="宋体" w:hAnsi="宋体"/>
                <w:color w:val="000000"/>
                <w:szCs w:val="21"/>
              </w:rPr>
            </w:pPr>
            <w:r>
              <w:rPr>
                <w:rFonts w:hint="eastAsia" w:ascii="宋体" w:hAnsi="宋体"/>
                <w:color w:val="000000"/>
                <w:szCs w:val="21"/>
              </w:rPr>
              <w:t>61</w:t>
            </w:r>
          </w:p>
        </w:tc>
        <w:tc>
          <w:tcPr>
            <w:tcW w:w="2823" w:type="dxa"/>
            <w:tcBorders>
              <w:top w:val="single" w:color="000000" w:sz="4" w:space="0"/>
              <w:left w:val="single" w:color="000000" w:sz="4" w:space="0"/>
              <w:bottom w:val="single" w:color="000000" w:sz="4" w:space="0"/>
              <w:right w:val="single" w:color="000000" w:sz="4" w:space="0"/>
            </w:tcBorders>
            <w:noWrap w:val="0"/>
            <w:vAlign w:val="center"/>
          </w:tcPr>
          <w:p w14:paraId="338848C1">
            <w:pPr>
              <w:jc w:val="center"/>
              <w:rPr>
                <w:rFonts w:hint="eastAsia" w:ascii="宋体" w:hAnsi="宋体" w:cs="宋体"/>
                <w:color w:val="000000"/>
                <w:szCs w:val="21"/>
              </w:rPr>
            </w:pPr>
            <w:r>
              <w:rPr>
                <w:rFonts w:hint="eastAsia" w:ascii="宋体" w:hAnsi="宋体"/>
                <w:color w:val="000000"/>
                <w:szCs w:val="21"/>
              </w:rPr>
              <w:t>病房呼叫主机</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4181233F">
            <w:pPr>
              <w:jc w:val="center"/>
              <w:rPr>
                <w:rFonts w:hint="eastAsia" w:ascii="宋体" w:hAnsi="宋体" w:cs="Arial"/>
                <w:color w:val="000000"/>
                <w:szCs w:val="21"/>
              </w:rPr>
            </w:pPr>
            <w:r>
              <w:rPr>
                <w:rFonts w:ascii="宋体" w:hAnsi="宋体" w:cs="Arial"/>
                <w:color w:val="000000"/>
                <w:szCs w:val="21"/>
              </w:rPr>
              <w:t>WXST152J0714714</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1D4C37E7">
            <w:pPr>
              <w:spacing w:before="156"/>
              <w:jc w:val="center"/>
              <w:rPr>
                <w:rFonts w:ascii="宋体" w:hAnsi="宋体"/>
                <w:color w:val="000000"/>
                <w:szCs w:val="21"/>
              </w:rPr>
            </w:pPr>
            <w:r>
              <w:rPr>
                <w:rFonts w:hint="eastAsia" w:ascii="宋体" w:hAnsi="宋体"/>
                <w:color w:val="000000"/>
                <w:szCs w:val="21"/>
              </w:rPr>
              <w:t>台</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6255C04F">
            <w:pPr>
              <w:spacing w:before="156"/>
              <w:jc w:val="center"/>
              <w:rPr>
                <w:rFonts w:hint="eastAsia" w:ascii="宋体" w:hAnsi="宋体"/>
                <w:color w:val="000000"/>
                <w:szCs w:val="21"/>
              </w:rPr>
            </w:pPr>
            <w:r>
              <w:rPr>
                <w:rFonts w:hint="eastAsia" w:ascii="宋体" w:hAnsi="宋体"/>
                <w:color w:val="000000"/>
                <w:szCs w:val="21"/>
              </w:rPr>
              <w:t>4</w:t>
            </w:r>
          </w:p>
        </w:tc>
      </w:tr>
      <w:tr w14:paraId="5FA197BA">
        <w:tblPrEx>
          <w:tblCellMar>
            <w:top w:w="0" w:type="dxa"/>
            <w:left w:w="108" w:type="dxa"/>
            <w:bottom w:w="0" w:type="dxa"/>
            <w:right w:w="108" w:type="dxa"/>
          </w:tblCellMar>
        </w:tblPrEx>
        <w:trPr>
          <w:trHeight w:val="384"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18401B90">
            <w:pPr>
              <w:spacing w:before="156"/>
              <w:jc w:val="center"/>
              <w:rPr>
                <w:rFonts w:hint="eastAsia" w:ascii="宋体" w:hAnsi="宋体"/>
                <w:color w:val="000000"/>
                <w:szCs w:val="21"/>
              </w:rPr>
            </w:pPr>
            <w:r>
              <w:rPr>
                <w:rFonts w:hint="eastAsia" w:ascii="宋体" w:hAnsi="宋体"/>
                <w:color w:val="000000"/>
                <w:szCs w:val="21"/>
              </w:rPr>
              <w:t>62</w:t>
            </w:r>
          </w:p>
        </w:tc>
        <w:tc>
          <w:tcPr>
            <w:tcW w:w="2823" w:type="dxa"/>
            <w:tcBorders>
              <w:top w:val="single" w:color="000000" w:sz="4" w:space="0"/>
              <w:left w:val="single" w:color="000000" w:sz="4" w:space="0"/>
              <w:bottom w:val="single" w:color="000000" w:sz="4" w:space="0"/>
              <w:right w:val="single" w:color="000000" w:sz="4" w:space="0"/>
            </w:tcBorders>
            <w:noWrap w:val="0"/>
            <w:vAlign w:val="center"/>
          </w:tcPr>
          <w:p w14:paraId="4E6C5F0F">
            <w:pPr>
              <w:jc w:val="center"/>
              <w:rPr>
                <w:rFonts w:hint="eastAsia" w:ascii="宋体" w:hAnsi="宋体" w:cs="宋体"/>
                <w:color w:val="000000"/>
                <w:szCs w:val="21"/>
              </w:rPr>
            </w:pPr>
            <w:r>
              <w:rPr>
                <w:rFonts w:hint="eastAsia" w:ascii="宋体" w:hAnsi="宋体"/>
                <w:color w:val="000000"/>
                <w:szCs w:val="21"/>
              </w:rPr>
              <w:t>母婴胎儿监护仪</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278FD6F2">
            <w:pPr>
              <w:jc w:val="center"/>
              <w:rPr>
                <w:rFonts w:hint="eastAsia" w:ascii="宋体" w:hAnsi="宋体" w:cs="Arial"/>
                <w:color w:val="000000"/>
                <w:szCs w:val="21"/>
              </w:rPr>
            </w:pPr>
            <w:r>
              <w:rPr>
                <w:rFonts w:ascii="宋体" w:hAnsi="宋体" w:cs="Arial"/>
                <w:color w:val="000000"/>
                <w:szCs w:val="21"/>
              </w:rPr>
              <w:t>STAR500C</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1523A0DC">
            <w:pPr>
              <w:spacing w:before="156"/>
              <w:jc w:val="center"/>
              <w:rPr>
                <w:rFonts w:ascii="宋体" w:hAnsi="宋体"/>
                <w:color w:val="000000"/>
                <w:szCs w:val="21"/>
              </w:rPr>
            </w:pPr>
            <w:r>
              <w:rPr>
                <w:rFonts w:hint="eastAsia" w:ascii="宋体" w:hAnsi="宋体"/>
                <w:color w:val="000000"/>
                <w:szCs w:val="21"/>
              </w:rPr>
              <w:t>台</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6B177659">
            <w:pPr>
              <w:spacing w:before="156"/>
              <w:jc w:val="center"/>
              <w:rPr>
                <w:rFonts w:hint="eastAsia" w:ascii="宋体" w:hAnsi="宋体"/>
                <w:color w:val="000000"/>
                <w:szCs w:val="21"/>
              </w:rPr>
            </w:pPr>
            <w:r>
              <w:rPr>
                <w:rFonts w:hint="eastAsia" w:ascii="宋体" w:hAnsi="宋体"/>
                <w:color w:val="000000"/>
                <w:szCs w:val="21"/>
              </w:rPr>
              <w:t>4</w:t>
            </w:r>
          </w:p>
        </w:tc>
      </w:tr>
      <w:tr w14:paraId="452962D7">
        <w:tblPrEx>
          <w:tblCellMar>
            <w:top w:w="0" w:type="dxa"/>
            <w:left w:w="108" w:type="dxa"/>
            <w:bottom w:w="0" w:type="dxa"/>
            <w:right w:w="108" w:type="dxa"/>
          </w:tblCellMar>
        </w:tblPrEx>
        <w:trPr>
          <w:trHeight w:val="384"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18C93F1B">
            <w:pPr>
              <w:spacing w:before="156"/>
              <w:jc w:val="center"/>
              <w:rPr>
                <w:rFonts w:hint="eastAsia" w:ascii="宋体" w:hAnsi="宋体"/>
                <w:color w:val="000000"/>
                <w:szCs w:val="21"/>
              </w:rPr>
            </w:pPr>
            <w:r>
              <w:rPr>
                <w:rFonts w:hint="eastAsia" w:ascii="宋体" w:hAnsi="宋体"/>
                <w:color w:val="000000"/>
                <w:szCs w:val="21"/>
              </w:rPr>
              <w:t>63</w:t>
            </w:r>
          </w:p>
        </w:tc>
        <w:tc>
          <w:tcPr>
            <w:tcW w:w="2823" w:type="dxa"/>
            <w:tcBorders>
              <w:top w:val="single" w:color="000000" w:sz="4" w:space="0"/>
              <w:left w:val="single" w:color="000000" w:sz="4" w:space="0"/>
              <w:bottom w:val="single" w:color="000000" w:sz="4" w:space="0"/>
              <w:right w:val="single" w:color="000000" w:sz="4" w:space="0"/>
            </w:tcBorders>
            <w:noWrap w:val="0"/>
            <w:vAlign w:val="center"/>
          </w:tcPr>
          <w:p w14:paraId="4DDAD523">
            <w:pPr>
              <w:jc w:val="center"/>
              <w:rPr>
                <w:rFonts w:hint="eastAsia" w:ascii="宋体" w:hAnsi="宋体" w:cs="宋体"/>
                <w:color w:val="000000"/>
                <w:szCs w:val="21"/>
              </w:rPr>
            </w:pPr>
            <w:r>
              <w:rPr>
                <w:rFonts w:hint="eastAsia" w:ascii="宋体" w:hAnsi="宋体"/>
                <w:color w:val="000000"/>
                <w:szCs w:val="21"/>
              </w:rPr>
              <w:t>手术床</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5D396687">
            <w:pPr>
              <w:jc w:val="center"/>
              <w:rPr>
                <w:rFonts w:hint="eastAsia" w:ascii="宋体" w:hAnsi="宋体" w:cs="Arial"/>
                <w:color w:val="000000"/>
                <w:szCs w:val="21"/>
              </w:rPr>
            </w:pPr>
            <w:r>
              <w:rPr>
                <w:rFonts w:ascii="宋体" w:hAnsi="宋体" w:cs="Arial"/>
                <w:color w:val="000000"/>
                <w:szCs w:val="21"/>
              </w:rPr>
              <w:t>XSE_911</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2B5546AA">
            <w:pPr>
              <w:spacing w:before="156"/>
              <w:jc w:val="center"/>
              <w:rPr>
                <w:rFonts w:hint="eastAsia" w:ascii="宋体" w:hAnsi="宋体"/>
                <w:color w:val="000000"/>
                <w:szCs w:val="21"/>
              </w:rPr>
            </w:pPr>
            <w:r>
              <w:rPr>
                <w:rFonts w:hint="eastAsia" w:ascii="宋体" w:hAnsi="宋体"/>
                <w:color w:val="000000"/>
                <w:szCs w:val="21"/>
              </w:rPr>
              <w:t>张</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71E49895">
            <w:pPr>
              <w:spacing w:before="156"/>
              <w:jc w:val="center"/>
              <w:rPr>
                <w:rFonts w:hint="eastAsia" w:ascii="宋体" w:hAnsi="宋体"/>
                <w:color w:val="000000"/>
                <w:szCs w:val="21"/>
              </w:rPr>
            </w:pPr>
            <w:r>
              <w:rPr>
                <w:rFonts w:hint="eastAsia" w:ascii="宋体" w:hAnsi="宋体"/>
                <w:color w:val="000000"/>
                <w:szCs w:val="21"/>
              </w:rPr>
              <w:t>2</w:t>
            </w:r>
          </w:p>
        </w:tc>
      </w:tr>
      <w:tr w14:paraId="4AEC039D">
        <w:tblPrEx>
          <w:tblCellMar>
            <w:top w:w="0" w:type="dxa"/>
            <w:left w:w="108" w:type="dxa"/>
            <w:bottom w:w="0" w:type="dxa"/>
            <w:right w:w="108" w:type="dxa"/>
          </w:tblCellMar>
        </w:tblPrEx>
        <w:trPr>
          <w:trHeight w:val="384"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5E379F8D">
            <w:pPr>
              <w:spacing w:before="156"/>
              <w:jc w:val="center"/>
              <w:rPr>
                <w:rFonts w:hint="eastAsia" w:ascii="宋体" w:hAnsi="宋体"/>
                <w:color w:val="000000"/>
                <w:szCs w:val="21"/>
              </w:rPr>
            </w:pPr>
            <w:r>
              <w:rPr>
                <w:rFonts w:hint="eastAsia" w:ascii="宋体" w:hAnsi="宋体"/>
                <w:color w:val="000000"/>
                <w:szCs w:val="21"/>
              </w:rPr>
              <w:t>64</w:t>
            </w:r>
          </w:p>
        </w:tc>
        <w:tc>
          <w:tcPr>
            <w:tcW w:w="2823" w:type="dxa"/>
            <w:tcBorders>
              <w:top w:val="single" w:color="000000" w:sz="4" w:space="0"/>
              <w:left w:val="single" w:color="000000" w:sz="4" w:space="0"/>
              <w:bottom w:val="single" w:color="000000" w:sz="4" w:space="0"/>
              <w:right w:val="single" w:color="000000" w:sz="4" w:space="0"/>
            </w:tcBorders>
            <w:noWrap w:val="0"/>
            <w:vAlign w:val="center"/>
          </w:tcPr>
          <w:p w14:paraId="4041E8D5">
            <w:pPr>
              <w:jc w:val="center"/>
              <w:rPr>
                <w:rFonts w:hint="eastAsia" w:ascii="宋体" w:hAnsi="宋体" w:cs="宋体"/>
                <w:color w:val="000000"/>
                <w:szCs w:val="21"/>
              </w:rPr>
            </w:pPr>
            <w:r>
              <w:rPr>
                <w:rFonts w:hint="eastAsia" w:ascii="宋体" w:hAnsi="宋体"/>
                <w:color w:val="000000"/>
                <w:szCs w:val="21"/>
              </w:rPr>
              <w:t>电动吸痰器</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5212B4D5">
            <w:pPr>
              <w:jc w:val="center"/>
              <w:rPr>
                <w:rFonts w:hint="eastAsia" w:ascii="宋体" w:hAnsi="宋体" w:cs="Arial"/>
                <w:color w:val="000000"/>
                <w:szCs w:val="21"/>
              </w:rPr>
            </w:pPr>
            <w:r>
              <w:rPr>
                <w:rFonts w:ascii="宋体" w:hAnsi="宋体" w:cs="Arial"/>
                <w:color w:val="000000"/>
                <w:szCs w:val="21"/>
              </w:rPr>
              <w:t>TE_B</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1048CCA9">
            <w:pPr>
              <w:spacing w:before="156"/>
              <w:jc w:val="center"/>
              <w:rPr>
                <w:rFonts w:ascii="宋体" w:hAnsi="宋体"/>
                <w:color w:val="000000"/>
                <w:szCs w:val="21"/>
              </w:rPr>
            </w:pPr>
            <w:r>
              <w:rPr>
                <w:rFonts w:hint="eastAsia" w:ascii="宋体" w:hAnsi="宋体"/>
                <w:color w:val="000000"/>
                <w:szCs w:val="21"/>
              </w:rPr>
              <w:t>台</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3A352B6E">
            <w:pPr>
              <w:spacing w:before="156"/>
              <w:jc w:val="center"/>
              <w:rPr>
                <w:rFonts w:hint="eastAsia" w:ascii="宋体" w:hAnsi="宋体"/>
                <w:color w:val="000000"/>
                <w:szCs w:val="21"/>
              </w:rPr>
            </w:pPr>
            <w:r>
              <w:rPr>
                <w:rFonts w:hint="eastAsia" w:ascii="宋体" w:hAnsi="宋体"/>
                <w:color w:val="000000"/>
                <w:szCs w:val="21"/>
              </w:rPr>
              <w:t>2</w:t>
            </w:r>
          </w:p>
        </w:tc>
      </w:tr>
      <w:tr w14:paraId="2807B72C">
        <w:tblPrEx>
          <w:tblCellMar>
            <w:top w:w="0" w:type="dxa"/>
            <w:left w:w="108" w:type="dxa"/>
            <w:bottom w:w="0" w:type="dxa"/>
            <w:right w:w="108" w:type="dxa"/>
          </w:tblCellMar>
        </w:tblPrEx>
        <w:trPr>
          <w:trHeight w:val="384"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679B3B89">
            <w:pPr>
              <w:spacing w:before="156"/>
              <w:jc w:val="center"/>
              <w:rPr>
                <w:rFonts w:hint="eastAsia" w:ascii="宋体" w:hAnsi="宋体"/>
                <w:color w:val="000000"/>
                <w:szCs w:val="21"/>
              </w:rPr>
            </w:pPr>
            <w:r>
              <w:rPr>
                <w:rFonts w:hint="eastAsia" w:ascii="宋体" w:hAnsi="宋体"/>
                <w:color w:val="000000"/>
                <w:szCs w:val="21"/>
              </w:rPr>
              <w:t>65</w:t>
            </w:r>
          </w:p>
        </w:tc>
        <w:tc>
          <w:tcPr>
            <w:tcW w:w="2823" w:type="dxa"/>
            <w:tcBorders>
              <w:top w:val="single" w:color="000000" w:sz="4" w:space="0"/>
              <w:left w:val="single" w:color="000000" w:sz="4" w:space="0"/>
              <w:bottom w:val="single" w:color="000000" w:sz="4" w:space="0"/>
              <w:right w:val="single" w:color="000000" w:sz="4" w:space="0"/>
            </w:tcBorders>
            <w:noWrap w:val="0"/>
            <w:vAlign w:val="center"/>
          </w:tcPr>
          <w:p w14:paraId="19FED604">
            <w:pPr>
              <w:jc w:val="center"/>
              <w:rPr>
                <w:rFonts w:hint="eastAsia" w:ascii="宋体" w:hAnsi="宋体" w:cs="宋体"/>
                <w:color w:val="000000"/>
                <w:szCs w:val="21"/>
              </w:rPr>
            </w:pPr>
            <w:r>
              <w:rPr>
                <w:rFonts w:hint="eastAsia" w:ascii="宋体" w:hAnsi="宋体"/>
                <w:color w:val="000000"/>
                <w:szCs w:val="21"/>
              </w:rPr>
              <w:t>无影灯</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7E58D59D">
            <w:pPr>
              <w:jc w:val="center"/>
              <w:rPr>
                <w:rFonts w:hint="eastAsia" w:ascii="宋体" w:hAnsi="宋体" w:cs="Arial"/>
                <w:color w:val="000000"/>
                <w:szCs w:val="21"/>
              </w:rPr>
            </w:pPr>
            <w:r>
              <w:rPr>
                <w:rFonts w:ascii="宋体" w:hAnsi="宋体" w:cs="Arial"/>
                <w:color w:val="000000"/>
                <w:szCs w:val="21"/>
              </w:rPr>
              <w:t>EL_700 EL_500</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5DD10F02">
            <w:pPr>
              <w:spacing w:before="156"/>
              <w:jc w:val="center"/>
              <w:rPr>
                <w:rFonts w:ascii="宋体" w:hAnsi="宋体"/>
                <w:color w:val="000000"/>
                <w:szCs w:val="21"/>
              </w:rPr>
            </w:pPr>
            <w:r>
              <w:rPr>
                <w:rFonts w:hint="eastAsia" w:ascii="宋体" w:hAnsi="宋体"/>
                <w:color w:val="000000"/>
                <w:szCs w:val="21"/>
              </w:rPr>
              <w:t>台</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1C198E5E">
            <w:pPr>
              <w:spacing w:before="156"/>
              <w:jc w:val="center"/>
              <w:rPr>
                <w:rFonts w:hint="eastAsia" w:ascii="宋体" w:hAnsi="宋体"/>
                <w:color w:val="000000"/>
                <w:szCs w:val="21"/>
              </w:rPr>
            </w:pPr>
            <w:r>
              <w:rPr>
                <w:rFonts w:hint="eastAsia" w:ascii="宋体" w:hAnsi="宋体"/>
                <w:color w:val="000000"/>
                <w:szCs w:val="21"/>
              </w:rPr>
              <w:t>2</w:t>
            </w:r>
          </w:p>
        </w:tc>
      </w:tr>
      <w:tr w14:paraId="51AD2728">
        <w:tblPrEx>
          <w:tblCellMar>
            <w:top w:w="0" w:type="dxa"/>
            <w:left w:w="108" w:type="dxa"/>
            <w:bottom w:w="0" w:type="dxa"/>
            <w:right w:w="108" w:type="dxa"/>
          </w:tblCellMar>
        </w:tblPrEx>
        <w:trPr>
          <w:trHeight w:val="384"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3EF21A0A">
            <w:pPr>
              <w:spacing w:before="156"/>
              <w:jc w:val="center"/>
              <w:rPr>
                <w:rFonts w:hint="eastAsia" w:ascii="宋体" w:hAnsi="宋体"/>
                <w:color w:val="000000"/>
                <w:szCs w:val="21"/>
              </w:rPr>
            </w:pPr>
            <w:r>
              <w:rPr>
                <w:rFonts w:hint="eastAsia" w:ascii="宋体" w:hAnsi="宋体"/>
                <w:color w:val="000000"/>
                <w:szCs w:val="21"/>
              </w:rPr>
              <w:t>66</w:t>
            </w:r>
          </w:p>
        </w:tc>
        <w:tc>
          <w:tcPr>
            <w:tcW w:w="2823" w:type="dxa"/>
            <w:tcBorders>
              <w:top w:val="single" w:color="000000" w:sz="4" w:space="0"/>
              <w:left w:val="single" w:color="000000" w:sz="4" w:space="0"/>
              <w:bottom w:val="single" w:color="000000" w:sz="4" w:space="0"/>
              <w:right w:val="single" w:color="000000" w:sz="4" w:space="0"/>
            </w:tcBorders>
            <w:noWrap w:val="0"/>
            <w:vAlign w:val="center"/>
          </w:tcPr>
          <w:p w14:paraId="3D5E17FD">
            <w:pPr>
              <w:jc w:val="center"/>
              <w:rPr>
                <w:rFonts w:hint="eastAsia" w:ascii="宋体" w:hAnsi="宋体" w:cs="宋体"/>
                <w:color w:val="000000"/>
                <w:szCs w:val="21"/>
              </w:rPr>
            </w:pPr>
            <w:r>
              <w:rPr>
                <w:rFonts w:hint="eastAsia" w:ascii="宋体" w:hAnsi="宋体"/>
                <w:color w:val="000000"/>
                <w:szCs w:val="21"/>
              </w:rPr>
              <w:t>胎心监测仪</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3EC20FE1">
            <w:pPr>
              <w:jc w:val="center"/>
              <w:rPr>
                <w:rFonts w:hint="eastAsia" w:ascii="宋体" w:hAnsi="宋体" w:cs="Arial"/>
                <w:color w:val="000000"/>
                <w:szCs w:val="21"/>
              </w:rPr>
            </w:pPr>
            <w:r>
              <w:rPr>
                <w:rFonts w:ascii="宋体" w:hAnsi="宋体" w:cs="Arial"/>
                <w:color w:val="000000"/>
                <w:szCs w:val="21"/>
              </w:rPr>
              <w:t>200La</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24312E60">
            <w:pPr>
              <w:spacing w:before="156"/>
              <w:jc w:val="center"/>
              <w:rPr>
                <w:rFonts w:ascii="宋体" w:hAnsi="宋体"/>
                <w:color w:val="000000"/>
                <w:szCs w:val="21"/>
              </w:rPr>
            </w:pPr>
            <w:r>
              <w:rPr>
                <w:rFonts w:hint="eastAsia" w:ascii="宋体" w:hAnsi="宋体"/>
                <w:color w:val="000000"/>
                <w:szCs w:val="21"/>
              </w:rPr>
              <w:t>台</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5F4132AE">
            <w:pPr>
              <w:spacing w:before="156"/>
              <w:jc w:val="center"/>
              <w:rPr>
                <w:rFonts w:ascii="宋体" w:hAnsi="宋体"/>
                <w:color w:val="000000"/>
                <w:szCs w:val="21"/>
              </w:rPr>
            </w:pPr>
            <w:r>
              <w:rPr>
                <w:rFonts w:hint="eastAsia" w:ascii="宋体" w:hAnsi="宋体"/>
                <w:color w:val="000000"/>
                <w:szCs w:val="21"/>
              </w:rPr>
              <w:t>1</w:t>
            </w:r>
          </w:p>
        </w:tc>
      </w:tr>
      <w:tr w14:paraId="4FB9F8CC">
        <w:tblPrEx>
          <w:tblCellMar>
            <w:top w:w="0" w:type="dxa"/>
            <w:left w:w="108" w:type="dxa"/>
            <w:bottom w:w="0" w:type="dxa"/>
            <w:right w:w="108" w:type="dxa"/>
          </w:tblCellMar>
        </w:tblPrEx>
        <w:trPr>
          <w:trHeight w:val="384"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71D4C271">
            <w:pPr>
              <w:spacing w:before="156"/>
              <w:jc w:val="center"/>
              <w:rPr>
                <w:rFonts w:hint="eastAsia" w:ascii="宋体" w:hAnsi="宋体"/>
                <w:color w:val="000000"/>
                <w:szCs w:val="21"/>
              </w:rPr>
            </w:pPr>
            <w:r>
              <w:rPr>
                <w:rFonts w:hint="eastAsia" w:ascii="宋体" w:hAnsi="宋体"/>
                <w:color w:val="000000"/>
                <w:szCs w:val="21"/>
              </w:rPr>
              <w:t>67</w:t>
            </w:r>
          </w:p>
        </w:tc>
        <w:tc>
          <w:tcPr>
            <w:tcW w:w="2823" w:type="dxa"/>
            <w:tcBorders>
              <w:top w:val="single" w:color="000000" w:sz="4" w:space="0"/>
              <w:left w:val="single" w:color="000000" w:sz="4" w:space="0"/>
              <w:bottom w:val="single" w:color="000000" w:sz="4" w:space="0"/>
              <w:right w:val="single" w:color="000000" w:sz="4" w:space="0"/>
            </w:tcBorders>
            <w:noWrap w:val="0"/>
            <w:vAlign w:val="center"/>
          </w:tcPr>
          <w:p w14:paraId="787FBEB7">
            <w:pPr>
              <w:jc w:val="center"/>
              <w:rPr>
                <w:rFonts w:hint="eastAsia" w:ascii="宋体" w:hAnsi="宋体" w:cs="宋体"/>
                <w:color w:val="000000"/>
                <w:szCs w:val="21"/>
              </w:rPr>
            </w:pPr>
            <w:r>
              <w:rPr>
                <w:rFonts w:hint="eastAsia" w:ascii="宋体" w:hAnsi="宋体"/>
                <w:color w:val="000000"/>
                <w:szCs w:val="21"/>
              </w:rPr>
              <w:t>不锈钢扇型器械台</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185AC887">
            <w:pPr>
              <w:jc w:val="center"/>
              <w:rPr>
                <w:rFonts w:hint="eastAsia" w:ascii="宋体" w:hAnsi="宋体"/>
                <w:color w:val="000000"/>
                <w:szCs w:val="21"/>
              </w:rPr>
            </w:pP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077191A5">
            <w:pPr>
              <w:spacing w:before="156"/>
              <w:jc w:val="center"/>
              <w:rPr>
                <w:rFonts w:hint="eastAsia" w:ascii="宋体" w:hAnsi="宋体"/>
                <w:color w:val="000000"/>
                <w:szCs w:val="21"/>
              </w:rPr>
            </w:pPr>
            <w:r>
              <w:rPr>
                <w:rFonts w:hint="eastAsia" w:ascii="宋体" w:hAnsi="宋体"/>
                <w:color w:val="000000"/>
                <w:szCs w:val="21"/>
              </w:rPr>
              <w:t>个</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61E97D01">
            <w:pPr>
              <w:spacing w:before="156"/>
              <w:jc w:val="center"/>
              <w:rPr>
                <w:rFonts w:hint="eastAsia" w:ascii="宋体" w:hAnsi="宋体"/>
                <w:color w:val="000000"/>
                <w:szCs w:val="21"/>
              </w:rPr>
            </w:pPr>
            <w:r>
              <w:rPr>
                <w:rFonts w:hint="eastAsia" w:ascii="宋体" w:hAnsi="宋体"/>
                <w:color w:val="000000"/>
                <w:szCs w:val="21"/>
              </w:rPr>
              <w:t>2</w:t>
            </w:r>
          </w:p>
        </w:tc>
      </w:tr>
      <w:tr w14:paraId="1DBE5ADC">
        <w:tblPrEx>
          <w:tblCellMar>
            <w:top w:w="0" w:type="dxa"/>
            <w:left w:w="108" w:type="dxa"/>
            <w:bottom w:w="0" w:type="dxa"/>
            <w:right w:w="108" w:type="dxa"/>
          </w:tblCellMar>
        </w:tblPrEx>
        <w:trPr>
          <w:trHeight w:val="384"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288BD750">
            <w:pPr>
              <w:spacing w:before="156"/>
              <w:jc w:val="center"/>
              <w:rPr>
                <w:rFonts w:hint="eastAsia" w:ascii="宋体" w:hAnsi="宋体"/>
                <w:color w:val="000000"/>
                <w:szCs w:val="21"/>
              </w:rPr>
            </w:pPr>
            <w:r>
              <w:rPr>
                <w:rFonts w:hint="eastAsia" w:ascii="宋体" w:hAnsi="宋体"/>
                <w:color w:val="000000"/>
                <w:szCs w:val="21"/>
              </w:rPr>
              <w:t>68</w:t>
            </w:r>
          </w:p>
        </w:tc>
        <w:tc>
          <w:tcPr>
            <w:tcW w:w="2823" w:type="dxa"/>
            <w:tcBorders>
              <w:top w:val="single" w:color="000000" w:sz="4" w:space="0"/>
              <w:left w:val="single" w:color="000000" w:sz="4" w:space="0"/>
              <w:bottom w:val="single" w:color="000000" w:sz="4" w:space="0"/>
              <w:right w:val="single" w:color="000000" w:sz="4" w:space="0"/>
            </w:tcBorders>
            <w:noWrap w:val="0"/>
            <w:vAlign w:val="center"/>
          </w:tcPr>
          <w:p w14:paraId="62B09E51">
            <w:pPr>
              <w:jc w:val="center"/>
              <w:rPr>
                <w:rFonts w:hint="eastAsia" w:ascii="宋体" w:hAnsi="宋体" w:cs="宋体"/>
                <w:color w:val="000000"/>
                <w:szCs w:val="21"/>
              </w:rPr>
            </w:pPr>
            <w:r>
              <w:rPr>
                <w:rFonts w:hint="eastAsia" w:ascii="宋体" w:hAnsi="宋体"/>
                <w:color w:val="000000"/>
                <w:szCs w:val="21"/>
              </w:rPr>
              <w:t>空气消毒机</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4DE289AE">
            <w:pPr>
              <w:jc w:val="center"/>
              <w:rPr>
                <w:rFonts w:hint="eastAsia" w:ascii="宋体" w:hAnsi="宋体" w:cs="宋体"/>
                <w:color w:val="000000"/>
                <w:szCs w:val="21"/>
              </w:rPr>
            </w:pPr>
            <w:r>
              <w:rPr>
                <w:rFonts w:hint="eastAsia" w:ascii="宋体" w:hAnsi="宋体"/>
                <w:color w:val="000000"/>
                <w:szCs w:val="21"/>
              </w:rPr>
              <w:t>YNX/G-120</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71A94336">
            <w:pPr>
              <w:spacing w:before="156"/>
              <w:jc w:val="center"/>
              <w:rPr>
                <w:rFonts w:ascii="宋体" w:hAnsi="宋体"/>
                <w:color w:val="000000"/>
                <w:szCs w:val="21"/>
              </w:rPr>
            </w:pPr>
            <w:r>
              <w:rPr>
                <w:rFonts w:hint="eastAsia" w:ascii="宋体" w:hAnsi="宋体"/>
                <w:color w:val="000000"/>
                <w:szCs w:val="21"/>
              </w:rPr>
              <w:t>台</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71CB2BDA">
            <w:pPr>
              <w:spacing w:before="156"/>
              <w:jc w:val="center"/>
              <w:rPr>
                <w:rFonts w:hint="eastAsia" w:ascii="宋体" w:hAnsi="宋体"/>
                <w:color w:val="000000"/>
                <w:szCs w:val="21"/>
              </w:rPr>
            </w:pPr>
            <w:r>
              <w:rPr>
                <w:rFonts w:hint="eastAsia" w:ascii="宋体" w:hAnsi="宋体"/>
                <w:color w:val="000000"/>
                <w:szCs w:val="21"/>
              </w:rPr>
              <w:t>2</w:t>
            </w:r>
          </w:p>
        </w:tc>
      </w:tr>
      <w:tr w14:paraId="687E8F31">
        <w:tblPrEx>
          <w:tblCellMar>
            <w:top w:w="0" w:type="dxa"/>
            <w:left w:w="108" w:type="dxa"/>
            <w:bottom w:w="0" w:type="dxa"/>
            <w:right w:w="108" w:type="dxa"/>
          </w:tblCellMar>
        </w:tblPrEx>
        <w:trPr>
          <w:trHeight w:val="384"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43E90BE2">
            <w:pPr>
              <w:spacing w:before="156"/>
              <w:jc w:val="center"/>
              <w:rPr>
                <w:rFonts w:hint="eastAsia" w:ascii="宋体" w:hAnsi="宋体"/>
                <w:color w:val="000000"/>
                <w:szCs w:val="21"/>
              </w:rPr>
            </w:pPr>
            <w:r>
              <w:rPr>
                <w:rFonts w:hint="eastAsia" w:ascii="宋体" w:hAnsi="宋体"/>
                <w:color w:val="000000"/>
                <w:szCs w:val="21"/>
              </w:rPr>
              <w:t>69</w:t>
            </w:r>
          </w:p>
        </w:tc>
        <w:tc>
          <w:tcPr>
            <w:tcW w:w="2823" w:type="dxa"/>
            <w:tcBorders>
              <w:top w:val="single" w:color="000000" w:sz="4" w:space="0"/>
              <w:left w:val="single" w:color="000000" w:sz="4" w:space="0"/>
              <w:bottom w:val="single" w:color="000000" w:sz="4" w:space="0"/>
              <w:right w:val="single" w:color="000000" w:sz="4" w:space="0"/>
            </w:tcBorders>
            <w:noWrap w:val="0"/>
            <w:vAlign w:val="center"/>
          </w:tcPr>
          <w:p w14:paraId="4E0BBFF5">
            <w:pPr>
              <w:jc w:val="center"/>
              <w:rPr>
                <w:rFonts w:hint="eastAsia" w:ascii="宋体" w:hAnsi="宋体" w:cs="宋体"/>
                <w:color w:val="000000"/>
                <w:szCs w:val="21"/>
              </w:rPr>
            </w:pPr>
            <w:r>
              <w:rPr>
                <w:rFonts w:hint="eastAsia" w:ascii="宋体" w:hAnsi="宋体"/>
                <w:color w:val="000000"/>
                <w:szCs w:val="21"/>
              </w:rPr>
              <w:t>麻醉机</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3C55AD61">
            <w:pPr>
              <w:jc w:val="center"/>
              <w:rPr>
                <w:rFonts w:hint="eastAsia" w:ascii="宋体" w:hAnsi="宋体" w:cs="宋体"/>
                <w:color w:val="000000"/>
                <w:szCs w:val="21"/>
              </w:rPr>
            </w:pPr>
            <w:r>
              <w:rPr>
                <w:rFonts w:hint="eastAsia" w:ascii="宋体" w:hAnsi="宋体"/>
                <w:color w:val="000000"/>
                <w:szCs w:val="21"/>
              </w:rPr>
              <w:t>Aeon7500A</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50C5B856">
            <w:pPr>
              <w:spacing w:before="156"/>
              <w:jc w:val="center"/>
              <w:rPr>
                <w:rFonts w:ascii="宋体" w:hAnsi="宋体"/>
                <w:color w:val="000000"/>
                <w:szCs w:val="21"/>
              </w:rPr>
            </w:pPr>
            <w:r>
              <w:rPr>
                <w:rFonts w:hint="eastAsia" w:ascii="宋体" w:hAnsi="宋体"/>
                <w:color w:val="000000"/>
                <w:szCs w:val="21"/>
              </w:rPr>
              <w:t>台</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73723AC8">
            <w:pPr>
              <w:spacing w:before="156"/>
              <w:jc w:val="center"/>
              <w:rPr>
                <w:rFonts w:hint="eastAsia" w:ascii="宋体" w:hAnsi="宋体"/>
                <w:color w:val="000000"/>
                <w:szCs w:val="21"/>
              </w:rPr>
            </w:pPr>
            <w:r>
              <w:rPr>
                <w:rFonts w:hint="eastAsia" w:ascii="宋体" w:hAnsi="宋体"/>
                <w:color w:val="000000"/>
                <w:szCs w:val="21"/>
              </w:rPr>
              <w:t>2</w:t>
            </w:r>
          </w:p>
        </w:tc>
      </w:tr>
      <w:tr w14:paraId="5974BC36">
        <w:tblPrEx>
          <w:tblCellMar>
            <w:top w:w="0" w:type="dxa"/>
            <w:left w:w="108" w:type="dxa"/>
            <w:bottom w:w="0" w:type="dxa"/>
            <w:right w:w="108" w:type="dxa"/>
          </w:tblCellMar>
        </w:tblPrEx>
        <w:trPr>
          <w:trHeight w:val="384"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42E3A3E9">
            <w:pPr>
              <w:spacing w:before="156"/>
              <w:jc w:val="center"/>
              <w:rPr>
                <w:rFonts w:hint="eastAsia" w:ascii="宋体" w:hAnsi="宋体"/>
                <w:color w:val="000000"/>
                <w:szCs w:val="21"/>
              </w:rPr>
            </w:pPr>
            <w:r>
              <w:rPr>
                <w:rFonts w:hint="eastAsia" w:ascii="宋体" w:hAnsi="宋体"/>
                <w:color w:val="000000"/>
                <w:szCs w:val="21"/>
              </w:rPr>
              <w:t>70</w:t>
            </w:r>
          </w:p>
        </w:tc>
        <w:tc>
          <w:tcPr>
            <w:tcW w:w="2823" w:type="dxa"/>
            <w:tcBorders>
              <w:top w:val="single" w:color="000000" w:sz="4" w:space="0"/>
              <w:left w:val="single" w:color="000000" w:sz="4" w:space="0"/>
              <w:bottom w:val="single" w:color="000000" w:sz="4" w:space="0"/>
              <w:right w:val="single" w:color="000000" w:sz="4" w:space="0"/>
            </w:tcBorders>
            <w:noWrap w:val="0"/>
            <w:vAlign w:val="center"/>
          </w:tcPr>
          <w:p w14:paraId="79959E14">
            <w:pPr>
              <w:jc w:val="center"/>
              <w:rPr>
                <w:rFonts w:hint="eastAsia" w:ascii="宋体" w:hAnsi="宋体" w:cs="宋体"/>
                <w:color w:val="000000"/>
                <w:szCs w:val="21"/>
              </w:rPr>
            </w:pPr>
            <w:r>
              <w:rPr>
                <w:rFonts w:hint="eastAsia" w:ascii="宋体" w:hAnsi="宋体"/>
                <w:color w:val="000000"/>
                <w:szCs w:val="21"/>
              </w:rPr>
              <w:t>小儿麻醉喉镜</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1D211FF2">
            <w:pPr>
              <w:jc w:val="center"/>
              <w:rPr>
                <w:rFonts w:hint="eastAsia" w:ascii="宋体" w:hAnsi="宋体" w:cs="Arial"/>
                <w:color w:val="000000"/>
                <w:szCs w:val="21"/>
              </w:rPr>
            </w:pPr>
            <w:r>
              <w:rPr>
                <w:rFonts w:ascii="宋体" w:hAnsi="宋体" w:cs="Arial"/>
                <w:color w:val="000000"/>
                <w:szCs w:val="21"/>
              </w:rPr>
              <w:t>SKJ.MHP</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1E60B4F4">
            <w:pPr>
              <w:spacing w:before="156"/>
              <w:jc w:val="center"/>
              <w:rPr>
                <w:rFonts w:ascii="宋体" w:hAnsi="宋体"/>
                <w:color w:val="000000"/>
                <w:szCs w:val="21"/>
              </w:rPr>
            </w:pPr>
            <w:r>
              <w:rPr>
                <w:rFonts w:hint="eastAsia" w:ascii="宋体" w:hAnsi="宋体"/>
                <w:color w:val="000000"/>
                <w:szCs w:val="21"/>
              </w:rPr>
              <w:t>台</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08D49FC9">
            <w:pPr>
              <w:spacing w:before="156"/>
              <w:jc w:val="center"/>
              <w:rPr>
                <w:rFonts w:hint="eastAsia" w:ascii="宋体" w:hAnsi="宋体"/>
                <w:color w:val="000000"/>
                <w:szCs w:val="21"/>
              </w:rPr>
            </w:pPr>
            <w:r>
              <w:rPr>
                <w:rFonts w:hint="eastAsia" w:ascii="宋体" w:hAnsi="宋体"/>
                <w:color w:val="000000"/>
                <w:szCs w:val="21"/>
              </w:rPr>
              <w:t>4</w:t>
            </w:r>
          </w:p>
        </w:tc>
      </w:tr>
      <w:tr w14:paraId="01B2392C">
        <w:tblPrEx>
          <w:tblCellMar>
            <w:top w:w="0" w:type="dxa"/>
            <w:left w:w="108" w:type="dxa"/>
            <w:bottom w:w="0" w:type="dxa"/>
            <w:right w:w="108" w:type="dxa"/>
          </w:tblCellMar>
        </w:tblPrEx>
        <w:trPr>
          <w:trHeight w:val="384"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21473B61">
            <w:pPr>
              <w:spacing w:before="156"/>
              <w:jc w:val="center"/>
              <w:rPr>
                <w:rFonts w:hint="eastAsia" w:ascii="宋体" w:hAnsi="宋体"/>
                <w:color w:val="000000"/>
                <w:szCs w:val="21"/>
              </w:rPr>
            </w:pPr>
            <w:r>
              <w:rPr>
                <w:rFonts w:hint="eastAsia" w:ascii="宋体" w:hAnsi="宋体"/>
                <w:color w:val="000000"/>
                <w:szCs w:val="21"/>
              </w:rPr>
              <w:t>71</w:t>
            </w:r>
          </w:p>
        </w:tc>
        <w:tc>
          <w:tcPr>
            <w:tcW w:w="2823" w:type="dxa"/>
            <w:tcBorders>
              <w:top w:val="single" w:color="000000" w:sz="4" w:space="0"/>
              <w:left w:val="single" w:color="000000" w:sz="4" w:space="0"/>
              <w:bottom w:val="single" w:color="000000" w:sz="4" w:space="0"/>
              <w:right w:val="single" w:color="000000" w:sz="4" w:space="0"/>
            </w:tcBorders>
            <w:noWrap w:val="0"/>
            <w:vAlign w:val="center"/>
          </w:tcPr>
          <w:p w14:paraId="3E7080FC">
            <w:pPr>
              <w:jc w:val="center"/>
              <w:rPr>
                <w:rFonts w:hint="eastAsia" w:ascii="宋体" w:hAnsi="宋体" w:cs="宋体"/>
                <w:color w:val="000000"/>
                <w:szCs w:val="21"/>
              </w:rPr>
            </w:pPr>
            <w:r>
              <w:rPr>
                <w:rFonts w:hint="eastAsia" w:ascii="宋体" w:hAnsi="宋体"/>
                <w:color w:val="000000"/>
                <w:szCs w:val="21"/>
              </w:rPr>
              <w:t>婴儿辐射保暖台</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7FE4CF79">
            <w:pPr>
              <w:jc w:val="center"/>
              <w:rPr>
                <w:rFonts w:hint="eastAsia" w:ascii="宋体" w:hAnsi="宋体" w:cs="Arial"/>
                <w:color w:val="000000"/>
                <w:szCs w:val="21"/>
              </w:rPr>
            </w:pPr>
            <w:r>
              <w:rPr>
                <w:rFonts w:ascii="宋体" w:hAnsi="宋体" w:cs="Arial"/>
                <w:color w:val="000000"/>
                <w:szCs w:val="21"/>
              </w:rPr>
              <w:t>HKN-93B</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627681BE">
            <w:pPr>
              <w:spacing w:before="156"/>
              <w:jc w:val="center"/>
              <w:rPr>
                <w:rFonts w:hint="eastAsia" w:ascii="宋体" w:hAnsi="宋体"/>
                <w:color w:val="000000"/>
                <w:szCs w:val="21"/>
              </w:rPr>
            </w:pPr>
            <w:r>
              <w:rPr>
                <w:rFonts w:hint="eastAsia" w:ascii="宋体" w:hAnsi="宋体"/>
                <w:color w:val="000000"/>
                <w:szCs w:val="21"/>
              </w:rPr>
              <w:t>个</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2F8C63A0">
            <w:pPr>
              <w:spacing w:before="156"/>
              <w:jc w:val="center"/>
              <w:rPr>
                <w:rFonts w:hint="eastAsia" w:ascii="宋体" w:hAnsi="宋体"/>
                <w:color w:val="000000"/>
                <w:szCs w:val="21"/>
              </w:rPr>
            </w:pPr>
            <w:r>
              <w:rPr>
                <w:rFonts w:hint="eastAsia" w:ascii="宋体" w:hAnsi="宋体"/>
                <w:color w:val="000000"/>
                <w:szCs w:val="21"/>
              </w:rPr>
              <w:t>2</w:t>
            </w:r>
          </w:p>
        </w:tc>
      </w:tr>
      <w:tr w14:paraId="45990A8B">
        <w:tblPrEx>
          <w:tblCellMar>
            <w:top w:w="0" w:type="dxa"/>
            <w:left w:w="108" w:type="dxa"/>
            <w:bottom w:w="0" w:type="dxa"/>
            <w:right w:w="108" w:type="dxa"/>
          </w:tblCellMar>
        </w:tblPrEx>
        <w:trPr>
          <w:trHeight w:val="384"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17A7F361">
            <w:pPr>
              <w:spacing w:before="156"/>
              <w:jc w:val="center"/>
              <w:rPr>
                <w:rFonts w:hint="eastAsia" w:ascii="宋体" w:hAnsi="宋体"/>
                <w:color w:val="000000"/>
                <w:szCs w:val="21"/>
              </w:rPr>
            </w:pPr>
            <w:r>
              <w:rPr>
                <w:rFonts w:hint="eastAsia" w:ascii="宋体" w:hAnsi="宋体"/>
                <w:color w:val="000000"/>
                <w:szCs w:val="21"/>
              </w:rPr>
              <w:t>72</w:t>
            </w:r>
          </w:p>
        </w:tc>
        <w:tc>
          <w:tcPr>
            <w:tcW w:w="2823" w:type="dxa"/>
            <w:tcBorders>
              <w:top w:val="single" w:color="000000" w:sz="4" w:space="0"/>
              <w:left w:val="single" w:color="000000" w:sz="4" w:space="0"/>
              <w:bottom w:val="single" w:color="000000" w:sz="4" w:space="0"/>
              <w:right w:val="single" w:color="000000" w:sz="4" w:space="0"/>
            </w:tcBorders>
            <w:noWrap w:val="0"/>
            <w:vAlign w:val="center"/>
          </w:tcPr>
          <w:p w14:paraId="5457EE16">
            <w:pPr>
              <w:jc w:val="center"/>
              <w:rPr>
                <w:rFonts w:hint="eastAsia" w:ascii="宋体" w:hAnsi="宋体" w:cs="宋体"/>
                <w:color w:val="000000"/>
                <w:szCs w:val="21"/>
              </w:rPr>
            </w:pPr>
            <w:r>
              <w:rPr>
                <w:rFonts w:hint="eastAsia" w:ascii="宋体" w:hAnsi="宋体"/>
                <w:color w:val="000000"/>
                <w:szCs w:val="21"/>
              </w:rPr>
              <w:t>电动吸引器</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349AE60E">
            <w:pPr>
              <w:jc w:val="center"/>
              <w:rPr>
                <w:rFonts w:hint="eastAsia" w:ascii="宋体" w:hAnsi="宋体" w:cs="Arial"/>
                <w:color w:val="000000"/>
                <w:szCs w:val="21"/>
              </w:rPr>
            </w:pPr>
            <w:r>
              <w:rPr>
                <w:rFonts w:ascii="宋体" w:hAnsi="宋体" w:cs="Arial"/>
                <w:color w:val="000000"/>
                <w:szCs w:val="21"/>
              </w:rPr>
              <w:t>DFX-23D</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32B31ACE">
            <w:pPr>
              <w:spacing w:before="156"/>
              <w:jc w:val="center"/>
              <w:rPr>
                <w:rFonts w:ascii="宋体" w:hAnsi="宋体"/>
                <w:color w:val="000000"/>
                <w:szCs w:val="21"/>
              </w:rPr>
            </w:pPr>
            <w:r>
              <w:rPr>
                <w:rFonts w:hint="eastAsia" w:ascii="宋体" w:hAnsi="宋体"/>
                <w:color w:val="000000"/>
                <w:szCs w:val="21"/>
              </w:rPr>
              <w:t>台</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55813C83">
            <w:pPr>
              <w:spacing w:before="156"/>
              <w:jc w:val="center"/>
              <w:rPr>
                <w:rFonts w:hint="eastAsia" w:ascii="宋体" w:hAnsi="宋体"/>
                <w:color w:val="000000"/>
                <w:szCs w:val="21"/>
              </w:rPr>
            </w:pPr>
            <w:r>
              <w:rPr>
                <w:rFonts w:hint="eastAsia" w:ascii="宋体" w:hAnsi="宋体"/>
                <w:color w:val="000000"/>
                <w:szCs w:val="21"/>
              </w:rPr>
              <w:t>2</w:t>
            </w:r>
          </w:p>
        </w:tc>
      </w:tr>
      <w:tr w14:paraId="0F662319">
        <w:tblPrEx>
          <w:tblCellMar>
            <w:top w:w="0" w:type="dxa"/>
            <w:left w:w="108" w:type="dxa"/>
            <w:bottom w:w="0" w:type="dxa"/>
            <w:right w:w="108" w:type="dxa"/>
          </w:tblCellMar>
        </w:tblPrEx>
        <w:trPr>
          <w:trHeight w:val="384"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661A94F1">
            <w:pPr>
              <w:spacing w:before="156"/>
              <w:jc w:val="center"/>
              <w:rPr>
                <w:rFonts w:hint="eastAsia" w:ascii="宋体" w:hAnsi="宋体"/>
                <w:color w:val="000000"/>
                <w:szCs w:val="21"/>
              </w:rPr>
            </w:pPr>
            <w:r>
              <w:rPr>
                <w:rFonts w:hint="eastAsia" w:ascii="宋体" w:hAnsi="宋体"/>
                <w:color w:val="000000"/>
                <w:szCs w:val="21"/>
              </w:rPr>
              <w:t>73</w:t>
            </w:r>
          </w:p>
        </w:tc>
        <w:tc>
          <w:tcPr>
            <w:tcW w:w="2823" w:type="dxa"/>
            <w:tcBorders>
              <w:top w:val="single" w:color="000000" w:sz="4" w:space="0"/>
              <w:left w:val="single" w:color="000000" w:sz="4" w:space="0"/>
              <w:bottom w:val="single" w:color="000000" w:sz="4" w:space="0"/>
              <w:right w:val="single" w:color="000000" w:sz="4" w:space="0"/>
            </w:tcBorders>
            <w:noWrap w:val="0"/>
            <w:vAlign w:val="center"/>
          </w:tcPr>
          <w:p w14:paraId="2DFD661E">
            <w:pPr>
              <w:jc w:val="center"/>
              <w:rPr>
                <w:rFonts w:hint="eastAsia" w:ascii="宋体" w:hAnsi="宋体" w:cs="宋体"/>
                <w:color w:val="000000"/>
                <w:szCs w:val="21"/>
              </w:rPr>
            </w:pPr>
            <w:r>
              <w:rPr>
                <w:rFonts w:hint="eastAsia" w:ascii="宋体" w:hAnsi="宋体"/>
                <w:color w:val="000000"/>
                <w:szCs w:val="21"/>
              </w:rPr>
              <w:t>心电监护仪</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4D11C748">
            <w:pPr>
              <w:jc w:val="center"/>
              <w:rPr>
                <w:rFonts w:hint="eastAsia" w:ascii="宋体" w:hAnsi="宋体" w:cs="Arial"/>
                <w:color w:val="000000"/>
                <w:szCs w:val="21"/>
              </w:rPr>
            </w:pPr>
            <w:r>
              <w:rPr>
                <w:rFonts w:ascii="宋体" w:hAnsi="宋体" w:cs="Arial"/>
                <w:color w:val="000000"/>
                <w:szCs w:val="21"/>
              </w:rPr>
              <w:t>PM-9000</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330B7D8B">
            <w:pPr>
              <w:spacing w:before="156"/>
              <w:jc w:val="center"/>
              <w:rPr>
                <w:rFonts w:ascii="宋体" w:hAnsi="宋体"/>
                <w:color w:val="000000"/>
                <w:szCs w:val="21"/>
              </w:rPr>
            </w:pPr>
            <w:r>
              <w:rPr>
                <w:rFonts w:hint="eastAsia" w:ascii="宋体" w:hAnsi="宋体"/>
                <w:color w:val="000000"/>
                <w:szCs w:val="21"/>
              </w:rPr>
              <w:t>台</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0A6D3636">
            <w:pPr>
              <w:spacing w:before="156"/>
              <w:jc w:val="center"/>
              <w:rPr>
                <w:rFonts w:hint="eastAsia" w:ascii="宋体" w:hAnsi="宋体"/>
                <w:color w:val="000000"/>
                <w:szCs w:val="21"/>
              </w:rPr>
            </w:pPr>
            <w:r>
              <w:rPr>
                <w:rFonts w:hint="eastAsia" w:ascii="宋体" w:hAnsi="宋体"/>
                <w:color w:val="000000"/>
                <w:szCs w:val="21"/>
              </w:rPr>
              <w:t>4</w:t>
            </w:r>
          </w:p>
        </w:tc>
      </w:tr>
      <w:tr w14:paraId="3DB520AB">
        <w:tblPrEx>
          <w:tblCellMar>
            <w:top w:w="0" w:type="dxa"/>
            <w:left w:w="108" w:type="dxa"/>
            <w:bottom w:w="0" w:type="dxa"/>
            <w:right w:w="108" w:type="dxa"/>
          </w:tblCellMar>
        </w:tblPrEx>
        <w:trPr>
          <w:trHeight w:val="384"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0A995FDF">
            <w:pPr>
              <w:spacing w:before="156"/>
              <w:jc w:val="center"/>
              <w:rPr>
                <w:rFonts w:hint="eastAsia" w:ascii="宋体" w:hAnsi="宋体"/>
                <w:color w:val="000000"/>
                <w:szCs w:val="21"/>
              </w:rPr>
            </w:pPr>
            <w:r>
              <w:rPr>
                <w:rFonts w:hint="eastAsia" w:ascii="宋体" w:hAnsi="宋体"/>
                <w:color w:val="000000"/>
                <w:szCs w:val="21"/>
              </w:rPr>
              <w:t>74</w:t>
            </w:r>
          </w:p>
        </w:tc>
        <w:tc>
          <w:tcPr>
            <w:tcW w:w="2823" w:type="dxa"/>
            <w:tcBorders>
              <w:top w:val="single" w:color="000000" w:sz="4" w:space="0"/>
              <w:left w:val="single" w:color="000000" w:sz="4" w:space="0"/>
              <w:bottom w:val="single" w:color="000000" w:sz="4" w:space="0"/>
              <w:right w:val="single" w:color="000000" w:sz="4" w:space="0"/>
            </w:tcBorders>
            <w:noWrap w:val="0"/>
            <w:vAlign w:val="center"/>
          </w:tcPr>
          <w:p w14:paraId="051ABD21">
            <w:pPr>
              <w:jc w:val="center"/>
              <w:rPr>
                <w:rFonts w:hint="eastAsia" w:ascii="宋体" w:hAnsi="宋体" w:cs="宋体"/>
                <w:color w:val="000000"/>
                <w:szCs w:val="21"/>
              </w:rPr>
            </w:pPr>
            <w:r>
              <w:rPr>
                <w:rFonts w:hint="eastAsia" w:ascii="宋体" w:hAnsi="宋体"/>
                <w:color w:val="000000"/>
                <w:szCs w:val="21"/>
              </w:rPr>
              <w:t>超声诊断仪（机构合并）</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492526D6">
            <w:pPr>
              <w:jc w:val="center"/>
              <w:rPr>
                <w:rFonts w:hint="eastAsia" w:ascii="宋体" w:hAnsi="宋体" w:cs="宋体"/>
                <w:color w:val="000000"/>
                <w:szCs w:val="21"/>
              </w:rPr>
            </w:pPr>
            <w:r>
              <w:rPr>
                <w:rFonts w:hint="eastAsia" w:ascii="宋体" w:hAnsi="宋体"/>
                <w:color w:val="000000"/>
                <w:szCs w:val="21"/>
              </w:rPr>
              <w:t>彩色多普勒SSI-6000</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0638525B">
            <w:pPr>
              <w:spacing w:before="156"/>
              <w:jc w:val="center"/>
              <w:rPr>
                <w:rFonts w:ascii="宋体" w:hAnsi="宋体"/>
                <w:color w:val="000000"/>
                <w:szCs w:val="21"/>
              </w:rPr>
            </w:pPr>
            <w:r>
              <w:rPr>
                <w:rFonts w:hint="eastAsia" w:ascii="宋体" w:hAnsi="宋体"/>
                <w:color w:val="000000"/>
                <w:szCs w:val="21"/>
              </w:rPr>
              <w:t>台</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46F3725D">
            <w:pPr>
              <w:spacing w:before="156"/>
              <w:jc w:val="center"/>
              <w:rPr>
                <w:rFonts w:hint="eastAsia" w:ascii="宋体" w:hAnsi="宋体"/>
                <w:color w:val="000000"/>
                <w:szCs w:val="21"/>
              </w:rPr>
            </w:pPr>
            <w:r>
              <w:rPr>
                <w:rFonts w:hint="eastAsia" w:ascii="宋体" w:hAnsi="宋体"/>
                <w:color w:val="000000"/>
                <w:szCs w:val="21"/>
              </w:rPr>
              <w:t>2</w:t>
            </w:r>
          </w:p>
        </w:tc>
      </w:tr>
      <w:tr w14:paraId="36901F8F">
        <w:tblPrEx>
          <w:tblCellMar>
            <w:top w:w="0" w:type="dxa"/>
            <w:left w:w="108" w:type="dxa"/>
            <w:bottom w:w="0" w:type="dxa"/>
            <w:right w:w="108" w:type="dxa"/>
          </w:tblCellMar>
        </w:tblPrEx>
        <w:trPr>
          <w:trHeight w:val="384"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0720B7A4">
            <w:pPr>
              <w:spacing w:before="156"/>
              <w:jc w:val="center"/>
              <w:rPr>
                <w:rFonts w:hint="eastAsia" w:ascii="宋体" w:hAnsi="宋体"/>
                <w:color w:val="000000"/>
                <w:szCs w:val="21"/>
              </w:rPr>
            </w:pPr>
            <w:r>
              <w:rPr>
                <w:rFonts w:hint="eastAsia" w:ascii="宋体" w:hAnsi="宋体"/>
                <w:color w:val="000000"/>
                <w:szCs w:val="21"/>
              </w:rPr>
              <w:t>75</w:t>
            </w:r>
          </w:p>
        </w:tc>
        <w:tc>
          <w:tcPr>
            <w:tcW w:w="2823" w:type="dxa"/>
            <w:tcBorders>
              <w:top w:val="single" w:color="000000" w:sz="4" w:space="0"/>
              <w:left w:val="single" w:color="000000" w:sz="4" w:space="0"/>
              <w:bottom w:val="single" w:color="000000" w:sz="4" w:space="0"/>
              <w:right w:val="single" w:color="000000" w:sz="4" w:space="0"/>
            </w:tcBorders>
            <w:noWrap w:val="0"/>
            <w:vAlign w:val="center"/>
          </w:tcPr>
          <w:p w14:paraId="0A5AF255">
            <w:pPr>
              <w:jc w:val="center"/>
              <w:rPr>
                <w:rFonts w:hint="eastAsia" w:ascii="宋体" w:hAnsi="宋体" w:cs="宋体"/>
                <w:color w:val="000000"/>
                <w:szCs w:val="21"/>
              </w:rPr>
            </w:pPr>
            <w:r>
              <w:rPr>
                <w:rFonts w:hint="eastAsia" w:ascii="宋体" w:hAnsi="宋体"/>
                <w:color w:val="000000"/>
                <w:szCs w:val="21"/>
              </w:rPr>
              <w:t>彩色工作站</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6AAB1222">
            <w:pPr>
              <w:jc w:val="center"/>
              <w:rPr>
                <w:rFonts w:hint="eastAsia" w:ascii="宋体" w:hAnsi="宋体" w:cs="宋体"/>
                <w:color w:val="000000"/>
                <w:szCs w:val="21"/>
              </w:rPr>
            </w:pPr>
            <w:r>
              <w:rPr>
                <w:rFonts w:hint="eastAsia" w:ascii="宋体" w:hAnsi="宋体"/>
                <w:color w:val="000000"/>
                <w:szCs w:val="21"/>
              </w:rPr>
              <w:t>上海亿曼</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165A7543">
            <w:pPr>
              <w:spacing w:before="156"/>
              <w:jc w:val="center"/>
              <w:rPr>
                <w:rFonts w:hint="eastAsia" w:ascii="宋体" w:hAnsi="宋体"/>
                <w:color w:val="000000"/>
                <w:szCs w:val="21"/>
              </w:rPr>
            </w:pPr>
            <w:r>
              <w:rPr>
                <w:rFonts w:hint="eastAsia" w:ascii="宋体" w:hAnsi="宋体"/>
                <w:color w:val="000000"/>
                <w:szCs w:val="21"/>
              </w:rPr>
              <w:t>个</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280F50F7">
            <w:pPr>
              <w:spacing w:before="156"/>
              <w:jc w:val="center"/>
              <w:rPr>
                <w:rFonts w:hint="eastAsia" w:ascii="宋体" w:hAnsi="宋体"/>
                <w:color w:val="000000"/>
                <w:szCs w:val="21"/>
              </w:rPr>
            </w:pPr>
            <w:r>
              <w:rPr>
                <w:rFonts w:hint="eastAsia" w:ascii="宋体" w:hAnsi="宋体"/>
                <w:color w:val="000000"/>
                <w:szCs w:val="21"/>
              </w:rPr>
              <w:t>1</w:t>
            </w:r>
          </w:p>
        </w:tc>
      </w:tr>
      <w:tr w14:paraId="0D281C54">
        <w:tblPrEx>
          <w:tblCellMar>
            <w:top w:w="0" w:type="dxa"/>
            <w:left w:w="108" w:type="dxa"/>
            <w:bottom w:w="0" w:type="dxa"/>
            <w:right w:w="108" w:type="dxa"/>
          </w:tblCellMar>
        </w:tblPrEx>
        <w:trPr>
          <w:trHeight w:val="384"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3839FA9B">
            <w:pPr>
              <w:spacing w:before="156"/>
              <w:jc w:val="center"/>
              <w:rPr>
                <w:rFonts w:hint="eastAsia" w:ascii="宋体" w:hAnsi="宋体"/>
                <w:color w:val="000000"/>
                <w:szCs w:val="21"/>
              </w:rPr>
            </w:pPr>
            <w:r>
              <w:rPr>
                <w:rFonts w:hint="eastAsia" w:ascii="宋体" w:hAnsi="宋体"/>
                <w:color w:val="000000"/>
                <w:szCs w:val="21"/>
              </w:rPr>
              <w:t>76</w:t>
            </w:r>
          </w:p>
        </w:tc>
        <w:tc>
          <w:tcPr>
            <w:tcW w:w="2823" w:type="dxa"/>
            <w:tcBorders>
              <w:top w:val="single" w:color="000000" w:sz="4" w:space="0"/>
              <w:left w:val="single" w:color="000000" w:sz="4" w:space="0"/>
              <w:bottom w:val="single" w:color="000000" w:sz="4" w:space="0"/>
              <w:right w:val="single" w:color="000000" w:sz="4" w:space="0"/>
            </w:tcBorders>
            <w:noWrap w:val="0"/>
            <w:vAlign w:val="center"/>
          </w:tcPr>
          <w:p w14:paraId="358C66A4">
            <w:pPr>
              <w:jc w:val="center"/>
              <w:rPr>
                <w:rFonts w:hint="eastAsia" w:ascii="宋体" w:hAnsi="宋体" w:cs="宋体"/>
                <w:color w:val="000000"/>
                <w:szCs w:val="21"/>
              </w:rPr>
            </w:pPr>
            <w:r>
              <w:rPr>
                <w:rFonts w:hint="eastAsia" w:ascii="宋体" w:hAnsi="宋体"/>
                <w:color w:val="000000"/>
                <w:szCs w:val="21"/>
              </w:rPr>
              <w:t>腔内探头（机构合并）</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5557C6C3">
            <w:pPr>
              <w:jc w:val="center"/>
              <w:rPr>
                <w:rFonts w:ascii="宋体" w:hAnsi="宋体" w:cs="Arial"/>
                <w:color w:val="000000"/>
                <w:szCs w:val="21"/>
              </w:rPr>
            </w:pP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41808DDA">
            <w:pPr>
              <w:spacing w:before="156"/>
              <w:jc w:val="center"/>
              <w:rPr>
                <w:rFonts w:hint="eastAsia" w:ascii="宋体" w:hAnsi="宋体"/>
                <w:color w:val="000000"/>
                <w:szCs w:val="21"/>
              </w:rPr>
            </w:pPr>
            <w:r>
              <w:rPr>
                <w:rFonts w:hint="eastAsia" w:ascii="宋体" w:hAnsi="宋体"/>
                <w:color w:val="000000"/>
                <w:szCs w:val="21"/>
              </w:rPr>
              <w:t>个</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22DC94E4">
            <w:pPr>
              <w:spacing w:before="156"/>
              <w:jc w:val="center"/>
              <w:rPr>
                <w:rFonts w:hint="eastAsia" w:ascii="宋体" w:hAnsi="宋体"/>
                <w:color w:val="000000"/>
                <w:szCs w:val="21"/>
              </w:rPr>
            </w:pPr>
            <w:r>
              <w:rPr>
                <w:rFonts w:hint="eastAsia" w:ascii="宋体" w:hAnsi="宋体"/>
                <w:color w:val="000000"/>
                <w:szCs w:val="21"/>
              </w:rPr>
              <w:t>2</w:t>
            </w:r>
          </w:p>
        </w:tc>
      </w:tr>
      <w:tr w14:paraId="3086361C">
        <w:tblPrEx>
          <w:tblCellMar>
            <w:top w:w="0" w:type="dxa"/>
            <w:left w:w="108" w:type="dxa"/>
            <w:bottom w:w="0" w:type="dxa"/>
            <w:right w:w="108" w:type="dxa"/>
          </w:tblCellMar>
        </w:tblPrEx>
        <w:trPr>
          <w:trHeight w:val="384"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6F5A57C3">
            <w:pPr>
              <w:spacing w:before="156"/>
              <w:jc w:val="center"/>
              <w:rPr>
                <w:rFonts w:hint="eastAsia" w:ascii="宋体" w:hAnsi="宋体"/>
                <w:color w:val="000000"/>
                <w:szCs w:val="21"/>
              </w:rPr>
            </w:pPr>
            <w:r>
              <w:rPr>
                <w:rFonts w:hint="eastAsia" w:ascii="宋体" w:hAnsi="宋体"/>
                <w:color w:val="000000"/>
                <w:szCs w:val="21"/>
              </w:rPr>
              <w:t>77</w:t>
            </w:r>
          </w:p>
        </w:tc>
        <w:tc>
          <w:tcPr>
            <w:tcW w:w="2823" w:type="dxa"/>
            <w:tcBorders>
              <w:top w:val="single" w:color="000000" w:sz="4" w:space="0"/>
              <w:left w:val="single" w:color="000000" w:sz="4" w:space="0"/>
              <w:bottom w:val="single" w:color="000000" w:sz="4" w:space="0"/>
              <w:right w:val="single" w:color="000000" w:sz="4" w:space="0"/>
            </w:tcBorders>
            <w:noWrap w:val="0"/>
            <w:vAlign w:val="center"/>
          </w:tcPr>
          <w:p w14:paraId="710F6F08">
            <w:pPr>
              <w:jc w:val="center"/>
              <w:rPr>
                <w:rFonts w:hint="eastAsia" w:ascii="宋体" w:hAnsi="宋体" w:cs="宋体"/>
                <w:color w:val="000000"/>
                <w:szCs w:val="21"/>
              </w:rPr>
            </w:pPr>
            <w:r>
              <w:rPr>
                <w:rFonts w:hint="eastAsia" w:ascii="宋体" w:hAnsi="宋体"/>
                <w:color w:val="000000"/>
                <w:szCs w:val="21"/>
              </w:rPr>
              <w:t>格力空调</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67EA2047">
            <w:pPr>
              <w:jc w:val="center"/>
              <w:rPr>
                <w:rFonts w:hint="eastAsia" w:ascii="宋体" w:hAnsi="宋体" w:cs="宋体"/>
                <w:color w:val="000000"/>
                <w:szCs w:val="21"/>
              </w:rPr>
            </w:pPr>
            <w:r>
              <w:rPr>
                <w:rStyle w:val="263"/>
                <w:color w:val="000000"/>
                <w:sz w:val="21"/>
                <w:szCs w:val="21"/>
              </w:rPr>
              <w:t>Q-LEAD</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5A9B36DA">
            <w:pPr>
              <w:spacing w:before="156"/>
              <w:jc w:val="center"/>
              <w:rPr>
                <w:rFonts w:ascii="宋体" w:hAnsi="宋体"/>
                <w:color w:val="000000"/>
                <w:szCs w:val="21"/>
              </w:rPr>
            </w:pPr>
            <w:r>
              <w:rPr>
                <w:rFonts w:hint="eastAsia" w:ascii="宋体" w:hAnsi="宋体"/>
                <w:color w:val="000000"/>
                <w:szCs w:val="21"/>
              </w:rPr>
              <w:t>台</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7BEE5B4F">
            <w:pPr>
              <w:spacing w:before="156"/>
              <w:jc w:val="center"/>
              <w:rPr>
                <w:rFonts w:hint="eastAsia" w:ascii="宋体" w:hAnsi="宋体"/>
                <w:color w:val="000000"/>
                <w:szCs w:val="21"/>
              </w:rPr>
            </w:pPr>
            <w:r>
              <w:rPr>
                <w:rFonts w:hint="eastAsia" w:ascii="宋体" w:hAnsi="宋体"/>
                <w:color w:val="000000"/>
                <w:szCs w:val="21"/>
              </w:rPr>
              <w:t>4</w:t>
            </w:r>
          </w:p>
        </w:tc>
      </w:tr>
      <w:tr w14:paraId="205BEE23">
        <w:tblPrEx>
          <w:tblCellMar>
            <w:top w:w="0" w:type="dxa"/>
            <w:left w:w="108" w:type="dxa"/>
            <w:bottom w:w="0" w:type="dxa"/>
            <w:right w:w="108" w:type="dxa"/>
          </w:tblCellMar>
        </w:tblPrEx>
        <w:trPr>
          <w:trHeight w:val="384"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1E69E650">
            <w:pPr>
              <w:spacing w:before="156"/>
              <w:jc w:val="center"/>
              <w:rPr>
                <w:rFonts w:hint="eastAsia" w:ascii="宋体" w:hAnsi="宋体"/>
                <w:color w:val="000000"/>
                <w:szCs w:val="21"/>
              </w:rPr>
            </w:pPr>
            <w:r>
              <w:rPr>
                <w:rFonts w:hint="eastAsia" w:ascii="宋体" w:hAnsi="宋体"/>
                <w:color w:val="000000"/>
                <w:szCs w:val="21"/>
              </w:rPr>
              <w:t>78</w:t>
            </w:r>
          </w:p>
        </w:tc>
        <w:tc>
          <w:tcPr>
            <w:tcW w:w="2823" w:type="dxa"/>
            <w:tcBorders>
              <w:top w:val="single" w:color="000000" w:sz="4" w:space="0"/>
              <w:left w:val="single" w:color="000000" w:sz="4" w:space="0"/>
              <w:bottom w:val="single" w:color="000000" w:sz="4" w:space="0"/>
              <w:right w:val="single" w:color="000000" w:sz="4" w:space="0"/>
            </w:tcBorders>
            <w:noWrap w:val="0"/>
            <w:vAlign w:val="center"/>
          </w:tcPr>
          <w:p w14:paraId="319AFC32">
            <w:pPr>
              <w:jc w:val="center"/>
              <w:rPr>
                <w:rFonts w:hint="eastAsia" w:ascii="宋体" w:hAnsi="宋体" w:cs="宋体"/>
                <w:color w:val="000000"/>
                <w:szCs w:val="21"/>
              </w:rPr>
            </w:pPr>
            <w:r>
              <w:rPr>
                <w:rFonts w:hint="eastAsia" w:ascii="宋体" w:hAnsi="宋体"/>
                <w:color w:val="000000"/>
                <w:szCs w:val="21"/>
              </w:rPr>
              <w:t>四维彩色B超</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38F3855B">
            <w:pPr>
              <w:jc w:val="center"/>
              <w:rPr>
                <w:rFonts w:hint="eastAsia" w:ascii="宋体" w:hAnsi="宋体" w:cs="宋体"/>
                <w:color w:val="000000"/>
                <w:szCs w:val="21"/>
              </w:rPr>
            </w:pPr>
            <w:r>
              <w:rPr>
                <w:rStyle w:val="263"/>
                <w:color w:val="000000"/>
                <w:sz w:val="21"/>
                <w:szCs w:val="21"/>
              </w:rPr>
              <w:t>VOIUSONE8</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4C7C79D1">
            <w:pPr>
              <w:spacing w:before="156"/>
              <w:jc w:val="center"/>
              <w:rPr>
                <w:rFonts w:ascii="宋体" w:hAnsi="宋体"/>
                <w:color w:val="000000"/>
                <w:szCs w:val="21"/>
              </w:rPr>
            </w:pPr>
            <w:r>
              <w:rPr>
                <w:rFonts w:hint="eastAsia" w:ascii="宋体" w:hAnsi="宋体"/>
                <w:color w:val="000000"/>
                <w:szCs w:val="21"/>
              </w:rPr>
              <w:t>台</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7CA6742E">
            <w:pPr>
              <w:spacing w:before="156"/>
              <w:jc w:val="center"/>
              <w:rPr>
                <w:rFonts w:hint="eastAsia" w:ascii="宋体" w:hAnsi="宋体"/>
                <w:color w:val="000000"/>
                <w:szCs w:val="21"/>
              </w:rPr>
            </w:pPr>
            <w:r>
              <w:rPr>
                <w:rFonts w:hint="eastAsia" w:ascii="宋体" w:hAnsi="宋体"/>
                <w:color w:val="000000"/>
                <w:szCs w:val="21"/>
              </w:rPr>
              <w:t>2</w:t>
            </w:r>
          </w:p>
        </w:tc>
      </w:tr>
      <w:tr w14:paraId="2E22ABC7">
        <w:tblPrEx>
          <w:tblCellMar>
            <w:top w:w="0" w:type="dxa"/>
            <w:left w:w="108" w:type="dxa"/>
            <w:bottom w:w="0" w:type="dxa"/>
            <w:right w:w="108" w:type="dxa"/>
          </w:tblCellMar>
        </w:tblPrEx>
        <w:trPr>
          <w:trHeight w:val="384"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7742E700">
            <w:pPr>
              <w:spacing w:before="156"/>
              <w:jc w:val="center"/>
              <w:rPr>
                <w:rFonts w:hint="eastAsia" w:ascii="宋体" w:hAnsi="宋体"/>
                <w:color w:val="000000"/>
                <w:szCs w:val="21"/>
              </w:rPr>
            </w:pPr>
            <w:r>
              <w:rPr>
                <w:rFonts w:hint="eastAsia" w:ascii="宋体" w:hAnsi="宋体"/>
                <w:color w:val="000000"/>
                <w:szCs w:val="21"/>
              </w:rPr>
              <w:t>79</w:t>
            </w:r>
          </w:p>
        </w:tc>
        <w:tc>
          <w:tcPr>
            <w:tcW w:w="2823" w:type="dxa"/>
            <w:tcBorders>
              <w:top w:val="single" w:color="000000" w:sz="4" w:space="0"/>
              <w:left w:val="single" w:color="000000" w:sz="4" w:space="0"/>
              <w:bottom w:val="single" w:color="000000" w:sz="4" w:space="0"/>
              <w:right w:val="single" w:color="000000" w:sz="4" w:space="0"/>
            </w:tcBorders>
            <w:noWrap w:val="0"/>
            <w:vAlign w:val="center"/>
          </w:tcPr>
          <w:p w14:paraId="6E410A26">
            <w:pPr>
              <w:jc w:val="center"/>
              <w:rPr>
                <w:rFonts w:hint="eastAsia" w:ascii="宋体" w:hAnsi="宋体" w:cs="宋体"/>
                <w:color w:val="000000"/>
                <w:szCs w:val="21"/>
              </w:rPr>
            </w:pPr>
            <w:r>
              <w:rPr>
                <w:rFonts w:hint="eastAsia" w:ascii="宋体" w:hAnsi="宋体"/>
                <w:color w:val="000000"/>
                <w:szCs w:val="21"/>
              </w:rPr>
              <w:t>创维彩电</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6C9367D4">
            <w:pPr>
              <w:jc w:val="center"/>
              <w:rPr>
                <w:rFonts w:ascii="宋体" w:hAnsi="宋体" w:cs="Arial"/>
                <w:color w:val="000000"/>
                <w:szCs w:val="21"/>
              </w:rPr>
            </w:pP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06D07B2B">
            <w:pPr>
              <w:spacing w:before="156"/>
              <w:jc w:val="center"/>
              <w:rPr>
                <w:rFonts w:ascii="宋体" w:hAnsi="宋体"/>
                <w:color w:val="000000"/>
                <w:szCs w:val="21"/>
              </w:rPr>
            </w:pPr>
            <w:r>
              <w:rPr>
                <w:rFonts w:hint="eastAsia" w:ascii="宋体" w:hAnsi="宋体"/>
                <w:color w:val="000000"/>
                <w:szCs w:val="21"/>
              </w:rPr>
              <w:t>台</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738F3BB6">
            <w:pPr>
              <w:spacing w:before="156"/>
              <w:jc w:val="center"/>
              <w:rPr>
                <w:rFonts w:hint="eastAsia" w:ascii="宋体" w:hAnsi="宋体"/>
                <w:color w:val="000000"/>
                <w:szCs w:val="21"/>
              </w:rPr>
            </w:pPr>
            <w:r>
              <w:rPr>
                <w:rFonts w:hint="eastAsia" w:ascii="宋体" w:hAnsi="宋体"/>
                <w:color w:val="000000"/>
                <w:szCs w:val="21"/>
              </w:rPr>
              <w:t>2</w:t>
            </w:r>
          </w:p>
        </w:tc>
      </w:tr>
      <w:tr w14:paraId="5C8796E3">
        <w:tblPrEx>
          <w:tblCellMar>
            <w:top w:w="0" w:type="dxa"/>
            <w:left w:w="108" w:type="dxa"/>
            <w:bottom w:w="0" w:type="dxa"/>
            <w:right w:w="108" w:type="dxa"/>
          </w:tblCellMar>
        </w:tblPrEx>
        <w:trPr>
          <w:trHeight w:val="384"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71CC0731">
            <w:pPr>
              <w:spacing w:before="156"/>
              <w:jc w:val="center"/>
              <w:rPr>
                <w:rFonts w:hint="eastAsia" w:ascii="宋体" w:hAnsi="宋体"/>
                <w:color w:val="000000"/>
                <w:szCs w:val="21"/>
              </w:rPr>
            </w:pPr>
            <w:r>
              <w:rPr>
                <w:rFonts w:hint="eastAsia" w:ascii="宋体" w:hAnsi="宋体"/>
                <w:color w:val="000000"/>
                <w:szCs w:val="21"/>
              </w:rPr>
              <w:t>80</w:t>
            </w:r>
          </w:p>
        </w:tc>
        <w:tc>
          <w:tcPr>
            <w:tcW w:w="2823" w:type="dxa"/>
            <w:tcBorders>
              <w:top w:val="single" w:color="000000" w:sz="4" w:space="0"/>
              <w:left w:val="single" w:color="000000" w:sz="4" w:space="0"/>
              <w:bottom w:val="single" w:color="000000" w:sz="4" w:space="0"/>
              <w:right w:val="single" w:color="000000" w:sz="4" w:space="0"/>
            </w:tcBorders>
            <w:noWrap w:val="0"/>
            <w:vAlign w:val="center"/>
          </w:tcPr>
          <w:p w14:paraId="5C36CDA2">
            <w:pPr>
              <w:jc w:val="center"/>
              <w:rPr>
                <w:rFonts w:hint="eastAsia" w:ascii="宋体" w:hAnsi="宋体" w:cs="宋体"/>
                <w:color w:val="000000"/>
                <w:szCs w:val="21"/>
              </w:rPr>
            </w:pPr>
            <w:r>
              <w:rPr>
                <w:rFonts w:hint="eastAsia" w:ascii="宋体" w:hAnsi="宋体"/>
                <w:color w:val="000000"/>
                <w:szCs w:val="21"/>
              </w:rPr>
              <w:t>惠普彩色激光打印机</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4E1FE715">
            <w:pPr>
              <w:jc w:val="center"/>
              <w:rPr>
                <w:rFonts w:hint="eastAsia" w:ascii="宋体" w:hAnsi="宋体" w:cs="宋体"/>
                <w:color w:val="000000"/>
                <w:szCs w:val="21"/>
              </w:rPr>
            </w:pPr>
            <w:r>
              <w:rPr>
                <w:rStyle w:val="263"/>
                <w:color w:val="000000"/>
                <w:sz w:val="21"/>
                <w:szCs w:val="21"/>
              </w:rPr>
              <w:t>HP-2605</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3B7579DF">
            <w:pPr>
              <w:spacing w:before="156"/>
              <w:jc w:val="center"/>
              <w:rPr>
                <w:rFonts w:ascii="宋体" w:hAnsi="宋体"/>
                <w:color w:val="000000"/>
                <w:szCs w:val="21"/>
              </w:rPr>
            </w:pPr>
            <w:r>
              <w:rPr>
                <w:rFonts w:hint="eastAsia" w:ascii="宋体" w:hAnsi="宋体"/>
                <w:color w:val="000000"/>
                <w:szCs w:val="21"/>
              </w:rPr>
              <w:t>台</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1629BEC3">
            <w:pPr>
              <w:spacing w:before="156"/>
              <w:jc w:val="center"/>
              <w:rPr>
                <w:rFonts w:hint="eastAsia" w:ascii="宋体" w:hAnsi="宋体"/>
                <w:color w:val="000000"/>
                <w:szCs w:val="21"/>
              </w:rPr>
            </w:pPr>
            <w:r>
              <w:rPr>
                <w:rFonts w:hint="eastAsia" w:ascii="宋体" w:hAnsi="宋体"/>
                <w:color w:val="000000"/>
                <w:szCs w:val="21"/>
              </w:rPr>
              <w:t>1</w:t>
            </w:r>
          </w:p>
        </w:tc>
      </w:tr>
      <w:tr w14:paraId="19528F8E">
        <w:tblPrEx>
          <w:tblCellMar>
            <w:top w:w="0" w:type="dxa"/>
            <w:left w:w="108" w:type="dxa"/>
            <w:bottom w:w="0" w:type="dxa"/>
            <w:right w:w="108" w:type="dxa"/>
          </w:tblCellMar>
        </w:tblPrEx>
        <w:trPr>
          <w:trHeight w:val="248"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42C97910">
            <w:pPr>
              <w:spacing w:before="156"/>
              <w:jc w:val="center"/>
              <w:rPr>
                <w:rFonts w:hint="eastAsia" w:ascii="宋体" w:hAnsi="宋体"/>
                <w:color w:val="000000"/>
                <w:szCs w:val="21"/>
              </w:rPr>
            </w:pPr>
            <w:r>
              <w:rPr>
                <w:rFonts w:hint="eastAsia" w:ascii="宋体" w:hAnsi="宋体"/>
                <w:color w:val="000000"/>
                <w:szCs w:val="21"/>
              </w:rPr>
              <w:t>81</w:t>
            </w:r>
          </w:p>
        </w:tc>
        <w:tc>
          <w:tcPr>
            <w:tcW w:w="2823" w:type="dxa"/>
            <w:tcBorders>
              <w:top w:val="single" w:color="000000" w:sz="4" w:space="0"/>
              <w:left w:val="single" w:color="000000" w:sz="4" w:space="0"/>
              <w:bottom w:val="single" w:color="000000" w:sz="4" w:space="0"/>
              <w:right w:val="single" w:color="000000" w:sz="4" w:space="0"/>
            </w:tcBorders>
            <w:noWrap w:val="0"/>
            <w:vAlign w:val="center"/>
          </w:tcPr>
          <w:p w14:paraId="64A261FD">
            <w:pPr>
              <w:jc w:val="center"/>
              <w:rPr>
                <w:rFonts w:hint="eastAsia" w:ascii="宋体" w:hAnsi="宋体"/>
                <w:color w:val="000000"/>
                <w:szCs w:val="21"/>
              </w:rPr>
            </w:pPr>
            <w:r>
              <w:rPr>
                <w:rFonts w:hint="eastAsia" w:ascii="宋体" w:hAnsi="宋体"/>
                <w:color w:val="000000"/>
                <w:szCs w:val="21"/>
              </w:rPr>
              <w:t>CT</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3012EDC2">
            <w:pPr>
              <w:jc w:val="center"/>
              <w:rPr>
                <w:rStyle w:val="263"/>
                <w:color w:val="000000"/>
                <w:sz w:val="21"/>
                <w:szCs w:val="21"/>
              </w:rPr>
            </w:pP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64D1F3B4">
            <w:pPr>
              <w:spacing w:before="156"/>
              <w:jc w:val="center"/>
              <w:rPr>
                <w:rFonts w:hint="eastAsia" w:ascii="宋体" w:hAnsi="宋体"/>
                <w:color w:val="000000"/>
                <w:szCs w:val="21"/>
              </w:rPr>
            </w:pPr>
            <w:r>
              <w:rPr>
                <w:rFonts w:hint="eastAsia" w:ascii="宋体" w:hAnsi="宋体"/>
                <w:color w:val="000000"/>
                <w:szCs w:val="21"/>
              </w:rPr>
              <w:t>台</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370F462F">
            <w:pPr>
              <w:spacing w:before="156"/>
              <w:jc w:val="center"/>
              <w:rPr>
                <w:rFonts w:hint="eastAsia" w:ascii="宋体" w:hAnsi="宋体"/>
                <w:color w:val="000000"/>
                <w:szCs w:val="21"/>
              </w:rPr>
            </w:pPr>
            <w:r>
              <w:rPr>
                <w:rFonts w:hint="eastAsia" w:ascii="宋体" w:hAnsi="宋体"/>
                <w:color w:val="000000"/>
                <w:szCs w:val="21"/>
              </w:rPr>
              <w:t>2</w:t>
            </w:r>
          </w:p>
        </w:tc>
      </w:tr>
      <w:tr w14:paraId="581B838F">
        <w:tblPrEx>
          <w:tblCellMar>
            <w:top w:w="0" w:type="dxa"/>
            <w:left w:w="108" w:type="dxa"/>
            <w:bottom w:w="0" w:type="dxa"/>
            <w:right w:w="108" w:type="dxa"/>
          </w:tblCellMar>
        </w:tblPrEx>
        <w:trPr>
          <w:trHeight w:val="384"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07B988FC">
            <w:pPr>
              <w:spacing w:before="156"/>
              <w:jc w:val="center"/>
              <w:rPr>
                <w:rFonts w:hint="eastAsia" w:ascii="宋体" w:hAnsi="宋体"/>
                <w:color w:val="000000"/>
                <w:szCs w:val="21"/>
              </w:rPr>
            </w:pPr>
            <w:r>
              <w:rPr>
                <w:rFonts w:hint="eastAsia" w:ascii="宋体" w:hAnsi="宋体"/>
                <w:color w:val="000000"/>
                <w:szCs w:val="21"/>
              </w:rPr>
              <w:t>82</w:t>
            </w:r>
          </w:p>
        </w:tc>
        <w:tc>
          <w:tcPr>
            <w:tcW w:w="2823" w:type="dxa"/>
            <w:tcBorders>
              <w:top w:val="single" w:color="000000" w:sz="4" w:space="0"/>
              <w:left w:val="single" w:color="000000" w:sz="4" w:space="0"/>
              <w:bottom w:val="single" w:color="000000" w:sz="4" w:space="0"/>
              <w:right w:val="single" w:color="000000" w:sz="4" w:space="0"/>
            </w:tcBorders>
            <w:noWrap w:val="0"/>
            <w:vAlign w:val="center"/>
          </w:tcPr>
          <w:p w14:paraId="27443FD3">
            <w:pPr>
              <w:jc w:val="center"/>
              <w:rPr>
                <w:rFonts w:hint="eastAsia" w:ascii="宋体" w:hAnsi="宋体" w:cs="宋体"/>
                <w:color w:val="000000"/>
                <w:szCs w:val="21"/>
              </w:rPr>
            </w:pPr>
            <w:r>
              <w:rPr>
                <w:rFonts w:hint="eastAsia" w:ascii="宋体" w:hAnsi="宋体"/>
                <w:color w:val="000000"/>
                <w:szCs w:val="21"/>
              </w:rPr>
              <w:t>阿洛卡彩色B超</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295899C9">
            <w:pPr>
              <w:jc w:val="center"/>
              <w:rPr>
                <w:rFonts w:hint="eastAsia" w:ascii="宋体" w:hAnsi="宋体" w:cs="宋体"/>
                <w:color w:val="000000"/>
                <w:szCs w:val="21"/>
              </w:rPr>
            </w:pPr>
            <w:r>
              <w:rPr>
                <w:rFonts w:hint="eastAsia" w:ascii="宋体" w:hAnsi="宋体"/>
                <w:color w:val="000000"/>
                <w:szCs w:val="21"/>
              </w:rPr>
              <w:t>SSD-350C</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0D35EAED">
            <w:pPr>
              <w:spacing w:before="156"/>
              <w:jc w:val="center"/>
              <w:rPr>
                <w:rFonts w:ascii="宋体" w:hAnsi="宋体"/>
                <w:color w:val="000000"/>
                <w:szCs w:val="21"/>
              </w:rPr>
            </w:pPr>
            <w:r>
              <w:rPr>
                <w:rFonts w:hint="eastAsia" w:ascii="宋体" w:hAnsi="宋体"/>
                <w:color w:val="000000"/>
                <w:szCs w:val="21"/>
              </w:rPr>
              <w:t>台</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5C5BE47D">
            <w:pPr>
              <w:spacing w:before="156"/>
              <w:jc w:val="center"/>
              <w:rPr>
                <w:rFonts w:hint="eastAsia" w:ascii="宋体" w:hAnsi="宋体"/>
                <w:color w:val="000000"/>
                <w:szCs w:val="21"/>
              </w:rPr>
            </w:pPr>
            <w:r>
              <w:rPr>
                <w:rFonts w:hint="eastAsia" w:ascii="宋体" w:hAnsi="宋体"/>
                <w:color w:val="000000"/>
                <w:szCs w:val="21"/>
              </w:rPr>
              <w:t>1</w:t>
            </w:r>
          </w:p>
        </w:tc>
      </w:tr>
      <w:tr w14:paraId="3363E2C2">
        <w:tblPrEx>
          <w:tblCellMar>
            <w:top w:w="0" w:type="dxa"/>
            <w:left w:w="108" w:type="dxa"/>
            <w:bottom w:w="0" w:type="dxa"/>
            <w:right w:w="108" w:type="dxa"/>
          </w:tblCellMar>
        </w:tblPrEx>
        <w:trPr>
          <w:trHeight w:val="384" w:hRule="atLeast"/>
        </w:trPr>
        <w:tc>
          <w:tcPr>
            <w:tcW w:w="630" w:type="dxa"/>
            <w:tcBorders>
              <w:top w:val="single" w:color="000000" w:sz="4" w:space="0"/>
              <w:left w:val="single" w:color="000000" w:sz="4" w:space="0"/>
              <w:bottom w:val="single" w:color="000000" w:sz="4" w:space="0"/>
              <w:right w:val="single" w:color="000000" w:sz="4" w:space="0"/>
            </w:tcBorders>
            <w:noWrap w:val="0"/>
            <w:vAlign w:val="center"/>
          </w:tcPr>
          <w:p w14:paraId="103F555D">
            <w:pPr>
              <w:spacing w:before="156"/>
              <w:jc w:val="center"/>
              <w:rPr>
                <w:rFonts w:hint="eastAsia" w:ascii="宋体" w:hAnsi="宋体"/>
                <w:color w:val="000000"/>
                <w:szCs w:val="21"/>
              </w:rPr>
            </w:pPr>
            <w:r>
              <w:rPr>
                <w:rFonts w:hint="eastAsia" w:ascii="宋体" w:hAnsi="宋体"/>
                <w:color w:val="000000"/>
                <w:szCs w:val="21"/>
              </w:rPr>
              <w:t>83</w:t>
            </w:r>
          </w:p>
        </w:tc>
        <w:tc>
          <w:tcPr>
            <w:tcW w:w="2823" w:type="dxa"/>
            <w:tcBorders>
              <w:top w:val="single" w:color="000000" w:sz="4" w:space="0"/>
              <w:left w:val="single" w:color="000000" w:sz="4" w:space="0"/>
              <w:bottom w:val="single" w:color="000000" w:sz="4" w:space="0"/>
              <w:right w:val="single" w:color="000000" w:sz="4" w:space="0"/>
            </w:tcBorders>
            <w:noWrap w:val="0"/>
            <w:vAlign w:val="center"/>
          </w:tcPr>
          <w:p w14:paraId="612DD187">
            <w:pPr>
              <w:jc w:val="center"/>
              <w:rPr>
                <w:rFonts w:hint="eastAsia" w:ascii="宋体" w:hAnsi="宋体" w:cs="宋体"/>
                <w:color w:val="000000"/>
                <w:szCs w:val="21"/>
              </w:rPr>
            </w:pPr>
            <w:r>
              <w:rPr>
                <w:rFonts w:hint="eastAsia" w:ascii="宋体" w:hAnsi="宋体"/>
                <w:color w:val="000000"/>
                <w:szCs w:val="21"/>
              </w:rPr>
              <w:t>十二道心电图机</w:t>
            </w:r>
          </w:p>
        </w:tc>
        <w:tc>
          <w:tcPr>
            <w:tcW w:w="3412" w:type="dxa"/>
            <w:tcBorders>
              <w:top w:val="single" w:color="000000" w:sz="4" w:space="0"/>
              <w:left w:val="single" w:color="000000" w:sz="4" w:space="0"/>
              <w:bottom w:val="single" w:color="000000" w:sz="4" w:space="0"/>
              <w:right w:val="single" w:color="000000" w:sz="4" w:space="0"/>
            </w:tcBorders>
            <w:noWrap w:val="0"/>
            <w:vAlign w:val="center"/>
          </w:tcPr>
          <w:p w14:paraId="1F20351C">
            <w:pPr>
              <w:jc w:val="center"/>
              <w:rPr>
                <w:rFonts w:hint="eastAsia" w:ascii="宋体" w:hAnsi="宋体" w:cs="宋体"/>
                <w:color w:val="000000"/>
                <w:szCs w:val="21"/>
              </w:rPr>
            </w:pPr>
            <w:r>
              <w:rPr>
                <w:rFonts w:hint="eastAsia" w:ascii="宋体" w:hAnsi="宋体"/>
                <w:color w:val="000000"/>
                <w:szCs w:val="21"/>
              </w:rPr>
              <w:t>ECG-300G</w:t>
            </w:r>
          </w:p>
        </w:tc>
        <w:tc>
          <w:tcPr>
            <w:tcW w:w="968" w:type="dxa"/>
            <w:tcBorders>
              <w:top w:val="single" w:color="000000" w:sz="4" w:space="0"/>
              <w:left w:val="single" w:color="000000" w:sz="4" w:space="0"/>
              <w:bottom w:val="single" w:color="000000" w:sz="4" w:space="0"/>
              <w:right w:val="single" w:color="000000" w:sz="4" w:space="0"/>
            </w:tcBorders>
            <w:noWrap w:val="0"/>
            <w:vAlign w:val="center"/>
          </w:tcPr>
          <w:p w14:paraId="190C059B">
            <w:pPr>
              <w:spacing w:before="156"/>
              <w:jc w:val="center"/>
              <w:rPr>
                <w:rFonts w:ascii="宋体" w:hAnsi="宋体"/>
                <w:color w:val="000000"/>
                <w:szCs w:val="21"/>
              </w:rPr>
            </w:pPr>
            <w:r>
              <w:rPr>
                <w:rFonts w:hint="eastAsia" w:ascii="宋体" w:hAnsi="宋体"/>
                <w:color w:val="000000"/>
                <w:szCs w:val="21"/>
              </w:rPr>
              <w:t>台</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14:paraId="11524CBF">
            <w:pPr>
              <w:spacing w:before="156"/>
              <w:jc w:val="center"/>
              <w:rPr>
                <w:rFonts w:hint="eastAsia" w:ascii="宋体" w:hAnsi="宋体"/>
                <w:color w:val="000000"/>
                <w:szCs w:val="21"/>
              </w:rPr>
            </w:pPr>
            <w:r>
              <w:rPr>
                <w:rFonts w:hint="eastAsia" w:ascii="宋体" w:hAnsi="宋体"/>
                <w:color w:val="000000"/>
                <w:szCs w:val="21"/>
              </w:rPr>
              <w:t>1</w:t>
            </w:r>
          </w:p>
        </w:tc>
      </w:tr>
    </w:tbl>
    <w:p w14:paraId="6A76B8E1">
      <w:pPr>
        <w:pStyle w:val="183"/>
        <w:ind w:firstLine="472"/>
        <w:rPr>
          <w:rFonts w:hint="eastAsia" w:eastAsia="仿宋_GB2312"/>
          <w:color w:val="000000"/>
          <w:sz w:val="24"/>
          <w:szCs w:val="24"/>
        </w:rPr>
      </w:pPr>
      <w:bookmarkStart w:id="133" w:name="_Toc495500047"/>
      <w:r>
        <w:rPr>
          <w:rFonts w:eastAsia="仿宋_GB2312"/>
          <w:color w:val="000000"/>
          <w:sz w:val="24"/>
          <w:szCs w:val="24"/>
        </w:rPr>
        <w:t>2.</w:t>
      </w:r>
      <w:r>
        <w:rPr>
          <w:rFonts w:hint="eastAsia" w:eastAsia="仿宋_GB2312"/>
          <w:color w:val="000000"/>
          <w:sz w:val="24"/>
          <w:szCs w:val="24"/>
        </w:rPr>
        <w:t>2.6</w:t>
      </w:r>
      <w:r>
        <w:rPr>
          <w:rFonts w:eastAsia="仿宋_GB2312"/>
          <w:color w:val="000000"/>
          <w:sz w:val="24"/>
          <w:szCs w:val="24"/>
        </w:rPr>
        <w:t>平面布置</w:t>
      </w:r>
      <w:r>
        <w:rPr>
          <w:rFonts w:hint="eastAsia" w:eastAsia="仿宋_GB2312"/>
          <w:color w:val="000000"/>
          <w:sz w:val="24"/>
          <w:szCs w:val="24"/>
        </w:rPr>
        <w:t>及环保设施布局情况</w:t>
      </w:r>
      <w:bookmarkEnd w:id="133"/>
    </w:p>
    <w:p w14:paraId="5F50D9B5">
      <w:pPr>
        <w:spacing w:line="360" w:lineRule="auto"/>
        <w:ind w:firstLine="480"/>
        <w:rPr>
          <w:rFonts w:hint="eastAsia"/>
          <w:b/>
          <w:color w:val="000000"/>
        </w:rPr>
      </w:pPr>
      <w:r>
        <w:rPr>
          <w:b/>
          <w:color w:val="000000"/>
        </w:rPr>
        <w:t>1、总平面布置</w:t>
      </w:r>
    </w:p>
    <w:p w14:paraId="491125FF">
      <w:pPr>
        <w:spacing w:line="360" w:lineRule="auto"/>
        <w:ind w:firstLine="480"/>
        <w:rPr>
          <w:rFonts w:ascii="宋体" w:hAnsi="宋体"/>
          <w:color w:val="000000"/>
          <w:sz w:val="24"/>
          <w:szCs w:val="21"/>
        </w:rPr>
      </w:pPr>
      <w:r>
        <w:rPr>
          <w:rFonts w:hint="eastAsia" w:ascii="宋体" w:hAnsi="宋体"/>
          <w:color w:val="000000"/>
          <w:sz w:val="24"/>
        </w:rPr>
        <w:t>芒市妇幼保健院迁建项目</w:t>
      </w:r>
      <w:r>
        <w:rPr>
          <w:rFonts w:ascii="宋体" w:hAnsi="宋体"/>
          <w:color w:val="000000"/>
          <w:sz w:val="24"/>
        </w:rPr>
        <w:t>总平面设计以在满足布局合理、交通顺畅要求的基础上最大限度利用场地为原则。</w:t>
      </w:r>
      <w:r>
        <w:rPr>
          <w:rFonts w:hint="eastAsia" w:ascii="宋体" w:hAnsi="宋体"/>
          <w:color w:val="000000"/>
          <w:sz w:val="24"/>
        </w:rPr>
        <w:t>门诊综合、住院楼</w:t>
      </w:r>
      <w:r>
        <w:rPr>
          <w:rFonts w:ascii="宋体" w:hAnsi="宋体"/>
          <w:color w:val="000000"/>
          <w:sz w:val="24"/>
        </w:rPr>
        <w:t>设置于场地</w:t>
      </w:r>
      <w:r>
        <w:rPr>
          <w:rFonts w:hint="eastAsia" w:ascii="宋体" w:hAnsi="宋体"/>
          <w:color w:val="000000"/>
          <w:sz w:val="24"/>
        </w:rPr>
        <w:t>中部</w:t>
      </w:r>
      <w:r>
        <w:rPr>
          <w:rFonts w:ascii="宋体" w:hAnsi="宋体"/>
          <w:color w:val="000000"/>
          <w:sz w:val="24"/>
        </w:rPr>
        <w:t>，坐南朝北</w:t>
      </w:r>
      <w:r>
        <w:rPr>
          <w:rFonts w:hint="eastAsia" w:ascii="宋体" w:hAnsi="宋体"/>
          <w:color w:val="000000"/>
          <w:sz w:val="24"/>
        </w:rPr>
        <w:t>；综合业务楼和后勤综合楼分别布设在地块西侧和东侧，中间设为绿化景观休息区，南侧设置为培训综合楼（二期），后勤服务楼一层设有食堂，食堂和住院楼中间布置有绿化景观，距离住院楼较近，方便病人就餐；场地东南面靠近剑锋路一侧设置绿化景观带，有利于降低剑锋路对医院的交通噪声影响。</w:t>
      </w:r>
      <w:r>
        <w:rPr>
          <w:rFonts w:ascii="宋体" w:hAnsi="宋体"/>
          <w:color w:val="000000"/>
          <w:sz w:val="24"/>
        </w:rPr>
        <w:t>整个建筑功能组织紧凑有序，医疗流程简短便捷。</w:t>
      </w:r>
      <w:r>
        <w:rPr>
          <w:rFonts w:hint="eastAsia" w:ascii="宋体" w:hAnsi="宋体"/>
          <w:color w:val="000000"/>
          <w:sz w:val="24"/>
        </w:rPr>
        <w:t>整个医院设有3个出入口，东南</w:t>
      </w:r>
      <w:r>
        <w:rPr>
          <w:rFonts w:ascii="宋体" w:hAnsi="宋体"/>
          <w:color w:val="000000"/>
          <w:sz w:val="24"/>
        </w:rPr>
        <w:t>面设</w:t>
      </w:r>
      <w:r>
        <w:rPr>
          <w:rFonts w:hint="eastAsia" w:ascii="宋体" w:hAnsi="宋体"/>
          <w:color w:val="000000"/>
          <w:sz w:val="24"/>
        </w:rPr>
        <w:t>为机动车主出入口，北面设置为行人</w:t>
      </w:r>
      <w:r>
        <w:rPr>
          <w:rFonts w:ascii="宋体" w:hAnsi="宋体"/>
          <w:color w:val="000000"/>
          <w:sz w:val="24"/>
        </w:rPr>
        <w:t>主</w:t>
      </w:r>
      <w:r>
        <w:rPr>
          <w:rFonts w:hint="eastAsia" w:ascii="宋体" w:hAnsi="宋体"/>
          <w:color w:val="000000"/>
          <w:sz w:val="24"/>
        </w:rPr>
        <w:t>出入</w:t>
      </w:r>
      <w:r>
        <w:rPr>
          <w:rFonts w:ascii="宋体" w:hAnsi="宋体"/>
          <w:color w:val="000000"/>
          <w:sz w:val="24"/>
        </w:rPr>
        <w:t>口；</w:t>
      </w:r>
      <w:r>
        <w:rPr>
          <w:rFonts w:hint="eastAsia" w:ascii="宋体" w:hAnsi="宋体"/>
          <w:color w:val="000000"/>
          <w:sz w:val="24"/>
        </w:rPr>
        <w:t>东北面设有一个为污物及后勤出入口</w:t>
      </w:r>
      <w:r>
        <w:rPr>
          <w:rFonts w:ascii="宋体" w:hAnsi="宋体"/>
          <w:color w:val="000000"/>
          <w:sz w:val="24"/>
        </w:rPr>
        <w:t>。</w:t>
      </w:r>
      <w:r>
        <w:rPr>
          <w:rFonts w:hint="eastAsia" w:ascii="宋体" w:hAnsi="宋体"/>
          <w:color w:val="000000"/>
          <w:sz w:val="24"/>
        </w:rPr>
        <w:t>具体详见附图2。</w:t>
      </w:r>
    </w:p>
    <w:p w14:paraId="30D591E2">
      <w:pPr>
        <w:spacing w:line="360" w:lineRule="auto"/>
        <w:ind w:firstLine="480"/>
        <w:rPr>
          <w:rFonts w:hint="eastAsia"/>
          <w:color w:val="000000"/>
          <w:sz w:val="24"/>
        </w:rPr>
      </w:pPr>
      <w:r>
        <w:rPr>
          <w:b/>
          <w:color w:val="000000"/>
        </w:rPr>
        <w:t>2</w:t>
      </w:r>
      <w:r>
        <w:rPr>
          <w:rFonts w:hAnsi="宋体"/>
          <w:b/>
          <w:color w:val="000000"/>
        </w:rPr>
        <w:t>、环保设施布局</w:t>
      </w:r>
    </w:p>
    <w:p w14:paraId="2BA005C4">
      <w:pPr>
        <w:spacing w:line="360" w:lineRule="auto"/>
        <w:ind w:firstLine="480"/>
        <w:rPr>
          <w:rFonts w:hint="eastAsia"/>
          <w:color w:val="000000"/>
          <w:sz w:val="24"/>
        </w:rPr>
      </w:pPr>
      <w:r>
        <w:rPr>
          <w:color w:val="000000"/>
          <w:sz w:val="24"/>
        </w:rPr>
        <w:t>污水处理站：根据《医院污水处理技术指南》（环发[2003]197号）中的要求，结合项目设计单位提供的总平面图，以及项目周边外环境关系等实际情况。建设单位</w:t>
      </w:r>
      <w:r>
        <w:rPr>
          <w:rFonts w:hint="eastAsia"/>
          <w:color w:val="000000"/>
          <w:sz w:val="24"/>
        </w:rPr>
        <w:t>拟</w:t>
      </w:r>
      <w:r>
        <w:rPr>
          <w:color w:val="000000"/>
          <w:sz w:val="24"/>
        </w:rPr>
        <w:t>在医院</w:t>
      </w:r>
      <w:r>
        <w:rPr>
          <w:rFonts w:hint="eastAsia"/>
          <w:color w:val="000000"/>
          <w:sz w:val="24"/>
        </w:rPr>
        <w:t>北侧</w:t>
      </w:r>
      <w:r>
        <w:rPr>
          <w:color w:val="000000"/>
          <w:sz w:val="24"/>
        </w:rPr>
        <w:t>建设污水处理站。</w:t>
      </w:r>
    </w:p>
    <w:p w14:paraId="55C97431">
      <w:pPr>
        <w:spacing w:line="360" w:lineRule="auto"/>
        <w:ind w:firstLine="480"/>
        <w:rPr>
          <w:rFonts w:hint="eastAsia"/>
          <w:color w:val="000000"/>
          <w:sz w:val="24"/>
        </w:rPr>
      </w:pPr>
      <w:r>
        <w:rPr>
          <w:color w:val="000000"/>
          <w:sz w:val="24"/>
        </w:rPr>
        <w:t>医废暂存间：环评根据《医疗废物集中处置技术规范（试行）》（环发[2003]206号）和《危险废物贮存污染控制标准》(GB18597-2001)中的要求，结合项目设计单位提供的总平面图，以及项目周边外环境关系等实际情况。建设单位在医院</w:t>
      </w:r>
      <w:r>
        <w:rPr>
          <w:rFonts w:hint="eastAsia"/>
          <w:color w:val="000000"/>
          <w:sz w:val="24"/>
        </w:rPr>
        <w:t>西侧</w:t>
      </w:r>
      <w:r>
        <w:rPr>
          <w:color w:val="000000"/>
          <w:sz w:val="24"/>
        </w:rPr>
        <w:t>建设医疗固废暂存间。</w:t>
      </w:r>
    </w:p>
    <w:p w14:paraId="30DCD01A">
      <w:pPr>
        <w:pStyle w:val="183"/>
        <w:ind w:firstLine="472"/>
        <w:rPr>
          <w:rFonts w:hint="eastAsia" w:eastAsia="仿宋_GB2312"/>
          <w:color w:val="000000"/>
          <w:sz w:val="24"/>
          <w:szCs w:val="24"/>
        </w:rPr>
      </w:pPr>
      <w:bookmarkStart w:id="134" w:name="_Toc495500048"/>
      <w:r>
        <w:rPr>
          <w:rFonts w:eastAsia="仿宋_GB2312"/>
          <w:color w:val="000000"/>
          <w:sz w:val="24"/>
          <w:szCs w:val="24"/>
        </w:rPr>
        <w:t>2.</w:t>
      </w:r>
      <w:r>
        <w:rPr>
          <w:rFonts w:hint="eastAsia" w:eastAsia="仿宋_GB2312"/>
          <w:color w:val="000000"/>
          <w:sz w:val="24"/>
          <w:szCs w:val="24"/>
        </w:rPr>
        <w:t>2.7项目建设用地现状</w:t>
      </w:r>
      <w:bookmarkEnd w:id="134"/>
    </w:p>
    <w:p w14:paraId="27246872">
      <w:pPr>
        <w:spacing w:line="360" w:lineRule="auto"/>
        <w:ind w:firstLine="480"/>
        <w:rPr>
          <w:rFonts w:hint="eastAsia"/>
          <w:color w:val="000000"/>
          <w:sz w:val="24"/>
        </w:rPr>
      </w:pPr>
      <w:r>
        <w:rPr>
          <w:rFonts w:hint="eastAsia"/>
          <w:color w:val="000000"/>
          <w:sz w:val="24"/>
        </w:rPr>
        <w:t>拟建项目位于芒市机场大道环岛南侧，项目占地规划为城市建设医疗卫生用地，整个场区内地势平坦，场址周围植被主要为当地的常见植被，目前该地段供水、供电、道路、交通、通信等设施较为完善。</w:t>
      </w:r>
    </w:p>
    <w:p w14:paraId="16F960B6">
      <w:pPr>
        <w:pStyle w:val="183"/>
        <w:ind w:firstLine="472"/>
        <w:rPr>
          <w:rFonts w:hint="eastAsia" w:eastAsia="仿宋_GB2312"/>
          <w:color w:val="000000"/>
          <w:sz w:val="24"/>
          <w:szCs w:val="24"/>
        </w:rPr>
      </w:pPr>
      <w:bookmarkStart w:id="135" w:name="_Toc495500049"/>
      <w:r>
        <w:rPr>
          <w:rFonts w:eastAsia="仿宋_GB2312"/>
          <w:color w:val="000000"/>
          <w:sz w:val="24"/>
          <w:szCs w:val="24"/>
        </w:rPr>
        <w:t>2.</w:t>
      </w:r>
      <w:r>
        <w:rPr>
          <w:rFonts w:hint="eastAsia" w:eastAsia="仿宋_GB2312"/>
          <w:color w:val="000000"/>
          <w:sz w:val="24"/>
          <w:szCs w:val="24"/>
        </w:rPr>
        <w:t>2.8项目施工布置</w:t>
      </w:r>
      <w:bookmarkEnd w:id="135"/>
    </w:p>
    <w:p w14:paraId="02AB53CC">
      <w:pPr>
        <w:spacing w:line="480" w:lineRule="exact"/>
        <w:ind w:firstLine="480"/>
        <w:rPr>
          <w:rFonts w:hint="eastAsia"/>
          <w:color w:val="000000"/>
          <w:sz w:val="24"/>
        </w:rPr>
      </w:pPr>
      <w:r>
        <w:rPr>
          <w:rFonts w:hint="eastAsia"/>
          <w:color w:val="000000"/>
          <w:sz w:val="24"/>
        </w:rPr>
        <w:t>施工时在作业场地内布置钢筋</w:t>
      </w:r>
      <w:r>
        <w:rPr>
          <w:rFonts w:hint="eastAsia"/>
          <w:color w:val="000000"/>
          <w:sz w:val="24"/>
          <w:lang w:eastAsia="zh-CN"/>
        </w:rPr>
        <w:t>加工厂</w:t>
      </w:r>
      <w:r>
        <w:rPr>
          <w:rFonts w:hint="eastAsia"/>
          <w:color w:val="000000"/>
          <w:sz w:val="24"/>
        </w:rPr>
        <w:t>、木工间等，不设置修配场，不在项目区之外另行征占土地和设置临时施工房。</w:t>
      </w:r>
    </w:p>
    <w:p w14:paraId="0CF11A2C">
      <w:pPr>
        <w:tabs>
          <w:tab w:val="left" w:pos="536"/>
        </w:tabs>
        <w:spacing w:line="500" w:lineRule="exact"/>
        <w:jc w:val="left"/>
        <w:outlineLvl w:val="3"/>
        <w:rPr>
          <w:rFonts w:hint="eastAsia"/>
          <w:b/>
          <w:color w:val="000000"/>
          <w:sz w:val="24"/>
        </w:rPr>
      </w:pPr>
      <w:r>
        <w:rPr>
          <w:b/>
          <w:color w:val="000000"/>
          <w:sz w:val="24"/>
        </w:rPr>
        <w:t>2.</w:t>
      </w:r>
      <w:r>
        <w:rPr>
          <w:rFonts w:hint="eastAsia"/>
          <w:b/>
          <w:color w:val="000000"/>
          <w:sz w:val="24"/>
        </w:rPr>
        <w:t>2.8</w:t>
      </w:r>
      <w:r>
        <w:rPr>
          <w:b/>
          <w:color w:val="000000"/>
          <w:sz w:val="24"/>
        </w:rPr>
        <w:t>.1</w:t>
      </w:r>
      <w:r>
        <w:rPr>
          <w:rFonts w:hint="eastAsia"/>
          <w:b/>
          <w:color w:val="000000"/>
          <w:sz w:val="24"/>
        </w:rPr>
        <w:t>施工交通条件</w:t>
      </w:r>
    </w:p>
    <w:p w14:paraId="43758904">
      <w:pPr>
        <w:spacing w:line="480" w:lineRule="exact"/>
        <w:ind w:firstLine="480"/>
        <w:rPr>
          <w:color w:val="000000"/>
          <w:sz w:val="24"/>
        </w:rPr>
      </w:pPr>
      <w:r>
        <w:rPr>
          <w:rFonts w:hint="eastAsia"/>
          <w:color w:val="000000"/>
          <w:sz w:val="24"/>
        </w:rPr>
        <w:t>项目位于芒市机场大道环岛南侧，项目场址周围有机场大道、剑锋路、30m规划道路从项目周边通过，项目区域内道路交通便利。项目区施工道路可以利用现有道路进入场区运输。</w:t>
      </w:r>
    </w:p>
    <w:p w14:paraId="1E4F0570">
      <w:pPr>
        <w:tabs>
          <w:tab w:val="left" w:pos="536"/>
        </w:tabs>
        <w:spacing w:line="500" w:lineRule="exact"/>
        <w:jc w:val="left"/>
        <w:outlineLvl w:val="3"/>
        <w:rPr>
          <w:rFonts w:hint="eastAsia"/>
          <w:b/>
          <w:color w:val="000000"/>
          <w:sz w:val="24"/>
        </w:rPr>
      </w:pPr>
      <w:r>
        <w:rPr>
          <w:b/>
          <w:color w:val="000000"/>
          <w:sz w:val="24"/>
        </w:rPr>
        <w:t>2.</w:t>
      </w:r>
      <w:r>
        <w:rPr>
          <w:rFonts w:hint="eastAsia"/>
          <w:b/>
          <w:color w:val="000000"/>
          <w:sz w:val="24"/>
        </w:rPr>
        <w:t>2.8</w:t>
      </w:r>
      <w:r>
        <w:rPr>
          <w:b/>
          <w:color w:val="000000"/>
          <w:sz w:val="24"/>
        </w:rPr>
        <w:t>.2</w:t>
      </w:r>
      <w:r>
        <w:rPr>
          <w:rFonts w:hint="eastAsia"/>
          <w:b/>
          <w:color w:val="000000"/>
          <w:sz w:val="24"/>
        </w:rPr>
        <w:t>物料供应</w:t>
      </w:r>
    </w:p>
    <w:p w14:paraId="77051375">
      <w:pPr>
        <w:spacing w:line="480" w:lineRule="exact"/>
        <w:ind w:firstLine="480"/>
        <w:rPr>
          <w:color w:val="000000"/>
          <w:sz w:val="24"/>
        </w:rPr>
      </w:pPr>
      <w:r>
        <w:rPr>
          <w:rFonts w:hint="eastAsia"/>
          <w:color w:val="000000"/>
          <w:sz w:val="24"/>
        </w:rPr>
        <w:t>工程所需的建筑物资来源于芒市等地。项目建设所需砂石料均向芒市和周边地区具有合法开采手续的土、砂石料场购买，本项目不自行设置采土场、采石场。根据“谁破坏,谁治理”的原则，开采土、砂石料造成的扰动地表面积及水土流失由开采房负责恢复治理。</w:t>
      </w:r>
    </w:p>
    <w:p w14:paraId="7305A344">
      <w:pPr>
        <w:tabs>
          <w:tab w:val="left" w:pos="536"/>
        </w:tabs>
        <w:spacing w:line="500" w:lineRule="exact"/>
        <w:jc w:val="left"/>
        <w:outlineLvl w:val="3"/>
        <w:rPr>
          <w:rFonts w:hint="eastAsia"/>
          <w:b/>
          <w:color w:val="000000"/>
          <w:sz w:val="24"/>
        </w:rPr>
      </w:pPr>
      <w:r>
        <w:rPr>
          <w:b/>
          <w:color w:val="000000"/>
          <w:sz w:val="24"/>
        </w:rPr>
        <w:t>2.</w:t>
      </w:r>
      <w:r>
        <w:rPr>
          <w:rFonts w:hint="eastAsia"/>
          <w:b/>
          <w:color w:val="000000"/>
          <w:sz w:val="24"/>
        </w:rPr>
        <w:t>2.8</w:t>
      </w:r>
      <w:r>
        <w:rPr>
          <w:b/>
          <w:color w:val="000000"/>
          <w:sz w:val="24"/>
        </w:rPr>
        <w:t>.3</w:t>
      </w:r>
      <w:r>
        <w:rPr>
          <w:rFonts w:hint="eastAsia"/>
          <w:b/>
          <w:color w:val="000000"/>
          <w:sz w:val="24"/>
        </w:rPr>
        <w:t>工程用水、电力、通讯</w:t>
      </w:r>
    </w:p>
    <w:p w14:paraId="155826D6">
      <w:pPr>
        <w:spacing w:line="480" w:lineRule="exact"/>
        <w:ind w:firstLine="480"/>
        <w:rPr>
          <w:color w:val="000000"/>
          <w:sz w:val="24"/>
        </w:rPr>
      </w:pPr>
      <w:r>
        <w:rPr>
          <w:rFonts w:hint="eastAsia"/>
          <w:color w:val="000000"/>
          <w:sz w:val="24"/>
        </w:rPr>
        <w:t>项目属于芒市自来水供水服务范围，水压和水量完全可以满足项目建设及今后运行的用水需求，供水条件优越。芒市妇幼保健院迁建项目采用市政供电，院内布设双路供电系统，只需要加大变压器容量就完全可以保证用电需求。</w:t>
      </w:r>
    </w:p>
    <w:p w14:paraId="79BB23A5">
      <w:pPr>
        <w:tabs>
          <w:tab w:val="left" w:pos="536"/>
        </w:tabs>
        <w:spacing w:line="500" w:lineRule="exact"/>
        <w:jc w:val="left"/>
        <w:outlineLvl w:val="3"/>
        <w:rPr>
          <w:b/>
          <w:color w:val="000000"/>
          <w:sz w:val="24"/>
        </w:rPr>
      </w:pPr>
      <w:r>
        <w:rPr>
          <w:b/>
          <w:color w:val="000000"/>
          <w:sz w:val="24"/>
        </w:rPr>
        <w:t>2.</w:t>
      </w:r>
      <w:r>
        <w:rPr>
          <w:rFonts w:hint="eastAsia"/>
          <w:b/>
          <w:color w:val="000000"/>
          <w:sz w:val="24"/>
        </w:rPr>
        <w:t>2.8</w:t>
      </w:r>
      <w:r>
        <w:rPr>
          <w:b/>
          <w:color w:val="000000"/>
          <w:sz w:val="24"/>
        </w:rPr>
        <w:t>.4建设工期</w:t>
      </w:r>
    </w:p>
    <w:p w14:paraId="11BE5523">
      <w:pPr>
        <w:spacing w:line="480" w:lineRule="exact"/>
        <w:ind w:firstLine="480"/>
        <w:rPr>
          <w:color w:val="000000"/>
          <w:sz w:val="24"/>
        </w:rPr>
      </w:pPr>
      <w:r>
        <w:rPr>
          <w:color w:val="000000"/>
          <w:sz w:val="24"/>
        </w:rPr>
        <w:t>根据项目的工程进度安排进度计划，本项目总工期计划从201</w:t>
      </w:r>
      <w:r>
        <w:rPr>
          <w:rFonts w:hint="eastAsia"/>
          <w:color w:val="000000"/>
          <w:sz w:val="24"/>
        </w:rPr>
        <w:t>7</w:t>
      </w:r>
      <w:r>
        <w:rPr>
          <w:color w:val="000000"/>
          <w:sz w:val="24"/>
        </w:rPr>
        <w:t>年</w:t>
      </w:r>
      <w:r>
        <w:rPr>
          <w:rFonts w:hint="eastAsia"/>
          <w:color w:val="000000"/>
          <w:sz w:val="24"/>
        </w:rPr>
        <w:t>3</w:t>
      </w:r>
      <w:r>
        <w:rPr>
          <w:color w:val="000000"/>
          <w:sz w:val="24"/>
        </w:rPr>
        <w:t>月至201</w:t>
      </w:r>
      <w:r>
        <w:rPr>
          <w:rFonts w:hint="eastAsia"/>
          <w:color w:val="000000"/>
          <w:sz w:val="24"/>
        </w:rPr>
        <w:t>8</w:t>
      </w:r>
      <w:r>
        <w:rPr>
          <w:color w:val="000000"/>
          <w:sz w:val="24"/>
        </w:rPr>
        <w:t>年</w:t>
      </w:r>
      <w:r>
        <w:rPr>
          <w:rFonts w:hint="eastAsia"/>
          <w:color w:val="000000"/>
          <w:sz w:val="24"/>
        </w:rPr>
        <w:t>6</w:t>
      </w:r>
      <w:r>
        <w:rPr>
          <w:color w:val="000000"/>
          <w:sz w:val="24"/>
        </w:rPr>
        <w:t>月完工投入运营。项目的设施进度见表2.</w:t>
      </w:r>
      <w:r>
        <w:rPr>
          <w:rFonts w:hint="eastAsia"/>
          <w:color w:val="000000"/>
          <w:sz w:val="24"/>
        </w:rPr>
        <w:t>2</w:t>
      </w:r>
      <w:r>
        <w:rPr>
          <w:color w:val="000000"/>
          <w:sz w:val="24"/>
        </w:rPr>
        <w:t>-</w:t>
      </w:r>
      <w:r>
        <w:rPr>
          <w:rFonts w:hint="eastAsia"/>
          <w:color w:val="000000"/>
          <w:sz w:val="24"/>
        </w:rPr>
        <w:t>4</w:t>
      </w:r>
      <w:r>
        <w:rPr>
          <w:color w:val="000000"/>
          <w:sz w:val="24"/>
        </w:rPr>
        <w:t>。</w:t>
      </w:r>
      <w:bookmarkStart w:id="136" w:name="_Toc260899160"/>
      <w:bookmarkEnd w:id="136"/>
      <w:bookmarkStart w:id="137" w:name="_Toc87780086"/>
      <w:bookmarkEnd w:id="137"/>
      <w:bookmarkStart w:id="138" w:name="_Toc111868065"/>
      <w:bookmarkEnd w:id="138"/>
    </w:p>
    <w:p w14:paraId="2123D4CA">
      <w:pPr>
        <w:spacing w:line="480" w:lineRule="exact"/>
        <w:jc w:val="center"/>
        <w:rPr>
          <w:b/>
          <w:color w:val="000000"/>
          <w:sz w:val="24"/>
        </w:rPr>
      </w:pPr>
      <w:r>
        <w:rPr>
          <w:b/>
          <w:color w:val="000000"/>
          <w:sz w:val="24"/>
        </w:rPr>
        <w:t>表 2.</w:t>
      </w:r>
      <w:r>
        <w:rPr>
          <w:rFonts w:hint="eastAsia"/>
          <w:b/>
          <w:color w:val="000000"/>
          <w:sz w:val="24"/>
        </w:rPr>
        <w:t>2</w:t>
      </w:r>
      <w:r>
        <w:rPr>
          <w:b/>
          <w:color w:val="000000"/>
          <w:sz w:val="24"/>
        </w:rPr>
        <w:t>-</w:t>
      </w:r>
      <w:r>
        <w:rPr>
          <w:rFonts w:hint="eastAsia"/>
          <w:b/>
          <w:color w:val="000000"/>
          <w:sz w:val="24"/>
        </w:rPr>
        <w:t>4</w:t>
      </w:r>
      <w:r>
        <w:rPr>
          <w:b/>
          <w:color w:val="000000"/>
          <w:sz w:val="24"/>
        </w:rPr>
        <w:t xml:space="preserve">  项目实施进度表</w:t>
      </w:r>
      <w:bookmarkStart w:id="139" w:name="_Toc217711314"/>
      <w:bookmarkEnd w:id="139"/>
    </w:p>
    <w:tbl>
      <w:tblPr>
        <w:tblStyle w:val="27"/>
        <w:tblW w:w="0" w:type="auto"/>
        <w:tblInd w:w="0" w:type="dxa"/>
        <w:tblLayout w:type="fixed"/>
        <w:tblCellMar>
          <w:top w:w="0" w:type="dxa"/>
          <w:left w:w="108" w:type="dxa"/>
          <w:bottom w:w="0" w:type="dxa"/>
          <w:right w:w="108" w:type="dxa"/>
        </w:tblCellMar>
      </w:tblPr>
      <w:tblGrid>
        <w:gridCol w:w="648"/>
        <w:gridCol w:w="4719"/>
        <w:gridCol w:w="3579"/>
      </w:tblGrid>
      <w:tr w14:paraId="76134C67">
        <w:tblPrEx>
          <w:tblCellMar>
            <w:top w:w="0" w:type="dxa"/>
            <w:left w:w="108" w:type="dxa"/>
            <w:bottom w:w="0" w:type="dxa"/>
            <w:right w:w="108" w:type="dxa"/>
          </w:tblCellMar>
        </w:tblPrEx>
        <w:tc>
          <w:tcPr>
            <w:tcW w:w="648" w:type="dxa"/>
            <w:tcBorders>
              <w:top w:val="single" w:color="000000" w:sz="4" w:space="0"/>
              <w:left w:val="single" w:color="000000" w:sz="4" w:space="0"/>
              <w:bottom w:val="single" w:color="000000" w:sz="4" w:space="0"/>
              <w:right w:val="single" w:color="000000" w:sz="4" w:space="0"/>
            </w:tcBorders>
            <w:noWrap w:val="0"/>
            <w:vAlign w:val="center"/>
          </w:tcPr>
          <w:p w14:paraId="5EBB5565">
            <w:pPr>
              <w:jc w:val="center"/>
              <w:rPr>
                <w:b/>
                <w:color w:val="000000"/>
                <w:szCs w:val="21"/>
              </w:rPr>
            </w:pPr>
            <w:r>
              <w:rPr>
                <w:b/>
                <w:color w:val="000000"/>
                <w:szCs w:val="21"/>
              </w:rPr>
              <w:t>序号</w:t>
            </w:r>
          </w:p>
        </w:tc>
        <w:tc>
          <w:tcPr>
            <w:tcW w:w="4719" w:type="dxa"/>
            <w:tcBorders>
              <w:top w:val="single" w:color="000000" w:sz="4" w:space="0"/>
              <w:left w:val="single" w:color="000000" w:sz="4" w:space="0"/>
              <w:bottom w:val="single" w:color="000000" w:sz="4" w:space="0"/>
              <w:right w:val="single" w:color="000000" w:sz="4" w:space="0"/>
            </w:tcBorders>
            <w:noWrap w:val="0"/>
            <w:vAlign w:val="center"/>
          </w:tcPr>
          <w:p w14:paraId="498441C6">
            <w:pPr>
              <w:jc w:val="center"/>
              <w:rPr>
                <w:b/>
                <w:color w:val="000000"/>
                <w:szCs w:val="21"/>
              </w:rPr>
            </w:pPr>
            <w:r>
              <w:rPr>
                <w:b/>
                <w:color w:val="000000"/>
                <w:szCs w:val="21"/>
              </w:rPr>
              <w:t>名称</w:t>
            </w:r>
          </w:p>
        </w:tc>
        <w:tc>
          <w:tcPr>
            <w:tcW w:w="3579" w:type="dxa"/>
            <w:tcBorders>
              <w:top w:val="single" w:color="000000" w:sz="4" w:space="0"/>
              <w:left w:val="single" w:color="000000" w:sz="4" w:space="0"/>
              <w:bottom w:val="single" w:color="000000" w:sz="4" w:space="0"/>
              <w:right w:val="single" w:color="000000" w:sz="4" w:space="0"/>
            </w:tcBorders>
            <w:noWrap w:val="0"/>
            <w:vAlign w:val="center"/>
          </w:tcPr>
          <w:p w14:paraId="7A1BA4FD">
            <w:pPr>
              <w:jc w:val="center"/>
              <w:rPr>
                <w:b/>
                <w:color w:val="000000"/>
                <w:szCs w:val="21"/>
              </w:rPr>
            </w:pPr>
            <w:r>
              <w:rPr>
                <w:b/>
                <w:color w:val="000000"/>
                <w:szCs w:val="21"/>
              </w:rPr>
              <w:t>进度时间</w:t>
            </w:r>
          </w:p>
        </w:tc>
      </w:tr>
      <w:tr w14:paraId="45AB4509">
        <w:tblPrEx>
          <w:tblCellMar>
            <w:top w:w="0" w:type="dxa"/>
            <w:left w:w="108" w:type="dxa"/>
            <w:bottom w:w="0" w:type="dxa"/>
            <w:right w:w="108" w:type="dxa"/>
          </w:tblCellMar>
        </w:tblPrEx>
        <w:tc>
          <w:tcPr>
            <w:tcW w:w="648" w:type="dxa"/>
            <w:tcBorders>
              <w:top w:val="single" w:color="000000" w:sz="4" w:space="0"/>
              <w:left w:val="single" w:color="000000" w:sz="4" w:space="0"/>
              <w:bottom w:val="single" w:color="000000" w:sz="4" w:space="0"/>
              <w:right w:val="single" w:color="000000" w:sz="4" w:space="0"/>
            </w:tcBorders>
            <w:noWrap w:val="0"/>
            <w:vAlign w:val="center"/>
          </w:tcPr>
          <w:p w14:paraId="7BC84691">
            <w:pPr>
              <w:jc w:val="center"/>
              <w:rPr>
                <w:color w:val="000000"/>
                <w:szCs w:val="21"/>
              </w:rPr>
            </w:pPr>
            <w:r>
              <w:rPr>
                <w:color w:val="000000"/>
                <w:szCs w:val="21"/>
              </w:rPr>
              <w:t>1</w:t>
            </w:r>
          </w:p>
        </w:tc>
        <w:tc>
          <w:tcPr>
            <w:tcW w:w="4719" w:type="dxa"/>
            <w:tcBorders>
              <w:top w:val="single" w:color="000000" w:sz="4" w:space="0"/>
              <w:left w:val="single" w:color="000000" w:sz="4" w:space="0"/>
              <w:bottom w:val="single" w:color="000000" w:sz="4" w:space="0"/>
              <w:right w:val="single" w:color="000000" w:sz="4" w:space="0"/>
            </w:tcBorders>
            <w:noWrap w:val="0"/>
            <w:vAlign w:val="center"/>
          </w:tcPr>
          <w:p w14:paraId="0EC43D6A">
            <w:pPr>
              <w:jc w:val="center"/>
              <w:rPr>
                <w:color w:val="000000"/>
                <w:szCs w:val="21"/>
              </w:rPr>
            </w:pPr>
            <w:r>
              <w:rPr>
                <w:bCs/>
                <w:color w:val="000000"/>
                <w:szCs w:val="21"/>
              </w:rPr>
              <w:t>初步设计</w:t>
            </w:r>
          </w:p>
        </w:tc>
        <w:tc>
          <w:tcPr>
            <w:tcW w:w="3579" w:type="dxa"/>
            <w:tcBorders>
              <w:top w:val="single" w:color="000000" w:sz="4" w:space="0"/>
              <w:left w:val="single" w:color="000000" w:sz="4" w:space="0"/>
              <w:bottom w:val="single" w:color="000000" w:sz="4" w:space="0"/>
              <w:right w:val="single" w:color="000000" w:sz="4" w:space="0"/>
            </w:tcBorders>
            <w:noWrap w:val="0"/>
            <w:vAlign w:val="center"/>
          </w:tcPr>
          <w:p w14:paraId="0D2FDC12">
            <w:pPr>
              <w:jc w:val="center"/>
              <w:rPr>
                <w:color w:val="000000"/>
                <w:szCs w:val="21"/>
              </w:rPr>
            </w:pPr>
            <w:r>
              <w:rPr>
                <w:color w:val="000000"/>
                <w:szCs w:val="21"/>
              </w:rPr>
              <w:t>201</w:t>
            </w:r>
            <w:r>
              <w:rPr>
                <w:rFonts w:hint="eastAsia"/>
                <w:color w:val="000000"/>
                <w:szCs w:val="21"/>
              </w:rPr>
              <w:t>7</w:t>
            </w:r>
            <w:r>
              <w:rPr>
                <w:color w:val="000000"/>
                <w:szCs w:val="21"/>
              </w:rPr>
              <w:t>年</w:t>
            </w:r>
            <w:r>
              <w:rPr>
                <w:rFonts w:hint="eastAsia"/>
                <w:color w:val="000000"/>
                <w:szCs w:val="21"/>
              </w:rPr>
              <w:t>3</w:t>
            </w:r>
            <w:r>
              <w:rPr>
                <w:color w:val="000000"/>
                <w:szCs w:val="21"/>
              </w:rPr>
              <w:t>月——201</w:t>
            </w:r>
            <w:r>
              <w:rPr>
                <w:rFonts w:hint="eastAsia"/>
                <w:color w:val="000000"/>
                <w:szCs w:val="21"/>
              </w:rPr>
              <w:t>7</w:t>
            </w:r>
            <w:r>
              <w:rPr>
                <w:color w:val="000000"/>
                <w:szCs w:val="21"/>
              </w:rPr>
              <w:t>年</w:t>
            </w:r>
            <w:r>
              <w:rPr>
                <w:rFonts w:hint="eastAsia"/>
                <w:color w:val="000000"/>
                <w:szCs w:val="21"/>
              </w:rPr>
              <w:t>5</w:t>
            </w:r>
            <w:r>
              <w:rPr>
                <w:color w:val="000000"/>
                <w:szCs w:val="21"/>
              </w:rPr>
              <w:t>月</w:t>
            </w:r>
          </w:p>
        </w:tc>
      </w:tr>
      <w:tr w14:paraId="25D28B8B">
        <w:tblPrEx>
          <w:tblCellMar>
            <w:top w:w="0" w:type="dxa"/>
            <w:left w:w="108" w:type="dxa"/>
            <w:bottom w:w="0" w:type="dxa"/>
            <w:right w:w="108" w:type="dxa"/>
          </w:tblCellMar>
        </w:tblPrEx>
        <w:tc>
          <w:tcPr>
            <w:tcW w:w="648" w:type="dxa"/>
            <w:tcBorders>
              <w:top w:val="single" w:color="000000" w:sz="4" w:space="0"/>
              <w:left w:val="single" w:color="000000" w:sz="4" w:space="0"/>
              <w:bottom w:val="single" w:color="000000" w:sz="4" w:space="0"/>
              <w:right w:val="single" w:color="000000" w:sz="4" w:space="0"/>
            </w:tcBorders>
            <w:noWrap w:val="0"/>
            <w:vAlign w:val="center"/>
          </w:tcPr>
          <w:p w14:paraId="0B4499B8">
            <w:pPr>
              <w:jc w:val="center"/>
              <w:rPr>
                <w:color w:val="000000"/>
                <w:szCs w:val="21"/>
              </w:rPr>
            </w:pPr>
            <w:r>
              <w:rPr>
                <w:color w:val="000000"/>
                <w:szCs w:val="21"/>
              </w:rPr>
              <w:t>2</w:t>
            </w:r>
          </w:p>
        </w:tc>
        <w:tc>
          <w:tcPr>
            <w:tcW w:w="4719" w:type="dxa"/>
            <w:tcBorders>
              <w:top w:val="single" w:color="000000" w:sz="4" w:space="0"/>
              <w:left w:val="single" w:color="000000" w:sz="4" w:space="0"/>
              <w:bottom w:val="single" w:color="000000" w:sz="4" w:space="0"/>
              <w:right w:val="single" w:color="000000" w:sz="4" w:space="0"/>
            </w:tcBorders>
            <w:noWrap w:val="0"/>
            <w:vAlign w:val="center"/>
          </w:tcPr>
          <w:p w14:paraId="04FF2094">
            <w:pPr>
              <w:jc w:val="center"/>
              <w:rPr>
                <w:color w:val="000000"/>
                <w:szCs w:val="21"/>
              </w:rPr>
            </w:pPr>
            <w:r>
              <w:rPr>
                <w:bCs/>
                <w:color w:val="000000"/>
                <w:szCs w:val="21"/>
              </w:rPr>
              <w:t>工程地质勘察</w:t>
            </w:r>
          </w:p>
        </w:tc>
        <w:tc>
          <w:tcPr>
            <w:tcW w:w="3579" w:type="dxa"/>
            <w:tcBorders>
              <w:top w:val="single" w:color="000000" w:sz="4" w:space="0"/>
              <w:left w:val="single" w:color="000000" w:sz="4" w:space="0"/>
              <w:bottom w:val="single" w:color="000000" w:sz="4" w:space="0"/>
              <w:right w:val="single" w:color="000000" w:sz="4" w:space="0"/>
            </w:tcBorders>
            <w:noWrap w:val="0"/>
            <w:vAlign w:val="center"/>
          </w:tcPr>
          <w:p w14:paraId="60F72ECA">
            <w:pPr>
              <w:jc w:val="center"/>
              <w:rPr>
                <w:color w:val="000000"/>
                <w:szCs w:val="21"/>
              </w:rPr>
            </w:pPr>
            <w:r>
              <w:rPr>
                <w:color w:val="000000"/>
                <w:szCs w:val="21"/>
              </w:rPr>
              <w:t>201</w:t>
            </w:r>
            <w:r>
              <w:rPr>
                <w:rFonts w:hint="eastAsia"/>
                <w:color w:val="000000"/>
                <w:szCs w:val="21"/>
              </w:rPr>
              <w:t>7</w:t>
            </w:r>
            <w:r>
              <w:rPr>
                <w:color w:val="000000"/>
                <w:szCs w:val="21"/>
              </w:rPr>
              <w:t>年</w:t>
            </w:r>
            <w:r>
              <w:rPr>
                <w:rFonts w:hint="eastAsia"/>
                <w:color w:val="000000"/>
                <w:szCs w:val="21"/>
              </w:rPr>
              <w:t>5</w:t>
            </w:r>
            <w:r>
              <w:rPr>
                <w:color w:val="000000"/>
                <w:szCs w:val="21"/>
              </w:rPr>
              <w:t>月——201</w:t>
            </w:r>
            <w:r>
              <w:rPr>
                <w:rFonts w:hint="eastAsia"/>
                <w:color w:val="000000"/>
                <w:szCs w:val="21"/>
              </w:rPr>
              <w:t>7</w:t>
            </w:r>
            <w:r>
              <w:rPr>
                <w:color w:val="000000"/>
                <w:szCs w:val="21"/>
              </w:rPr>
              <w:t>年</w:t>
            </w:r>
            <w:r>
              <w:rPr>
                <w:rFonts w:hint="eastAsia"/>
                <w:color w:val="000000"/>
                <w:szCs w:val="21"/>
              </w:rPr>
              <w:t>6</w:t>
            </w:r>
            <w:r>
              <w:rPr>
                <w:color w:val="000000"/>
                <w:szCs w:val="21"/>
              </w:rPr>
              <w:t>月</w:t>
            </w:r>
          </w:p>
        </w:tc>
      </w:tr>
      <w:tr w14:paraId="44A480D0">
        <w:tblPrEx>
          <w:tblCellMar>
            <w:top w:w="0" w:type="dxa"/>
            <w:left w:w="108" w:type="dxa"/>
            <w:bottom w:w="0" w:type="dxa"/>
            <w:right w:w="108" w:type="dxa"/>
          </w:tblCellMar>
        </w:tblPrEx>
        <w:tc>
          <w:tcPr>
            <w:tcW w:w="648" w:type="dxa"/>
            <w:tcBorders>
              <w:top w:val="single" w:color="000000" w:sz="4" w:space="0"/>
              <w:left w:val="single" w:color="000000" w:sz="4" w:space="0"/>
              <w:bottom w:val="single" w:color="000000" w:sz="4" w:space="0"/>
              <w:right w:val="single" w:color="000000" w:sz="4" w:space="0"/>
            </w:tcBorders>
            <w:noWrap w:val="0"/>
            <w:vAlign w:val="center"/>
          </w:tcPr>
          <w:p w14:paraId="1CEDDD61">
            <w:pPr>
              <w:jc w:val="center"/>
              <w:rPr>
                <w:color w:val="000000"/>
                <w:szCs w:val="21"/>
              </w:rPr>
            </w:pPr>
            <w:r>
              <w:rPr>
                <w:color w:val="000000"/>
                <w:szCs w:val="21"/>
              </w:rPr>
              <w:t>3</w:t>
            </w:r>
          </w:p>
        </w:tc>
        <w:tc>
          <w:tcPr>
            <w:tcW w:w="4719" w:type="dxa"/>
            <w:tcBorders>
              <w:top w:val="single" w:color="000000" w:sz="4" w:space="0"/>
              <w:left w:val="single" w:color="000000" w:sz="4" w:space="0"/>
              <w:bottom w:val="single" w:color="000000" w:sz="4" w:space="0"/>
              <w:right w:val="single" w:color="000000" w:sz="4" w:space="0"/>
            </w:tcBorders>
            <w:noWrap w:val="0"/>
            <w:vAlign w:val="center"/>
          </w:tcPr>
          <w:p w14:paraId="0DA9AC49">
            <w:pPr>
              <w:jc w:val="center"/>
              <w:rPr>
                <w:color w:val="000000"/>
                <w:szCs w:val="21"/>
              </w:rPr>
            </w:pPr>
            <w:r>
              <w:rPr>
                <w:bCs/>
                <w:color w:val="000000"/>
                <w:szCs w:val="21"/>
              </w:rPr>
              <w:t>施工图设计</w:t>
            </w:r>
          </w:p>
        </w:tc>
        <w:tc>
          <w:tcPr>
            <w:tcW w:w="3579" w:type="dxa"/>
            <w:tcBorders>
              <w:top w:val="single" w:color="000000" w:sz="4" w:space="0"/>
              <w:left w:val="single" w:color="000000" w:sz="4" w:space="0"/>
              <w:bottom w:val="single" w:color="000000" w:sz="4" w:space="0"/>
              <w:right w:val="single" w:color="000000" w:sz="4" w:space="0"/>
            </w:tcBorders>
            <w:noWrap w:val="0"/>
            <w:vAlign w:val="center"/>
          </w:tcPr>
          <w:p w14:paraId="249FC4A8">
            <w:pPr>
              <w:jc w:val="center"/>
              <w:rPr>
                <w:color w:val="000000"/>
                <w:szCs w:val="21"/>
              </w:rPr>
            </w:pPr>
            <w:r>
              <w:rPr>
                <w:color w:val="000000"/>
                <w:szCs w:val="21"/>
              </w:rPr>
              <w:t>201</w:t>
            </w:r>
            <w:r>
              <w:rPr>
                <w:rFonts w:hint="eastAsia"/>
                <w:color w:val="000000"/>
                <w:szCs w:val="21"/>
              </w:rPr>
              <w:t>7</w:t>
            </w:r>
            <w:r>
              <w:rPr>
                <w:color w:val="000000"/>
                <w:szCs w:val="21"/>
              </w:rPr>
              <w:t>年</w:t>
            </w:r>
            <w:r>
              <w:rPr>
                <w:rFonts w:hint="eastAsia"/>
                <w:color w:val="000000"/>
                <w:szCs w:val="21"/>
              </w:rPr>
              <w:t>6</w:t>
            </w:r>
            <w:r>
              <w:rPr>
                <w:color w:val="000000"/>
                <w:szCs w:val="21"/>
              </w:rPr>
              <w:t>月——201</w:t>
            </w:r>
            <w:r>
              <w:rPr>
                <w:rFonts w:hint="eastAsia"/>
                <w:color w:val="000000"/>
                <w:szCs w:val="21"/>
              </w:rPr>
              <w:t>7</w:t>
            </w:r>
            <w:r>
              <w:rPr>
                <w:color w:val="000000"/>
                <w:szCs w:val="21"/>
              </w:rPr>
              <w:t>年</w:t>
            </w:r>
            <w:r>
              <w:rPr>
                <w:rFonts w:hint="eastAsia"/>
                <w:color w:val="000000"/>
                <w:szCs w:val="21"/>
              </w:rPr>
              <w:t>7</w:t>
            </w:r>
            <w:r>
              <w:rPr>
                <w:color w:val="000000"/>
                <w:szCs w:val="21"/>
              </w:rPr>
              <w:t>月</w:t>
            </w:r>
          </w:p>
        </w:tc>
      </w:tr>
      <w:tr w14:paraId="48152B4F">
        <w:tblPrEx>
          <w:tblCellMar>
            <w:top w:w="0" w:type="dxa"/>
            <w:left w:w="108" w:type="dxa"/>
            <w:bottom w:w="0" w:type="dxa"/>
            <w:right w:w="108" w:type="dxa"/>
          </w:tblCellMar>
        </w:tblPrEx>
        <w:tc>
          <w:tcPr>
            <w:tcW w:w="648" w:type="dxa"/>
            <w:tcBorders>
              <w:top w:val="single" w:color="000000" w:sz="4" w:space="0"/>
              <w:left w:val="single" w:color="000000" w:sz="4" w:space="0"/>
              <w:bottom w:val="single" w:color="000000" w:sz="4" w:space="0"/>
              <w:right w:val="single" w:color="000000" w:sz="4" w:space="0"/>
            </w:tcBorders>
            <w:noWrap w:val="0"/>
            <w:vAlign w:val="center"/>
          </w:tcPr>
          <w:p w14:paraId="5F57859F">
            <w:pPr>
              <w:jc w:val="center"/>
              <w:rPr>
                <w:color w:val="000000"/>
                <w:szCs w:val="21"/>
              </w:rPr>
            </w:pPr>
            <w:r>
              <w:rPr>
                <w:color w:val="000000"/>
                <w:szCs w:val="21"/>
              </w:rPr>
              <w:t>4</w:t>
            </w:r>
          </w:p>
        </w:tc>
        <w:tc>
          <w:tcPr>
            <w:tcW w:w="4719" w:type="dxa"/>
            <w:tcBorders>
              <w:top w:val="single" w:color="000000" w:sz="4" w:space="0"/>
              <w:left w:val="single" w:color="000000" w:sz="4" w:space="0"/>
              <w:bottom w:val="single" w:color="000000" w:sz="4" w:space="0"/>
              <w:right w:val="single" w:color="000000" w:sz="4" w:space="0"/>
            </w:tcBorders>
            <w:noWrap w:val="0"/>
            <w:vAlign w:val="center"/>
          </w:tcPr>
          <w:p w14:paraId="69775D7F">
            <w:pPr>
              <w:jc w:val="center"/>
              <w:rPr>
                <w:color w:val="000000"/>
                <w:szCs w:val="21"/>
              </w:rPr>
            </w:pPr>
            <w:r>
              <w:rPr>
                <w:bCs/>
                <w:color w:val="000000"/>
                <w:szCs w:val="21"/>
              </w:rPr>
              <w:t>施工图审查及招投标</w:t>
            </w:r>
          </w:p>
        </w:tc>
        <w:tc>
          <w:tcPr>
            <w:tcW w:w="3579" w:type="dxa"/>
            <w:tcBorders>
              <w:top w:val="single" w:color="000000" w:sz="4" w:space="0"/>
              <w:left w:val="single" w:color="000000" w:sz="4" w:space="0"/>
              <w:bottom w:val="single" w:color="000000" w:sz="4" w:space="0"/>
              <w:right w:val="single" w:color="000000" w:sz="4" w:space="0"/>
            </w:tcBorders>
            <w:noWrap w:val="0"/>
            <w:vAlign w:val="center"/>
          </w:tcPr>
          <w:p w14:paraId="6B413F49">
            <w:pPr>
              <w:jc w:val="center"/>
              <w:rPr>
                <w:color w:val="000000"/>
                <w:szCs w:val="21"/>
              </w:rPr>
            </w:pPr>
            <w:r>
              <w:rPr>
                <w:color w:val="000000"/>
                <w:szCs w:val="21"/>
              </w:rPr>
              <w:t>201</w:t>
            </w:r>
            <w:r>
              <w:rPr>
                <w:rFonts w:hint="eastAsia"/>
                <w:color w:val="000000"/>
                <w:szCs w:val="21"/>
              </w:rPr>
              <w:t>7</w:t>
            </w:r>
            <w:r>
              <w:rPr>
                <w:color w:val="000000"/>
                <w:szCs w:val="21"/>
              </w:rPr>
              <w:t>年</w:t>
            </w:r>
            <w:r>
              <w:rPr>
                <w:rFonts w:hint="eastAsia"/>
                <w:color w:val="000000"/>
                <w:szCs w:val="21"/>
              </w:rPr>
              <w:t>7</w:t>
            </w:r>
            <w:r>
              <w:rPr>
                <w:color w:val="000000"/>
                <w:szCs w:val="21"/>
              </w:rPr>
              <w:t>月</w:t>
            </w:r>
          </w:p>
        </w:tc>
      </w:tr>
      <w:tr w14:paraId="3AE6266D">
        <w:tblPrEx>
          <w:tblCellMar>
            <w:top w:w="0" w:type="dxa"/>
            <w:left w:w="108" w:type="dxa"/>
            <w:bottom w:w="0" w:type="dxa"/>
            <w:right w:w="108" w:type="dxa"/>
          </w:tblCellMar>
        </w:tblPrEx>
        <w:tc>
          <w:tcPr>
            <w:tcW w:w="648" w:type="dxa"/>
            <w:tcBorders>
              <w:top w:val="single" w:color="000000" w:sz="4" w:space="0"/>
              <w:left w:val="single" w:color="000000" w:sz="4" w:space="0"/>
              <w:bottom w:val="single" w:color="000000" w:sz="4" w:space="0"/>
              <w:right w:val="single" w:color="000000" w:sz="4" w:space="0"/>
            </w:tcBorders>
            <w:noWrap w:val="0"/>
            <w:vAlign w:val="center"/>
          </w:tcPr>
          <w:p w14:paraId="6B9ABA11">
            <w:pPr>
              <w:jc w:val="center"/>
              <w:rPr>
                <w:color w:val="000000"/>
                <w:szCs w:val="21"/>
              </w:rPr>
            </w:pPr>
            <w:r>
              <w:rPr>
                <w:color w:val="000000"/>
                <w:szCs w:val="21"/>
              </w:rPr>
              <w:t>5</w:t>
            </w:r>
          </w:p>
        </w:tc>
        <w:tc>
          <w:tcPr>
            <w:tcW w:w="4719" w:type="dxa"/>
            <w:tcBorders>
              <w:top w:val="single" w:color="000000" w:sz="4" w:space="0"/>
              <w:left w:val="single" w:color="000000" w:sz="4" w:space="0"/>
              <w:bottom w:val="single" w:color="000000" w:sz="4" w:space="0"/>
              <w:right w:val="single" w:color="000000" w:sz="4" w:space="0"/>
            </w:tcBorders>
            <w:noWrap w:val="0"/>
            <w:vAlign w:val="center"/>
          </w:tcPr>
          <w:p w14:paraId="7223C233">
            <w:pPr>
              <w:jc w:val="center"/>
              <w:rPr>
                <w:color w:val="000000"/>
                <w:szCs w:val="21"/>
              </w:rPr>
            </w:pPr>
            <w:r>
              <w:rPr>
                <w:bCs/>
                <w:color w:val="000000"/>
                <w:szCs w:val="21"/>
              </w:rPr>
              <w:t>土建施工</w:t>
            </w:r>
          </w:p>
        </w:tc>
        <w:tc>
          <w:tcPr>
            <w:tcW w:w="3579" w:type="dxa"/>
            <w:vMerge w:val="restart"/>
            <w:tcBorders>
              <w:top w:val="single" w:color="000000" w:sz="4" w:space="0"/>
              <w:left w:val="single" w:color="000000" w:sz="4" w:space="0"/>
              <w:bottom w:val="single" w:color="000000" w:sz="4" w:space="0"/>
              <w:right w:val="single" w:color="000000" w:sz="4" w:space="0"/>
            </w:tcBorders>
            <w:noWrap w:val="0"/>
            <w:vAlign w:val="center"/>
          </w:tcPr>
          <w:p w14:paraId="04D4D5B5">
            <w:pPr>
              <w:jc w:val="center"/>
              <w:rPr>
                <w:color w:val="000000"/>
                <w:szCs w:val="21"/>
              </w:rPr>
            </w:pPr>
            <w:r>
              <w:rPr>
                <w:color w:val="000000"/>
                <w:szCs w:val="21"/>
              </w:rPr>
              <w:t>201</w:t>
            </w:r>
            <w:r>
              <w:rPr>
                <w:rFonts w:hint="eastAsia"/>
                <w:color w:val="000000"/>
                <w:szCs w:val="21"/>
              </w:rPr>
              <w:t>7</w:t>
            </w:r>
            <w:r>
              <w:rPr>
                <w:color w:val="000000"/>
                <w:szCs w:val="21"/>
              </w:rPr>
              <w:t>年</w:t>
            </w:r>
            <w:r>
              <w:rPr>
                <w:rFonts w:hint="eastAsia"/>
                <w:color w:val="000000"/>
                <w:szCs w:val="21"/>
              </w:rPr>
              <w:t>7</w:t>
            </w:r>
            <w:r>
              <w:rPr>
                <w:color w:val="000000"/>
                <w:szCs w:val="21"/>
              </w:rPr>
              <w:t>月——201</w:t>
            </w:r>
            <w:r>
              <w:rPr>
                <w:rFonts w:hint="eastAsia"/>
                <w:color w:val="000000"/>
                <w:szCs w:val="21"/>
              </w:rPr>
              <w:t>8</w:t>
            </w:r>
            <w:r>
              <w:rPr>
                <w:color w:val="000000"/>
                <w:szCs w:val="21"/>
              </w:rPr>
              <w:t>年</w:t>
            </w:r>
            <w:r>
              <w:rPr>
                <w:rFonts w:hint="eastAsia"/>
                <w:color w:val="000000"/>
                <w:szCs w:val="21"/>
              </w:rPr>
              <w:t>6</w:t>
            </w:r>
            <w:r>
              <w:rPr>
                <w:color w:val="000000"/>
                <w:szCs w:val="21"/>
              </w:rPr>
              <w:t>月</w:t>
            </w:r>
          </w:p>
        </w:tc>
      </w:tr>
      <w:tr w14:paraId="7EB9A211">
        <w:tblPrEx>
          <w:tblCellMar>
            <w:top w:w="0" w:type="dxa"/>
            <w:left w:w="108" w:type="dxa"/>
            <w:bottom w:w="0" w:type="dxa"/>
            <w:right w:w="108" w:type="dxa"/>
          </w:tblCellMar>
        </w:tblPrEx>
        <w:tc>
          <w:tcPr>
            <w:tcW w:w="648" w:type="dxa"/>
            <w:tcBorders>
              <w:top w:val="single" w:color="000000" w:sz="4" w:space="0"/>
              <w:left w:val="single" w:color="000000" w:sz="4" w:space="0"/>
              <w:bottom w:val="single" w:color="000000" w:sz="4" w:space="0"/>
              <w:right w:val="single" w:color="000000" w:sz="4" w:space="0"/>
            </w:tcBorders>
            <w:noWrap w:val="0"/>
            <w:vAlign w:val="center"/>
          </w:tcPr>
          <w:p w14:paraId="1925D67B">
            <w:pPr>
              <w:jc w:val="center"/>
              <w:rPr>
                <w:color w:val="000000"/>
                <w:szCs w:val="21"/>
              </w:rPr>
            </w:pPr>
            <w:r>
              <w:rPr>
                <w:color w:val="000000"/>
                <w:szCs w:val="21"/>
              </w:rPr>
              <w:t>6</w:t>
            </w:r>
          </w:p>
        </w:tc>
        <w:tc>
          <w:tcPr>
            <w:tcW w:w="4719" w:type="dxa"/>
            <w:tcBorders>
              <w:top w:val="single" w:color="000000" w:sz="4" w:space="0"/>
              <w:left w:val="single" w:color="000000" w:sz="4" w:space="0"/>
              <w:bottom w:val="single" w:color="000000" w:sz="4" w:space="0"/>
              <w:right w:val="single" w:color="000000" w:sz="4" w:space="0"/>
            </w:tcBorders>
            <w:noWrap w:val="0"/>
            <w:vAlign w:val="center"/>
          </w:tcPr>
          <w:p w14:paraId="188A110C">
            <w:pPr>
              <w:jc w:val="center"/>
              <w:rPr>
                <w:color w:val="000000"/>
                <w:szCs w:val="21"/>
              </w:rPr>
            </w:pPr>
            <w:r>
              <w:rPr>
                <w:bCs/>
                <w:color w:val="000000"/>
                <w:szCs w:val="21"/>
              </w:rPr>
              <w:t>装修及设备安装调试</w:t>
            </w:r>
          </w:p>
        </w:tc>
        <w:tc>
          <w:tcPr>
            <w:tcW w:w="3579" w:type="dxa"/>
            <w:vMerge w:val="continue"/>
            <w:tcBorders>
              <w:top w:val="single" w:color="000000" w:sz="4" w:space="0"/>
              <w:left w:val="single" w:color="000000" w:sz="4" w:space="0"/>
              <w:bottom w:val="single" w:color="000000" w:sz="4" w:space="0"/>
              <w:right w:val="single" w:color="000000" w:sz="4" w:space="0"/>
            </w:tcBorders>
            <w:noWrap w:val="0"/>
            <w:vAlign w:val="center"/>
          </w:tcPr>
          <w:p w14:paraId="3A30482F">
            <w:pPr>
              <w:jc w:val="left"/>
              <w:rPr>
                <w:color w:val="000000"/>
                <w:szCs w:val="21"/>
              </w:rPr>
            </w:pPr>
          </w:p>
        </w:tc>
      </w:tr>
      <w:tr w14:paraId="12DE7AFC">
        <w:tblPrEx>
          <w:tblCellMar>
            <w:top w:w="0" w:type="dxa"/>
            <w:left w:w="108" w:type="dxa"/>
            <w:bottom w:w="0" w:type="dxa"/>
            <w:right w:w="108" w:type="dxa"/>
          </w:tblCellMar>
        </w:tblPrEx>
        <w:tc>
          <w:tcPr>
            <w:tcW w:w="648" w:type="dxa"/>
            <w:tcBorders>
              <w:top w:val="single" w:color="000000" w:sz="4" w:space="0"/>
              <w:left w:val="single" w:color="000000" w:sz="4" w:space="0"/>
              <w:bottom w:val="single" w:color="000000" w:sz="4" w:space="0"/>
              <w:right w:val="single" w:color="000000" w:sz="4" w:space="0"/>
            </w:tcBorders>
            <w:noWrap w:val="0"/>
            <w:vAlign w:val="center"/>
          </w:tcPr>
          <w:p w14:paraId="5AA2598D">
            <w:pPr>
              <w:jc w:val="center"/>
              <w:rPr>
                <w:color w:val="000000"/>
                <w:szCs w:val="21"/>
              </w:rPr>
            </w:pPr>
            <w:r>
              <w:rPr>
                <w:color w:val="000000"/>
                <w:szCs w:val="21"/>
              </w:rPr>
              <w:t>7</w:t>
            </w:r>
          </w:p>
        </w:tc>
        <w:tc>
          <w:tcPr>
            <w:tcW w:w="4719" w:type="dxa"/>
            <w:tcBorders>
              <w:top w:val="single" w:color="000000" w:sz="4" w:space="0"/>
              <w:left w:val="single" w:color="000000" w:sz="4" w:space="0"/>
              <w:bottom w:val="single" w:color="000000" w:sz="4" w:space="0"/>
              <w:right w:val="single" w:color="000000" w:sz="4" w:space="0"/>
            </w:tcBorders>
            <w:noWrap w:val="0"/>
            <w:vAlign w:val="center"/>
          </w:tcPr>
          <w:p w14:paraId="00DA56A9">
            <w:pPr>
              <w:jc w:val="center"/>
              <w:rPr>
                <w:color w:val="000000"/>
                <w:szCs w:val="21"/>
              </w:rPr>
            </w:pPr>
            <w:r>
              <w:rPr>
                <w:bCs/>
                <w:color w:val="000000"/>
                <w:szCs w:val="21"/>
              </w:rPr>
              <w:t>人员培训</w:t>
            </w:r>
          </w:p>
        </w:tc>
        <w:tc>
          <w:tcPr>
            <w:tcW w:w="3579" w:type="dxa"/>
            <w:tcBorders>
              <w:top w:val="single" w:color="000000" w:sz="4" w:space="0"/>
              <w:left w:val="single" w:color="000000" w:sz="4" w:space="0"/>
              <w:bottom w:val="single" w:color="000000" w:sz="4" w:space="0"/>
              <w:right w:val="single" w:color="000000" w:sz="4" w:space="0"/>
            </w:tcBorders>
            <w:noWrap w:val="0"/>
            <w:vAlign w:val="center"/>
          </w:tcPr>
          <w:p w14:paraId="01EFEB9D">
            <w:pPr>
              <w:jc w:val="center"/>
              <w:rPr>
                <w:color w:val="000000"/>
                <w:szCs w:val="21"/>
              </w:rPr>
            </w:pPr>
            <w:r>
              <w:rPr>
                <w:color w:val="000000"/>
                <w:szCs w:val="21"/>
              </w:rPr>
              <w:t>201</w:t>
            </w:r>
            <w:r>
              <w:rPr>
                <w:rFonts w:hint="eastAsia"/>
                <w:color w:val="000000"/>
                <w:szCs w:val="21"/>
              </w:rPr>
              <w:t>8</w:t>
            </w:r>
            <w:r>
              <w:rPr>
                <w:color w:val="000000"/>
                <w:szCs w:val="21"/>
              </w:rPr>
              <w:t>年</w:t>
            </w:r>
            <w:r>
              <w:rPr>
                <w:rFonts w:hint="eastAsia"/>
                <w:color w:val="000000"/>
                <w:szCs w:val="21"/>
              </w:rPr>
              <w:t>6</w:t>
            </w:r>
            <w:r>
              <w:rPr>
                <w:color w:val="000000"/>
                <w:szCs w:val="21"/>
              </w:rPr>
              <w:t>月</w:t>
            </w:r>
          </w:p>
        </w:tc>
      </w:tr>
      <w:tr w14:paraId="1F734EE2">
        <w:tblPrEx>
          <w:tblCellMar>
            <w:top w:w="0" w:type="dxa"/>
            <w:left w:w="108" w:type="dxa"/>
            <w:bottom w:w="0" w:type="dxa"/>
            <w:right w:w="108" w:type="dxa"/>
          </w:tblCellMar>
        </w:tblPrEx>
        <w:tc>
          <w:tcPr>
            <w:tcW w:w="648" w:type="dxa"/>
            <w:tcBorders>
              <w:top w:val="single" w:color="000000" w:sz="4" w:space="0"/>
              <w:left w:val="single" w:color="000000" w:sz="4" w:space="0"/>
              <w:bottom w:val="single" w:color="000000" w:sz="4" w:space="0"/>
              <w:right w:val="single" w:color="000000" w:sz="4" w:space="0"/>
            </w:tcBorders>
            <w:noWrap w:val="0"/>
            <w:vAlign w:val="center"/>
          </w:tcPr>
          <w:p w14:paraId="652D3109">
            <w:pPr>
              <w:jc w:val="center"/>
              <w:rPr>
                <w:color w:val="000000"/>
                <w:szCs w:val="21"/>
              </w:rPr>
            </w:pPr>
            <w:r>
              <w:rPr>
                <w:color w:val="000000"/>
                <w:szCs w:val="21"/>
              </w:rPr>
              <w:t>8</w:t>
            </w:r>
          </w:p>
        </w:tc>
        <w:tc>
          <w:tcPr>
            <w:tcW w:w="4719" w:type="dxa"/>
            <w:tcBorders>
              <w:top w:val="single" w:color="000000" w:sz="4" w:space="0"/>
              <w:left w:val="single" w:color="000000" w:sz="4" w:space="0"/>
              <w:bottom w:val="single" w:color="000000" w:sz="4" w:space="0"/>
              <w:right w:val="single" w:color="000000" w:sz="4" w:space="0"/>
            </w:tcBorders>
            <w:noWrap w:val="0"/>
            <w:vAlign w:val="center"/>
          </w:tcPr>
          <w:p w14:paraId="120177D4">
            <w:pPr>
              <w:jc w:val="center"/>
              <w:rPr>
                <w:color w:val="000000"/>
                <w:szCs w:val="21"/>
              </w:rPr>
            </w:pPr>
            <w:r>
              <w:rPr>
                <w:color w:val="000000"/>
                <w:szCs w:val="21"/>
              </w:rPr>
              <w:t>竣工验收及收尾工程</w:t>
            </w:r>
          </w:p>
        </w:tc>
        <w:tc>
          <w:tcPr>
            <w:tcW w:w="3579" w:type="dxa"/>
            <w:tcBorders>
              <w:top w:val="single" w:color="000000" w:sz="4" w:space="0"/>
              <w:left w:val="single" w:color="000000" w:sz="4" w:space="0"/>
              <w:bottom w:val="single" w:color="000000" w:sz="4" w:space="0"/>
              <w:right w:val="single" w:color="000000" w:sz="4" w:space="0"/>
            </w:tcBorders>
            <w:noWrap w:val="0"/>
            <w:vAlign w:val="center"/>
          </w:tcPr>
          <w:p w14:paraId="30C0946F">
            <w:pPr>
              <w:jc w:val="center"/>
              <w:rPr>
                <w:color w:val="000000"/>
                <w:szCs w:val="21"/>
              </w:rPr>
            </w:pPr>
            <w:r>
              <w:rPr>
                <w:color w:val="000000"/>
                <w:szCs w:val="21"/>
              </w:rPr>
              <w:t>201</w:t>
            </w:r>
            <w:r>
              <w:rPr>
                <w:rFonts w:hint="eastAsia"/>
                <w:color w:val="000000"/>
                <w:szCs w:val="21"/>
              </w:rPr>
              <w:t>8</w:t>
            </w:r>
            <w:r>
              <w:rPr>
                <w:color w:val="000000"/>
                <w:szCs w:val="21"/>
              </w:rPr>
              <w:t>年</w:t>
            </w:r>
            <w:r>
              <w:rPr>
                <w:rFonts w:hint="eastAsia"/>
                <w:color w:val="000000"/>
                <w:szCs w:val="21"/>
              </w:rPr>
              <w:t>6</w:t>
            </w:r>
            <w:r>
              <w:rPr>
                <w:color w:val="000000"/>
                <w:szCs w:val="21"/>
              </w:rPr>
              <w:t>月</w:t>
            </w:r>
          </w:p>
        </w:tc>
      </w:tr>
    </w:tbl>
    <w:p w14:paraId="107ABCEE">
      <w:pPr>
        <w:pStyle w:val="181"/>
        <w:spacing w:before="120" w:after="0"/>
        <w:rPr>
          <w:rFonts w:eastAsia="仿宋_GB2312"/>
          <w:color w:val="000000"/>
          <w:sz w:val="30"/>
          <w:szCs w:val="30"/>
        </w:rPr>
      </w:pPr>
      <w:r>
        <w:rPr>
          <w:rFonts w:eastAsia="仿宋_GB2312"/>
          <w:color w:val="000000"/>
          <w:sz w:val="30"/>
          <w:szCs w:val="30"/>
        </w:rPr>
        <w:br w:type="page" w:clear="all"/>
      </w:r>
      <w:bookmarkStart w:id="140" w:name="_Toc495500050"/>
      <w:r>
        <w:rPr>
          <w:rFonts w:eastAsia="仿宋_GB2312"/>
          <w:color w:val="000000"/>
          <w:sz w:val="30"/>
          <w:szCs w:val="30"/>
        </w:rPr>
        <w:t>3、工程分析</w:t>
      </w:r>
      <w:bookmarkEnd w:id="140"/>
    </w:p>
    <w:p w14:paraId="2A67E694">
      <w:pPr>
        <w:pStyle w:val="182"/>
        <w:spacing w:before="120" w:after="120"/>
        <w:ind w:firstLine="272"/>
        <w:rPr>
          <w:rFonts w:ascii="Times New Roman" w:hAnsi="Times New Roman" w:eastAsia="仿宋_GB2312" w:cs="Times New Roman"/>
          <w:color w:val="000000"/>
          <w:sz w:val="28"/>
          <w:szCs w:val="28"/>
        </w:rPr>
      </w:pPr>
      <w:bookmarkStart w:id="141" w:name="_Toc217711315"/>
      <w:bookmarkEnd w:id="141"/>
      <w:bookmarkStart w:id="142" w:name="_Toc495500051"/>
      <w:r>
        <w:rPr>
          <w:rFonts w:ascii="Times New Roman" w:hAnsi="Times New Roman" w:eastAsia="仿宋_GB2312" w:cs="Times New Roman"/>
          <w:color w:val="000000"/>
          <w:sz w:val="28"/>
          <w:szCs w:val="28"/>
        </w:rPr>
        <w:t>3.1产业政策符合性分析</w:t>
      </w:r>
      <w:bookmarkEnd w:id="142"/>
    </w:p>
    <w:p w14:paraId="5938D80A">
      <w:pPr>
        <w:spacing w:line="360" w:lineRule="auto"/>
        <w:ind w:firstLine="480"/>
        <w:rPr>
          <w:color w:val="000000"/>
          <w:sz w:val="24"/>
        </w:rPr>
      </w:pPr>
      <w:r>
        <w:rPr>
          <w:color w:val="000000"/>
          <w:sz w:val="24"/>
        </w:rPr>
        <w:t>本项目为卫生基础设施建设，属改善基本医疗服务设施，属于《产业结构调整指导目录(2011年本)（2013年修正）》鼓励类中第三十六条29项“医疗卫生服务设施建设”，即项目属国家鼓励类项目，因此项目的建设符合国家产业政策。</w:t>
      </w:r>
    </w:p>
    <w:p w14:paraId="5F160F62">
      <w:pPr>
        <w:pStyle w:val="182"/>
        <w:ind w:firstLine="275"/>
        <w:rPr>
          <w:rFonts w:ascii="Times New Roman" w:hAnsi="Times New Roman" w:eastAsia="仿宋_GB2312" w:cs="Times New Roman"/>
          <w:color w:val="000000"/>
          <w:sz w:val="28"/>
          <w:szCs w:val="28"/>
        </w:rPr>
      </w:pPr>
      <w:bookmarkStart w:id="143" w:name="_Toc495500052"/>
      <w:r>
        <w:rPr>
          <w:rFonts w:hint="eastAsia" w:ascii="Times New Roman" w:hAnsi="Times New Roman" w:eastAsia="仿宋_GB2312" w:cs="Times New Roman"/>
          <w:color w:val="000000"/>
          <w:sz w:val="28"/>
          <w:szCs w:val="28"/>
        </w:rPr>
        <w:t>3</w:t>
      </w:r>
      <w:r>
        <w:rPr>
          <w:rFonts w:ascii="Times New Roman" w:hAnsi="Times New Roman" w:eastAsia="仿宋_GB2312" w:cs="Times New Roman"/>
          <w:color w:val="000000"/>
          <w:sz w:val="28"/>
          <w:szCs w:val="28"/>
        </w:rPr>
        <w:t>.2与相关规划相符性分析</w:t>
      </w:r>
      <w:bookmarkEnd w:id="143"/>
    </w:p>
    <w:p w14:paraId="58E32050">
      <w:pPr>
        <w:pStyle w:val="221"/>
        <w:spacing w:after="0" w:line="360" w:lineRule="auto"/>
        <w:ind w:left="0" w:firstLine="480"/>
        <w:rPr>
          <w:rFonts w:ascii="宋体" w:hAnsi="宋体"/>
          <w:color w:val="000000"/>
          <w:sz w:val="24"/>
        </w:rPr>
      </w:pPr>
      <w:r>
        <w:rPr>
          <w:rFonts w:ascii="宋体" w:hAnsi="宋体"/>
          <w:color w:val="000000"/>
          <w:sz w:val="24"/>
        </w:rPr>
        <w:t>（1）与</w:t>
      </w:r>
      <w:r>
        <w:rPr>
          <w:rFonts w:hint="eastAsia" w:ascii="宋体" w:hAnsi="宋体"/>
          <w:color w:val="000000"/>
          <w:sz w:val="24"/>
        </w:rPr>
        <w:t>芒市</w:t>
      </w:r>
      <w:r>
        <w:rPr>
          <w:rFonts w:ascii="宋体" w:hAnsi="宋体"/>
          <w:color w:val="000000"/>
          <w:sz w:val="24"/>
        </w:rPr>
        <w:t>国民经济和社会发展第十</w:t>
      </w:r>
      <w:r>
        <w:rPr>
          <w:rFonts w:hint="eastAsia" w:ascii="宋体" w:hAnsi="宋体"/>
          <w:color w:val="000000"/>
          <w:sz w:val="24"/>
        </w:rPr>
        <w:t>三</w:t>
      </w:r>
      <w:r>
        <w:rPr>
          <w:rFonts w:ascii="宋体" w:hAnsi="宋体"/>
          <w:color w:val="000000"/>
          <w:sz w:val="24"/>
        </w:rPr>
        <w:t>个五年规划相符性分析</w:t>
      </w:r>
    </w:p>
    <w:p w14:paraId="095D98D8">
      <w:pPr>
        <w:spacing w:line="360" w:lineRule="auto"/>
        <w:ind w:firstLine="480"/>
        <w:rPr>
          <w:rFonts w:hint="eastAsia" w:ascii="宋体" w:hAnsi="宋体"/>
          <w:color w:val="000000"/>
          <w:sz w:val="24"/>
        </w:rPr>
      </w:pPr>
      <w:r>
        <w:rPr>
          <w:rFonts w:ascii="宋体" w:hAnsi="宋体"/>
          <w:color w:val="000000"/>
          <w:sz w:val="24"/>
        </w:rPr>
        <w:t>本项目为</w:t>
      </w:r>
      <w:r>
        <w:rPr>
          <w:rFonts w:hint="eastAsia" w:ascii="宋体" w:hAnsi="宋体"/>
          <w:color w:val="000000"/>
          <w:sz w:val="24"/>
        </w:rPr>
        <w:t>芒市妇幼保健院迁建项目</w:t>
      </w:r>
      <w:r>
        <w:rPr>
          <w:rFonts w:ascii="宋体" w:hAnsi="宋体"/>
          <w:color w:val="000000"/>
          <w:sz w:val="24"/>
        </w:rPr>
        <w:t>，属公共卫生项目。依据《</w:t>
      </w:r>
      <w:r>
        <w:rPr>
          <w:rFonts w:hint="eastAsia" w:ascii="宋体" w:hAnsi="宋体"/>
          <w:color w:val="000000"/>
          <w:sz w:val="24"/>
        </w:rPr>
        <w:t>芒市国民经济和社会发展第十三个五年规划纲要</w:t>
      </w:r>
      <w:r>
        <w:rPr>
          <w:rFonts w:ascii="宋体" w:hAnsi="宋体"/>
          <w:color w:val="000000"/>
          <w:sz w:val="24"/>
        </w:rPr>
        <w:t>》，本项目为</w:t>
      </w:r>
      <w:r>
        <w:rPr>
          <w:rFonts w:hint="eastAsia" w:ascii="宋体" w:hAnsi="宋体"/>
          <w:color w:val="000000"/>
          <w:sz w:val="24"/>
        </w:rPr>
        <w:t>芒市</w:t>
      </w:r>
      <w:r>
        <w:rPr>
          <w:rFonts w:ascii="宋体" w:hAnsi="宋体"/>
          <w:color w:val="000000"/>
          <w:sz w:val="24"/>
        </w:rPr>
        <w:t>“十</w:t>
      </w:r>
      <w:r>
        <w:rPr>
          <w:rFonts w:hint="eastAsia" w:ascii="宋体" w:hAnsi="宋体"/>
          <w:color w:val="000000"/>
          <w:sz w:val="24"/>
        </w:rPr>
        <w:t>三</w:t>
      </w:r>
      <w:r>
        <w:rPr>
          <w:rFonts w:ascii="宋体" w:hAnsi="宋体"/>
          <w:color w:val="000000"/>
          <w:sz w:val="24"/>
        </w:rPr>
        <w:t>五”重点发展的社会事业公益性支撑项目。因此，本项目符合《</w:t>
      </w:r>
      <w:r>
        <w:rPr>
          <w:rFonts w:hint="eastAsia" w:ascii="宋体" w:hAnsi="宋体"/>
          <w:color w:val="000000"/>
          <w:sz w:val="24"/>
        </w:rPr>
        <w:t>芒市</w:t>
      </w:r>
      <w:r>
        <w:rPr>
          <w:rFonts w:ascii="宋体" w:hAnsi="宋体"/>
          <w:color w:val="000000"/>
          <w:sz w:val="24"/>
        </w:rPr>
        <w:t>国民经济和社会发展第十</w:t>
      </w:r>
      <w:r>
        <w:rPr>
          <w:rFonts w:hint="eastAsia" w:ascii="宋体" w:hAnsi="宋体"/>
          <w:color w:val="000000"/>
          <w:sz w:val="24"/>
        </w:rPr>
        <w:t>三</w:t>
      </w:r>
      <w:r>
        <w:rPr>
          <w:rFonts w:ascii="宋体" w:hAnsi="宋体"/>
          <w:color w:val="000000"/>
          <w:sz w:val="24"/>
        </w:rPr>
        <w:t>个五年规划》，有利于</w:t>
      </w:r>
      <w:r>
        <w:rPr>
          <w:rFonts w:hint="eastAsia" w:ascii="宋体" w:hAnsi="宋体"/>
          <w:color w:val="000000"/>
          <w:sz w:val="24"/>
        </w:rPr>
        <w:t>芒市</w:t>
      </w:r>
      <w:r>
        <w:rPr>
          <w:rFonts w:ascii="宋体" w:hAnsi="宋体"/>
          <w:color w:val="000000"/>
          <w:sz w:val="24"/>
        </w:rPr>
        <w:t>完善卫生基础设施，建立健全公共卫生服务和监督体系，提高人民群众健康水平。</w:t>
      </w:r>
    </w:p>
    <w:p w14:paraId="49ED00B3">
      <w:pPr>
        <w:pStyle w:val="221"/>
        <w:spacing w:after="0" w:line="360" w:lineRule="auto"/>
        <w:ind w:left="0" w:firstLine="480"/>
        <w:rPr>
          <w:rFonts w:ascii="宋体" w:hAnsi="宋体"/>
          <w:color w:val="000000"/>
          <w:sz w:val="24"/>
        </w:rPr>
      </w:pPr>
      <w:r>
        <w:rPr>
          <w:rFonts w:ascii="宋体" w:hAnsi="宋体"/>
          <w:color w:val="000000"/>
          <w:sz w:val="24"/>
        </w:rPr>
        <w:t>（2）与</w:t>
      </w:r>
      <w:r>
        <w:rPr>
          <w:rFonts w:hint="eastAsia" w:ascii="宋体" w:hAnsi="宋体"/>
          <w:color w:val="000000"/>
          <w:sz w:val="24"/>
        </w:rPr>
        <w:t>《芒市城市总体规划（2011—2030）》</w:t>
      </w:r>
      <w:r>
        <w:rPr>
          <w:rFonts w:ascii="宋体" w:hAnsi="宋体"/>
          <w:color w:val="000000"/>
          <w:sz w:val="24"/>
        </w:rPr>
        <w:t>的相符性分析</w:t>
      </w:r>
    </w:p>
    <w:p w14:paraId="44750C0C">
      <w:pPr>
        <w:spacing w:line="360" w:lineRule="auto"/>
        <w:ind w:firstLine="480"/>
        <w:rPr>
          <w:rFonts w:ascii="宋体" w:hAnsi="宋体"/>
          <w:color w:val="000000"/>
          <w:sz w:val="24"/>
        </w:rPr>
      </w:pPr>
      <w:r>
        <w:rPr>
          <w:rFonts w:hint="eastAsia" w:ascii="宋体" w:hAnsi="宋体"/>
          <w:color w:val="000000"/>
          <w:sz w:val="24"/>
        </w:rPr>
        <w:t>1）、</w:t>
      </w:r>
      <w:r>
        <w:rPr>
          <w:rFonts w:ascii="宋体" w:hAnsi="宋体"/>
          <w:color w:val="000000"/>
          <w:sz w:val="24"/>
        </w:rPr>
        <w:t>符合公共设施用地规划</w:t>
      </w:r>
    </w:p>
    <w:p w14:paraId="33602162">
      <w:pPr>
        <w:spacing w:line="360" w:lineRule="auto"/>
        <w:ind w:firstLine="480"/>
        <w:rPr>
          <w:rFonts w:hint="eastAsia" w:ascii="宋体" w:hAnsi="宋体"/>
          <w:color w:val="000000"/>
          <w:sz w:val="24"/>
        </w:rPr>
      </w:pPr>
      <w:r>
        <w:rPr>
          <w:rFonts w:hint="eastAsia" w:ascii="宋体" w:hAnsi="宋体"/>
          <w:color w:val="000000"/>
          <w:sz w:val="24"/>
        </w:rPr>
        <w:t>根据芒市城市总体规划修编</w:t>
      </w:r>
      <w:r>
        <w:rPr>
          <w:rFonts w:ascii="宋体" w:hAnsi="宋体"/>
          <w:color w:val="000000"/>
          <w:sz w:val="24"/>
        </w:rPr>
        <w:t>（20</w:t>
      </w:r>
      <w:r>
        <w:rPr>
          <w:rFonts w:hint="eastAsia" w:ascii="宋体" w:hAnsi="宋体"/>
          <w:color w:val="000000"/>
          <w:sz w:val="24"/>
        </w:rPr>
        <w:t>11</w:t>
      </w:r>
      <w:r>
        <w:rPr>
          <w:rFonts w:ascii="宋体" w:hAnsi="宋体"/>
          <w:color w:val="000000"/>
          <w:sz w:val="24"/>
        </w:rPr>
        <w:t>年－20</w:t>
      </w:r>
      <w:r>
        <w:rPr>
          <w:rFonts w:hint="eastAsia" w:ascii="宋体" w:hAnsi="宋体"/>
          <w:color w:val="000000"/>
          <w:sz w:val="24"/>
        </w:rPr>
        <w:t>30</w:t>
      </w:r>
      <w:r>
        <w:rPr>
          <w:rFonts w:ascii="宋体" w:hAnsi="宋体"/>
          <w:color w:val="000000"/>
          <w:sz w:val="24"/>
        </w:rPr>
        <w:t>年）</w:t>
      </w:r>
      <w:r>
        <w:rPr>
          <w:rFonts w:hint="eastAsia" w:ascii="宋体" w:hAnsi="宋体"/>
          <w:color w:val="000000"/>
          <w:sz w:val="24"/>
        </w:rPr>
        <w:t>用地规划布局资料，项目所处用地片区规划为芒市的中心城市区，项目用地已取得了相关政府部门的批复。本项目符合用地规划。</w:t>
      </w:r>
    </w:p>
    <w:p w14:paraId="1588045A">
      <w:pPr>
        <w:spacing w:line="360" w:lineRule="auto"/>
        <w:ind w:firstLine="480"/>
        <w:rPr>
          <w:rFonts w:hint="eastAsia" w:ascii="宋体" w:hAnsi="宋体"/>
          <w:color w:val="000000"/>
          <w:sz w:val="24"/>
        </w:rPr>
      </w:pPr>
      <w:r>
        <w:rPr>
          <w:rFonts w:hint="eastAsia" w:ascii="宋体" w:hAnsi="宋体"/>
          <w:color w:val="000000"/>
          <w:sz w:val="24"/>
        </w:rPr>
        <w:t>2）、</w:t>
      </w:r>
      <w:r>
        <w:rPr>
          <w:rFonts w:ascii="宋体" w:hAnsi="宋体"/>
          <w:color w:val="000000"/>
          <w:sz w:val="24"/>
        </w:rPr>
        <w:t>符合规划</w:t>
      </w:r>
      <w:r>
        <w:rPr>
          <w:rFonts w:hint="eastAsia" w:ascii="宋体" w:hAnsi="宋体"/>
          <w:color w:val="000000"/>
          <w:sz w:val="24"/>
        </w:rPr>
        <w:t>城市</w:t>
      </w:r>
      <w:r>
        <w:rPr>
          <w:rFonts w:ascii="宋体" w:hAnsi="宋体"/>
          <w:color w:val="000000"/>
          <w:sz w:val="24"/>
        </w:rPr>
        <w:t>发展方向：</w:t>
      </w:r>
      <w:r>
        <w:rPr>
          <w:rFonts w:hint="eastAsia" w:ascii="宋体" w:hAnsi="宋体"/>
          <w:color w:val="000000"/>
          <w:sz w:val="24"/>
        </w:rPr>
        <w:t>芒市镇作为芒市的中心城市，是整个德宏州的政治、文化中心所在地，地理位置十分重要，规划在用地布局上将形成“一廊、两心、三城、七镇”的带状组团化结构，项目选址在机场大道环岛南侧符合城市的相关规划发展。</w:t>
      </w:r>
    </w:p>
    <w:p w14:paraId="02B7C72B">
      <w:pPr>
        <w:spacing w:line="360" w:lineRule="auto"/>
        <w:ind w:firstLine="480"/>
        <w:rPr>
          <w:color w:val="000000"/>
          <w:sz w:val="24"/>
        </w:rPr>
      </w:pPr>
      <w:r>
        <w:rPr>
          <w:rFonts w:ascii="宋体" w:hAnsi="宋体"/>
          <w:color w:val="000000"/>
          <w:sz w:val="24"/>
        </w:rPr>
        <w:t>本项目作为</w:t>
      </w:r>
      <w:r>
        <w:rPr>
          <w:rFonts w:hint="eastAsia" w:ascii="宋体" w:hAnsi="宋体"/>
          <w:color w:val="000000"/>
          <w:sz w:val="24"/>
        </w:rPr>
        <w:t>芒市医疗服务</w:t>
      </w:r>
      <w:r>
        <w:rPr>
          <w:rFonts w:ascii="宋体" w:hAnsi="宋体"/>
          <w:color w:val="000000"/>
          <w:sz w:val="24"/>
        </w:rPr>
        <w:t>实施</w:t>
      </w:r>
      <w:r>
        <w:rPr>
          <w:rFonts w:hint="eastAsia" w:ascii="宋体" w:hAnsi="宋体"/>
          <w:color w:val="000000"/>
          <w:sz w:val="24"/>
        </w:rPr>
        <w:t>的</w:t>
      </w:r>
      <w:r>
        <w:rPr>
          <w:rFonts w:ascii="宋体" w:hAnsi="宋体"/>
          <w:color w:val="000000"/>
          <w:sz w:val="24"/>
        </w:rPr>
        <w:t>重点项目，为</w:t>
      </w:r>
      <w:r>
        <w:rPr>
          <w:rFonts w:hint="eastAsia" w:ascii="宋体" w:hAnsi="宋体"/>
          <w:color w:val="000000"/>
          <w:sz w:val="24"/>
        </w:rPr>
        <w:t>芒市</w:t>
      </w:r>
      <w:r>
        <w:rPr>
          <w:rFonts w:ascii="宋体" w:hAnsi="宋体"/>
          <w:color w:val="000000"/>
          <w:sz w:val="24"/>
        </w:rPr>
        <w:t>重点发展的社会事业公益性支撑项目，为</w:t>
      </w:r>
      <w:r>
        <w:rPr>
          <w:rFonts w:hint="eastAsia" w:ascii="宋体" w:hAnsi="宋体"/>
          <w:color w:val="000000"/>
          <w:sz w:val="24"/>
        </w:rPr>
        <w:t>芒市</w:t>
      </w:r>
      <w:r>
        <w:rPr>
          <w:rFonts w:ascii="宋体" w:hAnsi="宋体"/>
          <w:color w:val="000000"/>
          <w:sz w:val="24"/>
        </w:rPr>
        <w:t>发展的基础设施，与</w:t>
      </w:r>
      <w:r>
        <w:rPr>
          <w:rFonts w:hint="eastAsia" w:ascii="宋体" w:hAnsi="宋体"/>
          <w:color w:val="000000"/>
          <w:sz w:val="24"/>
        </w:rPr>
        <w:t>芒市</w:t>
      </w:r>
      <w:r>
        <w:rPr>
          <w:rFonts w:ascii="宋体" w:hAnsi="宋体"/>
          <w:color w:val="000000"/>
          <w:sz w:val="24"/>
        </w:rPr>
        <w:t>的总体发展目标、发展方向一致，符合《</w:t>
      </w:r>
      <w:r>
        <w:rPr>
          <w:rFonts w:hint="eastAsia" w:ascii="宋体" w:hAnsi="宋体"/>
          <w:color w:val="000000"/>
          <w:sz w:val="24"/>
        </w:rPr>
        <w:t>芒市</w:t>
      </w:r>
      <w:r>
        <w:rPr>
          <w:rFonts w:ascii="宋体" w:hAnsi="宋体"/>
          <w:color w:val="000000"/>
          <w:sz w:val="24"/>
        </w:rPr>
        <w:t>国民经济和社会发展第十</w:t>
      </w:r>
      <w:r>
        <w:rPr>
          <w:rFonts w:hint="eastAsia" w:ascii="宋体" w:hAnsi="宋体"/>
          <w:color w:val="000000"/>
          <w:sz w:val="24"/>
        </w:rPr>
        <w:t>三</w:t>
      </w:r>
      <w:r>
        <w:rPr>
          <w:rFonts w:ascii="宋体" w:hAnsi="宋体"/>
          <w:color w:val="000000"/>
          <w:sz w:val="24"/>
        </w:rPr>
        <w:t>个五年规划纲要》、《</w:t>
      </w:r>
      <w:r>
        <w:rPr>
          <w:rFonts w:hint="eastAsia" w:ascii="宋体" w:hAnsi="宋体"/>
          <w:color w:val="000000"/>
          <w:sz w:val="24"/>
        </w:rPr>
        <w:t>芒市</w:t>
      </w:r>
      <w:r>
        <w:rPr>
          <w:rFonts w:ascii="宋体" w:hAnsi="宋体"/>
          <w:color w:val="000000"/>
          <w:sz w:val="24"/>
        </w:rPr>
        <w:t>城市总体规划（20</w:t>
      </w:r>
      <w:r>
        <w:rPr>
          <w:rFonts w:hint="eastAsia" w:ascii="宋体" w:hAnsi="宋体"/>
          <w:color w:val="000000"/>
          <w:sz w:val="24"/>
        </w:rPr>
        <w:t>11</w:t>
      </w:r>
      <w:r>
        <w:rPr>
          <w:rFonts w:ascii="宋体" w:hAnsi="宋体"/>
          <w:color w:val="000000"/>
          <w:sz w:val="24"/>
        </w:rPr>
        <w:t>年-20</w:t>
      </w:r>
      <w:r>
        <w:rPr>
          <w:rFonts w:hint="eastAsia" w:ascii="宋体" w:hAnsi="宋体"/>
          <w:color w:val="000000"/>
          <w:sz w:val="24"/>
        </w:rPr>
        <w:t>30</w:t>
      </w:r>
      <w:r>
        <w:rPr>
          <w:rFonts w:ascii="宋体" w:hAnsi="宋体"/>
          <w:color w:val="000000"/>
          <w:sz w:val="24"/>
        </w:rPr>
        <w:t>年）》相关要求与规划。</w:t>
      </w:r>
    </w:p>
    <w:p w14:paraId="5AA4D75B">
      <w:pPr>
        <w:pStyle w:val="182"/>
        <w:ind w:firstLine="275"/>
        <w:rPr>
          <w:rFonts w:ascii="Times New Roman" w:hAnsi="Times New Roman" w:eastAsia="仿宋_GB2312" w:cs="Times New Roman"/>
          <w:color w:val="000000"/>
          <w:sz w:val="28"/>
          <w:szCs w:val="28"/>
        </w:rPr>
      </w:pPr>
      <w:bookmarkStart w:id="144" w:name="_Toc241905020"/>
      <w:bookmarkEnd w:id="144"/>
      <w:bookmarkStart w:id="145" w:name="_Toc240180230"/>
      <w:bookmarkEnd w:id="145"/>
      <w:bookmarkStart w:id="146" w:name="_Toc495500053"/>
      <w:r>
        <w:rPr>
          <w:rFonts w:hint="eastAsia" w:ascii="Times New Roman" w:hAnsi="Times New Roman" w:eastAsia="仿宋_GB2312" w:cs="Times New Roman"/>
          <w:color w:val="000000"/>
          <w:sz w:val="28"/>
          <w:szCs w:val="28"/>
        </w:rPr>
        <w:t>3</w:t>
      </w:r>
      <w:r>
        <w:rPr>
          <w:rFonts w:ascii="Times New Roman" w:hAnsi="Times New Roman" w:eastAsia="仿宋_GB2312" w:cs="Times New Roman"/>
          <w:color w:val="000000"/>
          <w:sz w:val="28"/>
          <w:szCs w:val="28"/>
        </w:rPr>
        <w:t>.3选址合理性分析</w:t>
      </w:r>
      <w:bookmarkEnd w:id="146"/>
    </w:p>
    <w:p w14:paraId="5EDF7B06">
      <w:pPr>
        <w:spacing w:line="360" w:lineRule="auto"/>
        <w:ind w:firstLine="480"/>
        <w:rPr>
          <w:rFonts w:ascii="宋体" w:hAnsi="宋体"/>
          <w:color w:val="000000"/>
          <w:sz w:val="24"/>
        </w:rPr>
      </w:pPr>
      <w:bookmarkStart w:id="147" w:name="_Toc217711317"/>
      <w:bookmarkEnd w:id="147"/>
      <w:r>
        <w:rPr>
          <w:rFonts w:ascii="宋体" w:hAnsi="宋体"/>
          <w:color w:val="000000"/>
          <w:sz w:val="24"/>
        </w:rPr>
        <w:t>（1）选址基本原则</w:t>
      </w:r>
    </w:p>
    <w:p w14:paraId="2D7A62DD">
      <w:pPr>
        <w:pStyle w:val="300"/>
        <w:spacing w:line="360" w:lineRule="auto"/>
        <w:ind w:firstLine="480"/>
        <w:rPr>
          <w:rFonts w:ascii="宋体" w:hAnsi="宋体"/>
          <w:color w:val="000000"/>
          <w:szCs w:val="24"/>
        </w:rPr>
      </w:pPr>
      <w:r>
        <w:rPr>
          <w:rFonts w:ascii="宋体" w:hAnsi="宋体"/>
          <w:color w:val="000000"/>
          <w:szCs w:val="24"/>
        </w:rPr>
        <w:t>本项目属公共卫生项目，参照国家对</w:t>
      </w:r>
      <w:r>
        <w:rPr>
          <w:rFonts w:hint="eastAsia" w:ascii="宋体" w:hAnsi="宋体"/>
          <w:color w:val="000000"/>
          <w:szCs w:val="24"/>
        </w:rPr>
        <w:t>综合</w:t>
      </w:r>
      <w:r>
        <w:rPr>
          <w:rFonts w:ascii="宋体" w:hAnsi="宋体"/>
          <w:color w:val="000000"/>
          <w:szCs w:val="24"/>
        </w:rPr>
        <w:t>医院建设的相关要求与规范，选址的基本原则为：</w:t>
      </w:r>
    </w:p>
    <w:p w14:paraId="2010ABC0">
      <w:pPr>
        <w:pStyle w:val="300"/>
        <w:spacing w:line="360" w:lineRule="auto"/>
        <w:ind w:firstLine="480"/>
        <w:rPr>
          <w:rFonts w:hint="eastAsia" w:ascii="宋体" w:hAnsi="宋体"/>
          <w:color w:val="000000"/>
          <w:szCs w:val="24"/>
        </w:rPr>
      </w:pPr>
      <w:r>
        <w:rPr>
          <w:rFonts w:hint="eastAsia" w:ascii="宋体" w:hAnsi="宋体"/>
          <w:color w:val="000000"/>
          <w:szCs w:val="24"/>
        </w:rPr>
        <w:t>1）、</w:t>
      </w:r>
      <w:r>
        <w:rPr>
          <w:rFonts w:ascii="宋体" w:hAnsi="宋体"/>
          <w:color w:val="000000"/>
          <w:szCs w:val="24"/>
        </w:rPr>
        <w:t>符合城市总体规划与其他相关规划</w:t>
      </w:r>
      <w:r>
        <w:rPr>
          <w:rFonts w:hint="eastAsia" w:ascii="宋体" w:hAnsi="宋体"/>
          <w:color w:val="000000"/>
          <w:szCs w:val="24"/>
        </w:rPr>
        <w:t>。</w:t>
      </w:r>
    </w:p>
    <w:p w14:paraId="10F23CCF">
      <w:pPr>
        <w:pStyle w:val="300"/>
        <w:spacing w:line="360" w:lineRule="auto"/>
        <w:ind w:firstLine="480"/>
        <w:rPr>
          <w:rFonts w:ascii="宋体" w:hAnsi="宋体"/>
          <w:color w:val="000000"/>
          <w:szCs w:val="24"/>
        </w:rPr>
      </w:pPr>
      <w:r>
        <w:rPr>
          <w:rFonts w:hint="eastAsia" w:ascii="宋体" w:hAnsi="宋体"/>
          <w:color w:val="000000"/>
          <w:szCs w:val="24"/>
        </w:rPr>
        <w:t>2）、</w:t>
      </w:r>
      <w:r>
        <w:rPr>
          <w:rFonts w:ascii="宋体" w:hAnsi="宋体"/>
          <w:color w:val="000000"/>
          <w:szCs w:val="24"/>
        </w:rPr>
        <w:t>为方便使用，节省投资，应考虑充分利用城市现有基础设施，交通方便，附近有供水、排水、供电、通讯等公用设施。</w:t>
      </w:r>
    </w:p>
    <w:p w14:paraId="4FE0C0EB">
      <w:pPr>
        <w:pStyle w:val="300"/>
        <w:spacing w:line="360" w:lineRule="auto"/>
        <w:ind w:firstLine="480"/>
        <w:rPr>
          <w:rFonts w:ascii="宋体" w:hAnsi="宋体"/>
          <w:color w:val="000000"/>
          <w:szCs w:val="24"/>
        </w:rPr>
      </w:pPr>
      <w:r>
        <w:rPr>
          <w:rFonts w:hint="eastAsia" w:ascii="宋体" w:hAnsi="宋体"/>
          <w:color w:val="000000"/>
          <w:szCs w:val="24"/>
        </w:rPr>
        <w:t>3）、</w:t>
      </w:r>
      <w:r>
        <w:rPr>
          <w:rFonts w:ascii="宋体" w:hAnsi="宋体"/>
          <w:color w:val="000000"/>
          <w:szCs w:val="24"/>
        </w:rPr>
        <w:t>综合考虑患者就诊方便，医院与周围环境相互影响，投资运行费用合理等技术经济的多个因素。</w:t>
      </w:r>
    </w:p>
    <w:p w14:paraId="1113D4CA">
      <w:pPr>
        <w:pStyle w:val="300"/>
        <w:spacing w:line="360" w:lineRule="auto"/>
        <w:ind w:firstLine="480"/>
        <w:rPr>
          <w:rFonts w:ascii="宋体" w:hAnsi="宋体"/>
          <w:color w:val="000000"/>
          <w:szCs w:val="24"/>
        </w:rPr>
      </w:pPr>
      <w:r>
        <w:rPr>
          <w:rFonts w:hint="eastAsia" w:ascii="宋体" w:hAnsi="宋体"/>
          <w:color w:val="000000"/>
          <w:szCs w:val="24"/>
        </w:rPr>
        <w:t>4）、</w:t>
      </w:r>
      <w:r>
        <w:rPr>
          <w:rFonts w:ascii="宋体" w:hAnsi="宋体"/>
          <w:color w:val="000000"/>
          <w:szCs w:val="24"/>
        </w:rPr>
        <w:t>为方便病人就诊，以及转运病人快捷，新建医院住院大楼应靠近交通道路，公共交通及其他交通工具可及的地段。</w:t>
      </w:r>
    </w:p>
    <w:p w14:paraId="797CC9FB">
      <w:pPr>
        <w:pStyle w:val="300"/>
        <w:spacing w:line="360" w:lineRule="auto"/>
        <w:ind w:firstLine="480"/>
        <w:rPr>
          <w:rFonts w:ascii="宋体" w:hAnsi="宋体"/>
          <w:color w:val="000000"/>
          <w:szCs w:val="24"/>
        </w:rPr>
      </w:pPr>
      <w:r>
        <w:rPr>
          <w:rFonts w:hint="eastAsia" w:ascii="宋体" w:hAnsi="宋体"/>
          <w:color w:val="000000"/>
          <w:szCs w:val="24"/>
        </w:rPr>
        <w:t>5）、</w:t>
      </w:r>
      <w:r>
        <w:rPr>
          <w:rFonts w:ascii="宋体" w:hAnsi="宋体"/>
          <w:color w:val="000000"/>
          <w:szCs w:val="24"/>
        </w:rPr>
        <w:t>医院用地选址应取比较方整、地势平坦、具有合适高程地段。</w:t>
      </w:r>
    </w:p>
    <w:p w14:paraId="48F7FFB6">
      <w:pPr>
        <w:pStyle w:val="300"/>
        <w:spacing w:line="360" w:lineRule="auto"/>
        <w:ind w:firstLine="480"/>
        <w:rPr>
          <w:rFonts w:ascii="宋体" w:hAnsi="宋体"/>
          <w:color w:val="000000"/>
          <w:szCs w:val="24"/>
        </w:rPr>
      </w:pPr>
      <w:r>
        <w:rPr>
          <w:rFonts w:hint="eastAsia" w:ascii="宋体" w:hAnsi="宋体"/>
          <w:color w:val="000000"/>
          <w:szCs w:val="24"/>
        </w:rPr>
        <w:t>6）、</w:t>
      </w:r>
      <w:r>
        <w:rPr>
          <w:rFonts w:ascii="宋体" w:hAnsi="宋体"/>
          <w:color w:val="000000"/>
          <w:szCs w:val="24"/>
        </w:rPr>
        <w:t>应注意利用市政公用基础设施条件。</w:t>
      </w:r>
    </w:p>
    <w:p w14:paraId="672651DA">
      <w:pPr>
        <w:pStyle w:val="300"/>
        <w:spacing w:line="360" w:lineRule="auto"/>
        <w:ind w:firstLine="480"/>
        <w:rPr>
          <w:rFonts w:hint="eastAsia" w:ascii="宋体" w:hAnsi="宋体"/>
          <w:color w:val="000000"/>
          <w:szCs w:val="24"/>
        </w:rPr>
      </w:pPr>
      <w:r>
        <w:rPr>
          <w:rFonts w:hint="eastAsia" w:ascii="宋体" w:hAnsi="宋体"/>
          <w:color w:val="000000"/>
          <w:szCs w:val="24"/>
        </w:rPr>
        <w:t>7）、</w:t>
      </w:r>
      <w:r>
        <w:rPr>
          <w:rFonts w:ascii="宋体" w:hAnsi="宋体"/>
          <w:color w:val="000000"/>
          <w:szCs w:val="24"/>
        </w:rPr>
        <w:t>应注意选择地质条件较好、构造比较稳定的地段。</w:t>
      </w:r>
    </w:p>
    <w:p w14:paraId="781AD043">
      <w:pPr>
        <w:pStyle w:val="300"/>
        <w:spacing w:line="360" w:lineRule="auto"/>
        <w:ind w:firstLine="480"/>
        <w:rPr>
          <w:rFonts w:hint="eastAsia" w:ascii="宋体" w:hAnsi="宋体"/>
          <w:color w:val="000000"/>
          <w:szCs w:val="24"/>
        </w:rPr>
      </w:pPr>
      <w:r>
        <w:rPr>
          <w:rFonts w:hint="eastAsia" w:ascii="宋体" w:hAnsi="宋体"/>
          <w:color w:val="000000"/>
          <w:szCs w:val="24"/>
        </w:rPr>
        <w:t>8）、</w:t>
      </w:r>
      <w:r>
        <w:rPr>
          <w:rFonts w:ascii="宋体" w:hAnsi="宋体"/>
          <w:color w:val="000000"/>
          <w:szCs w:val="24"/>
        </w:rPr>
        <w:t>应远离易燃、易爆及有害气体生产、贮存场所。</w:t>
      </w:r>
    </w:p>
    <w:p w14:paraId="78EF13A5">
      <w:pPr>
        <w:pStyle w:val="300"/>
        <w:spacing w:line="360" w:lineRule="auto"/>
        <w:ind w:firstLine="480"/>
        <w:rPr>
          <w:rFonts w:hint="eastAsia" w:ascii="宋体" w:hAnsi="宋体"/>
          <w:color w:val="000000"/>
          <w:szCs w:val="24"/>
        </w:rPr>
      </w:pPr>
      <w:r>
        <w:rPr>
          <w:rFonts w:hint="eastAsia" w:ascii="宋体" w:hAnsi="宋体"/>
          <w:color w:val="000000"/>
          <w:szCs w:val="24"/>
        </w:rPr>
        <w:t>9）、</w:t>
      </w:r>
      <w:r>
        <w:rPr>
          <w:rFonts w:ascii="宋体" w:hAnsi="宋体"/>
          <w:color w:val="000000"/>
          <w:szCs w:val="24"/>
        </w:rPr>
        <w:t>应远离食品和饲料生产、加工、贮存，家禽、家畜饲养、产品加工等企业。</w:t>
      </w:r>
    </w:p>
    <w:p w14:paraId="16868A05">
      <w:pPr>
        <w:pStyle w:val="300"/>
        <w:spacing w:line="360" w:lineRule="auto"/>
        <w:ind w:firstLine="480"/>
        <w:rPr>
          <w:rFonts w:hint="eastAsia" w:ascii="宋体" w:hAnsi="宋体"/>
          <w:color w:val="000000"/>
          <w:szCs w:val="24"/>
        </w:rPr>
      </w:pPr>
      <w:r>
        <w:rPr>
          <w:rFonts w:hint="eastAsia" w:ascii="宋体" w:hAnsi="宋体"/>
          <w:color w:val="000000"/>
          <w:szCs w:val="24"/>
        </w:rPr>
        <w:t>10）、</w:t>
      </w:r>
      <w:r>
        <w:rPr>
          <w:rFonts w:ascii="宋体" w:hAnsi="宋体"/>
          <w:color w:val="000000"/>
          <w:szCs w:val="24"/>
        </w:rPr>
        <w:t>应远离幼儿园、学校等人员密集的公共设施或场所。</w:t>
      </w:r>
    </w:p>
    <w:p w14:paraId="6DD3BD0A">
      <w:pPr>
        <w:spacing w:line="360" w:lineRule="auto"/>
        <w:ind w:firstLine="480"/>
        <w:rPr>
          <w:rFonts w:ascii="宋体" w:hAnsi="宋体"/>
          <w:color w:val="000000"/>
          <w:sz w:val="24"/>
        </w:rPr>
      </w:pPr>
      <w:bookmarkStart w:id="148" w:name="_Toc241905021"/>
      <w:bookmarkStart w:id="149" w:name="_Toc240180231"/>
      <w:r>
        <w:rPr>
          <w:rFonts w:ascii="宋体" w:hAnsi="宋体"/>
          <w:color w:val="000000"/>
          <w:sz w:val="24"/>
        </w:rPr>
        <w:t>（2）拟选院址合理性分析</w:t>
      </w:r>
      <w:bookmarkEnd w:id="148"/>
      <w:bookmarkEnd w:id="149"/>
    </w:p>
    <w:p w14:paraId="5D4F9E5B">
      <w:pPr>
        <w:pStyle w:val="300"/>
        <w:spacing w:line="360" w:lineRule="auto"/>
        <w:ind w:firstLine="480"/>
        <w:rPr>
          <w:rFonts w:hint="eastAsia" w:ascii="宋体" w:hAnsi="宋体"/>
          <w:color w:val="000000"/>
          <w:szCs w:val="24"/>
        </w:rPr>
      </w:pPr>
      <w:r>
        <w:rPr>
          <w:rFonts w:hint="eastAsia" w:ascii="宋体" w:hAnsi="宋体"/>
          <w:color w:val="000000"/>
          <w:szCs w:val="24"/>
        </w:rPr>
        <w:t>1）、</w:t>
      </w:r>
      <w:r>
        <w:rPr>
          <w:rFonts w:ascii="宋体" w:hAnsi="宋体"/>
          <w:color w:val="000000"/>
          <w:szCs w:val="24"/>
        </w:rPr>
        <w:t>本项目符合《</w:t>
      </w:r>
      <w:r>
        <w:rPr>
          <w:rFonts w:hint="eastAsia" w:ascii="宋体" w:hAnsi="宋体"/>
          <w:color w:val="000000"/>
          <w:szCs w:val="24"/>
        </w:rPr>
        <w:t>芒市</w:t>
      </w:r>
      <w:r>
        <w:rPr>
          <w:rFonts w:ascii="宋体" w:hAnsi="宋体"/>
          <w:color w:val="000000"/>
          <w:szCs w:val="24"/>
        </w:rPr>
        <w:t>国民经济和社会发展第十</w:t>
      </w:r>
      <w:r>
        <w:rPr>
          <w:rFonts w:hint="eastAsia" w:ascii="宋体" w:hAnsi="宋体"/>
          <w:color w:val="000000"/>
          <w:szCs w:val="24"/>
        </w:rPr>
        <w:t>三</w:t>
      </w:r>
      <w:r>
        <w:rPr>
          <w:rFonts w:ascii="宋体" w:hAnsi="宋体"/>
          <w:color w:val="000000"/>
          <w:szCs w:val="24"/>
        </w:rPr>
        <w:t>个五年规划纲要》相关要求与规划，因此项目的选址与相关规划是相符的。</w:t>
      </w:r>
    </w:p>
    <w:p w14:paraId="3A78DE70">
      <w:pPr>
        <w:pStyle w:val="300"/>
        <w:spacing w:line="360" w:lineRule="auto"/>
        <w:ind w:firstLine="480"/>
        <w:rPr>
          <w:rFonts w:hint="eastAsia" w:ascii="宋体" w:hAnsi="宋体"/>
          <w:color w:val="000000"/>
          <w:szCs w:val="24"/>
        </w:rPr>
      </w:pPr>
      <w:r>
        <w:rPr>
          <w:rFonts w:hint="eastAsia" w:ascii="宋体" w:hAnsi="宋体"/>
          <w:color w:val="000000"/>
          <w:szCs w:val="24"/>
        </w:rPr>
        <w:t>2）、根据</w:t>
      </w:r>
      <w:r>
        <w:rPr>
          <w:rFonts w:ascii="宋体" w:hAnsi="宋体"/>
          <w:color w:val="000000"/>
          <w:szCs w:val="24"/>
        </w:rPr>
        <w:t>《</w:t>
      </w:r>
      <w:r>
        <w:rPr>
          <w:rFonts w:hint="eastAsia" w:ascii="宋体" w:hAnsi="宋体"/>
          <w:color w:val="000000"/>
          <w:szCs w:val="24"/>
        </w:rPr>
        <w:t>芒市</w:t>
      </w:r>
      <w:r>
        <w:rPr>
          <w:rFonts w:ascii="宋体" w:hAnsi="宋体"/>
          <w:color w:val="000000"/>
          <w:szCs w:val="24"/>
        </w:rPr>
        <w:t>城市总体规划（20</w:t>
      </w:r>
      <w:r>
        <w:rPr>
          <w:rFonts w:hint="eastAsia" w:ascii="宋体" w:hAnsi="宋体"/>
          <w:color w:val="000000"/>
          <w:szCs w:val="24"/>
        </w:rPr>
        <w:t>11</w:t>
      </w:r>
      <w:r>
        <w:rPr>
          <w:rFonts w:ascii="宋体" w:hAnsi="宋体"/>
          <w:color w:val="000000"/>
          <w:szCs w:val="24"/>
        </w:rPr>
        <w:t>年-20</w:t>
      </w:r>
      <w:r>
        <w:rPr>
          <w:rFonts w:hint="eastAsia" w:ascii="宋体" w:hAnsi="宋体"/>
          <w:color w:val="000000"/>
          <w:szCs w:val="24"/>
        </w:rPr>
        <w:t>30</w:t>
      </w:r>
      <w:r>
        <w:rPr>
          <w:rFonts w:ascii="宋体" w:hAnsi="宋体"/>
          <w:color w:val="000000"/>
          <w:szCs w:val="24"/>
        </w:rPr>
        <w:t>年）》</w:t>
      </w:r>
      <w:r>
        <w:rPr>
          <w:rFonts w:hint="eastAsia" w:ascii="宋体" w:hAnsi="宋体"/>
          <w:color w:val="000000"/>
          <w:szCs w:val="24"/>
        </w:rPr>
        <w:t>，本项目占地用地符合规划要求，本项目已取得土地使用权，项目从芒市城市总体规划来看符合规划要求。</w:t>
      </w:r>
    </w:p>
    <w:p w14:paraId="43441133">
      <w:pPr>
        <w:pStyle w:val="300"/>
        <w:spacing w:line="360" w:lineRule="auto"/>
        <w:ind w:firstLine="480"/>
        <w:rPr>
          <w:rFonts w:ascii="宋体" w:hAnsi="宋体"/>
          <w:color w:val="000000"/>
          <w:szCs w:val="24"/>
        </w:rPr>
      </w:pPr>
      <w:r>
        <w:rPr>
          <w:rFonts w:hint="eastAsia" w:ascii="宋体" w:hAnsi="宋体"/>
          <w:color w:val="000000"/>
          <w:szCs w:val="24"/>
        </w:rPr>
        <w:t>3）、</w:t>
      </w:r>
      <w:r>
        <w:rPr>
          <w:rFonts w:ascii="宋体" w:hAnsi="宋体"/>
          <w:color w:val="000000"/>
          <w:szCs w:val="24"/>
        </w:rPr>
        <w:t>项目所选</w:t>
      </w:r>
      <w:r>
        <w:rPr>
          <w:rFonts w:hint="eastAsia" w:ascii="宋体" w:hAnsi="宋体"/>
          <w:color w:val="000000"/>
          <w:szCs w:val="24"/>
        </w:rPr>
        <w:t>场</w:t>
      </w:r>
      <w:r>
        <w:rPr>
          <w:rFonts w:ascii="宋体" w:hAnsi="宋体"/>
          <w:color w:val="000000"/>
          <w:szCs w:val="24"/>
        </w:rPr>
        <w:t>址位于一较平坦的开阔地上，项目区内地势较为平缓，本场地地形开阔，场地地形高差不大，无切割较深的沟谷及陡壁边坡，无滑坡、崩塌、泥石流、坍塌、漏斗、地面沉陷等不良地质作用和灾害地质现象，场地的稳定性较好。适宜建筑地带。</w:t>
      </w:r>
    </w:p>
    <w:p w14:paraId="38C1A3BF">
      <w:pPr>
        <w:pStyle w:val="300"/>
        <w:spacing w:line="360" w:lineRule="auto"/>
        <w:ind w:firstLine="480"/>
        <w:rPr>
          <w:rFonts w:ascii="宋体" w:hAnsi="宋体"/>
          <w:color w:val="000000"/>
        </w:rPr>
      </w:pPr>
      <w:r>
        <w:rPr>
          <w:rFonts w:hint="eastAsia" w:ascii="宋体" w:hAnsi="宋体"/>
          <w:color w:val="000000"/>
          <w:szCs w:val="24"/>
        </w:rPr>
        <w:t>4）、</w:t>
      </w:r>
      <w:r>
        <w:rPr>
          <w:rFonts w:ascii="宋体" w:hAnsi="宋体"/>
          <w:color w:val="000000"/>
          <w:szCs w:val="24"/>
        </w:rPr>
        <w:t>项目处于</w:t>
      </w:r>
      <w:r>
        <w:rPr>
          <w:rFonts w:hint="eastAsia" w:ascii="宋体" w:hAnsi="宋体"/>
          <w:color w:val="000000"/>
        </w:rPr>
        <w:t>芒市机场大道环岛南侧，所在区为芒市的重点发展区域，周边有机场大道和剑锋路从周边经过，</w:t>
      </w:r>
      <w:r>
        <w:rPr>
          <w:rFonts w:ascii="宋体" w:hAnsi="宋体"/>
          <w:color w:val="000000"/>
          <w:szCs w:val="24"/>
        </w:rPr>
        <w:t>交通条件较好。</w:t>
      </w:r>
    </w:p>
    <w:p w14:paraId="02F9DF0F">
      <w:pPr>
        <w:pStyle w:val="300"/>
        <w:spacing w:line="360" w:lineRule="auto"/>
        <w:ind w:firstLine="480"/>
        <w:rPr>
          <w:rFonts w:ascii="宋体" w:hAnsi="宋体"/>
          <w:color w:val="000000"/>
          <w:szCs w:val="24"/>
        </w:rPr>
      </w:pPr>
      <w:r>
        <w:rPr>
          <w:rFonts w:hint="eastAsia" w:ascii="宋体" w:hAnsi="宋体"/>
          <w:color w:val="000000"/>
          <w:szCs w:val="24"/>
        </w:rPr>
        <w:t>5）、</w:t>
      </w:r>
      <w:r>
        <w:rPr>
          <w:rFonts w:ascii="宋体" w:hAnsi="宋体"/>
          <w:color w:val="000000"/>
          <w:szCs w:val="24"/>
        </w:rPr>
        <w:t>对项目所在区域的环境现状分析可以看出，所在区域环境现状较好，能满足项目建设的需要。项目区大气环境规划为二类区，声环境规划为2类区，根据项目工程分析和环境影响评价，项目的建设不改变当地环境现状，能满足当地环境规划要求。</w:t>
      </w:r>
    </w:p>
    <w:p w14:paraId="1D9DFA4A">
      <w:pPr>
        <w:pStyle w:val="300"/>
        <w:spacing w:line="360" w:lineRule="auto"/>
        <w:ind w:firstLine="480"/>
        <w:rPr>
          <w:rFonts w:ascii="宋体" w:hAnsi="宋体"/>
          <w:color w:val="000000"/>
          <w:szCs w:val="24"/>
        </w:rPr>
      </w:pPr>
      <w:r>
        <w:rPr>
          <w:rFonts w:hint="eastAsia" w:ascii="宋体" w:hAnsi="宋体"/>
          <w:color w:val="000000"/>
          <w:szCs w:val="24"/>
        </w:rPr>
        <w:t>6）、</w:t>
      </w:r>
      <w:r>
        <w:rPr>
          <w:rFonts w:ascii="宋体" w:hAnsi="宋体"/>
          <w:color w:val="000000"/>
          <w:szCs w:val="24"/>
        </w:rPr>
        <w:t>从公众参与调查显示，被调查的所有人员都支持本项目的建设，认为项目建设将会极大的提高周边区域医疗条件，产生良好的社会效益。</w:t>
      </w:r>
    </w:p>
    <w:p w14:paraId="066F3B5D">
      <w:pPr>
        <w:spacing w:line="360" w:lineRule="auto"/>
        <w:ind w:firstLine="480"/>
        <w:rPr>
          <w:rFonts w:hint="eastAsia" w:ascii="宋体" w:hAnsi="宋体"/>
          <w:color w:val="000000"/>
          <w:sz w:val="24"/>
        </w:rPr>
      </w:pPr>
      <w:r>
        <w:rPr>
          <w:rFonts w:hint="eastAsia" w:ascii="宋体" w:hAnsi="宋体"/>
          <w:color w:val="000000"/>
          <w:sz w:val="24"/>
        </w:rPr>
        <w:t>（3）结论</w:t>
      </w:r>
    </w:p>
    <w:p w14:paraId="1FA46D1D">
      <w:pPr>
        <w:spacing w:line="360" w:lineRule="auto"/>
        <w:ind w:firstLine="480"/>
        <w:rPr>
          <w:color w:val="000000"/>
          <w:sz w:val="24"/>
        </w:rPr>
      </w:pPr>
      <w:r>
        <w:rPr>
          <w:rFonts w:hint="eastAsia" w:ascii="宋体" w:hAnsi="宋体"/>
          <w:color w:val="000000"/>
          <w:sz w:val="24"/>
        </w:rPr>
        <w:t>综上分析，建设项目符合《芒市国民经济和社会发展第十三个五年规划纲要》，符合国家产业政策要求，符合土地使用管理法规，项目建成后可为芒市及周边地区提供良好的就医条件，因此项目选址是可行的。</w:t>
      </w:r>
    </w:p>
    <w:p w14:paraId="3281983C">
      <w:pPr>
        <w:pStyle w:val="182"/>
        <w:ind w:firstLine="275"/>
        <w:rPr>
          <w:rFonts w:ascii="Times New Roman" w:hAnsi="Times New Roman" w:eastAsia="仿宋_GB2312" w:cs="Times New Roman"/>
          <w:color w:val="000000"/>
          <w:sz w:val="28"/>
          <w:szCs w:val="28"/>
        </w:rPr>
      </w:pPr>
      <w:bookmarkStart w:id="150" w:name="_Toc306867519"/>
      <w:bookmarkEnd w:id="150"/>
      <w:bookmarkStart w:id="151" w:name="_Toc305945352"/>
      <w:bookmarkEnd w:id="151"/>
      <w:bookmarkStart w:id="152" w:name="_Toc495500054"/>
      <w:r>
        <w:rPr>
          <w:rFonts w:ascii="Times New Roman" w:hAnsi="Times New Roman" w:eastAsia="仿宋_GB2312" w:cs="Times New Roman"/>
          <w:color w:val="000000"/>
          <w:sz w:val="28"/>
          <w:szCs w:val="28"/>
        </w:rPr>
        <w:t>3.4布局合理性分析</w:t>
      </w:r>
      <w:bookmarkEnd w:id="152"/>
    </w:p>
    <w:p w14:paraId="2A5C432A">
      <w:pPr>
        <w:pStyle w:val="183"/>
        <w:ind w:firstLine="472"/>
        <w:rPr>
          <w:rFonts w:eastAsia="仿宋_GB2312"/>
          <w:color w:val="000000"/>
          <w:sz w:val="24"/>
          <w:szCs w:val="24"/>
        </w:rPr>
      </w:pPr>
      <w:bookmarkStart w:id="153" w:name="_Toc306867520"/>
      <w:bookmarkEnd w:id="153"/>
      <w:bookmarkStart w:id="154" w:name="_Toc495500055"/>
      <w:r>
        <w:rPr>
          <w:rFonts w:eastAsia="仿宋_GB2312"/>
          <w:color w:val="000000"/>
          <w:sz w:val="24"/>
          <w:szCs w:val="24"/>
        </w:rPr>
        <w:t>3.4.1功能布局合理性分析</w:t>
      </w:r>
      <w:bookmarkEnd w:id="154"/>
    </w:p>
    <w:p w14:paraId="6D7EAE88">
      <w:pPr>
        <w:spacing w:line="360" w:lineRule="auto"/>
        <w:ind w:firstLine="510"/>
        <w:rPr>
          <w:rFonts w:hint="eastAsia"/>
          <w:color w:val="000000"/>
          <w:sz w:val="24"/>
        </w:rPr>
      </w:pPr>
      <w:r>
        <w:rPr>
          <w:rFonts w:hint="eastAsia"/>
          <w:color w:val="000000"/>
          <w:sz w:val="24"/>
        </w:rPr>
        <w:t>芒市妇幼保健院从总体上讲有四大功能分区：门诊区、医技区、住院区、后勤保障区等四个主要区域。其中：门诊部分应与城市道路有便捷的联系，处于醒目位置，方便停车及回车，与停车场距离较近，方便运送病人及急救车辆的停靠，方便病人就诊。急诊科应设有单独的入口，不与门诊病人交叉。</w:t>
      </w:r>
    </w:p>
    <w:p w14:paraId="542944DA">
      <w:pPr>
        <w:spacing w:line="360" w:lineRule="auto"/>
        <w:ind w:firstLine="510"/>
        <w:rPr>
          <w:rFonts w:hint="eastAsia"/>
          <w:color w:val="000000"/>
          <w:sz w:val="24"/>
        </w:rPr>
      </w:pPr>
      <w:r>
        <w:rPr>
          <w:rFonts w:hint="eastAsia"/>
          <w:color w:val="000000"/>
          <w:sz w:val="24"/>
        </w:rPr>
        <w:t>医技部分同时服务于门诊、急诊及住院部，应与门、急诊及住院部有方便的联系，应设于门急诊及住院部之间，流线与其贯通，方便病人及医务人员使用，其流线应明晰，并且有相关标志。</w:t>
      </w:r>
    </w:p>
    <w:p w14:paraId="3D6B7963">
      <w:pPr>
        <w:spacing w:line="360" w:lineRule="auto"/>
        <w:ind w:firstLine="510"/>
        <w:rPr>
          <w:rFonts w:hint="eastAsia"/>
          <w:color w:val="000000"/>
          <w:sz w:val="24"/>
        </w:rPr>
      </w:pPr>
      <w:r>
        <w:rPr>
          <w:rFonts w:hint="eastAsia"/>
          <w:color w:val="000000"/>
          <w:sz w:val="24"/>
        </w:rPr>
        <w:t>住院楼位于项目的南侧，位置有利于医院安静便于封闭管理位置，并应为最好的朝向，并与大面积绿化及庭院有紧密的结合，远离噪声源、污染源及解剖室等，为住院病人创造一个良好的休养环境。</w:t>
      </w:r>
    </w:p>
    <w:p w14:paraId="4F10418F">
      <w:pPr>
        <w:spacing w:line="360" w:lineRule="auto"/>
        <w:ind w:firstLine="480"/>
        <w:rPr>
          <w:rFonts w:hint="eastAsia"/>
          <w:color w:val="000000"/>
          <w:sz w:val="24"/>
        </w:rPr>
      </w:pPr>
      <w:r>
        <w:rPr>
          <w:rFonts w:hint="eastAsia"/>
          <w:color w:val="000000"/>
          <w:sz w:val="24"/>
        </w:rPr>
        <w:t>后勤保障部分应处于医院较为隐蔽位置，应保证有合理的服务半径，其服务出入口及服务路线最好与主入口及主要人流线路分开，特别是污物出口，必须单独。</w:t>
      </w:r>
    </w:p>
    <w:p w14:paraId="209F0CF2">
      <w:pPr>
        <w:spacing w:line="360" w:lineRule="auto"/>
        <w:ind w:firstLine="480"/>
        <w:rPr>
          <w:rFonts w:hint="eastAsia" w:ascii="宋体" w:hAnsi="宋体"/>
          <w:color w:val="000000"/>
          <w:sz w:val="24"/>
        </w:rPr>
      </w:pPr>
      <w:r>
        <w:rPr>
          <w:rFonts w:hint="eastAsia" w:ascii="宋体" w:hAnsi="宋体"/>
          <w:color w:val="000000"/>
          <w:sz w:val="24"/>
        </w:rPr>
        <w:t>项目的主要污染设备均设置于厂区的西侧和北侧，这样远离了住院大楼，有利于病人的休息。医疗区和后勤服务区中间有院内道路隔开，后勤区和项目的主要污染源隔开，对职工生活影响较小。项目污染设备与医疗区中间有停车场隔开，设备产生的噪声和废气与固废对整个项目区的影响较小。从环保的角度分析，这样的设计、布置是合理的。</w:t>
      </w:r>
    </w:p>
    <w:p w14:paraId="2BCF52F6">
      <w:pPr>
        <w:spacing w:line="360" w:lineRule="auto"/>
        <w:ind w:firstLine="480"/>
        <w:rPr>
          <w:rFonts w:hint="eastAsia" w:ascii="宋体" w:hAnsi="宋体"/>
          <w:color w:val="000000"/>
          <w:sz w:val="24"/>
        </w:rPr>
      </w:pPr>
      <w:r>
        <w:rPr>
          <w:rFonts w:hint="eastAsia" w:ascii="宋体" w:hAnsi="宋体"/>
          <w:color w:val="000000"/>
          <w:sz w:val="24"/>
        </w:rPr>
        <w:t>污水处理站布设于项目厂区的北侧，根据环评要求本项目需建设1个应急事故池，结合项目的设计和现场踏勘，项目场地东北侧空地块完全可以建设1个应急事故水池。</w:t>
      </w:r>
    </w:p>
    <w:p w14:paraId="6D1B607C">
      <w:pPr>
        <w:spacing w:line="360" w:lineRule="auto"/>
        <w:ind w:firstLine="480"/>
        <w:rPr>
          <w:color w:val="000000"/>
          <w:sz w:val="24"/>
        </w:rPr>
      </w:pPr>
      <w:r>
        <w:rPr>
          <w:rFonts w:hint="eastAsia"/>
          <w:color w:val="000000"/>
          <w:sz w:val="24"/>
        </w:rPr>
        <w:t>所以从妇幼保健院的整个布局来看，各自独立又相互联系，住院楼最后布置有利于安静，门诊出于前面位置有利于就诊的方便，总体布局合理。</w:t>
      </w:r>
    </w:p>
    <w:p w14:paraId="4EED5537">
      <w:pPr>
        <w:pStyle w:val="183"/>
        <w:ind w:firstLine="472"/>
        <w:rPr>
          <w:rFonts w:eastAsia="仿宋_GB2312"/>
          <w:color w:val="000000"/>
          <w:sz w:val="24"/>
          <w:szCs w:val="24"/>
        </w:rPr>
      </w:pPr>
      <w:bookmarkStart w:id="155" w:name="_Toc306867521"/>
      <w:bookmarkEnd w:id="155"/>
      <w:bookmarkStart w:id="156" w:name="_Toc495500056"/>
      <w:r>
        <w:rPr>
          <w:rFonts w:eastAsia="仿宋_GB2312"/>
          <w:color w:val="000000"/>
          <w:sz w:val="24"/>
          <w:szCs w:val="24"/>
        </w:rPr>
        <w:t>3.4.2道路交通布局合理性分析</w:t>
      </w:r>
      <w:bookmarkEnd w:id="156"/>
    </w:p>
    <w:p w14:paraId="71BA695B">
      <w:pPr>
        <w:spacing w:line="360" w:lineRule="auto"/>
        <w:ind w:firstLine="480"/>
        <w:rPr>
          <w:rFonts w:hint="eastAsia" w:ascii="宋体" w:hAnsi="宋体"/>
          <w:color w:val="000000"/>
          <w:sz w:val="24"/>
        </w:rPr>
      </w:pPr>
      <w:bookmarkStart w:id="157" w:name="_Toc306867522"/>
      <w:bookmarkEnd w:id="157"/>
      <w:r>
        <w:rPr>
          <w:rFonts w:hint="eastAsia" w:ascii="宋体" w:hAnsi="宋体"/>
          <w:color w:val="000000"/>
          <w:sz w:val="24"/>
        </w:rPr>
        <w:t>整个医院院区通过一条环路将各建筑设施与外部空间积极地连接成为一个系统。这不仅仅实现了院内道路连接各个建筑设施所应有的基本功能，其更有机地将室内外环境衔接起来，创造出了围绕环路的整体变化丰富的景观。</w:t>
      </w:r>
    </w:p>
    <w:p w14:paraId="474E157E">
      <w:pPr>
        <w:spacing w:line="360" w:lineRule="auto"/>
        <w:ind w:firstLine="480"/>
        <w:rPr>
          <w:rFonts w:hint="eastAsia" w:ascii="宋体" w:hAnsi="宋体"/>
          <w:color w:val="000000"/>
          <w:sz w:val="24"/>
        </w:rPr>
      </w:pPr>
      <w:r>
        <w:rPr>
          <w:rFonts w:hint="eastAsia" w:ascii="宋体" w:hAnsi="宋体"/>
          <w:color w:val="000000"/>
          <w:sz w:val="24"/>
        </w:rPr>
        <w:t>去往医疗单位的外来车辆从剑锋路主入口引导进入地下停车场或地上停车场。</w:t>
      </w:r>
    </w:p>
    <w:p w14:paraId="18D1E7EF">
      <w:pPr>
        <w:spacing w:line="360" w:lineRule="auto"/>
        <w:ind w:firstLine="480"/>
        <w:rPr>
          <w:rFonts w:hint="eastAsia" w:ascii="宋体" w:hAnsi="宋体"/>
          <w:color w:val="000000"/>
          <w:sz w:val="24"/>
        </w:rPr>
      </w:pPr>
      <w:r>
        <w:rPr>
          <w:rFonts w:hint="eastAsia" w:ascii="宋体" w:hAnsi="宋体"/>
          <w:color w:val="000000"/>
          <w:sz w:val="24"/>
        </w:rPr>
        <w:t>后勤用房提供独立的后勤出入口，车辆可就近入库停放。</w:t>
      </w:r>
    </w:p>
    <w:p w14:paraId="192C2443">
      <w:pPr>
        <w:tabs>
          <w:tab w:val="left" w:pos="7605"/>
        </w:tabs>
        <w:spacing w:line="360" w:lineRule="auto"/>
        <w:ind w:firstLine="480"/>
        <w:rPr>
          <w:rFonts w:hint="eastAsia" w:ascii="宋体" w:hAnsi="宋体" w:eastAsia="宋体"/>
          <w:color w:val="000000"/>
          <w:sz w:val="24"/>
          <w:lang w:eastAsia="zh-CN"/>
        </w:rPr>
      </w:pPr>
      <w:r>
        <w:rPr>
          <w:rFonts w:hint="eastAsia" w:ascii="宋体" w:hAnsi="宋体"/>
          <w:color w:val="000000"/>
          <w:sz w:val="24"/>
        </w:rPr>
        <w:t>机动车位200个（地上85/地下115），非机动车位700个。</w:t>
      </w:r>
      <w:r>
        <w:rPr>
          <w:rFonts w:hint="eastAsia" w:ascii="宋体" w:hAnsi="宋体"/>
          <w:color w:val="000000"/>
          <w:sz w:val="24"/>
          <w:lang w:eastAsia="zh-CN"/>
        </w:rPr>
        <w:tab/>
      </w:r>
    </w:p>
    <w:p w14:paraId="3E84BAF3">
      <w:pPr>
        <w:spacing w:line="360" w:lineRule="auto"/>
        <w:ind w:firstLine="480"/>
        <w:rPr>
          <w:color w:val="000000"/>
          <w:sz w:val="24"/>
        </w:rPr>
      </w:pPr>
      <w:r>
        <w:rPr>
          <w:rFonts w:hint="eastAsia"/>
          <w:color w:val="000000"/>
          <w:sz w:val="24"/>
        </w:rPr>
        <w:t>从医院道路整个布局来看，道路各种功能各自独立又相互联系，有利于交通流畅，总体布局合理。</w:t>
      </w:r>
    </w:p>
    <w:p w14:paraId="7B8E13E8">
      <w:pPr>
        <w:pStyle w:val="183"/>
        <w:ind w:firstLine="472"/>
        <w:rPr>
          <w:rFonts w:eastAsia="仿宋_GB2312"/>
          <w:color w:val="000000"/>
          <w:sz w:val="24"/>
          <w:szCs w:val="24"/>
        </w:rPr>
      </w:pPr>
      <w:bookmarkStart w:id="158" w:name="_Toc495500057"/>
      <w:r>
        <w:rPr>
          <w:rFonts w:eastAsia="仿宋_GB2312"/>
          <w:color w:val="000000"/>
          <w:sz w:val="24"/>
          <w:szCs w:val="24"/>
        </w:rPr>
        <w:t>3.4.3总体布局合理性分析</w:t>
      </w:r>
      <w:bookmarkEnd w:id="158"/>
    </w:p>
    <w:p w14:paraId="7437048C">
      <w:pPr>
        <w:spacing w:line="360" w:lineRule="auto"/>
        <w:ind w:firstLine="480"/>
        <w:rPr>
          <w:color w:val="000000"/>
          <w:sz w:val="24"/>
        </w:rPr>
      </w:pPr>
      <w:r>
        <w:rPr>
          <w:rFonts w:hint="eastAsia"/>
          <w:color w:val="000000"/>
          <w:sz w:val="24"/>
        </w:rPr>
        <w:t>本医院，功能分区布置，考虑到各自的功能独立布局又互相联系，道路功能不同入口也不同保证了交通的流畅性，总体规划结合地形条件和周围情况，着力营造连续的绿色环境空间，主要按空间布置分为三个功能区。综上所述，项目的总平面布局是合理的。</w:t>
      </w:r>
    </w:p>
    <w:p w14:paraId="6E899C1E">
      <w:pPr>
        <w:pStyle w:val="182"/>
        <w:ind w:firstLine="275"/>
        <w:rPr>
          <w:rFonts w:ascii="Times New Roman" w:hAnsi="Times New Roman" w:eastAsia="仿宋_GB2312" w:cs="Times New Roman"/>
          <w:color w:val="000000"/>
          <w:sz w:val="28"/>
          <w:szCs w:val="28"/>
        </w:rPr>
      </w:pPr>
      <w:bookmarkStart w:id="159" w:name="_Toc241904931"/>
      <w:bookmarkEnd w:id="159"/>
      <w:bookmarkStart w:id="160" w:name="_Toc495500058"/>
      <w:r>
        <w:rPr>
          <w:rFonts w:ascii="Times New Roman" w:hAnsi="Times New Roman" w:eastAsia="仿宋_GB2312" w:cs="Times New Roman"/>
          <w:color w:val="000000"/>
          <w:sz w:val="28"/>
          <w:szCs w:val="28"/>
        </w:rPr>
        <w:t>3.5污染源识别</w:t>
      </w:r>
      <w:bookmarkEnd w:id="160"/>
    </w:p>
    <w:p w14:paraId="2F615F33">
      <w:pPr>
        <w:spacing w:line="360" w:lineRule="auto"/>
        <w:ind w:firstLine="480"/>
        <w:rPr>
          <w:color w:val="000000"/>
          <w:sz w:val="24"/>
        </w:rPr>
      </w:pPr>
      <w:r>
        <w:rPr>
          <w:color w:val="000000"/>
          <w:sz w:val="24"/>
        </w:rPr>
        <w:t>本项目的建设符合中国国情、符合</w:t>
      </w:r>
      <w:r>
        <w:rPr>
          <w:rFonts w:hint="eastAsia"/>
          <w:color w:val="000000"/>
          <w:sz w:val="24"/>
        </w:rPr>
        <w:t>芒市</w:t>
      </w:r>
      <w:r>
        <w:rPr>
          <w:color w:val="000000"/>
          <w:sz w:val="24"/>
        </w:rPr>
        <w:t>发展的需要，</w:t>
      </w:r>
      <w:r>
        <w:rPr>
          <w:rFonts w:hint="eastAsia"/>
          <w:color w:val="000000"/>
          <w:sz w:val="24"/>
        </w:rPr>
        <w:t>项目的建设将</w:t>
      </w:r>
      <w:r>
        <w:rPr>
          <w:color w:val="000000"/>
          <w:sz w:val="24"/>
        </w:rPr>
        <w:t>提高当地的</w:t>
      </w:r>
      <w:r>
        <w:rPr>
          <w:rFonts w:hint="eastAsia"/>
          <w:color w:val="000000"/>
          <w:sz w:val="24"/>
        </w:rPr>
        <w:t>公共</w:t>
      </w:r>
      <w:r>
        <w:rPr>
          <w:color w:val="000000"/>
          <w:sz w:val="24"/>
        </w:rPr>
        <w:t>卫生</w:t>
      </w:r>
      <w:r>
        <w:rPr>
          <w:rFonts w:hint="eastAsia"/>
          <w:color w:val="000000"/>
          <w:sz w:val="24"/>
        </w:rPr>
        <w:t>服务能力</w:t>
      </w:r>
      <w:r>
        <w:rPr>
          <w:color w:val="000000"/>
          <w:sz w:val="24"/>
        </w:rPr>
        <w:t>。</w:t>
      </w:r>
    </w:p>
    <w:p w14:paraId="2FF89ED5">
      <w:pPr>
        <w:spacing w:line="360" w:lineRule="auto"/>
        <w:ind w:firstLine="480"/>
        <w:rPr>
          <w:color w:val="000000"/>
          <w:sz w:val="24"/>
        </w:rPr>
      </w:pPr>
      <w:r>
        <w:rPr>
          <w:rFonts w:hint="eastAsia"/>
          <w:color w:val="000000"/>
          <w:sz w:val="24"/>
        </w:rPr>
        <w:t>本项目对环境的影响可以分为项目施工阶段的建设期和营运期两个时段</w:t>
      </w:r>
      <w:r>
        <w:rPr>
          <w:color w:val="000000"/>
          <w:sz w:val="24"/>
        </w:rPr>
        <w:t>，其影响主要在营运过程中</w:t>
      </w:r>
      <w:r>
        <w:rPr>
          <w:rFonts w:hint="eastAsia"/>
          <w:color w:val="000000"/>
          <w:sz w:val="24"/>
        </w:rPr>
        <w:t>。</w:t>
      </w:r>
    </w:p>
    <w:p w14:paraId="7B615E7D">
      <w:pPr>
        <w:spacing w:line="360" w:lineRule="auto"/>
        <w:ind w:firstLine="480"/>
        <w:rPr>
          <w:color w:val="000000"/>
          <w:sz w:val="24"/>
        </w:rPr>
      </w:pPr>
      <w:r>
        <w:rPr>
          <w:color w:val="000000"/>
          <w:sz w:val="24"/>
        </w:rPr>
        <w:t>建设期的影响主要</w:t>
      </w:r>
      <w:r>
        <w:rPr>
          <w:rFonts w:hint="eastAsia"/>
          <w:color w:val="000000"/>
          <w:sz w:val="24"/>
        </w:rPr>
        <w:t>是</w:t>
      </w:r>
      <w:r>
        <w:rPr>
          <w:color w:val="000000"/>
          <w:sz w:val="24"/>
        </w:rPr>
        <w:t>施工废水、废气、噪声及固体废弃物对</w:t>
      </w:r>
      <w:r>
        <w:rPr>
          <w:rFonts w:hint="eastAsia"/>
          <w:color w:val="000000"/>
          <w:sz w:val="24"/>
        </w:rPr>
        <w:t>周边环境</w:t>
      </w:r>
      <w:r>
        <w:rPr>
          <w:color w:val="000000"/>
          <w:sz w:val="24"/>
        </w:rPr>
        <w:t>的影响。</w:t>
      </w:r>
    </w:p>
    <w:p w14:paraId="006153A8">
      <w:pPr>
        <w:spacing w:line="360" w:lineRule="auto"/>
        <w:ind w:firstLine="480"/>
        <w:rPr>
          <w:color w:val="000000"/>
          <w:sz w:val="24"/>
        </w:rPr>
      </w:pPr>
      <w:r>
        <w:rPr>
          <w:color w:val="000000"/>
          <w:sz w:val="24"/>
        </w:rPr>
        <w:t>建设项目施工期对环境的影响具有短时和可恢复的特点，而运营期对环境的影响可分为有利影响和不利影响。本项目施工期的污染情况见图3-1；运营期污染情况见图3-2。</w:t>
      </w:r>
    </w:p>
    <w:p w14:paraId="7EA061B3">
      <w:pPr>
        <w:pStyle w:val="196"/>
        <w:ind w:right="-168" w:firstLine="210"/>
        <w:rPr>
          <w:color w:val="000000"/>
        </w:rPr>
      </w:pPr>
      <w:r>
        <w:rPr>
          <w:color w:val="000000"/>
        </w:rPr>
        <w:drawing>
          <wp:inline distT="0" distB="0" distL="0" distR="0">
            <wp:extent cx="4829175" cy="1419225"/>
            <wp:effectExtent l="0" t="0" r="0" b="0"/>
            <wp:docPr id="43" name="_x0000_i1366"/>
            <wp:cNvGraphicFramePr/>
            <a:graphic xmlns:a="http://schemas.openxmlformats.org/drawingml/2006/main">
              <a:graphicData uri="http://schemas.openxmlformats.org/drawingml/2006/picture">
                <pic:pic xmlns:pic="http://schemas.openxmlformats.org/drawingml/2006/picture">
                  <pic:nvPicPr>
                    <pic:cNvPr id="43" name="_x0000_i1366"/>
                    <pic:cNvPicPr/>
                  </pic:nvPicPr>
                  <pic:blipFill>
                    <a:blip r:embed="rId20"/>
                    <a:stretch>
                      <a:fillRect/>
                    </a:stretch>
                  </pic:blipFill>
                  <pic:spPr>
                    <a:xfrm>
                      <a:off x="0" y="0"/>
                      <a:ext cx="4829175" cy="1419225"/>
                    </a:xfrm>
                    <a:prstGeom prst="rect">
                      <a:avLst/>
                    </a:prstGeom>
                    <a:noFill/>
                    <a:ln>
                      <a:noFill/>
                    </a:ln>
                  </pic:spPr>
                </pic:pic>
              </a:graphicData>
            </a:graphic>
          </wp:inline>
        </w:drawing>
      </w:r>
    </w:p>
    <w:p w14:paraId="5F7A71CD">
      <w:pPr>
        <w:pStyle w:val="196"/>
        <w:ind w:right="-170"/>
        <w:jc w:val="center"/>
        <w:rPr>
          <w:rFonts w:hint="eastAsia" w:eastAsia="黑体" w:cs="Arial"/>
          <w:b/>
          <w:color w:val="000000"/>
          <w:sz w:val="24"/>
        </w:rPr>
      </w:pPr>
      <w:r>
        <w:rPr>
          <w:rFonts w:eastAsia="黑体" w:cs="Arial"/>
          <w:b/>
          <w:color w:val="000000"/>
          <w:sz w:val="24"/>
        </w:rPr>
        <w:t>图3-1  施工</w:t>
      </w:r>
      <w:r>
        <w:rPr>
          <w:rFonts w:hint="eastAsia" w:eastAsia="黑体" w:cs="Arial"/>
          <w:b/>
          <w:color w:val="000000"/>
          <w:sz w:val="24"/>
        </w:rPr>
        <w:t>期工艺流程及产污环节</w:t>
      </w:r>
      <w:r>
        <w:rPr>
          <w:rFonts w:eastAsia="黑体" w:cs="Arial"/>
          <w:b/>
          <w:color w:val="000000"/>
          <w:sz w:val="24"/>
        </w:rPr>
        <w:t>图</w:t>
      </w:r>
    </w:p>
    <w:p w14:paraId="798879FD">
      <w:pPr>
        <w:pStyle w:val="196"/>
        <w:ind w:right="-170"/>
        <w:jc w:val="center"/>
        <w:rPr>
          <w:rFonts w:hint="eastAsia" w:eastAsia="黑体" w:cs="Arial"/>
          <w:b/>
          <w:color w:val="000000"/>
          <w:sz w:val="24"/>
        </w:rPr>
      </w:pPr>
    </w:p>
    <w:p w14:paraId="7951AA45">
      <w:pPr>
        <w:spacing w:line="360" w:lineRule="auto"/>
        <w:jc w:val="center"/>
        <w:rPr>
          <w:color w:val="000000"/>
          <w:sz w:val="24"/>
        </w:rPr>
      </w:pPr>
      <w:r>
        <w:rPr>
          <w:rFonts w:hint="eastAsia" w:eastAsia="仿宋_GB2312"/>
          <w:color w:val="000000"/>
          <w:szCs w:val="21"/>
        </w:rPr>
        <w:drawing>
          <wp:inline distT="0" distB="0" distL="0" distR="0">
            <wp:extent cx="5448300" cy="4657725"/>
            <wp:effectExtent l="0" t="0" r="0" b="0"/>
            <wp:docPr id="44" name="_x0000_i1367"/>
            <wp:cNvGraphicFramePr/>
            <a:graphic xmlns:a="http://schemas.openxmlformats.org/drawingml/2006/main">
              <a:graphicData uri="http://schemas.openxmlformats.org/drawingml/2006/picture">
                <pic:pic xmlns:pic="http://schemas.openxmlformats.org/drawingml/2006/picture">
                  <pic:nvPicPr>
                    <pic:cNvPr id="44" name="_x0000_i1367"/>
                    <pic:cNvPicPr/>
                  </pic:nvPicPr>
                  <pic:blipFill>
                    <a:blip r:embed="rId21"/>
                    <a:stretch>
                      <a:fillRect/>
                    </a:stretch>
                  </pic:blipFill>
                  <pic:spPr>
                    <a:xfrm>
                      <a:off x="0" y="0"/>
                      <a:ext cx="5448300" cy="4657725"/>
                    </a:xfrm>
                    <a:prstGeom prst="rect">
                      <a:avLst/>
                    </a:prstGeom>
                    <a:noFill/>
                    <a:ln>
                      <a:noFill/>
                    </a:ln>
                  </pic:spPr>
                </pic:pic>
              </a:graphicData>
            </a:graphic>
          </wp:inline>
        </w:drawing>
      </w:r>
    </w:p>
    <w:p w14:paraId="47A62CF8">
      <w:pPr>
        <w:pStyle w:val="196"/>
        <w:spacing w:line="360" w:lineRule="auto"/>
        <w:ind w:right="-170"/>
        <w:jc w:val="center"/>
        <w:rPr>
          <w:rFonts w:eastAsia="黑体" w:cs="Arial"/>
          <w:b/>
          <w:color w:val="000000"/>
          <w:sz w:val="24"/>
        </w:rPr>
      </w:pPr>
      <w:r>
        <w:rPr>
          <w:rFonts w:eastAsia="黑体" w:cs="Arial"/>
          <w:b/>
          <w:color w:val="000000"/>
          <w:sz w:val="24"/>
        </w:rPr>
        <w:t>图3-2  运营期工作流程及产污环节图</w:t>
      </w:r>
    </w:p>
    <w:p w14:paraId="0DDA900F">
      <w:pPr>
        <w:spacing w:line="360" w:lineRule="auto"/>
        <w:ind w:firstLine="480"/>
        <w:rPr>
          <w:rFonts w:hint="eastAsia" w:ascii="宋体" w:hAnsi="宋体"/>
          <w:color w:val="000000"/>
          <w:sz w:val="24"/>
        </w:rPr>
      </w:pPr>
      <w:r>
        <w:rPr>
          <w:rFonts w:hint="eastAsia" w:ascii="宋体" w:hAnsi="宋体"/>
          <w:color w:val="000000"/>
          <w:sz w:val="24"/>
        </w:rPr>
        <w:t>运营期新建保健院设置有停车场、门诊、药房，检验科、放射科、230个床位的病房、手术室、行政办公室等，</w:t>
      </w:r>
      <w:r>
        <w:rPr>
          <w:rFonts w:ascii="宋体" w:hAnsi="宋体"/>
          <w:color w:val="000000"/>
          <w:sz w:val="24"/>
        </w:rPr>
        <w:t>根据</w:t>
      </w:r>
      <w:r>
        <w:rPr>
          <w:rFonts w:hint="eastAsia" w:ascii="宋体" w:hAnsi="宋体"/>
          <w:color w:val="000000"/>
          <w:sz w:val="24"/>
        </w:rPr>
        <w:t>以上的功能设置</w:t>
      </w:r>
      <w:r>
        <w:rPr>
          <w:rFonts w:ascii="宋体" w:hAnsi="宋体"/>
          <w:color w:val="000000"/>
          <w:sz w:val="24"/>
        </w:rPr>
        <w:t>，</w:t>
      </w:r>
      <w:r>
        <w:rPr>
          <w:rFonts w:hint="eastAsia" w:ascii="宋体" w:hAnsi="宋体"/>
          <w:color w:val="000000"/>
          <w:sz w:val="24"/>
        </w:rPr>
        <w:t>其</w:t>
      </w:r>
      <w:r>
        <w:rPr>
          <w:rFonts w:ascii="宋体" w:hAnsi="宋体"/>
          <w:color w:val="000000"/>
          <w:sz w:val="24"/>
        </w:rPr>
        <w:t>污染源涉及到水、气、渣、噪声、放射性物质等各个方面。</w:t>
      </w:r>
    </w:p>
    <w:p w14:paraId="3566EC99">
      <w:pPr>
        <w:spacing w:line="360" w:lineRule="auto"/>
        <w:ind w:firstLine="480"/>
        <w:rPr>
          <w:rFonts w:ascii="宋体" w:hAnsi="宋体"/>
          <w:color w:val="000000"/>
          <w:sz w:val="24"/>
        </w:rPr>
      </w:pPr>
      <w:r>
        <w:rPr>
          <w:rFonts w:hint="eastAsia" w:ascii="宋体" w:hAnsi="宋体"/>
          <w:color w:val="000000"/>
          <w:sz w:val="24"/>
        </w:rPr>
        <w:t>（1）</w:t>
      </w:r>
      <w:r>
        <w:rPr>
          <w:rFonts w:ascii="宋体" w:hAnsi="宋体"/>
          <w:color w:val="000000"/>
          <w:sz w:val="24"/>
        </w:rPr>
        <w:t>废水</w:t>
      </w:r>
    </w:p>
    <w:p w14:paraId="046A235F">
      <w:pPr>
        <w:spacing w:line="360" w:lineRule="auto"/>
        <w:ind w:firstLine="480"/>
        <w:rPr>
          <w:color w:val="000000"/>
        </w:rPr>
      </w:pPr>
      <w:r>
        <w:rPr>
          <w:rFonts w:ascii="宋体" w:hAnsi="宋体"/>
          <w:color w:val="000000"/>
          <w:sz w:val="24"/>
        </w:rPr>
        <w:t>来源主要有：</w:t>
      </w:r>
      <w:r>
        <w:rPr>
          <w:rFonts w:hint="eastAsia" w:ascii="宋体" w:hAnsi="宋体"/>
          <w:color w:val="000000"/>
          <w:sz w:val="24"/>
        </w:rPr>
        <w:t>①</w:t>
      </w:r>
      <w:r>
        <w:rPr>
          <w:rFonts w:ascii="宋体" w:hAnsi="宋体"/>
          <w:color w:val="000000"/>
          <w:sz w:val="24"/>
        </w:rPr>
        <w:t>来自病房、</w:t>
      </w:r>
      <w:r>
        <w:rPr>
          <w:rFonts w:hint="eastAsia" w:ascii="宋体" w:hAnsi="宋体"/>
          <w:color w:val="000000"/>
          <w:sz w:val="24"/>
        </w:rPr>
        <w:t>门诊楼、检验科、手术室</w:t>
      </w:r>
      <w:r>
        <w:rPr>
          <w:rFonts w:ascii="宋体" w:hAnsi="宋体"/>
          <w:color w:val="000000"/>
          <w:sz w:val="24"/>
        </w:rPr>
        <w:t>的医疗废水；</w:t>
      </w:r>
      <w:r>
        <w:rPr>
          <w:rFonts w:hint="eastAsia" w:ascii="宋体" w:hAnsi="宋体"/>
          <w:color w:val="000000"/>
          <w:sz w:val="24"/>
        </w:rPr>
        <w:t>②</w:t>
      </w:r>
      <w:r>
        <w:rPr>
          <w:rFonts w:ascii="宋体" w:hAnsi="宋体"/>
          <w:color w:val="000000"/>
          <w:sz w:val="24"/>
        </w:rPr>
        <w:t>行政办公</w:t>
      </w:r>
      <w:r>
        <w:rPr>
          <w:rFonts w:hint="eastAsia" w:ascii="宋体" w:hAnsi="宋体"/>
          <w:color w:val="000000"/>
          <w:sz w:val="24"/>
        </w:rPr>
        <w:t>室</w:t>
      </w:r>
      <w:r>
        <w:rPr>
          <w:rFonts w:ascii="宋体" w:hAnsi="宋体"/>
          <w:color w:val="000000"/>
          <w:sz w:val="24"/>
        </w:rPr>
        <w:t>产生的生活污水</w:t>
      </w:r>
      <w:r>
        <w:rPr>
          <w:rFonts w:hint="eastAsia" w:ascii="宋体" w:hAnsi="宋体"/>
          <w:color w:val="000000"/>
          <w:sz w:val="24"/>
        </w:rPr>
        <w:t>；</w:t>
      </w:r>
      <w:r>
        <w:rPr>
          <w:rFonts w:ascii="宋体" w:hAnsi="宋体"/>
          <w:color w:val="000000"/>
          <w:sz w:val="24"/>
        </w:rPr>
        <w:t>这些污水未经处理排入水体，人群饮用后，放射物质可在人体内积蓄起来而造成放射性损害。</w:t>
      </w:r>
    </w:p>
    <w:p w14:paraId="334E399F">
      <w:pPr>
        <w:spacing w:line="360" w:lineRule="auto"/>
        <w:ind w:firstLine="480"/>
        <w:rPr>
          <w:rFonts w:ascii="宋体" w:hAnsi="宋体"/>
          <w:color w:val="000000"/>
          <w:sz w:val="24"/>
        </w:rPr>
      </w:pPr>
      <w:r>
        <w:rPr>
          <w:rFonts w:hint="eastAsia" w:ascii="宋体" w:hAnsi="宋体"/>
          <w:color w:val="000000"/>
          <w:sz w:val="24"/>
        </w:rPr>
        <w:t>本项目产生的</w:t>
      </w:r>
      <w:r>
        <w:rPr>
          <w:rFonts w:ascii="宋体" w:hAnsi="宋体"/>
          <w:color w:val="000000"/>
          <w:sz w:val="24"/>
        </w:rPr>
        <w:t>污水中不同程度地含有多种病菌、病毒、寄生虫卵和一些有毒、有害物质。这些病菌、病毒和寄生虫在环境中具有一定的抵抗能力，有的在污水中存活时间较长。当人们食用或接触被病菌、病毒、寄生虫卵或有毒、有害物质污染的水和蔬菜时，就会使人致病或引起传染病的爆发流行。通过流行病学调查和细菌学检验结果证明，国内外历次大规模的传染病爆发流行，几乎都与饮用或接触被污染的水有关。病菌、病毒或寄生虫能够介水传播疾病的主要原因是污水中病原体的含量大，有关资料表明医院污水细菌总数或大肠菌群大多在1万至70万个/ml之间，如小儿麻痹病患者排出的1克粪便中所含的小儿麻痹病毒量可以使100万只猴子得到感染，又如寄生在人体内的蛔虫，每条雌虫每天产卵20万个左右，随粪便排出。肠道病流行的危险性，更主要的还由于病原体对环境理化因素的抵抗力强，因而在环境中的存活率比较高，可以在各种外界环境中长期生存。</w:t>
      </w:r>
    </w:p>
    <w:p w14:paraId="0D51A068">
      <w:pPr>
        <w:spacing w:line="360" w:lineRule="auto"/>
        <w:ind w:firstLine="480"/>
        <w:rPr>
          <w:rFonts w:ascii="宋体" w:hAnsi="宋体"/>
          <w:color w:val="000000"/>
          <w:sz w:val="24"/>
        </w:rPr>
      </w:pPr>
      <w:r>
        <w:rPr>
          <w:rFonts w:ascii="宋体" w:hAnsi="宋体"/>
          <w:color w:val="000000"/>
          <w:sz w:val="24"/>
        </w:rPr>
        <w:t>因此，如果一个城市没有完整的下水道，医院污水排入地面水域，居民又有取用</w:t>
      </w:r>
      <w:r>
        <w:rPr>
          <w:rFonts w:hint="eastAsia" w:ascii="宋体" w:hAnsi="宋体"/>
          <w:color w:val="000000"/>
          <w:sz w:val="24"/>
        </w:rPr>
        <w:t>地</w:t>
      </w:r>
      <w:r>
        <w:rPr>
          <w:rFonts w:ascii="宋体" w:hAnsi="宋体"/>
          <w:color w:val="000000"/>
          <w:sz w:val="24"/>
        </w:rPr>
        <w:t>面水作为生活用水的习惯，那么，这个城市的介水传染病机率必定会增高。另一方面，污泥传播疾病的事例更是屡见不鲜。在一般情况下，污水中含有的细菌占总菌数的30％，而污泥却占70％，且90％以上蠕虫卵存在于污泥中，如果医院污水的污泥不作任何处理就用于农作物的施肥，那么，食用这些农作物，尤其是蔬菜或根块作物，居民群的细菌性、病毒性疾病和寄生虫病必然会增高。</w:t>
      </w:r>
    </w:p>
    <w:p w14:paraId="5B761BAC">
      <w:pPr>
        <w:spacing w:line="360" w:lineRule="auto"/>
        <w:ind w:firstLine="480"/>
        <w:rPr>
          <w:rFonts w:ascii="宋体" w:hAnsi="宋体"/>
          <w:color w:val="000000"/>
          <w:sz w:val="24"/>
        </w:rPr>
      </w:pPr>
      <w:r>
        <w:rPr>
          <w:rFonts w:ascii="宋体" w:hAnsi="宋体"/>
          <w:color w:val="000000"/>
          <w:sz w:val="24"/>
        </w:rPr>
        <w:t>另外，</w:t>
      </w:r>
      <w:r>
        <w:rPr>
          <w:rFonts w:hint="eastAsia" w:ascii="宋体" w:hAnsi="宋体"/>
          <w:color w:val="000000"/>
          <w:sz w:val="24"/>
        </w:rPr>
        <w:t>新建保健院</w:t>
      </w:r>
      <w:r>
        <w:rPr>
          <w:rFonts w:ascii="宋体" w:hAnsi="宋体"/>
          <w:color w:val="000000"/>
          <w:sz w:val="24"/>
        </w:rPr>
        <w:t>的污水中还含有大量消毒剂，有的严重超标，并含有药剂的残留物。</w:t>
      </w:r>
    </w:p>
    <w:p w14:paraId="763080E5">
      <w:pPr>
        <w:spacing w:line="360" w:lineRule="auto"/>
        <w:ind w:firstLine="480"/>
        <w:rPr>
          <w:rFonts w:ascii="宋体" w:hAnsi="宋体"/>
          <w:color w:val="000000"/>
          <w:sz w:val="24"/>
        </w:rPr>
      </w:pPr>
      <w:r>
        <w:rPr>
          <w:rFonts w:hint="eastAsia" w:ascii="宋体" w:hAnsi="宋体"/>
          <w:color w:val="000000"/>
          <w:sz w:val="24"/>
        </w:rPr>
        <w:t>手术室</w:t>
      </w:r>
      <w:r>
        <w:rPr>
          <w:rFonts w:ascii="宋体" w:hAnsi="宋体"/>
          <w:color w:val="000000"/>
          <w:sz w:val="24"/>
        </w:rPr>
        <w:t>、厕所污物处理室等部门不论理化指标还是生物原指标都是最为严重，是污水处理的重点部门。</w:t>
      </w:r>
    </w:p>
    <w:p w14:paraId="6350FC02">
      <w:pPr>
        <w:spacing w:line="360" w:lineRule="auto"/>
        <w:ind w:firstLine="480"/>
        <w:rPr>
          <w:rFonts w:ascii="宋体" w:hAnsi="宋体"/>
          <w:color w:val="000000"/>
          <w:sz w:val="24"/>
        </w:rPr>
      </w:pPr>
      <w:r>
        <w:rPr>
          <w:rFonts w:hint="eastAsia" w:ascii="宋体" w:hAnsi="宋体"/>
          <w:color w:val="000000"/>
          <w:sz w:val="24"/>
        </w:rPr>
        <w:t>（2）</w:t>
      </w:r>
      <w:r>
        <w:rPr>
          <w:rFonts w:ascii="宋体" w:hAnsi="宋体"/>
          <w:color w:val="000000"/>
          <w:sz w:val="24"/>
        </w:rPr>
        <w:t>固体废弃物</w:t>
      </w:r>
    </w:p>
    <w:p w14:paraId="66B5434F">
      <w:pPr>
        <w:spacing w:line="360" w:lineRule="auto"/>
        <w:ind w:firstLine="480"/>
        <w:rPr>
          <w:rFonts w:hint="eastAsia" w:ascii="宋体" w:hAnsi="宋体"/>
          <w:color w:val="000000"/>
          <w:sz w:val="24"/>
        </w:rPr>
      </w:pPr>
      <w:r>
        <w:rPr>
          <w:rFonts w:ascii="宋体" w:hAnsi="宋体"/>
          <w:color w:val="000000"/>
          <w:sz w:val="24"/>
        </w:rPr>
        <w:t>医院是人群及患者活动、治疗、检查和生活的中心场所，不仅会产生一般的固体废弃物和生活垃圾，而且还有大量的受到生物性污染的垃圾及废弃物，</w:t>
      </w:r>
      <w:r>
        <w:rPr>
          <w:rFonts w:hint="eastAsia" w:ascii="宋体" w:hAnsi="宋体"/>
          <w:color w:val="000000"/>
          <w:sz w:val="24"/>
        </w:rPr>
        <w:t>本项目建成后</w:t>
      </w:r>
      <w:r>
        <w:rPr>
          <w:rFonts w:ascii="宋体" w:hAnsi="宋体"/>
          <w:color w:val="000000"/>
          <w:sz w:val="24"/>
        </w:rPr>
        <w:t>这些物质主要来</w:t>
      </w:r>
      <w:r>
        <w:rPr>
          <w:rFonts w:hint="eastAsia" w:ascii="宋体" w:hAnsi="宋体"/>
          <w:color w:val="000000"/>
          <w:sz w:val="24"/>
        </w:rPr>
        <w:t>病房</w:t>
      </w:r>
      <w:r>
        <w:rPr>
          <w:rFonts w:ascii="宋体" w:hAnsi="宋体"/>
          <w:color w:val="000000"/>
          <w:sz w:val="24"/>
        </w:rPr>
        <w:t>、</w:t>
      </w:r>
      <w:r>
        <w:rPr>
          <w:rFonts w:hint="eastAsia" w:ascii="宋体" w:hAnsi="宋体"/>
          <w:color w:val="000000"/>
          <w:sz w:val="24"/>
        </w:rPr>
        <w:t>手术室</w:t>
      </w:r>
      <w:r>
        <w:rPr>
          <w:rFonts w:ascii="宋体" w:hAnsi="宋体"/>
          <w:color w:val="000000"/>
          <w:sz w:val="24"/>
        </w:rPr>
        <w:t>、</w:t>
      </w:r>
      <w:r>
        <w:rPr>
          <w:rFonts w:hint="eastAsia" w:ascii="宋体" w:hAnsi="宋体"/>
          <w:color w:val="000000"/>
          <w:sz w:val="24"/>
        </w:rPr>
        <w:t>检验科等</w:t>
      </w:r>
      <w:r>
        <w:rPr>
          <w:rFonts w:ascii="宋体" w:hAnsi="宋体"/>
          <w:color w:val="000000"/>
          <w:sz w:val="24"/>
        </w:rPr>
        <w:t>。</w:t>
      </w:r>
    </w:p>
    <w:p w14:paraId="1B66B9E5">
      <w:pPr>
        <w:spacing w:line="360" w:lineRule="auto"/>
        <w:ind w:firstLine="480"/>
        <w:rPr>
          <w:rFonts w:hint="eastAsia" w:ascii="宋体" w:hAnsi="宋体"/>
          <w:color w:val="000000"/>
          <w:sz w:val="24"/>
        </w:rPr>
      </w:pPr>
      <w:r>
        <w:rPr>
          <w:rFonts w:hint="eastAsia" w:ascii="宋体" w:hAnsi="宋体"/>
          <w:color w:val="000000"/>
          <w:sz w:val="24"/>
        </w:rPr>
        <w:t>本工程产生的</w:t>
      </w:r>
      <w:r>
        <w:rPr>
          <w:rFonts w:ascii="宋体" w:hAnsi="宋体"/>
          <w:color w:val="000000"/>
          <w:sz w:val="24"/>
        </w:rPr>
        <w:t>固体废弃物按性质分，主要为四大类：</w:t>
      </w:r>
      <w:r>
        <w:rPr>
          <w:rFonts w:hint="eastAsia" w:ascii="宋体" w:hAnsi="宋体"/>
          <w:color w:val="000000"/>
          <w:sz w:val="24"/>
        </w:rPr>
        <w:t>1）、</w:t>
      </w:r>
      <w:r>
        <w:rPr>
          <w:rFonts w:ascii="宋体" w:hAnsi="宋体"/>
          <w:color w:val="000000"/>
          <w:sz w:val="24"/>
        </w:rPr>
        <w:t>一般性固体废弃物：包括：有机类，如瓜果皮、剩菜剩饭；无机类，如废纸、饮料罐、废金属等；有害类，如废电池、荧光灯管、过期药品等；</w:t>
      </w:r>
      <w:r>
        <w:rPr>
          <w:rFonts w:hint="eastAsia" w:ascii="宋体" w:hAnsi="宋体"/>
          <w:color w:val="000000"/>
          <w:sz w:val="24"/>
        </w:rPr>
        <w:t>2）、</w:t>
      </w:r>
      <w:r>
        <w:rPr>
          <w:rFonts w:ascii="宋体" w:hAnsi="宋体"/>
          <w:color w:val="000000"/>
          <w:sz w:val="24"/>
        </w:rPr>
        <w:t>化学类有毒废物：化验室、治疗室、实验室等排出的各种废料、废渣，应单独收集、回收、搬运和处理。主要有酸碱类废物、重金属等；</w:t>
      </w:r>
      <w:r>
        <w:rPr>
          <w:rFonts w:hint="eastAsia" w:ascii="宋体" w:hAnsi="宋体"/>
          <w:color w:val="000000"/>
          <w:sz w:val="24"/>
        </w:rPr>
        <w:t>3）、</w:t>
      </w:r>
      <w:r>
        <w:rPr>
          <w:rFonts w:ascii="宋体" w:hAnsi="宋体"/>
          <w:color w:val="000000"/>
          <w:sz w:val="24"/>
        </w:rPr>
        <w:t>放射性废物：在放射性治疗诊断中使用的容器、器皿、针管、沾染放射性物质的纱布、药棉等，就单独收集清洗或贮存；</w:t>
      </w:r>
      <w:r>
        <w:rPr>
          <w:rFonts w:hint="eastAsia" w:ascii="宋体" w:hAnsi="宋体"/>
          <w:color w:val="000000"/>
          <w:sz w:val="24"/>
        </w:rPr>
        <w:t>4）</w:t>
      </w:r>
      <w:r>
        <w:rPr>
          <w:rFonts w:hint="eastAsia"/>
          <w:color w:val="000000"/>
        </w:rPr>
        <w:t>、</w:t>
      </w:r>
      <w:r>
        <w:rPr>
          <w:rFonts w:ascii="宋体" w:hAnsi="宋体"/>
          <w:color w:val="000000"/>
          <w:sz w:val="24"/>
        </w:rPr>
        <w:t>传染性废物：主要来自各个病房、检验化验室</w:t>
      </w:r>
      <w:r>
        <w:rPr>
          <w:rFonts w:hint="eastAsia" w:ascii="宋体" w:hAnsi="宋体"/>
          <w:color w:val="000000"/>
          <w:sz w:val="24"/>
        </w:rPr>
        <w:t>、手术室</w:t>
      </w:r>
      <w:r>
        <w:rPr>
          <w:rFonts w:ascii="宋体" w:hAnsi="宋体"/>
          <w:color w:val="000000"/>
          <w:sz w:val="24"/>
        </w:rPr>
        <w:t>等，主要包括各种手术切除物，患者使用过的剩饭剩菜、瓜果皮核、废纸废料、包装箱盒、瓶器具、污染衣物等，外科敷料、纱布棉球、针头针管、化验器具、标本样品等</w:t>
      </w:r>
      <w:r>
        <w:rPr>
          <w:rFonts w:hint="eastAsia" w:ascii="宋体" w:hAnsi="宋体"/>
          <w:color w:val="000000"/>
          <w:sz w:val="24"/>
        </w:rPr>
        <w:t>。</w:t>
      </w:r>
    </w:p>
    <w:p w14:paraId="3F43D159">
      <w:pPr>
        <w:spacing w:line="360" w:lineRule="auto"/>
        <w:ind w:firstLine="480"/>
        <w:rPr>
          <w:rFonts w:ascii="宋体" w:hAnsi="宋体"/>
          <w:color w:val="000000"/>
          <w:sz w:val="24"/>
        </w:rPr>
      </w:pPr>
      <w:r>
        <w:rPr>
          <w:rFonts w:hint="eastAsia" w:ascii="宋体" w:hAnsi="宋体"/>
          <w:color w:val="000000"/>
          <w:sz w:val="24"/>
        </w:rPr>
        <w:t>（3）</w:t>
      </w:r>
      <w:r>
        <w:rPr>
          <w:rFonts w:ascii="宋体" w:hAnsi="宋体"/>
          <w:color w:val="000000"/>
          <w:sz w:val="24"/>
        </w:rPr>
        <w:t>废气</w:t>
      </w:r>
    </w:p>
    <w:p w14:paraId="6281255C">
      <w:pPr>
        <w:spacing w:line="360" w:lineRule="auto"/>
        <w:ind w:firstLine="480"/>
        <w:rPr>
          <w:rFonts w:hint="eastAsia" w:ascii="宋体" w:hAnsi="宋体"/>
          <w:color w:val="000000"/>
          <w:sz w:val="24"/>
        </w:rPr>
      </w:pPr>
      <w:r>
        <w:rPr>
          <w:rFonts w:ascii="宋体" w:hAnsi="宋体"/>
          <w:color w:val="000000"/>
          <w:sz w:val="24"/>
        </w:rPr>
        <w:t>本项目废气主要是</w:t>
      </w:r>
      <w:r>
        <w:rPr>
          <w:rFonts w:hint="eastAsia" w:ascii="宋体" w:hAnsi="宋体"/>
          <w:color w:val="000000"/>
          <w:sz w:val="24"/>
        </w:rPr>
        <w:t>汽车尾气、食堂油烟和污水处理站排放的臭气。</w:t>
      </w:r>
    </w:p>
    <w:p w14:paraId="7F63C4A3">
      <w:pPr>
        <w:spacing w:line="360" w:lineRule="auto"/>
        <w:ind w:firstLine="480"/>
        <w:rPr>
          <w:rFonts w:ascii="宋体" w:hAnsi="宋体"/>
          <w:color w:val="000000"/>
          <w:sz w:val="24"/>
        </w:rPr>
      </w:pPr>
      <w:r>
        <w:rPr>
          <w:rFonts w:hint="eastAsia" w:ascii="宋体" w:hAnsi="宋体"/>
          <w:color w:val="000000"/>
          <w:sz w:val="24"/>
        </w:rPr>
        <w:t>（4）</w:t>
      </w:r>
      <w:r>
        <w:rPr>
          <w:rFonts w:ascii="宋体" w:hAnsi="宋体"/>
          <w:color w:val="000000"/>
          <w:sz w:val="24"/>
        </w:rPr>
        <w:t>噪声</w:t>
      </w:r>
    </w:p>
    <w:p w14:paraId="5EB5F65B">
      <w:pPr>
        <w:spacing w:line="360" w:lineRule="auto"/>
        <w:ind w:firstLine="480"/>
        <w:rPr>
          <w:rFonts w:hint="eastAsia" w:ascii="宋体" w:hAnsi="宋体"/>
          <w:color w:val="000000"/>
          <w:sz w:val="24"/>
        </w:rPr>
      </w:pPr>
      <w:r>
        <w:rPr>
          <w:rFonts w:ascii="宋体" w:hAnsi="宋体"/>
          <w:color w:val="000000"/>
          <w:sz w:val="24"/>
        </w:rPr>
        <w:t>本项目噪声主要是使用的各类机械设备运行时产生的噪声。</w:t>
      </w:r>
    </w:p>
    <w:p w14:paraId="6C4B2BE5">
      <w:pPr>
        <w:spacing w:line="360" w:lineRule="auto"/>
        <w:ind w:firstLine="480"/>
        <w:rPr>
          <w:rFonts w:ascii="宋体" w:hAnsi="宋体"/>
          <w:color w:val="000000"/>
          <w:sz w:val="24"/>
        </w:rPr>
      </w:pPr>
      <w:r>
        <w:rPr>
          <w:rFonts w:hint="eastAsia" w:ascii="宋体" w:hAnsi="宋体"/>
          <w:color w:val="000000"/>
          <w:sz w:val="24"/>
        </w:rPr>
        <w:t>（5）</w:t>
      </w:r>
      <w:r>
        <w:rPr>
          <w:rFonts w:ascii="宋体" w:hAnsi="宋体"/>
          <w:color w:val="000000"/>
          <w:sz w:val="24"/>
        </w:rPr>
        <w:t>放射性物质</w:t>
      </w:r>
    </w:p>
    <w:p w14:paraId="0AF0C706">
      <w:pPr>
        <w:spacing w:line="360" w:lineRule="auto"/>
        <w:ind w:firstLine="480"/>
        <w:rPr>
          <w:rFonts w:hint="eastAsia" w:ascii="宋体" w:hAnsi="宋体"/>
          <w:color w:val="000000"/>
          <w:sz w:val="24"/>
        </w:rPr>
      </w:pPr>
      <w:r>
        <w:rPr>
          <w:rFonts w:ascii="宋体" w:hAnsi="宋体"/>
          <w:color w:val="000000"/>
          <w:sz w:val="24"/>
        </w:rPr>
        <w:t>放射科配有螺旋CT、X光机、拍片机等射线装置，这一类射线装置设备均会产生电或磁的辐射，一般在该类设备安装时对这一类辐射均已有必要的防护措施，对操作过程也有严格的规范，但院方若疏于管理，因相关医职人员的马虎，极易造成辐射的泄漏，对候诊病人及其他医职人员的身体健康造成影响。</w:t>
      </w:r>
    </w:p>
    <w:p w14:paraId="316C4211">
      <w:pPr>
        <w:spacing w:line="360" w:lineRule="auto"/>
        <w:ind w:firstLine="482"/>
        <w:rPr>
          <w:rFonts w:hint="eastAsia" w:ascii="宋体" w:hAnsi="宋体"/>
          <w:color w:val="000000"/>
          <w:sz w:val="24"/>
        </w:rPr>
      </w:pPr>
      <w:r>
        <w:rPr>
          <w:rFonts w:hint="eastAsia" w:ascii="宋体" w:hAnsi="宋体"/>
          <w:b/>
          <w:color w:val="000000"/>
          <w:sz w:val="24"/>
        </w:rPr>
        <w:t>关于放射性部分环评建议建设单位委托有资质的单位单独进行环境影响评价，本报告</w:t>
      </w:r>
      <w:r>
        <w:rPr>
          <w:rFonts w:hint="eastAsia"/>
          <w:b/>
          <w:color w:val="000000"/>
          <w:sz w:val="24"/>
        </w:rPr>
        <w:t>不包含放射性部分。</w:t>
      </w:r>
    </w:p>
    <w:p w14:paraId="514DAC00">
      <w:pPr>
        <w:pStyle w:val="182"/>
        <w:ind w:firstLine="275"/>
        <w:rPr>
          <w:rFonts w:ascii="Times New Roman" w:hAnsi="Times New Roman" w:eastAsia="仿宋_GB2312" w:cs="Times New Roman"/>
          <w:color w:val="000000"/>
          <w:sz w:val="28"/>
          <w:szCs w:val="28"/>
        </w:rPr>
      </w:pPr>
      <w:bookmarkStart w:id="161" w:name="_Toc495500059"/>
      <w:r>
        <w:rPr>
          <w:rFonts w:ascii="Times New Roman" w:hAnsi="Times New Roman" w:eastAsia="仿宋_GB2312" w:cs="Times New Roman"/>
          <w:color w:val="000000"/>
          <w:sz w:val="28"/>
          <w:szCs w:val="28"/>
        </w:rPr>
        <w:t>3.6施工期产污核算</w:t>
      </w:r>
      <w:bookmarkEnd w:id="161"/>
    </w:p>
    <w:p w14:paraId="2392C772">
      <w:pPr>
        <w:pStyle w:val="221"/>
        <w:spacing w:after="0" w:line="360" w:lineRule="auto"/>
        <w:ind w:left="0" w:firstLine="480"/>
        <w:rPr>
          <w:color w:val="000000"/>
          <w:sz w:val="24"/>
        </w:rPr>
      </w:pPr>
      <w:r>
        <w:rPr>
          <w:color w:val="000000"/>
          <w:sz w:val="24"/>
        </w:rPr>
        <w:t>项目施工期为12个月，施工内容主要包括原有场地开挖、基础打桩、主体建筑和配套设施建设、场地平整、室内装修及绿化等，项目施工场地设置围墙与外界隔离，本项目不设施工营地，租住项目隔壁居民住房食宿。另外，项目内不进行混凝土的搅拌，工程建设中使用商品混凝土。</w:t>
      </w:r>
    </w:p>
    <w:p w14:paraId="03E72ED0">
      <w:pPr>
        <w:pStyle w:val="221"/>
        <w:spacing w:after="0" w:line="360" w:lineRule="auto"/>
        <w:ind w:left="0" w:firstLine="480"/>
        <w:rPr>
          <w:color w:val="000000"/>
          <w:sz w:val="24"/>
        </w:rPr>
      </w:pPr>
      <w:r>
        <w:rPr>
          <w:color w:val="000000"/>
          <w:sz w:val="24"/>
        </w:rPr>
        <w:t>建设期的影响主要为施工废水、废气、噪声及固体废弃物的影响。</w:t>
      </w:r>
    </w:p>
    <w:p w14:paraId="15E96FF0">
      <w:pPr>
        <w:pStyle w:val="183"/>
        <w:ind w:firstLine="472"/>
        <w:rPr>
          <w:rFonts w:eastAsia="仿宋_GB2312"/>
          <w:color w:val="000000"/>
          <w:sz w:val="24"/>
          <w:szCs w:val="24"/>
        </w:rPr>
      </w:pPr>
      <w:bookmarkStart w:id="162" w:name="_Toc143644031"/>
      <w:bookmarkEnd w:id="162"/>
      <w:bookmarkStart w:id="163" w:name="_Toc144483892"/>
      <w:bookmarkEnd w:id="163"/>
      <w:bookmarkStart w:id="164" w:name="_Toc143467189"/>
      <w:bookmarkEnd w:id="164"/>
      <w:bookmarkStart w:id="165" w:name="_Toc143542683"/>
      <w:bookmarkEnd w:id="165"/>
      <w:bookmarkStart w:id="166" w:name="_Toc143548082"/>
      <w:bookmarkEnd w:id="166"/>
      <w:bookmarkStart w:id="167" w:name="_Toc143542910"/>
      <w:bookmarkEnd w:id="167"/>
      <w:bookmarkStart w:id="168" w:name="_Toc143991179"/>
      <w:bookmarkEnd w:id="168"/>
      <w:bookmarkStart w:id="169" w:name="_Toc143458558"/>
      <w:bookmarkEnd w:id="169"/>
      <w:bookmarkStart w:id="170" w:name="_Toc143717647"/>
      <w:bookmarkEnd w:id="170"/>
      <w:bookmarkStart w:id="171" w:name="_Toc144118325"/>
      <w:bookmarkEnd w:id="171"/>
      <w:bookmarkStart w:id="172" w:name="_Toc143549437"/>
      <w:bookmarkEnd w:id="172"/>
      <w:bookmarkStart w:id="173" w:name="_Toc144224614"/>
      <w:bookmarkEnd w:id="173"/>
      <w:bookmarkStart w:id="174" w:name="_Toc143640635"/>
      <w:bookmarkEnd w:id="174"/>
      <w:bookmarkStart w:id="175" w:name="_Toc143548204"/>
      <w:bookmarkEnd w:id="175"/>
      <w:bookmarkStart w:id="176" w:name="_Toc136458256"/>
      <w:bookmarkEnd w:id="176"/>
      <w:bookmarkStart w:id="177" w:name="_Toc144465242"/>
      <w:bookmarkEnd w:id="177"/>
      <w:bookmarkStart w:id="178" w:name="_Toc170140390"/>
      <w:bookmarkEnd w:id="178"/>
      <w:bookmarkStart w:id="179" w:name="_Toc143641053"/>
      <w:bookmarkEnd w:id="179"/>
      <w:bookmarkStart w:id="180" w:name="_Toc143640428"/>
      <w:bookmarkEnd w:id="180"/>
      <w:bookmarkStart w:id="181" w:name="_Toc143642711"/>
      <w:bookmarkEnd w:id="181"/>
      <w:bookmarkStart w:id="182" w:name="_Toc143991907"/>
      <w:bookmarkEnd w:id="182"/>
      <w:bookmarkStart w:id="183" w:name="_Toc241904940"/>
      <w:bookmarkEnd w:id="183"/>
      <w:bookmarkStart w:id="184" w:name="_Toc143996309"/>
      <w:bookmarkEnd w:id="184"/>
      <w:bookmarkStart w:id="185" w:name="_Toc144144998"/>
      <w:bookmarkEnd w:id="185"/>
      <w:bookmarkStart w:id="186" w:name="_Toc495500060"/>
      <w:r>
        <w:rPr>
          <w:rFonts w:eastAsia="仿宋_GB2312"/>
          <w:color w:val="000000"/>
          <w:sz w:val="24"/>
          <w:szCs w:val="24"/>
        </w:rPr>
        <w:t>3.</w:t>
      </w:r>
      <w:r>
        <w:rPr>
          <w:rFonts w:hint="eastAsia" w:eastAsia="仿宋_GB2312"/>
          <w:color w:val="000000"/>
          <w:sz w:val="24"/>
          <w:szCs w:val="24"/>
        </w:rPr>
        <w:t>6</w:t>
      </w:r>
      <w:r>
        <w:rPr>
          <w:rFonts w:eastAsia="仿宋_GB2312"/>
          <w:color w:val="000000"/>
          <w:sz w:val="24"/>
          <w:szCs w:val="24"/>
        </w:rPr>
        <w:t>.1 施工废水及施工生活污水</w:t>
      </w:r>
      <w:bookmarkEnd w:id="186"/>
    </w:p>
    <w:p w14:paraId="14EECA1D">
      <w:pPr>
        <w:spacing w:line="360" w:lineRule="auto"/>
        <w:ind w:firstLine="540"/>
        <w:rPr>
          <w:color w:val="000000"/>
          <w:sz w:val="24"/>
        </w:rPr>
      </w:pPr>
      <w:r>
        <w:rPr>
          <w:color w:val="000000"/>
          <w:sz w:val="24"/>
        </w:rPr>
        <w:t>（1）施工废水</w:t>
      </w:r>
    </w:p>
    <w:p w14:paraId="14B580B4">
      <w:pPr>
        <w:spacing w:line="360" w:lineRule="auto"/>
        <w:ind w:firstLine="540"/>
        <w:rPr>
          <w:color w:val="000000"/>
          <w:sz w:val="24"/>
        </w:rPr>
      </w:pPr>
      <w:r>
        <w:rPr>
          <w:color w:val="000000"/>
          <w:sz w:val="24"/>
        </w:rPr>
        <w:t>施工场内不设混凝土拌和，施工废水主要为混凝土养护废水、工具清洗废水等，与大多数建筑工程一样，该项目施工生产废水不含有毒物质，主要是泥沙悬浮物含量较大。根据类比同类工程施工废水资料：混凝土养护废水悬浮物浓度为500mg/L～2000mg/L，pH值9～12，该项目施工废水所含悬浮物浓度属上述浓度变化范围的中下水平。施工过程中设备、工具清洗及其它等产生的废水量小，主要污染物为悬浮物和石油类。根据同类工程类比污水量为0.5m</w:t>
      </w:r>
      <w:r>
        <w:rPr>
          <w:color w:val="000000"/>
          <w:sz w:val="24"/>
          <w:vertAlign w:val="superscript"/>
        </w:rPr>
        <w:t>3</w:t>
      </w:r>
      <w:r>
        <w:rPr>
          <w:color w:val="000000"/>
          <w:sz w:val="24"/>
        </w:rPr>
        <w:t>/d。</w:t>
      </w:r>
    </w:p>
    <w:p w14:paraId="686A2F87">
      <w:pPr>
        <w:spacing w:line="360" w:lineRule="auto"/>
        <w:ind w:firstLine="540"/>
        <w:rPr>
          <w:color w:val="000000"/>
          <w:sz w:val="24"/>
        </w:rPr>
      </w:pPr>
      <w:r>
        <w:rPr>
          <w:color w:val="000000"/>
          <w:sz w:val="24"/>
        </w:rPr>
        <w:t>施工期中如遇雨季产生的地表径流。在施工期中暴雨径流与施工期间天气状况有较大的关系，难以定量分析；本环评要求建设方在施工期如遇暴雨天气尽量减少施工，做好建筑材料的覆盖和场地区周围的截流排洪沟渠的维护与畅通。</w:t>
      </w:r>
    </w:p>
    <w:p w14:paraId="7D5728CC">
      <w:pPr>
        <w:spacing w:line="360" w:lineRule="auto"/>
        <w:ind w:firstLine="540"/>
        <w:rPr>
          <w:color w:val="000000"/>
          <w:sz w:val="24"/>
        </w:rPr>
      </w:pPr>
      <w:r>
        <w:rPr>
          <w:color w:val="000000"/>
          <w:sz w:val="24"/>
        </w:rPr>
        <w:t>根据调查，按其含水层物理性质、埋藏条件及水动力特征及水源补给条件等，项目所在区内地下水类型主要为第四系孔隙潜水，微具承压性，建设用地内地下水位埋深0.5～1.5m，含水层为埋深较大的砂砾层、粉砂（土）层；砂砾层透水性强，粉砂（土）层为弱透水层，沾性土、泥炭质土为相对隔水层；地下水主要受大气降水、农灌水补给；经查阅附近地区岩土工程勘察水质简化分析成果，地下水水化学类型为HCO</w:t>
      </w:r>
      <w:r>
        <w:rPr>
          <w:color w:val="000000"/>
          <w:sz w:val="24"/>
          <w:vertAlign w:val="subscript"/>
        </w:rPr>
        <w:t>3</w:t>
      </w:r>
      <w:r>
        <w:rPr>
          <w:color w:val="000000"/>
          <w:sz w:val="24"/>
        </w:rPr>
        <w:t>-Ca.Mg,pH=6.8，近中性，对钢筋</w:t>
      </w:r>
      <w:r>
        <w:rPr>
          <w:rFonts w:hint="eastAsia"/>
          <w:color w:val="000000"/>
          <w:sz w:val="24"/>
          <w:lang w:eastAsia="zh-CN"/>
        </w:rPr>
        <w:t>混凝土</w:t>
      </w:r>
      <w:r>
        <w:rPr>
          <w:color w:val="000000"/>
          <w:sz w:val="24"/>
        </w:rPr>
        <w:t>结构及其中的钢筋无腐蚀性，对外漏钢结构有弱腐蚀性。</w:t>
      </w:r>
    </w:p>
    <w:p w14:paraId="06C5687D">
      <w:pPr>
        <w:spacing w:line="360" w:lineRule="auto"/>
        <w:ind w:firstLine="540"/>
        <w:rPr>
          <w:color w:val="000000"/>
          <w:sz w:val="24"/>
        </w:rPr>
      </w:pPr>
      <w:r>
        <w:rPr>
          <w:color w:val="000000"/>
          <w:sz w:val="24"/>
        </w:rPr>
        <w:t>项目施工期产生的孔隙地下涌水，建设方用抽水机抽出来后进入沉淀池，经沉淀池处理后回用于项目区洒水抑尘。</w:t>
      </w:r>
    </w:p>
    <w:p w14:paraId="6A6F526D">
      <w:pPr>
        <w:pStyle w:val="221"/>
        <w:spacing w:after="0" w:line="360" w:lineRule="auto"/>
        <w:ind w:left="0" w:firstLine="480"/>
        <w:rPr>
          <w:color w:val="000000"/>
          <w:sz w:val="24"/>
        </w:rPr>
      </w:pPr>
      <w:r>
        <w:rPr>
          <w:color w:val="000000"/>
          <w:sz w:val="24"/>
        </w:rPr>
        <w:t>（2）施工生活污水</w:t>
      </w:r>
    </w:p>
    <w:p w14:paraId="103709F5">
      <w:pPr>
        <w:spacing w:line="360" w:lineRule="auto"/>
        <w:ind w:firstLine="540"/>
        <w:rPr>
          <w:color w:val="000000"/>
          <w:sz w:val="24"/>
        </w:rPr>
      </w:pPr>
      <w:r>
        <w:rPr>
          <w:color w:val="000000"/>
          <w:sz w:val="24"/>
        </w:rPr>
        <w:t>该项目施工期的施工人员平均</w:t>
      </w:r>
      <w:r>
        <w:rPr>
          <w:rFonts w:hint="eastAsia"/>
          <w:color w:val="000000"/>
          <w:sz w:val="24"/>
        </w:rPr>
        <w:t>10</w:t>
      </w:r>
      <w:r>
        <w:rPr>
          <w:color w:val="000000"/>
          <w:sz w:val="24"/>
        </w:rPr>
        <w:t>0人/d，根据项目区的实际情况，施工人员租住于附近民房。施工区不设食堂，吃饭自己解决。施工期产生的生活污水主要为施工人员的洗手用水，用水量按15L/人·d计，生活污水产生量按80%计，则施工生活污水产生量为</w:t>
      </w:r>
      <w:r>
        <w:rPr>
          <w:rFonts w:hint="eastAsia"/>
          <w:color w:val="000000"/>
          <w:sz w:val="24"/>
        </w:rPr>
        <w:t>1.2</w:t>
      </w:r>
      <w:r>
        <w:rPr>
          <w:color w:val="000000"/>
          <w:sz w:val="24"/>
        </w:rPr>
        <w:t>m</w:t>
      </w:r>
      <w:r>
        <w:rPr>
          <w:color w:val="000000"/>
          <w:sz w:val="24"/>
          <w:vertAlign w:val="superscript"/>
        </w:rPr>
        <w:t>3</w:t>
      </w:r>
      <w:r>
        <w:rPr>
          <w:color w:val="000000"/>
          <w:sz w:val="24"/>
        </w:rPr>
        <w:t>/d。产生的施工生活污水经过沉淀池沉淀处理后回用于施工场地内。施工生活污水不外排。</w:t>
      </w:r>
    </w:p>
    <w:p w14:paraId="4DBF4018">
      <w:pPr>
        <w:pStyle w:val="183"/>
        <w:ind w:firstLine="472"/>
        <w:rPr>
          <w:rFonts w:eastAsia="仿宋_GB2312"/>
          <w:color w:val="000000"/>
          <w:sz w:val="24"/>
          <w:szCs w:val="24"/>
        </w:rPr>
      </w:pPr>
      <w:bookmarkStart w:id="187" w:name="_Toc143548083"/>
      <w:bookmarkEnd w:id="187"/>
      <w:bookmarkStart w:id="188" w:name="_Toc136456640"/>
      <w:bookmarkEnd w:id="188"/>
      <w:bookmarkStart w:id="189" w:name="_Toc136456574"/>
      <w:bookmarkEnd w:id="189"/>
      <w:bookmarkStart w:id="190" w:name="_Toc135639654"/>
      <w:bookmarkEnd w:id="190"/>
      <w:bookmarkStart w:id="191" w:name="_Toc143458559"/>
      <w:bookmarkEnd w:id="191"/>
      <w:bookmarkStart w:id="192" w:name="_Toc143542911"/>
      <w:bookmarkEnd w:id="192"/>
      <w:bookmarkStart w:id="193" w:name="_Toc143542684"/>
      <w:bookmarkEnd w:id="193"/>
      <w:bookmarkStart w:id="194" w:name="_Toc143548205"/>
      <w:bookmarkEnd w:id="194"/>
      <w:bookmarkStart w:id="195" w:name="_Toc143467190"/>
      <w:bookmarkEnd w:id="195"/>
      <w:bookmarkStart w:id="196" w:name="_Toc144224615"/>
      <w:bookmarkEnd w:id="196"/>
      <w:bookmarkStart w:id="197" w:name="_Toc143549438"/>
      <w:bookmarkEnd w:id="197"/>
      <w:bookmarkStart w:id="198" w:name="_Toc143640429"/>
      <w:bookmarkEnd w:id="198"/>
      <w:bookmarkStart w:id="199" w:name="_Toc144483893"/>
      <w:bookmarkEnd w:id="199"/>
      <w:bookmarkStart w:id="200" w:name="_Toc136457384"/>
      <w:bookmarkEnd w:id="200"/>
      <w:bookmarkStart w:id="201" w:name="_Toc241904941"/>
      <w:bookmarkEnd w:id="201"/>
      <w:bookmarkStart w:id="202" w:name="_Toc136457675"/>
      <w:bookmarkEnd w:id="202"/>
      <w:bookmarkStart w:id="203" w:name="_Toc144118326"/>
      <w:bookmarkEnd w:id="203"/>
      <w:bookmarkStart w:id="204" w:name="_Toc136458257"/>
      <w:bookmarkEnd w:id="204"/>
      <w:bookmarkStart w:id="205" w:name="_Toc135596857"/>
      <w:bookmarkEnd w:id="205"/>
      <w:bookmarkStart w:id="206" w:name="_Toc136457746"/>
      <w:bookmarkEnd w:id="206"/>
      <w:bookmarkStart w:id="207" w:name="_Toc136458079"/>
      <w:bookmarkEnd w:id="207"/>
      <w:bookmarkStart w:id="208" w:name="_Toc136457464"/>
      <w:bookmarkEnd w:id="208"/>
      <w:bookmarkStart w:id="209" w:name="_Toc143644032"/>
      <w:bookmarkEnd w:id="209"/>
      <w:bookmarkStart w:id="210" w:name="_Toc143717648"/>
      <w:bookmarkEnd w:id="210"/>
      <w:bookmarkStart w:id="211" w:name="_Toc144465243"/>
      <w:bookmarkEnd w:id="211"/>
      <w:bookmarkStart w:id="212" w:name="_Toc143642712"/>
      <w:bookmarkEnd w:id="212"/>
      <w:bookmarkStart w:id="213" w:name="_Toc143991908"/>
      <w:bookmarkEnd w:id="213"/>
      <w:bookmarkStart w:id="214" w:name="_Toc143991180"/>
      <w:bookmarkEnd w:id="214"/>
      <w:bookmarkStart w:id="215" w:name="_Toc143641054"/>
      <w:bookmarkEnd w:id="215"/>
      <w:bookmarkStart w:id="216" w:name="_Toc144144999"/>
      <w:bookmarkEnd w:id="216"/>
      <w:bookmarkStart w:id="217" w:name="_Toc170140391"/>
      <w:bookmarkEnd w:id="217"/>
      <w:bookmarkStart w:id="218" w:name="_Toc143640636"/>
      <w:bookmarkEnd w:id="218"/>
      <w:bookmarkStart w:id="219" w:name="_Toc143996310"/>
      <w:bookmarkEnd w:id="219"/>
      <w:bookmarkStart w:id="220" w:name="_Toc495500061"/>
      <w:r>
        <w:rPr>
          <w:rFonts w:eastAsia="仿宋_GB2312"/>
          <w:color w:val="000000"/>
          <w:sz w:val="24"/>
          <w:szCs w:val="24"/>
        </w:rPr>
        <w:t>3.</w:t>
      </w:r>
      <w:r>
        <w:rPr>
          <w:rFonts w:hint="eastAsia" w:eastAsia="仿宋_GB2312"/>
          <w:color w:val="000000"/>
          <w:sz w:val="24"/>
          <w:szCs w:val="24"/>
        </w:rPr>
        <w:t>6</w:t>
      </w:r>
      <w:r>
        <w:rPr>
          <w:rFonts w:eastAsia="仿宋_GB2312"/>
          <w:color w:val="000000"/>
          <w:sz w:val="24"/>
          <w:szCs w:val="24"/>
        </w:rPr>
        <w:t>.2 施工废气及粉尘排放</w:t>
      </w:r>
      <w:bookmarkEnd w:id="220"/>
    </w:p>
    <w:p w14:paraId="59BB6C21">
      <w:pPr>
        <w:spacing w:line="360" w:lineRule="auto"/>
        <w:ind w:firstLine="540"/>
        <w:rPr>
          <w:color w:val="000000"/>
          <w:sz w:val="24"/>
        </w:rPr>
      </w:pPr>
      <w:r>
        <w:rPr>
          <w:color w:val="000000"/>
          <w:sz w:val="24"/>
        </w:rPr>
        <w:t>（1）设备废气</w:t>
      </w:r>
    </w:p>
    <w:p w14:paraId="3BE4708F">
      <w:pPr>
        <w:spacing w:line="360" w:lineRule="auto"/>
        <w:ind w:firstLine="540"/>
        <w:rPr>
          <w:rFonts w:hint="eastAsia"/>
          <w:color w:val="000000"/>
          <w:sz w:val="24"/>
        </w:rPr>
      </w:pPr>
      <w:r>
        <w:rPr>
          <w:color w:val="000000"/>
          <w:sz w:val="24"/>
        </w:rPr>
        <w:t>工程施工期间，各种施工机械（打桩机、推土机、装载机、运输车辆等）将大量消耗油料，排放有害物质。类比同类工程，本项目以耗油30t计，根据机械燃油产生的污染物定额估算有害气体产生量，本工程排放的废气详见表3.6-1，废气属无组织排放。</w:t>
      </w:r>
    </w:p>
    <w:p w14:paraId="3D9D5933">
      <w:pPr>
        <w:spacing w:line="360" w:lineRule="auto"/>
        <w:ind w:firstLine="540"/>
        <w:rPr>
          <w:rFonts w:hint="eastAsia"/>
          <w:color w:val="000000"/>
          <w:sz w:val="24"/>
        </w:rPr>
      </w:pPr>
    </w:p>
    <w:p w14:paraId="145E00D4">
      <w:pPr>
        <w:pStyle w:val="191"/>
        <w:ind w:firstLine="0"/>
        <w:jc w:val="center"/>
        <w:rPr>
          <w:rFonts w:ascii="Times New Roman" w:hAnsi="Times New Roman" w:eastAsia="宋体" w:cs="Times New Roman"/>
          <w:b/>
          <w:color w:val="000000"/>
          <w:sz w:val="24"/>
          <w:szCs w:val="24"/>
        </w:rPr>
      </w:pPr>
      <w:r>
        <w:rPr>
          <w:rFonts w:ascii="Times New Roman" w:hAnsi="Times New Roman" w:eastAsia="宋体" w:cs="Times New Roman"/>
          <w:b/>
          <w:color w:val="000000"/>
          <w:sz w:val="24"/>
          <w:szCs w:val="24"/>
        </w:rPr>
        <w:t>表3.6-1   施工期有害气体物质排放量表</w:t>
      </w:r>
    </w:p>
    <w:tbl>
      <w:tblPr>
        <w:tblStyle w:val="27"/>
        <w:tblW w:w="0" w:type="auto"/>
        <w:tblInd w:w="-108" w:type="dxa"/>
        <w:tblLayout w:type="fixed"/>
        <w:tblCellMar>
          <w:top w:w="0" w:type="dxa"/>
          <w:left w:w="108" w:type="dxa"/>
          <w:bottom w:w="0" w:type="dxa"/>
          <w:right w:w="108" w:type="dxa"/>
        </w:tblCellMar>
      </w:tblPr>
      <w:tblGrid>
        <w:gridCol w:w="632"/>
        <w:gridCol w:w="741"/>
        <w:gridCol w:w="1258"/>
        <w:gridCol w:w="2093"/>
        <w:gridCol w:w="843"/>
        <w:gridCol w:w="784"/>
        <w:gridCol w:w="886"/>
        <w:gridCol w:w="886"/>
        <w:gridCol w:w="823"/>
      </w:tblGrid>
      <w:tr w14:paraId="71BD0403">
        <w:tblPrEx>
          <w:tblCellMar>
            <w:top w:w="0" w:type="dxa"/>
            <w:left w:w="108" w:type="dxa"/>
            <w:bottom w:w="0" w:type="dxa"/>
            <w:right w:w="108" w:type="dxa"/>
          </w:tblCellMar>
        </w:tblPrEx>
        <w:trPr>
          <w:trHeight w:val="646" w:hRule="atLeast"/>
        </w:trPr>
        <w:tc>
          <w:tcPr>
            <w:tcW w:w="632" w:type="dxa"/>
            <w:tcBorders>
              <w:top w:val="single" w:color="000000" w:sz="4" w:space="0"/>
              <w:left w:val="single" w:color="000000" w:sz="4" w:space="0"/>
              <w:bottom w:val="single" w:color="000000" w:sz="4" w:space="0"/>
              <w:right w:val="single" w:color="000000" w:sz="4" w:space="0"/>
            </w:tcBorders>
            <w:noWrap w:val="0"/>
            <w:vAlign w:val="center"/>
          </w:tcPr>
          <w:p w14:paraId="068F73D0">
            <w:pPr>
              <w:jc w:val="center"/>
              <w:rPr>
                <w:b/>
                <w:color w:val="000000"/>
                <w:szCs w:val="21"/>
              </w:rPr>
            </w:pPr>
            <w:r>
              <w:rPr>
                <w:b/>
                <w:color w:val="000000"/>
                <w:szCs w:val="21"/>
              </w:rPr>
              <w:t>材料</w:t>
            </w:r>
          </w:p>
        </w:tc>
        <w:tc>
          <w:tcPr>
            <w:tcW w:w="741" w:type="dxa"/>
            <w:tcBorders>
              <w:top w:val="single" w:color="000000" w:sz="4" w:space="0"/>
              <w:left w:val="nil"/>
              <w:bottom w:val="single" w:color="000000" w:sz="4" w:space="0"/>
              <w:right w:val="single" w:color="000000" w:sz="4" w:space="0"/>
            </w:tcBorders>
            <w:noWrap w:val="0"/>
            <w:vAlign w:val="center"/>
          </w:tcPr>
          <w:p w14:paraId="34A72982">
            <w:pPr>
              <w:jc w:val="center"/>
              <w:rPr>
                <w:b/>
                <w:color w:val="000000"/>
                <w:szCs w:val="21"/>
              </w:rPr>
            </w:pPr>
            <w:r>
              <w:rPr>
                <w:b/>
                <w:color w:val="000000"/>
                <w:szCs w:val="21"/>
              </w:rPr>
              <w:t>消耗量（t）</w:t>
            </w:r>
          </w:p>
        </w:tc>
        <w:tc>
          <w:tcPr>
            <w:tcW w:w="1258" w:type="dxa"/>
            <w:tcBorders>
              <w:top w:val="single" w:color="000000" w:sz="4" w:space="0"/>
              <w:left w:val="nil"/>
              <w:bottom w:val="single" w:color="000000" w:sz="4" w:space="0"/>
              <w:right w:val="single" w:color="000000" w:sz="4" w:space="0"/>
            </w:tcBorders>
            <w:noWrap w:val="0"/>
            <w:vAlign w:val="center"/>
          </w:tcPr>
          <w:p w14:paraId="1A812486">
            <w:pPr>
              <w:jc w:val="center"/>
              <w:rPr>
                <w:b/>
                <w:color w:val="000000"/>
                <w:szCs w:val="21"/>
              </w:rPr>
            </w:pPr>
            <w:r>
              <w:rPr>
                <w:b/>
                <w:color w:val="000000"/>
                <w:szCs w:val="21"/>
              </w:rPr>
              <w:t>排放方式</w:t>
            </w:r>
          </w:p>
        </w:tc>
        <w:tc>
          <w:tcPr>
            <w:tcW w:w="2093" w:type="dxa"/>
            <w:tcBorders>
              <w:top w:val="single" w:color="000000" w:sz="4" w:space="0"/>
              <w:left w:val="nil"/>
              <w:bottom w:val="single" w:color="000000" w:sz="4" w:space="0"/>
              <w:right w:val="single" w:color="000000" w:sz="4" w:space="0"/>
            </w:tcBorders>
            <w:noWrap w:val="0"/>
            <w:vAlign w:val="center"/>
          </w:tcPr>
          <w:p w14:paraId="726216CB">
            <w:pPr>
              <w:jc w:val="center"/>
              <w:rPr>
                <w:b/>
                <w:color w:val="000000"/>
                <w:szCs w:val="21"/>
              </w:rPr>
            </w:pPr>
            <w:r>
              <w:rPr>
                <w:b/>
                <w:color w:val="000000"/>
                <w:szCs w:val="21"/>
              </w:rPr>
              <w:t xml:space="preserve">        污染物</w:t>
            </w:r>
          </w:p>
          <w:p w14:paraId="11C7E47C">
            <w:pPr>
              <w:rPr>
                <w:b/>
                <w:color w:val="000000"/>
                <w:szCs w:val="21"/>
              </w:rPr>
            </w:pPr>
            <w:r>
              <w:rPr>
                <w:b/>
                <w:color w:val="000000"/>
                <w:szCs w:val="21"/>
              </w:rPr>
              <w:t>产量</w:t>
            </w:r>
          </w:p>
        </w:tc>
        <w:tc>
          <w:tcPr>
            <w:tcW w:w="843" w:type="dxa"/>
            <w:tcBorders>
              <w:top w:val="single" w:color="000000" w:sz="4" w:space="0"/>
              <w:left w:val="nil"/>
              <w:bottom w:val="single" w:color="000000" w:sz="4" w:space="0"/>
              <w:right w:val="single" w:color="000000" w:sz="4" w:space="0"/>
            </w:tcBorders>
            <w:noWrap w:val="0"/>
            <w:vAlign w:val="center"/>
          </w:tcPr>
          <w:p w14:paraId="63592B81">
            <w:pPr>
              <w:jc w:val="center"/>
              <w:rPr>
                <w:b/>
                <w:color w:val="000000"/>
                <w:szCs w:val="21"/>
              </w:rPr>
            </w:pPr>
            <w:r>
              <w:rPr>
                <w:b/>
                <w:color w:val="000000"/>
                <w:szCs w:val="21"/>
              </w:rPr>
              <w:t>铅化物</w:t>
            </w:r>
          </w:p>
        </w:tc>
        <w:tc>
          <w:tcPr>
            <w:tcW w:w="784" w:type="dxa"/>
            <w:tcBorders>
              <w:top w:val="single" w:color="000000" w:sz="4" w:space="0"/>
              <w:left w:val="nil"/>
              <w:bottom w:val="single" w:color="000000" w:sz="4" w:space="0"/>
              <w:right w:val="single" w:color="000000" w:sz="4" w:space="0"/>
            </w:tcBorders>
            <w:noWrap w:val="0"/>
            <w:vAlign w:val="center"/>
          </w:tcPr>
          <w:p w14:paraId="6630FB75">
            <w:pPr>
              <w:jc w:val="center"/>
              <w:rPr>
                <w:b/>
                <w:color w:val="000000"/>
                <w:szCs w:val="21"/>
              </w:rPr>
            </w:pPr>
            <w:r>
              <w:rPr>
                <w:b/>
                <w:color w:val="000000"/>
                <w:szCs w:val="21"/>
              </w:rPr>
              <w:t>SO</w:t>
            </w:r>
            <w:r>
              <w:rPr>
                <w:b/>
                <w:color w:val="000000"/>
                <w:szCs w:val="21"/>
                <w:vertAlign w:val="subscript"/>
              </w:rPr>
              <w:t>2</w:t>
            </w:r>
          </w:p>
        </w:tc>
        <w:tc>
          <w:tcPr>
            <w:tcW w:w="886" w:type="dxa"/>
            <w:tcBorders>
              <w:top w:val="single" w:color="000000" w:sz="4" w:space="0"/>
              <w:left w:val="nil"/>
              <w:bottom w:val="single" w:color="000000" w:sz="4" w:space="0"/>
              <w:right w:val="single" w:color="000000" w:sz="4" w:space="0"/>
            </w:tcBorders>
            <w:noWrap w:val="0"/>
            <w:vAlign w:val="center"/>
          </w:tcPr>
          <w:p w14:paraId="06731729">
            <w:pPr>
              <w:jc w:val="center"/>
              <w:rPr>
                <w:b/>
                <w:color w:val="000000"/>
                <w:szCs w:val="21"/>
              </w:rPr>
            </w:pPr>
            <w:r>
              <w:rPr>
                <w:b/>
                <w:color w:val="000000"/>
                <w:szCs w:val="21"/>
              </w:rPr>
              <w:t>CO</w:t>
            </w:r>
          </w:p>
        </w:tc>
        <w:tc>
          <w:tcPr>
            <w:tcW w:w="886" w:type="dxa"/>
            <w:tcBorders>
              <w:top w:val="single" w:color="000000" w:sz="4" w:space="0"/>
              <w:left w:val="nil"/>
              <w:bottom w:val="single" w:color="000000" w:sz="4" w:space="0"/>
              <w:right w:val="single" w:color="000000" w:sz="4" w:space="0"/>
            </w:tcBorders>
            <w:noWrap w:val="0"/>
            <w:vAlign w:val="center"/>
          </w:tcPr>
          <w:p w14:paraId="05EFE130">
            <w:pPr>
              <w:jc w:val="center"/>
              <w:rPr>
                <w:b/>
                <w:color w:val="000000"/>
                <w:szCs w:val="21"/>
              </w:rPr>
            </w:pPr>
            <w:r>
              <w:rPr>
                <w:b/>
                <w:color w:val="000000"/>
                <w:szCs w:val="21"/>
              </w:rPr>
              <w:t>NO</w:t>
            </w:r>
            <w:r>
              <w:rPr>
                <w:b/>
                <w:color w:val="000000"/>
                <w:szCs w:val="21"/>
                <w:vertAlign w:val="subscript"/>
              </w:rPr>
              <w:t>2</w:t>
            </w:r>
          </w:p>
        </w:tc>
        <w:tc>
          <w:tcPr>
            <w:tcW w:w="823" w:type="dxa"/>
            <w:tcBorders>
              <w:top w:val="single" w:color="000000" w:sz="4" w:space="0"/>
              <w:left w:val="nil"/>
              <w:bottom w:val="single" w:color="000000" w:sz="4" w:space="0"/>
              <w:right w:val="single" w:color="000000" w:sz="4" w:space="0"/>
            </w:tcBorders>
            <w:noWrap w:val="0"/>
            <w:vAlign w:val="center"/>
          </w:tcPr>
          <w:p w14:paraId="78DA6D79">
            <w:pPr>
              <w:jc w:val="center"/>
              <w:rPr>
                <w:b/>
                <w:color w:val="000000"/>
                <w:szCs w:val="21"/>
              </w:rPr>
            </w:pPr>
            <w:r>
              <w:rPr>
                <w:b/>
                <w:color w:val="000000"/>
                <w:szCs w:val="21"/>
              </w:rPr>
              <w:t>CmHn</w:t>
            </w:r>
          </w:p>
        </w:tc>
      </w:tr>
      <w:tr w14:paraId="48F288FC">
        <w:tblPrEx>
          <w:tblCellMar>
            <w:top w:w="0" w:type="dxa"/>
            <w:left w:w="108" w:type="dxa"/>
            <w:bottom w:w="0" w:type="dxa"/>
            <w:right w:w="108" w:type="dxa"/>
          </w:tblCellMar>
        </w:tblPrEx>
        <w:trPr>
          <w:cantSplit/>
        </w:trPr>
        <w:tc>
          <w:tcPr>
            <w:tcW w:w="632" w:type="dxa"/>
            <w:vMerge w:val="restart"/>
            <w:tcBorders>
              <w:top w:val="single" w:color="000000" w:sz="4" w:space="0"/>
              <w:left w:val="single" w:color="000000" w:sz="4" w:space="0"/>
              <w:bottom w:val="single" w:color="000000" w:sz="4" w:space="0"/>
              <w:right w:val="single" w:color="000000" w:sz="4" w:space="0"/>
            </w:tcBorders>
            <w:noWrap w:val="0"/>
            <w:vAlign w:val="center"/>
          </w:tcPr>
          <w:p w14:paraId="3B22220F">
            <w:pPr>
              <w:jc w:val="center"/>
              <w:rPr>
                <w:color w:val="000000"/>
                <w:szCs w:val="21"/>
              </w:rPr>
            </w:pPr>
            <w:r>
              <w:rPr>
                <w:color w:val="000000"/>
                <w:szCs w:val="21"/>
              </w:rPr>
              <w:t>油料</w:t>
            </w:r>
          </w:p>
        </w:tc>
        <w:tc>
          <w:tcPr>
            <w:tcW w:w="741" w:type="dxa"/>
            <w:vMerge w:val="restart"/>
            <w:tcBorders>
              <w:top w:val="single" w:color="000000" w:sz="4" w:space="0"/>
              <w:left w:val="single" w:color="000000" w:sz="4" w:space="0"/>
              <w:bottom w:val="single" w:color="000000" w:sz="4" w:space="0"/>
              <w:right w:val="single" w:color="000000" w:sz="4" w:space="0"/>
            </w:tcBorders>
            <w:noWrap w:val="0"/>
            <w:vAlign w:val="center"/>
          </w:tcPr>
          <w:p w14:paraId="5E70C275">
            <w:pPr>
              <w:jc w:val="center"/>
              <w:rPr>
                <w:color w:val="000000"/>
                <w:szCs w:val="21"/>
              </w:rPr>
            </w:pPr>
            <w:r>
              <w:rPr>
                <w:color w:val="000000"/>
                <w:szCs w:val="21"/>
              </w:rPr>
              <w:t>30</w:t>
            </w:r>
          </w:p>
        </w:tc>
        <w:tc>
          <w:tcPr>
            <w:tcW w:w="1258" w:type="dxa"/>
            <w:vMerge w:val="restart"/>
            <w:tcBorders>
              <w:top w:val="single" w:color="000000" w:sz="4" w:space="0"/>
              <w:left w:val="single" w:color="000000" w:sz="4" w:space="0"/>
              <w:bottom w:val="single" w:color="000000" w:sz="4" w:space="0"/>
              <w:right w:val="single" w:color="000000" w:sz="4" w:space="0"/>
            </w:tcBorders>
            <w:noWrap w:val="0"/>
            <w:vAlign w:val="center"/>
          </w:tcPr>
          <w:p w14:paraId="12959E38">
            <w:pPr>
              <w:jc w:val="center"/>
              <w:rPr>
                <w:color w:val="000000"/>
                <w:szCs w:val="21"/>
              </w:rPr>
            </w:pPr>
            <w:r>
              <w:rPr>
                <w:color w:val="000000"/>
                <w:szCs w:val="21"/>
              </w:rPr>
              <w:t>无组织排放</w:t>
            </w:r>
          </w:p>
        </w:tc>
        <w:tc>
          <w:tcPr>
            <w:tcW w:w="2093" w:type="dxa"/>
            <w:tcBorders>
              <w:top w:val="single" w:color="000000" w:sz="4" w:space="0"/>
              <w:left w:val="nil"/>
              <w:bottom w:val="single" w:color="000000" w:sz="4" w:space="0"/>
              <w:right w:val="single" w:color="000000" w:sz="4" w:space="0"/>
            </w:tcBorders>
            <w:noWrap w:val="0"/>
            <w:vAlign w:val="center"/>
          </w:tcPr>
          <w:p w14:paraId="35CA9C6F">
            <w:pPr>
              <w:jc w:val="center"/>
              <w:rPr>
                <w:color w:val="000000"/>
                <w:szCs w:val="21"/>
              </w:rPr>
            </w:pPr>
            <w:r>
              <w:rPr>
                <w:color w:val="000000"/>
                <w:szCs w:val="21"/>
              </w:rPr>
              <w:t>单位产生量（kg/t）</w:t>
            </w:r>
          </w:p>
        </w:tc>
        <w:tc>
          <w:tcPr>
            <w:tcW w:w="843" w:type="dxa"/>
            <w:tcBorders>
              <w:top w:val="single" w:color="000000" w:sz="4" w:space="0"/>
              <w:left w:val="nil"/>
              <w:bottom w:val="single" w:color="000000" w:sz="4" w:space="0"/>
              <w:right w:val="single" w:color="000000" w:sz="4" w:space="0"/>
            </w:tcBorders>
            <w:noWrap w:val="0"/>
            <w:vAlign w:val="center"/>
          </w:tcPr>
          <w:p w14:paraId="73ED2FFD">
            <w:pPr>
              <w:jc w:val="center"/>
              <w:rPr>
                <w:color w:val="000000"/>
                <w:szCs w:val="21"/>
              </w:rPr>
            </w:pPr>
            <w:r>
              <w:rPr>
                <w:color w:val="000000"/>
                <w:szCs w:val="21"/>
              </w:rPr>
              <w:t>1.7</w:t>
            </w:r>
          </w:p>
        </w:tc>
        <w:tc>
          <w:tcPr>
            <w:tcW w:w="784" w:type="dxa"/>
            <w:tcBorders>
              <w:top w:val="single" w:color="000000" w:sz="4" w:space="0"/>
              <w:left w:val="nil"/>
              <w:bottom w:val="single" w:color="000000" w:sz="4" w:space="0"/>
              <w:right w:val="single" w:color="000000" w:sz="4" w:space="0"/>
            </w:tcBorders>
            <w:noWrap w:val="0"/>
            <w:vAlign w:val="center"/>
          </w:tcPr>
          <w:p w14:paraId="164AABC9">
            <w:pPr>
              <w:jc w:val="center"/>
              <w:rPr>
                <w:color w:val="000000"/>
                <w:szCs w:val="21"/>
              </w:rPr>
            </w:pPr>
            <w:r>
              <w:rPr>
                <w:color w:val="000000"/>
                <w:szCs w:val="21"/>
              </w:rPr>
              <w:t>3.5</w:t>
            </w:r>
          </w:p>
        </w:tc>
        <w:tc>
          <w:tcPr>
            <w:tcW w:w="886" w:type="dxa"/>
            <w:tcBorders>
              <w:top w:val="single" w:color="000000" w:sz="4" w:space="0"/>
              <w:left w:val="nil"/>
              <w:bottom w:val="single" w:color="000000" w:sz="4" w:space="0"/>
              <w:right w:val="single" w:color="000000" w:sz="4" w:space="0"/>
            </w:tcBorders>
            <w:noWrap w:val="0"/>
            <w:vAlign w:val="center"/>
          </w:tcPr>
          <w:p w14:paraId="66DD6529">
            <w:pPr>
              <w:jc w:val="center"/>
              <w:rPr>
                <w:color w:val="000000"/>
                <w:szCs w:val="21"/>
              </w:rPr>
            </w:pPr>
            <w:r>
              <w:rPr>
                <w:color w:val="000000"/>
                <w:szCs w:val="21"/>
              </w:rPr>
              <w:t>29.4</w:t>
            </w:r>
          </w:p>
        </w:tc>
        <w:tc>
          <w:tcPr>
            <w:tcW w:w="886" w:type="dxa"/>
            <w:tcBorders>
              <w:top w:val="single" w:color="000000" w:sz="4" w:space="0"/>
              <w:left w:val="nil"/>
              <w:bottom w:val="single" w:color="000000" w:sz="4" w:space="0"/>
              <w:right w:val="single" w:color="000000" w:sz="4" w:space="0"/>
            </w:tcBorders>
            <w:noWrap w:val="0"/>
            <w:vAlign w:val="center"/>
          </w:tcPr>
          <w:p w14:paraId="1C0A7EA7">
            <w:pPr>
              <w:jc w:val="center"/>
              <w:rPr>
                <w:color w:val="000000"/>
                <w:szCs w:val="21"/>
              </w:rPr>
            </w:pPr>
            <w:r>
              <w:rPr>
                <w:color w:val="000000"/>
                <w:szCs w:val="21"/>
              </w:rPr>
              <w:t>48.3</w:t>
            </w:r>
          </w:p>
        </w:tc>
        <w:tc>
          <w:tcPr>
            <w:tcW w:w="823" w:type="dxa"/>
            <w:tcBorders>
              <w:top w:val="single" w:color="000000" w:sz="4" w:space="0"/>
              <w:left w:val="nil"/>
              <w:bottom w:val="single" w:color="000000" w:sz="4" w:space="0"/>
              <w:right w:val="single" w:color="000000" w:sz="4" w:space="0"/>
            </w:tcBorders>
            <w:noWrap w:val="0"/>
            <w:vAlign w:val="center"/>
          </w:tcPr>
          <w:p w14:paraId="796E2928">
            <w:pPr>
              <w:jc w:val="center"/>
              <w:rPr>
                <w:color w:val="000000"/>
                <w:szCs w:val="21"/>
              </w:rPr>
            </w:pPr>
            <w:r>
              <w:rPr>
                <w:color w:val="000000"/>
                <w:szCs w:val="21"/>
              </w:rPr>
              <w:t>4.8</w:t>
            </w:r>
          </w:p>
        </w:tc>
      </w:tr>
      <w:tr w14:paraId="44278F2B">
        <w:tblPrEx>
          <w:tblCellMar>
            <w:top w:w="0" w:type="dxa"/>
            <w:left w:w="108" w:type="dxa"/>
            <w:bottom w:w="0" w:type="dxa"/>
            <w:right w:w="108" w:type="dxa"/>
          </w:tblCellMar>
        </w:tblPrEx>
        <w:trPr>
          <w:cantSplit/>
          <w:trHeight w:val="257" w:hRule="atLeast"/>
        </w:trPr>
        <w:tc>
          <w:tcPr>
            <w:tcW w:w="632" w:type="dxa"/>
            <w:vMerge w:val="continue"/>
            <w:tcBorders>
              <w:top w:val="single" w:color="000000" w:sz="4" w:space="0"/>
              <w:left w:val="single" w:color="000000" w:sz="4" w:space="0"/>
              <w:bottom w:val="single" w:color="000000" w:sz="4" w:space="0"/>
              <w:right w:val="single" w:color="000000" w:sz="4" w:space="0"/>
            </w:tcBorders>
            <w:noWrap w:val="0"/>
            <w:vAlign w:val="center"/>
          </w:tcPr>
          <w:p w14:paraId="7205342B">
            <w:pPr>
              <w:jc w:val="left"/>
              <w:rPr>
                <w:color w:val="000000"/>
                <w:szCs w:val="21"/>
              </w:rPr>
            </w:pPr>
          </w:p>
        </w:tc>
        <w:tc>
          <w:tcPr>
            <w:tcW w:w="741" w:type="dxa"/>
            <w:vMerge w:val="continue"/>
            <w:tcBorders>
              <w:top w:val="single" w:color="000000" w:sz="4" w:space="0"/>
              <w:left w:val="single" w:color="000000" w:sz="4" w:space="0"/>
              <w:bottom w:val="single" w:color="000000" w:sz="4" w:space="0"/>
              <w:right w:val="single" w:color="000000" w:sz="4" w:space="0"/>
            </w:tcBorders>
            <w:noWrap w:val="0"/>
            <w:vAlign w:val="center"/>
          </w:tcPr>
          <w:p w14:paraId="14284FE5">
            <w:pPr>
              <w:jc w:val="left"/>
              <w:rPr>
                <w:color w:val="000000"/>
                <w:szCs w:val="21"/>
              </w:rPr>
            </w:pPr>
          </w:p>
        </w:tc>
        <w:tc>
          <w:tcPr>
            <w:tcW w:w="1258" w:type="dxa"/>
            <w:vMerge w:val="continue"/>
            <w:tcBorders>
              <w:top w:val="single" w:color="000000" w:sz="4" w:space="0"/>
              <w:left w:val="single" w:color="000000" w:sz="4" w:space="0"/>
              <w:bottom w:val="single" w:color="000000" w:sz="4" w:space="0"/>
              <w:right w:val="single" w:color="000000" w:sz="4" w:space="0"/>
            </w:tcBorders>
            <w:noWrap w:val="0"/>
            <w:vAlign w:val="center"/>
          </w:tcPr>
          <w:p w14:paraId="7BE710F7">
            <w:pPr>
              <w:jc w:val="left"/>
              <w:rPr>
                <w:color w:val="000000"/>
                <w:szCs w:val="21"/>
              </w:rPr>
            </w:pPr>
          </w:p>
        </w:tc>
        <w:tc>
          <w:tcPr>
            <w:tcW w:w="2093" w:type="dxa"/>
            <w:tcBorders>
              <w:top w:val="single" w:color="000000" w:sz="4" w:space="0"/>
              <w:left w:val="nil"/>
              <w:bottom w:val="single" w:color="000000" w:sz="4" w:space="0"/>
              <w:right w:val="single" w:color="000000" w:sz="4" w:space="0"/>
            </w:tcBorders>
            <w:noWrap w:val="0"/>
            <w:vAlign w:val="center"/>
          </w:tcPr>
          <w:p w14:paraId="6E0F0461">
            <w:pPr>
              <w:jc w:val="center"/>
              <w:rPr>
                <w:color w:val="000000"/>
                <w:szCs w:val="21"/>
              </w:rPr>
            </w:pPr>
            <w:r>
              <w:rPr>
                <w:color w:val="000000"/>
                <w:szCs w:val="21"/>
              </w:rPr>
              <w:t>总量（kg）</w:t>
            </w:r>
          </w:p>
        </w:tc>
        <w:tc>
          <w:tcPr>
            <w:tcW w:w="843" w:type="dxa"/>
            <w:tcBorders>
              <w:top w:val="single" w:color="000000" w:sz="4" w:space="0"/>
              <w:left w:val="nil"/>
              <w:bottom w:val="single" w:color="000000" w:sz="4" w:space="0"/>
              <w:right w:val="single" w:color="000000" w:sz="4" w:space="0"/>
            </w:tcBorders>
            <w:noWrap w:val="0"/>
            <w:vAlign w:val="center"/>
          </w:tcPr>
          <w:p w14:paraId="7550F36A">
            <w:pPr>
              <w:jc w:val="center"/>
              <w:rPr>
                <w:rFonts w:cs="宋体"/>
                <w:color w:val="000000"/>
                <w:szCs w:val="21"/>
              </w:rPr>
            </w:pPr>
            <w:r>
              <w:rPr>
                <w:rFonts w:hint="eastAsia"/>
                <w:color w:val="000000"/>
                <w:szCs w:val="21"/>
              </w:rPr>
              <w:t>51</w:t>
            </w:r>
          </w:p>
        </w:tc>
        <w:tc>
          <w:tcPr>
            <w:tcW w:w="784" w:type="dxa"/>
            <w:tcBorders>
              <w:top w:val="single" w:color="000000" w:sz="4" w:space="0"/>
              <w:left w:val="nil"/>
              <w:bottom w:val="single" w:color="000000" w:sz="4" w:space="0"/>
              <w:right w:val="single" w:color="000000" w:sz="4" w:space="0"/>
            </w:tcBorders>
            <w:noWrap w:val="0"/>
            <w:vAlign w:val="center"/>
          </w:tcPr>
          <w:p w14:paraId="008B7245">
            <w:pPr>
              <w:jc w:val="center"/>
              <w:rPr>
                <w:rFonts w:cs="宋体"/>
                <w:color w:val="000000"/>
                <w:szCs w:val="21"/>
              </w:rPr>
            </w:pPr>
            <w:r>
              <w:rPr>
                <w:rFonts w:hint="eastAsia"/>
                <w:color w:val="000000"/>
                <w:szCs w:val="21"/>
              </w:rPr>
              <w:t>105</w:t>
            </w:r>
          </w:p>
        </w:tc>
        <w:tc>
          <w:tcPr>
            <w:tcW w:w="886" w:type="dxa"/>
            <w:tcBorders>
              <w:top w:val="single" w:color="000000" w:sz="4" w:space="0"/>
              <w:left w:val="nil"/>
              <w:bottom w:val="single" w:color="000000" w:sz="4" w:space="0"/>
              <w:right w:val="single" w:color="000000" w:sz="4" w:space="0"/>
            </w:tcBorders>
            <w:noWrap w:val="0"/>
            <w:vAlign w:val="center"/>
          </w:tcPr>
          <w:p w14:paraId="70A7B7DE">
            <w:pPr>
              <w:jc w:val="center"/>
              <w:rPr>
                <w:rFonts w:cs="宋体"/>
                <w:color w:val="000000"/>
                <w:szCs w:val="21"/>
              </w:rPr>
            </w:pPr>
            <w:r>
              <w:rPr>
                <w:rFonts w:hint="eastAsia"/>
                <w:color w:val="000000"/>
                <w:szCs w:val="21"/>
              </w:rPr>
              <w:t>882</w:t>
            </w:r>
          </w:p>
        </w:tc>
        <w:tc>
          <w:tcPr>
            <w:tcW w:w="886" w:type="dxa"/>
            <w:tcBorders>
              <w:top w:val="single" w:color="000000" w:sz="4" w:space="0"/>
              <w:left w:val="nil"/>
              <w:bottom w:val="single" w:color="000000" w:sz="4" w:space="0"/>
              <w:right w:val="single" w:color="000000" w:sz="4" w:space="0"/>
            </w:tcBorders>
            <w:noWrap w:val="0"/>
            <w:vAlign w:val="center"/>
          </w:tcPr>
          <w:p w14:paraId="3C0D6B99">
            <w:pPr>
              <w:jc w:val="center"/>
              <w:rPr>
                <w:rFonts w:cs="宋体"/>
                <w:color w:val="000000"/>
                <w:szCs w:val="21"/>
              </w:rPr>
            </w:pPr>
            <w:r>
              <w:rPr>
                <w:rFonts w:hint="eastAsia"/>
                <w:color w:val="000000"/>
                <w:szCs w:val="21"/>
              </w:rPr>
              <w:t>1449</w:t>
            </w:r>
          </w:p>
        </w:tc>
        <w:tc>
          <w:tcPr>
            <w:tcW w:w="823" w:type="dxa"/>
            <w:tcBorders>
              <w:top w:val="single" w:color="000000" w:sz="4" w:space="0"/>
              <w:left w:val="nil"/>
              <w:bottom w:val="single" w:color="000000" w:sz="4" w:space="0"/>
              <w:right w:val="single" w:color="000000" w:sz="4" w:space="0"/>
            </w:tcBorders>
            <w:noWrap w:val="0"/>
            <w:vAlign w:val="center"/>
          </w:tcPr>
          <w:p w14:paraId="523325FF">
            <w:pPr>
              <w:jc w:val="center"/>
              <w:rPr>
                <w:rFonts w:cs="宋体"/>
                <w:color w:val="000000"/>
                <w:szCs w:val="21"/>
              </w:rPr>
            </w:pPr>
            <w:r>
              <w:rPr>
                <w:rFonts w:hint="eastAsia"/>
                <w:color w:val="000000"/>
                <w:szCs w:val="21"/>
              </w:rPr>
              <w:t>144</w:t>
            </w:r>
          </w:p>
        </w:tc>
      </w:tr>
      <w:tr w14:paraId="6F6F3942">
        <w:tblPrEx>
          <w:tblCellMar>
            <w:top w:w="0" w:type="dxa"/>
            <w:left w:w="108" w:type="dxa"/>
            <w:bottom w:w="0" w:type="dxa"/>
            <w:right w:w="108" w:type="dxa"/>
          </w:tblCellMar>
        </w:tblPrEx>
        <w:trPr>
          <w:cantSplit/>
        </w:trPr>
        <w:tc>
          <w:tcPr>
            <w:tcW w:w="632" w:type="dxa"/>
            <w:vMerge w:val="continue"/>
            <w:tcBorders>
              <w:top w:val="single" w:color="000000" w:sz="4" w:space="0"/>
              <w:left w:val="single" w:color="000000" w:sz="4" w:space="0"/>
              <w:bottom w:val="single" w:color="000000" w:sz="4" w:space="0"/>
              <w:right w:val="single" w:color="000000" w:sz="4" w:space="0"/>
            </w:tcBorders>
            <w:noWrap w:val="0"/>
            <w:vAlign w:val="center"/>
          </w:tcPr>
          <w:p w14:paraId="371B6429">
            <w:pPr>
              <w:jc w:val="left"/>
              <w:rPr>
                <w:rFonts w:cs="宋体"/>
                <w:color w:val="000000"/>
                <w:szCs w:val="21"/>
              </w:rPr>
            </w:pPr>
          </w:p>
        </w:tc>
        <w:tc>
          <w:tcPr>
            <w:tcW w:w="741" w:type="dxa"/>
            <w:vMerge w:val="continue"/>
            <w:tcBorders>
              <w:top w:val="single" w:color="000000" w:sz="4" w:space="0"/>
              <w:left w:val="single" w:color="000000" w:sz="4" w:space="0"/>
              <w:bottom w:val="single" w:color="000000" w:sz="4" w:space="0"/>
              <w:right w:val="single" w:color="000000" w:sz="4" w:space="0"/>
            </w:tcBorders>
            <w:noWrap w:val="0"/>
            <w:vAlign w:val="center"/>
          </w:tcPr>
          <w:p w14:paraId="41C0453C">
            <w:pPr>
              <w:jc w:val="left"/>
              <w:rPr>
                <w:rFonts w:cs="宋体"/>
                <w:color w:val="000000"/>
                <w:szCs w:val="21"/>
              </w:rPr>
            </w:pPr>
          </w:p>
        </w:tc>
        <w:tc>
          <w:tcPr>
            <w:tcW w:w="1258" w:type="dxa"/>
            <w:vMerge w:val="continue"/>
            <w:tcBorders>
              <w:top w:val="single" w:color="000000" w:sz="4" w:space="0"/>
              <w:left w:val="single" w:color="000000" w:sz="4" w:space="0"/>
              <w:bottom w:val="single" w:color="000000" w:sz="4" w:space="0"/>
              <w:right w:val="single" w:color="000000" w:sz="4" w:space="0"/>
            </w:tcBorders>
            <w:noWrap w:val="0"/>
            <w:vAlign w:val="center"/>
          </w:tcPr>
          <w:p w14:paraId="718B3C75">
            <w:pPr>
              <w:jc w:val="left"/>
              <w:rPr>
                <w:rFonts w:cs="宋体"/>
                <w:color w:val="000000"/>
                <w:szCs w:val="21"/>
              </w:rPr>
            </w:pPr>
          </w:p>
        </w:tc>
        <w:tc>
          <w:tcPr>
            <w:tcW w:w="2093" w:type="dxa"/>
            <w:tcBorders>
              <w:top w:val="single" w:color="000000" w:sz="4" w:space="0"/>
              <w:left w:val="nil"/>
              <w:bottom w:val="single" w:color="000000" w:sz="4" w:space="0"/>
              <w:right w:val="single" w:color="000000" w:sz="4" w:space="0"/>
            </w:tcBorders>
            <w:noWrap w:val="0"/>
            <w:vAlign w:val="center"/>
          </w:tcPr>
          <w:p w14:paraId="024311B4">
            <w:pPr>
              <w:jc w:val="center"/>
              <w:rPr>
                <w:color w:val="000000"/>
                <w:szCs w:val="21"/>
              </w:rPr>
            </w:pPr>
            <w:r>
              <w:rPr>
                <w:color w:val="000000"/>
                <w:szCs w:val="21"/>
              </w:rPr>
              <w:t>平均日排量（g/d）</w:t>
            </w:r>
          </w:p>
        </w:tc>
        <w:tc>
          <w:tcPr>
            <w:tcW w:w="843" w:type="dxa"/>
            <w:tcBorders>
              <w:top w:val="single" w:color="000000" w:sz="4" w:space="0"/>
              <w:left w:val="nil"/>
              <w:bottom w:val="single" w:color="000000" w:sz="4" w:space="0"/>
              <w:right w:val="single" w:color="000000" w:sz="4" w:space="0"/>
            </w:tcBorders>
            <w:noWrap w:val="0"/>
            <w:vAlign w:val="center"/>
          </w:tcPr>
          <w:p w14:paraId="53DCDC88">
            <w:pPr>
              <w:jc w:val="center"/>
              <w:rPr>
                <w:rFonts w:cs="宋体"/>
                <w:color w:val="000000"/>
                <w:szCs w:val="21"/>
              </w:rPr>
            </w:pPr>
            <w:r>
              <w:rPr>
                <w:rFonts w:hint="eastAsia"/>
                <w:color w:val="000000"/>
                <w:szCs w:val="21"/>
              </w:rPr>
              <w:t>85</w:t>
            </w:r>
          </w:p>
        </w:tc>
        <w:tc>
          <w:tcPr>
            <w:tcW w:w="784" w:type="dxa"/>
            <w:tcBorders>
              <w:top w:val="single" w:color="000000" w:sz="4" w:space="0"/>
              <w:left w:val="nil"/>
              <w:bottom w:val="single" w:color="000000" w:sz="4" w:space="0"/>
              <w:right w:val="single" w:color="000000" w:sz="4" w:space="0"/>
            </w:tcBorders>
            <w:noWrap w:val="0"/>
            <w:vAlign w:val="center"/>
          </w:tcPr>
          <w:p w14:paraId="74D92A3D">
            <w:pPr>
              <w:jc w:val="center"/>
              <w:rPr>
                <w:rFonts w:cs="宋体"/>
                <w:color w:val="000000"/>
                <w:szCs w:val="21"/>
              </w:rPr>
            </w:pPr>
            <w:r>
              <w:rPr>
                <w:rFonts w:hint="eastAsia"/>
                <w:color w:val="000000"/>
                <w:szCs w:val="21"/>
              </w:rPr>
              <w:t>175</w:t>
            </w:r>
          </w:p>
        </w:tc>
        <w:tc>
          <w:tcPr>
            <w:tcW w:w="886" w:type="dxa"/>
            <w:tcBorders>
              <w:top w:val="single" w:color="000000" w:sz="4" w:space="0"/>
              <w:left w:val="nil"/>
              <w:bottom w:val="single" w:color="000000" w:sz="4" w:space="0"/>
              <w:right w:val="single" w:color="000000" w:sz="4" w:space="0"/>
            </w:tcBorders>
            <w:noWrap w:val="0"/>
            <w:vAlign w:val="center"/>
          </w:tcPr>
          <w:p w14:paraId="069CA779">
            <w:pPr>
              <w:jc w:val="center"/>
              <w:rPr>
                <w:rFonts w:cs="宋体"/>
                <w:color w:val="000000"/>
                <w:szCs w:val="21"/>
              </w:rPr>
            </w:pPr>
            <w:r>
              <w:rPr>
                <w:rFonts w:hint="eastAsia"/>
                <w:color w:val="000000"/>
                <w:szCs w:val="21"/>
              </w:rPr>
              <w:t>1470</w:t>
            </w:r>
          </w:p>
        </w:tc>
        <w:tc>
          <w:tcPr>
            <w:tcW w:w="886" w:type="dxa"/>
            <w:tcBorders>
              <w:top w:val="single" w:color="000000" w:sz="4" w:space="0"/>
              <w:left w:val="nil"/>
              <w:bottom w:val="single" w:color="000000" w:sz="4" w:space="0"/>
              <w:right w:val="single" w:color="000000" w:sz="4" w:space="0"/>
            </w:tcBorders>
            <w:noWrap w:val="0"/>
            <w:vAlign w:val="center"/>
          </w:tcPr>
          <w:p w14:paraId="22803F9C">
            <w:pPr>
              <w:jc w:val="center"/>
              <w:rPr>
                <w:rFonts w:cs="宋体"/>
                <w:color w:val="000000"/>
                <w:szCs w:val="21"/>
              </w:rPr>
            </w:pPr>
            <w:r>
              <w:rPr>
                <w:rFonts w:hint="eastAsia"/>
                <w:color w:val="000000"/>
                <w:szCs w:val="21"/>
              </w:rPr>
              <w:t>2415</w:t>
            </w:r>
          </w:p>
        </w:tc>
        <w:tc>
          <w:tcPr>
            <w:tcW w:w="823" w:type="dxa"/>
            <w:tcBorders>
              <w:top w:val="single" w:color="000000" w:sz="4" w:space="0"/>
              <w:left w:val="nil"/>
              <w:bottom w:val="single" w:color="000000" w:sz="4" w:space="0"/>
              <w:right w:val="single" w:color="000000" w:sz="4" w:space="0"/>
            </w:tcBorders>
            <w:noWrap w:val="0"/>
            <w:vAlign w:val="center"/>
          </w:tcPr>
          <w:p w14:paraId="21CFAC56">
            <w:pPr>
              <w:jc w:val="center"/>
              <w:rPr>
                <w:rFonts w:cs="宋体"/>
                <w:color w:val="000000"/>
                <w:szCs w:val="21"/>
              </w:rPr>
            </w:pPr>
            <w:r>
              <w:rPr>
                <w:rFonts w:hint="eastAsia"/>
                <w:color w:val="000000"/>
                <w:szCs w:val="21"/>
              </w:rPr>
              <w:t>240</w:t>
            </w:r>
          </w:p>
        </w:tc>
      </w:tr>
    </w:tbl>
    <w:p w14:paraId="473AF874">
      <w:pPr>
        <w:spacing w:line="360" w:lineRule="auto"/>
        <w:ind w:firstLine="480"/>
        <w:rPr>
          <w:color w:val="000000"/>
          <w:sz w:val="24"/>
        </w:rPr>
      </w:pPr>
      <w:r>
        <w:rPr>
          <w:color w:val="000000"/>
          <w:sz w:val="24"/>
        </w:rPr>
        <w:t>（2）粉尘</w:t>
      </w:r>
    </w:p>
    <w:p w14:paraId="01B75EC4">
      <w:pPr>
        <w:spacing w:line="360" w:lineRule="auto"/>
        <w:ind w:firstLine="480"/>
        <w:rPr>
          <w:color w:val="000000"/>
          <w:sz w:val="24"/>
        </w:rPr>
      </w:pPr>
      <w:r>
        <w:rPr>
          <w:bCs/>
          <w:color w:val="000000"/>
          <w:sz w:val="24"/>
        </w:rPr>
        <w:t>粉尘是建设阶段大气污染源的主要来源，</w:t>
      </w:r>
      <w:r>
        <w:rPr>
          <w:color w:val="000000"/>
          <w:sz w:val="24"/>
        </w:rPr>
        <w:t>建设项目施工中，场地开挖、材料运输和装卸、场内道路修筑等，都将产生粉尘。</w:t>
      </w:r>
      <w:r>
        <w:rPr>
          <w:bCs/>
          <w:color w:val="000000"/>
          <w:sz w:val="24"/>
        </w:rPr>
        <w:t>对整个施工期而言，施工产生的扬尘主要集中在土建施工阶段，项目采用商品混凝土，则起尘的原因主要为风力起尘，即露天堆放的建材(如黄沙、水泥等)及裸露的施工区表层浮尘由于天气干燥及大风，产生风力扬尘。</w:t>
      </w:r>
      <w:r>
        <w:rPr>
          <w:color w:val="000000"/>
          <w:sz w:val="24"/>
        </w:rPr>
        <w:t>粉尘排放呈无组织方式，其产生强度与施工方式、气象条件有关，一般风大时产生扬尘较多。</w:t>
      </w:r>
    </w:p>
    <w:p w14:paraId="0B6CB78D">
      <w:pPr>
        <w:pStyle w:val="197"/>
        <w:spacing w:after="0" w:line="360" w:lineRule="auto"/>
        <w:ind w:left="0" w:firstLine="480"/>
        <w:rPr>
          <w:color w:val="000000"/>
          <w:sz w:val="24"/>
        </w:rPr>
      </w:pPr>
      <w:r>
        <w:rPr>
          <w:color w:val="000000"/>
          <w:sz w:val="24"/>
        </w:rPr>
        <w:t>1）露天堆场和裸露场地的风力扬尘</w:t>
      </w:r>
    </w:p>
    <w:p w14:paraId="103C6E19">
      <w:pPr>
        <w:pStyle w:val="197"/>
        <w:spacing w:after="0" w:line="360" w:lineRule="auto"/>
        <w:ind w:left="0" w:firstLine="480"/>
        <w:rPr>
          <w:color w:val="000000"/>
          <w:sz w:val="24"/>
        </w:rPr>
      </w:pPr>
      <w:r>
        <w:rPr>
          <w:color w:val="000000"/>
          <w:sz w:val="24"/>
        </w:rPr>
        <w:t>由于施工的需要，一些建材需露天堆放；一些施工点表层土壤需人工开挖、堆放，在气候干燥又有风的情况下，会产生扬尘，其扬尘量可按堆放场起尘的经验公式计算：</w:t>
      </w:r>
    </w:p>
    <w:p w14:paraId="395AC55F">
      <w:pPr>
        <w:spacing w:line="360" w:lineRule="auto"/>
        <w:rPr>
          <w:color w:val="000000"/>
          <w:sz w:val="24"/>
        </w:rPr>
      </w:pPr>
      <w:r>
        <w:rPr>
          <w:color w:val="000000"/>
        </w:rPr>
        <w:t xml:space="preserve">   </w:t>
      </w:r>
      <w:r>
        <w:rPr>
          <w:color w:val="000000"/>
          <w:sz w:val="24"/>
        </w:rPr>
        <w:t xml:space="preserve">  Q＝2.1（V</w:t>
      </w:r>
      <w:r>
        <w:rPr>
          <w:color w:val="000000"/>
          <w:sz w:val="24"/>
          <w:vertAlign w:val="subscript"/>
        </w:rPr>
        <w:t>50</w:t>
      </w:r>
      <w:r>
        <w:rPr>
          <w:color w:val="000000"/>
          <w:sz w:val="24"/>
        </w:rPr>
        <w:t>—V</w:t>
      </w:r>
      <w:r>
        <w:rPr>
          <w:color w:val="000000"/>
          <w:sz w:val="24"/>
          <w:vertAlign w:val="subscript"/>
        </w:rPr>
        <w:t>0</w:t>
      </w:r>
      <w:r>
        <w:rPr>
          <w:color w:val="000000"/>
          <w:sz w:val="24"/>
        </w:rPr>
        <w:t>）3e-1.023w</w:t>
      </w:r>
    </w:p>
    <w:p w14:paraId="1C5B12D5">
      <w:pPr>
        <w:spacing w:line="360" w:lineRule="auto"/>
        <w:rPr>
          <w:color w:val="000000"/>
          <w:sz w:val="24"/>
        </w:rPr>
      </w:pPr>
      <w:r>
        <w:rPr>
          <w:color w:val="000000"/>
          <w:sz w:val="24"/>
        </w:rPr>
        <w:t>式中：Q――起尘量，kg／吨•年；</w:t>
      </w:r>
    </w:p>
    <w:p w14:paraId="3B108FC2">
      <w:pPr>
        <w:spacing w:line="360" w:lineRule="auto"/>
        <w:rPr>
          <w:color w:val="000000"/>
          <w:sz w:val="24"/>
        </w:rPr>
      </w:pPr>
      <w:r>
        <w:rPr>
          <w:color w:val="000000"/>
          <w:sz w:val="24"/>
        </w:rPr>
        <w:t xml:space="preserve">          V</w:t>
      </w:r>
      <w:r>
        <w:rPr>
          <w:color w:val="000000"/>
          <w:sz w:val="24"/>
          <w:vertAlign w:val="subscript"/>
        </w:rPr>
        <w:t>50</w:t>
      </w:r>
      <w:r>
        <w:rPr>
          <w:color w:val="000000"/>
          <w:sz w:val="24"/>
        </w:rPr>
        <w:t>――距地面50米处风速，m/s；</w:t>
      </w:r>
    </w:p>
    <w:p w14:paraId="31AB5556">
      <w:pPr>
        <w:spacing w:line="360" w:lineRule="auto"/>
        <w:rPr>
          <w:color w:val="000000"/>
          <w:sz w:val="24"/>
        </w:rPr>
      </w:pPr>
      <w:r>
        <w:rPr>
          <w:color w:val="000000"/>
          <w:sz w:val="24"/>
        </w:rPr>
        <w:t xml:space="preserve">          V</w:t>
      </w:r>
      <w:r>
        <w:rPr>
          <w:color w:val="000000"/>
          <w:sz w:val="24"/>
          <w:vertAlign w:val="subscript"/>
        </w:rPr>
        <w:t>0</w:t>
      </w:r>
      <w:r>
        <w:rPr>
          <w:color w:val="000000"/>
          <w:sz w:val="24"/>
        </w:rPr>
        <w:t>――起尘风速，m/s；</w:t>
      </w:r>
    </w:p>
    <w:p w14:paraId="2791B1F6">
      <w:pPr>
        <w:spacing w:line="360" w:lineRule="auto"/>
        <w:rPr>
          <w:color w:val="000000"/>
          <w:sz w:val="24"/>
        </w:rPr>
      </w:pPr>
      <w:r>
        <w:rPr>
          <w:color w:val="000000"/>
          <w:sz w:val="24"/>
        </w:rPr>
        <w:t xml:space="preserve">          W――尘粒的含水率，%。</w:t>
      </w:r>
    </w:p>
    <w:p w14:paraId="7185BE67">
      <w:pPr>
        <w:pStyle w:val="197"/>
        <w:spacing w:after="0" w:line="360" w:lineRule="auto"/>
        <w:ind w:left="0" w:firstLine="480"/>
        <w:rPr>
          <w:color w:val="000000"/>
          <w:sz w:val="24"/>
        </w:rPr>
      </w:pPr>
      <w:r>
        <w:rPr>
          <w:color w:val="000000"/>
          <w:sz w:val="24"/>
        </w:rPr>
        <w:t>V</w:t>
      </w:r>
      <w:r>
        <w:rPr>
          <w:color w:val="000000"/>
          <w:sz w:val="24"/>
          <w:vertAlign w:val="subscript"/>
        </w:rPr>
        <w:t>0</w:t>
      </w:r>
      <w:r>
        <w:rPr>
          <w:color w:val="000000"/>
          <w:sz w:val="24"/>
        </w:rPr>
        <w:t>与粒径和含水率有关，因此，减少露天堆放和保证一定的含水率及减少裸露地面是减少风力起尘的有效手段。</w:t>
      </w:r>
    </w:p>
    <w:p w14:paraId="224ECFDD">
      <w:pPr>
        <w:pStyle w:val="197"/>
        <w:spacing w:after="0" w:line="360" w:lineRule="auto"/>
        <w:ind w:left="0" w:firstLine="480"/>
        <w:rPr>
          <w:color w:val="000000"/>
          <w:sz w:val="24"/>
        </w:rPr>
      </w:pPr>
      <w:r>
        <w:rPr>
          <w:color w:val="000000"/>
          <w:sz w:val="24"/>
        </w:rPr>
        <w:t>尘粒在空气中的传播扩散情况与风速等气象条件有关，也与尘粒本身的沉降速度有关。不同尘粒的沉降速度见表3.6-2。</w:t>
      </w:r>
    </w:p>
    <w:p w14:paraId="00490AAC">
      <w:pPr>
        <w:pStyle w:val="191"/>
        <w:ind w:firstLine="0"/>
        <w:jc w:val="center"/>
        <w:rPr>
          <w:rFonts w:ascii="Times New Roman" w:hAnsi="Times New Roman" w:eastAsia="宋体" w:cs="Times New Roman"/>
          <w:b/>
          <w:color w:val="000000"/>
          <w:sz w:val="24"/>
          <w:szCs w:val="24"/>
        </w:rPr>
      </w:pPr>
      <w:r>
        <w:rPr>
          <w:rFonts w:ascii="Times New Roman" w:hAnsi="Times New Roman" w:eastAsia="宋体" w:cs="Times New Roman"/>
          <w:b/>
          <w:color w:val="000000"/>
          <w:sz w:val="24"/>
          <w:szCs w:val="24"/>
        </w:rPr>
        <w:t>表3.6-2　不同粒径尘粒的沉降速度</w:t>
      </w:r>
    </w:p>
    <w:tbl>
      <w:tblPr>
        <w:tblStyle w:val="27"/>
        <w:tblW w:w="0" w:type="auto"/>
        <w:tblInd w:w="-108" w:type="dxa"/>
        <w:tblLayout w:type="fixed"/>
        <w:tblCellMar>
          <w:top w:w="0" w:type="dxa"/>
          <w:left w:w="108" w:type="dxa"/>
          <w:bottom w:w="0" w:type="dxa"/>
          <w:right w:w="108" w:type="dxa"/>
        </w:tblCellMar>
      </w:tblPr>
      <w:tblGrid>
        <w:gridCol w:w="2050"/>
        <w:gridCol w:w="986"/>
        <w:gridCol w:w="984"/>
        <w:gridCol w:w="984"/>
        <w:gridCol w:w="986"/>
        <w:gridCol w:w="984"/>
        <w:gridCol w:w="986"/>
        <w:gridCol w:w="986"/>
      </w:tblGrid>
      <w:tr w14:paraId="6ABDD787">
        <w:tblPrEx>
          <w:tblCellMar>
            <w:top w:w="0" w:type="dxa"/>
            <w:left w:w="108" w:type="dxa"/>
            <w:bottom w:w="0" w:type="dxa"/>
            <w:right w:w="108" w:type="dxa"/>
          </w:tblCellMar>
        </w:tblPrEx>
        <w:trPr>
          <w:trHeight w:val="350" w:hRule="atLeast"/>
        </w:trPr>
        <w:tc>
          <w:tcPr>
            <w:tcW w:w="2050" w:type="dxa"/>
            <w:tcBorders>
              <w:top w:val="single" w:color="000000" w:sz="4" w:space="0"/>
              <w:left w:val="single" w:color="000000" w:sz="4" w:space="0"/>
              <w:bottom w:val="single" w:color="000000" w:sz="4" w:space="0"/>
              <w:right w:val="single" w:color="000000" w:sz="4" w:space="0"/>
            </w:tcBorders>
            <w:noWrap w:val="0"/>
            <w:vAlign w:val="center"/>
          </w:tcPr>
          <w:p w14:paraId="70C9FC77">
            <w:pPr>
              <w:pStyle w:val="191"/>
              <w:spacing w:line="240" w:lineRule="auto"/>
              <w:ind w:firstLine="0"/>
              <w:jc w:val="center"/>
              <w:rPr>
                <w:rFonts w:ascii="Times New Roman" w:hAnsi="Times New Roman" w:eastAsia="宋体" w:cs="Times New Roman"/>
                <w:b/>
                <w:color w:val="000000"/>
                <w:sz w:val="21"/>
                <w:szCs w:val="21"/>
              </w:rPr>
            </w:pPr>
            <w:r>
              <w:rPr>
                <w:rFonts w:ascii="Times New Roman" w:hAnsi="Times New Roman" w:eastAsia="宋体" w:cs="Times New Roman"/>
                <w:b/>
                <w:color w:val="000000"/>
                <w:sz w:val="21"/>
                <w:szCs w:val="21"/>
              </w:rPr>
              <w:t>粒径（μm）</w:t>
            </w:r>
          </w:p>
        </w:tc>
        <w:tc>
          <w:tcPr>
            <w:tcW w:w="986" w:type="dxa"/>
            <w:tcBorders>
              <w:top w:val="single" w:color="000000" w:sz="4" w:space="0"/>
              <w:left w:val="single" w:color="000000" w:sz="4" w:space="0"/>
              <w:bottom w:val="single" w:color="000000" w:sz="4" w:space="0"/>
              <w:right w:val="single" w:color="000000" w:sz="4" w:space="0"/>
            </w:tcBorders>
            <w:noWrap w:val="0"/>
            <w:vAlign w:val="center"/>
          </w:tcPr>
          <w:p w14:paraId="01C1D207">
            <w:pPr>
              <w:pStyle w:val="191"/>
              <w:spacing w:line="240" w:lineRule="auto"/>
              <w:ind w:firstLine="0"/>
              <w:jc w:val="center"/>
              <w:rPr>
                <w:rFonts w:ascii="Times New Roman" w:hAnsi="Times New Roman" w:eastAsia="宋体" w:cs="Times New Roman"/>
                <w:b/>
                <w:color w:val="000000"/>
                <w:sz w:val="21"/>
                <w:szCs w:val="21"/>
              </w:rPr>
            </w:pPr>
            <w:r>
              <w:rPr>
                <w:rFonts w:ascii="Times New Roman" w:hAnsi="Times New Roman" w:eastAsia="宋体" w:cs="Times New Roman"/>
                <w:b/>
                <w:color w:val="000000"/>
                <w:sz w:val="21"/>
                <w:szCs w:val="21"/>
              </w:rPr>
              <w:t>10</w:t>
            </w:r>
          </w:p>
        </w:tc>
        <w:tc>
          <w:tcPr>
            <w:tcW w:w="984" w:type="dxa"/>
            <w:tcBorders>
              <w:top w:val="single" w:color="000000" w:sz="4" w:space="0"/>
              <w:left w:val="single" w:color="000000" w:sz="4" w:space="0"/>
              <w:bottom w:val="single" w:color="000000" w:sz="4" w:space="0"/>
              <w:right w:val="single" w:color="000000" w:sz="4" w:space="0"/>
            </w:tcBorders>
            <w:noWrap w:val="0"/>
            <w:vAlign w:val="center"/>
          </w:tcPr>
          <w:p w14:paraId="6DFDEFA4">
            <w:pPr>
              <w:pStyle w:val="191"/>
              <w:spacing w:line="240" w:lineRule="auto"/>
              <w:ind w:firstLine="0"/>
              <w:jc w:val="center"/>
              <w:rPr>
                <w:rFonts w:ascii="Times New Roman" w:hAnsi="Times New Roman" w:eastAsia="宋体" w:cs="Times New Roman"/>
                <w:b/>
                <w:color w:val="000000"/>
                <w:sz w:val="21"/>
                <w:szCs w:val="21"/>
              </w:rPr>
            </w:pPr>
            <w:r>
              <w:rPr>
                <w:rFonts w:ascii="Times New Roman" w:hAnsi="Times New Roman" w:eastAsia="宋体" w:cs="Times New Roman"/>
                <w:b/>
                <w:color w:val="000000"/>
                <w:sz w:val="21"/>
                <w:szCs w:val="21"/>
              </w:rPr>
              <w:t>20</w:t>
            </w:r>
          </w:p>
        </w:tc>
        <w:tc>
          <w:tcPr>
            <w:tcW w:w="984" w:type="dxa"/>
            <w:tcBorders>
              <w:top w:val="single" w:color="000000" w:sz="4" w:space="0"/>
              <w:left w:val="single" w:color="000000" w:sz="4" w:space="0"/>
              <w:bottom w:val="single" w:color="000000" w:sz="4" w:space="0"/>
              <w:right w:val="single" w:color="000000" w:sz="4" w:space="0"/>
            </w:tcBorders>
            <w:noWrap w:val="0"/>
            <w:vAlign w:val="center"/>
          </w:tcPr>
          <w:p w14:paraId="1A97CC9B">
            <w:pPr>
              <w:pStyle w:val="191"/>
              <w:spacing w:line="240" w:lineRule="auto"/>
              <w:ind w:firstLine="0"/>
              <w:jc w:val="center"/>
              <w:rPr>
                <w:rFonts w:ascii="Times New Roman" w:hAnsi="Times New Roman" w:eastAsia="宋体" w:cs="Times New Roman"/>
                <w:b/>
                <w:color w:val="000000"/>
                <w:sz w:val="21"/>
                <w:szCs w:val="21"/>
              </w:rPr>
            </w:pPr>
            <w:r>
              <w:rPr>
                <w:rFonts w:ascii="Times New Roman" w:hAnsi="Times New Roman" w:eastAsia="宋体" w:cs="Times New Roman"/>
                <w:b/>
                <w:color w:val="000000"/>
                <w:sz w:val="21"/>
                <w:szCs w:val="21"/>
              </w:rPr>
              <w:t>30</w:t>
            </w:r>
          </w:p>
        </w:tc>
        <w:tc>
          <w:tcPr>
            <w:tcW w:w="986" w:type="dxa"/>
            <w:tcBorders>
              <w:top w:val="single" w:color="000000" w:sz="4" w:space="0"/>
              <w:left w:val="single" w:color="000000" w:sz="4" w:space="0"/>
              <w:bottom w:val="single" w:color="000000" w:sz="4" w:space="0"/>
              <w:right w:val="single" w:color="000000" w:sz="4" w:space="0"/>
            </w:tcBorders>
            <w:noWrap w:val="0"/>
            <w:vAlign w:val="center"/>
          </w:tcPr>
          <w:p w14:paraId="6310352A">
            <w:pPr>
              <w:pStyle w:val="191"/>
              <w:spacing w:line="240" w:lineRule="auto"/>
              <w:ind w:firstLine="0"/>
              <w:jc w:val="center"/>
              <w:rPr>
                <w:rFonts w:ascii="Times New Roman" w:hAnsi="Times New Roman" w:eastAsia="宋体" w:cs="Times New Roman"/>
                <w:b/>
                <w:color w:val="000000"/>
                <w:sz w:val="21"/>
                <w:szCs w:val="21"/>
              </w:rPr>
            </w:pPr>
            <w:r>
              <w:rPr>
                <w:rFonts w:ascii="Times New Roman" w:hAnsi="Times New Roman" w:eastAsia="宋体" w:cs="Times New Roman"/>
                <w:b/>
                <w:color w:val="000000"/>
                <w:sz w:val="21"/>
                <w:szCs w:val="21"/>
              </w:rPr>
              <w:t>40</w:t>
            </w:r>
          </w:p>
        </w:tc>
        <w:tc>
          <w:tcPr>
            <w:tcW w:w="984" w:type="dxa"/>
            <w:tcBorders>
              <w:top w:val="single" w:color="000000" w:sz="4" w:space="0"/>
              <w:left w:val="single" w:color="000000" w:sz="4" w:space="0"/>
              <w:bottom w:val="single" w:color="000000" w:sz="4" w:space="0"/>
              <w:right w:val="single" w:color="000000" w:sz="4" w:space="0"/>
            </w:tcBorders>
            <w:noWrap w:val="0"/>
            <w:vAlign w:val="center"/>
          </w:tcPr>
          <w:p w14:paraId="2050DF79">
            <w:pPr>
              <w:pStyle w:val="191"/>
              <w:spacing w:line="240" w:lineRule="auto"/>
              <w:ind w:firstLine="0"/>
              <w:jc w:val="center"/>
              <w:rPr>
                <w:rFonts w:ascii="Times New Roman" w:hAnsi="Times New Roman" w:eastAsia="宋体" w:cs="Times New Roman"/>
                <w:b/>
                <w:color w:val="000000"/>
                <w:sz w:val="21"/>
                <w:szCs w:val="21"/>
              </w:rPr>
            </w:pPr>
            <w:r>
              <w:rPr>
                <w:rFonts w:ascii="Times New Roman" w:hAnsi="Times New Roman" w:eastAsia="宋体" w:cs="Times New Roman"/>
                <w:b/>
                <w:color w:val="000000"/>
                <w:sz w:val="21"/>
                <w:szCs w:val="21"/>
              </w:rPr>
              <w:t>50</w:t>
            </w:r>
          </w:p>
        </w:tc>
        <w:tc>
          <w:tcPr>
            <w:tcW w:w="986" w:type="dxa"/>
            <w:tcBorders>
              <w:top w:val="single" w:color="000000" w:sz="4" w:space="0"/>
              <w:left w:val="single" w:color="000000" w:sz="4" w:space="0"/>
              <w:bottom w:val="single" w:color="000000" w:sz="4" w:space="0"/>
              <w:right w:val="single" w:color="000000" w:sz="4" w:space="0"/>
            </w:tcBorders>
            <w:noWrap w:val="0"/>
            <w:vAlign w:val="center"/>
          </w:tcPr>
          <w:p w14:paraId="06A574A8">
            <w:pPr>
              <w:pStyle w:val="191"/>
              <w:spacing w:line="240" w:lineRule="auto"/>
              <w:ind w:firstLine="0"/>
              <w:jc w:val="center"/>
              <w:rPr>
                <w:rFonts w:ascii="Times New Roman" w:hAnsi="Times New Roman" w:eastAsia="宋体" w:cs="Times New Roman"/>
                <w:b/>
                <w:color w:val="000000"/>
                <w:sz w:val="21"/>
                <w:szCs w:val="21"/>
              </w:rPr>
            </w:pPr>
            <w:r>
              <w:rPr>
                <w:rFonts w:ascii="Times New Roman" w:hAnsi="Times New Roman" w:eastAsia="宋体" w:cs="Times New Roman"/>
                <w:b/>
                <w:color w:val="000000"/>
                <w:sz w:val="21"/>
                <w:szCs w:val="21"/>
              </w:rPr>
              <w:t>60</w:t>
            </w:r>
          </w:p>
        </w:tc>
        <w:tc>
          <w:tcPr>
            <w:tcW w:w="986" w:type="dxa"/>
            <w:tcBorders>
              <w:top w:val="single" w:color="000000" w:sz="4" w:space="0"/>
              <w:left w:val="single" w:color="000000" w:sz="4" w:space="0"/>
              <w:bottom w:val="single" w:color="000000" w:sz="4" w:space="0"/>
              <w:right w:val="single" w:color="000000" w:sz="4" w:space="0"/>
            </w:tcBorders>
            <w:noWrap w:val="0"/>
            <w:vAlign w:val="center"/>
          </w:tcPr>
          <w:p w14:paraId="43A02787">
            <w:pPr>
              <w:pStyle w:val="191"/>
              <w:spacing w:line="240" w:lineRule="auto"/>
              <w:ind w:firstLine="0"/>
              <w:jc w:val="center"/>
              <w:rPr>
                <w:rFonts w:ascii="Times New Roman" w:hAnsi="Times New Roman" w:eastAsia="宋体" w:cs="Times New Roman"/>
                <w:b/>
                <w:color w:val="000000"/>
                <w:sz w:val="21"/>
                <w:szCs w:val="21"/>
              </w:rPr>
            </w:pPr>
            <w:r>
              <w:rPr>
                <w:rFonts w:ascii="Times New Roman" w:hAnsi="Times New Roman" w:eastAsia="宋体" w:cs="Times New Roman"/>
                <w:b/>
                <w:color w:val="000000"/>
                <w:sz w:val="21"/>
                <w:szCs w:val="21"/>
              </w:rPr>
              <w:t>70</w:t>
            </w:r>
          </w:p>
        </w:tc>
      </w:tr>
      <w:tr w14:paraId="2AA5C475">
        <w:tblPrEx>
          <w:tblCellMar>
            <w:top w:w="0" w:type="dxa"/>
            <w:left w:w="108" w:type="dxa"/>
            <w:bottom w:w="0" w:type="dxa"/>
            <w:right w:w="108" w:type="dxa"/>
          </w:tblCellMar>
        </w:tblPrEx>
        <w:trPr>
          <w:trHeight w:val="350" w:hRule="atLeast"/>
        </w:trPr>
        <w:tc>
          <w:tcPr>
            <w:tcW w:w="2050" w:type="dxa"/>
            <w:tcBorders>
              <w:top w:val="single" w:color="000000" w:sz="4" w:space="0"/>
              <w:left w:val="single" w:color="000000" w:sz="4" w:space="0"/>
              <w:bottom w:val="single" w:color="000000" w:sz="4" w:space="0"/>
              <w:right w:val="single" w:color="000000" w:sz="4" w:space="0"/>
            </w:tcBorders>
            <w:noWrap w:val="0"/>
            <w:vAlign w:val="center"/>
          </w:tcPr>
          <w:p w14:paraId="1AD5E3BF">
            <w:pPr>
              <w:pStyle w:val="191"/>
              <w:spacing w:line="240" w:lineRule="auto"/>
              <w:ind w:firstLine="0"/>
              <w:jc w:val="center"/>
              <w:rPr>
                <w:rFonts w:ascii="Times New Roman" w:hAnsi="Times New Roman" w:eastAsia="宋体" w:cs="Times New Roman"/>
                <w:color w:val="000000"/>
                <w:sz w:val="21"/>
                <w:szCs w:val="21"/>
              </w:rPr>
            </w:pPr>
            <w:r>
              <w:rPr>
                <w:rFonts w:ascii="Times New Roman" w:hAnsi="Times New Roman" w:eastAsia="宋体" w:cs="Times New Roman"/>
                <w:color w:val="000000"/>
                <w:sz w:val="21"/>
                <w:szCs w:val="21"/>
              </w:rPr>
              <w:t>沉降速度（m/s）</w:t>
            </w:r>
          </w:p>
        </w:tc>
        <w:tc>
          <w:tcPr>
            <w:tcW w:w="986" w:type="dxa"/>
            <w:tcBorders>
              <w:top w:val="single" w:color="000000" w:sz="4" w:space="0"/>
              <w:left w:val="single" w:color="000000" w:sz="4" w:space="0"/>
              <w:bottom w:val="single" w:color="000000" w:sz="4" w:space="0"/>
              <w:right w:val="single" w:color="000000" w:sz="4" w:space="0"/>
            </w:tcBorders>
            <w:noWrap w:val="0"/>
            <w:vAlign w:val="center"/>
          </w:tcPr>
          <w:p w14:paraId="030147F4">
            <w:pPr>
              <w:pStyle w:val="191"/>
              <w:spacing w:line="240" w:lineRule="auto"/>
              <w:ind w:firstLine="0"/>
              <w:jc w:val="center"/>
              <w:rPr>
                <w:rFonts w:ascii="Times New Roman" w:hAnsi="Times New Roman" w:eastAsia="宋体" w:cs="Times New Roman"/>
                <w:color w:val="000000"/>
                <w:sz w:val="21"/>
                <w:szCs w:val="21"/>
              </w:rPr>
            </w:pPr>
            <w:r>
              <w:rPr>
                <w:rFonts w:ascii="Times New Roman" w:hAnsi="Times New Roman" w:eastAsia="宋体" w:cs="Times New Roman"/>
                <w:color w:val="000000"/>
                <w:sz w:val="21"/>
                <w:szCs w:val="21"/>
              </w:rPr>
              <w:t>0.03</w:t>
            </w:r>
          </w:p>
        </w:tc>
        <w:tc>
          <w:tcPr>
            <w:tcW w:w="984" w:type="dxa"/>
            <w:tcBorders>
              <w:top w:val="single" w:color="000000" w:sz="4" w:space="0"/>
              <w:left w:val="single" w:color="000000" w:sz="4" w:space="0"/>
              <w:bottom w:val="single" w:color="000000" w:sz="4" w:space="0"/>
              <w:right w:val="single" w:color="000000" w:sz="4" w:space="0"/>
            </w:tcBorders>
            <w:noWrap w:val="0"/>
            <w:vAlign w:val="center"/>
          </w:tcPr>
          <w:p w14:paraId="5671EAF8">
            <w:pPr>
              <w:pStyle w:val="191"/>
              <w:spacing w:line="240" w:lineRule="auto"/>
              <w:ind w:firstLine="0"/>
              <w:jc w:val="center"/>
              <w:rPr>
                <w:rFonts w:ascii="Times New Roman" w:hAnsi="Times New Roman" w:eastAsia="宋体" w:cs="Times New Roman"/>
                <w:color w:val="000000"/>
                <w:sz w:val="21"/>
                <w:szCs w:val="21"/>
              </w:rPr>
            </w:pPr>
            <w:r>
              <w:rPr>
                <w:rFonts w:ascii="Times New Roman" w:hAnsi="Times New Roman" w:eastAsia="宋体" w:cs="Times New Roman"/>
                <w:color w:val="000000"/>
                <w:sz w:val="21"/>
                <w:szCs w:val="21"/>
              </w:rPr>
              <w:t>0.012</w:t>
            </w:r>
          </w:p>
        </w:tc>
        <w:tc>
          <w:tcPr>
            <w:tcW w:w="984" w:type="dxa"/>
            <w:tcBorders>
              <w:top w:val="single" w:color="000000" w:sz="4" w:space="0"/>
              <w:left w:val="single" w:color="000000" w:sz="4" w:space="0"/>
              <w:bottom w:val="single" w:color="000000" w:sz="4" w:space="0"/>
              <w:right w:val="single" w:color="000000" w:sz="4" w:space="0"/>
            </w:tcBorders>
            <w:noWrap w:val="0"/>
            <w:vAlign w:val="center"/>
          </w:tcPr>
          <w:p w14:paraId="0EC67546">
            <w:pPr>
              <w:pStyle w:val="191"/>
              <w:spacing w:line="240" w:lineRule="auto"/>
              <w:ind w:firstLine="0"/>
              <w:jc w:val="center"/>
              <w:rPr>
                <w:rFonts w:ascii="Times New Roman" w:hAnsi="Times New Roman" w:eastAsia="宋体" w:cs="Times New Roman"/>
                <w:color w:val="000000"/>
                <w:sz w:val="21"/>
                <w:szCs w:val="21"/>
              </w:rPr>
            </w:pPr>
            <w:r>
              <w:rPr>
                <w:rFonts w:ascii="Times New Roman" w:hAnsi="Times New Roman" w:eastAsia="宋体" w:cs="Times New Roman"/>
                <w:color w:val="000000"/>
                <w:sz w:val="21"/>
                <w:szCs w:val="21"/>
              </w:rPr>
              <w:t>0.027</w:t>
            </w:r>
          </w:p>
        </w:tc>
        <w:tc>
          <w:tcPr>
            <w:tcW w:w="986" w:type="dxa"/>
            <w:tcBorders>
              <w:top w:val="single" w:color="000000" w:sz="4" w:space="0"/>
              <w:left w:val="single" w:color="000000" w:sz="4" w:space="0"/>
              <w:bottom w:val="single" w:color="000000" w:sz="4" w:space="0"/>
              <w:right w:val="single" w:color="000000" w:sz="4" w:space="0"/>
            </w:tcBorders>
            <w:noWrap w:val="0"/>
            <w:vAlign w:val="center"/>
          </w:tcPr>
          <w:p w14:paraId="486FC7A9">
            <w:pPr>
              <w:pStyle w:val="191"/>
              <w:spacing w:line="240" w:lineRule="auto"/>
              <w:ind w:firstLine="0"/>
              <w:jc w:val="center"/>
              <w:rPr>
                <w:rFonts w:ascii="Times New Roman" w:hAnsi="Times New Roman" w:eastAsia="宋体" w:cs="Times New Roman"/>
                <w:color w:val="000000"/>
                <w:sz w:val="21"/>
                <w:szCs w:val="21"/>
              </w:rPr>
            </w:pPr>
            <w:r>
              <w:rPr>
                <w:rFonts w:ascii="Times New Roman" w:hAnsi="Times New Roman" w:eastAsia="宋体" w:cs="Times New Roman"/>
                <w:color w:val="000000"/>
                <w:sz w:val="21"/>
                <w:szCs w:val="21"/>
              </w:rPr>
              <w:t>0.048</w:t>
            </w:r>
          </w:p>
        </w:tc>
        <w:tc>
          <w:tcPr>
            <w:tcW w:w="984" w:type="dxa"/>
            <w:tcBorders>
              <w:top w:val="single" w:color="000000" w:sz="4" w:space="0"/>
              <w:left w:val="single" w:color="000000" w:sz="4" w:space="0"/>
              <w:bottom w:val="single" w:color="000000" w:sz="4" w:space="0"/>
              <w:right w:val="single" w:color="000000" w:sz="4" w:space="0"/>
            </w:tcBorders>
            <w:noWrap w:val="0"/>
            <w:vAlign w:val="center"/>
          </w:tcPr>
          <w:p w14:paraId="26476546">
            <w:pPr>
              <w:pStyle w:val="191"/>
              <w:spacing w:line="240" w:lineRule="auto"/>
              <w:ind w:firstLine="0"/>
              <w:jc w:val="center"/>
              <w:rPr>
                <w:rFonts w:ascii="Times New Roman" w:hAnsi="Times New Roman" w:eastAsia="宋体" w:cs="Times New Roman"/>
                <w:color w:val="000000"/>
                <w:sz w:val="21"/>
                <w:szCs w:val="21"/>
              </w:rPr>
            </w:pPr>
            <w:r>
              <w:rPr>
                <w:rFonts w:ascii="Times New Roman" w:hAnsi="Times New Roman" w:eastAsia="宋体" w:cs="Times New Roman"/>
                <w:color w:val="000000"/>
                <w:sz w:val="21"/>
                <w:szCs w:val="21"/>
              </w:rPr>
              <w:t>0.075</w:t>
            </w:r>
          </w:p>
        </w:tc>
        <w:tc>
          <w:tcPr>
            <w:tcW w:w="986" w:type="dxa"/>
            <w:tcBorders>
              <w:top w:val="single" w:color="000000" w:sz="4" w:space="0"/>
              <w:left w:val="single" w:color="000000" w:sz="4" w:space="0"/>
              <w:bottom w:val="single" w:color="000000" w:sz="4" w:space="0"/>
              <w:right w:val="single" w:color="000000" w:sz="4" w:space="0"/>
            </w:tcBorders>
            <w:noWrap w:val="0"/>
            <w:vAlign w:val="center"/>
          </w:tcPr>
          <w:p w14:paraId="3CC976EB">
            <w:pPr>
              <w:pStyle w:val="191"/>
              <w:spacing w:line="240" w:lineRule="auto"/>
              <w:ind w:firstLine="0"/>
              <w:jc w:val="center"/>
              <w:rPr>
                <w:rFonts w:ascii="Times New Roman" w:hAnsi="Times New Roman" w:eastAsia="宋体" w:cs="Times New Roman"/>
                <w:color w:val="000000"/>
                <w:sz w:val="21"/>
                <w:szCs w:val="21"/>
              </w:rPr>
            </w:pPr>
            <w:r>
              <w:rPr>
                <w:rFonts w:ascii="Times New Roman" w:hAnsi="Times New Roman" w:eastAsia="宋体" w:cs="Times New Roman"/>
                <w:color w:val="000000"/>
                <w:sz w:val="21"/>
                <w:szCs w:val="21"/>
              </w:rPr>
              <w:t>0.108</w:t>
            </w:r>
          </w:p>
        </w:tc>
        <w:tc>
          <w:tcPr>
            <w:tcW w:w="986" w:type="dxa"/>
            <w:tcBorders>
              <w:top w:val="single" w:color="000000" w:sz="4" w:space="0"/>
              <w:left w:val="single" w:color="000000" w:sz="4" w:space="0"/>
              <w:bottom w:val="single" w:color="000000" w:sz="4" w:space="0"/>
              <w:right w:val="single" w:color="000000" w:sz="4" w:space="0"/>
            </w:tcBorders>
            <w:noWrap w:val="0"/>
            <w:vAlign w:val="center"/>
          </w:tcPr>
          <w:p w14:paraId="266E47BD">
            <w:pPr>
              <w:pStyle w:val="191"/>
              <w:spacing w:line="240" w:lineRule="auto"/>
              <w:ind w:firstLine="0"/>
              <w:jc w:val="center"/>
              <w:rPr>
                <w:rFonts w:ascii="Times New Roman" w:hAnsi="Times New Roman" w:eastAsia="宋体" w:cs="Times New Roman"/>
                <w:color w:val="000000"/>
                <w:sz w:val="21"/>
                <w:szCs w:val="21"/>
              </w:rPr>
            </w:pPr>
            <w:r>
              <w:rPr>
                <w:rFonts w:ascii="Times New Roman" w:hAnsi="Times New Roman" w:eastAsia="宋体" w:cs="Times New Roman"/>
                <w:color w:val="000000"/>
                <w:sz w:val="21"/>
                <w:szCs w:val="21"/>
              </w:rPr>
              <w:t>0.147</w:t>
            </w:r>
          </w:p>
        </w:tc>
      </w:tr>
      <w:tr w14:paraId="2FECA8EF">
        <w:tblPrEx>
          <w:tblCellMar>
            <w:top w:w="0" w:type="dxa"/>
            <w:left w:w="108" w:type="dxa"/>
            <w:bottom w:w="0" w:type="dxa"/>
            <w:right w:w="108" w:type="dxa"/>
          </w:tblCellMar>
        </w:tblPrEx>
        <w:trPr>
          <w:trHeight w:val="350" w:hRule="atLeast"/>
        </w:trPr>
        <w:tc>
          <w:tcPr>
            <w:tcW w:w="2050" w:type="dxa"/>
            <w:tcBorders>
              <w:top w:val="single" w:color="000000" w:sz="4" w:space="0"/>
              <w:left w:val="single" w:color="000000" w:sz="4" w:space="0"/>
              <w:bottom w:val="single" w:color="000000" w:sz="4" w:space="0"/>
              <w:right w:val="single" w:color="000000" w:sz="4" w:space="0"/>
            </w:tcBorders>
            <w:noWrap w:val="0"/>
            <w:vAlign w:val="center"/>
          </w:tcPr>
          <w:p w14:paraId="14C059B2">
            <w:pPr>
              <w:pStyle w:val="191"/>
              <w:spacing w:line="240" w:lineRule="auto"/>
              <w:ind w:firstLine="0"/>
              <w:jc w:val="center"/>
              <w:rPr>
                <w:rFonts w:ascii="Times New Roman" w:hAnsi="Times New Roman" w:eastAsia="宋体" w:cs="Times New Roman"/>
                <w:color w:val="000000"/>
                <w:sz w:val="21"/>
                <w:szCs w:val="21"/>
              </w:rPr>
            </w:pPr>
            <w:r>
              <w:rPr>
                <w:rFonts w:ascii="Times New Roman" w:hAnsi="Times New Roman" w:eastAsia="宋体" w:cs="Times New Roman"/>
                <w:color w:val="000000"/>
                <w:sz w:val="21"/>
                <w:szCs w:val="21"/>
              </w:rPr>
              <w:t>粒径（μm）</w:t>
            </w:r>
          </w:p>
        </w:tc>
        <w:tc>
          <w:tcPr>
            <w:tcW w:w="986" w:type="dxa"/>
            <w:tcBorders>
              <w:top w:val="single" w:color="000000" w:sz="4" w:space="0"/>
              <w:left w:val="single" w:color="000000" w:sz="4" w:space="0"/>
              <w:bottom w:val="single" w:color="000000" w:sz="4" w:space="0"/>
              <w:right w:val="single" w:color="000000" w:sz="4" w:space="0"/>
            </w:tcBorders>
            <w:noWrap w:val="0"/>
            <w:vAlign w:val="center"/>
          </w:tcPr>
          <w:p w14:paraId="5F076023">
            <w:pPr>
              <w:pStyle w:val="191"/>
              <w:spacing w:line="240" w:lineRule="auto"/>
              <w:ind w:firstLine="0"/>
              <w:jc w:val="center"/>
              <w:rPr>
                <w:rFonts w:ascii="Times New Roman" w:hAnsi="Times New Roman" w:eastAsia="宋体" w:cs="Times New Roman"/>
                <w:color w:val="000000"/>
                <w:sz w:val="21"/>
                <w:szCs w:val="21"/>
              </w:rPr>
            </w:pPr>
            <w:r>
              <w:rPr>
                <w:rFonts w:ascii="Times New Roman" w:hAnsi="Times New Roman" w:eastAsia="宋体" w:cs="Times New Roman"/>
                <w:color w:val="000000"/>
                <w:sz w:val="21"/>
                <w:szCs w:val="21"/>
              </w:rPr>
              <w:t>80</w:t>
            </w:r>
          </w:p>
        </w:tc>
        <w:tc>
          <w:tcPr>
            <w:tcW w:w="984" w:type="dxa"/>
            <w:tcBorders>
              <w:top w:val="single" w:color="000000" w:sz="4" w:space="0"/>
              <w:left w:val="single" w:color="000000" w:sz="4" w:space="0"/>
              <w:bottom w:val="single" w:color="000000" w:sz="4" w:space="0"/>
              <w:right w:val="single" w:color="000000" w:sz="4" w:space="0"/>
            </w:tcBorders>
            <w:noWrap w:val="0"/>
            <w:vAlign w:val="center"/>
          </w:tcPr>
          <w:p w14:paraId="00277E8C">
            <w:pPr>
              <w:pStyle w:val="191"/>
              <w:spacing w:line="240" w:lineRule="auto"/>
              <w:ind w:firstLine="0"/>
              <w:jc w:val="center"/>
              <w:rPr>
                <w:rFonts w:ascii="Times New Roman" w:hAnsi="Times New Roman" w:eastAsia="宋体" w:cs="Times New Roman"/>
                <w:color w:val="000000"/>
                <w:sz w:val="21"/>
                <w:szCs w:val="21"/>
              </w:rPr>
            </w:pPr>
            <w:r>
              <w:rPr>
                <w:rFonts w:ascii="Times New Roman" w:hAnsi="Times New Roman" w:eastAsia="宋体" w:cs="Times New Roman"/>
                <w:color w:val="000000"/>
                <w:sz w:val="21"/>
                <w:szCs w:val="21"/>
              </w:rPr>
              <w:t>90</w:t>
            </w:r>
          </w:p>
        </w:tc>
        <w:tc>
          <w:tcPr>
            <w:tcW w:w="984" w:type="dxa"/>
            <w:tcBorders>
              <w:top w:val="single" w:color="000000" w:sz="4" w:space="0"/>
              <w:left w:val="single" w:color="000000" w:sz="4" w:space="0"/>
              <w:bottom w:val="single" w:color="000000" w:sz="4" w:space="0"/>
              <w:right w:val="single" w:color="000000" w:sz="4" w:space="0"/>
            </w:tcBorders>
            <w:noWrap w:val="0"/>
            <w:vAlign w:val="center"/>
          </w:tcPr>
          <w:p w14:paraId="74925EAA">
            <w:pPr>
              <w:pStyle w:val="191"/>
              <w:spacing w:line="240" w:lineRule="auto"/>
              <w:ind w:firstLine="0"/>
              <w:jc w:val="center"/>
              <w:rPr>
                <w:rFonts w:ascii="Times New Roman" w:hAnsi="Times New Roman" w:eastAsia="宋体" w:cs="Times New Roman"/>
                <w:color w:val="000000"/>
                <w:sz w:val="21"/>
                <w:szCs w:val="21"/>
              </w:rPr>
            </w:pPr>
            <w:r>
              <w:rPr>
                <w:rFonts w:ascii="Times New Roman" w:hAnsi="Times New Roman" w:eastAsia="宋体" w:cs="Times New Roman"/>
                <w:color w:val="000000"/>
                <w:sz w:val="21"/>
                <w:szCs w:val="21"/>
              </w:rPr>
              <w:t>100</w:t>
            </w:r>
          </w:p>
        </w:tc>
        <w:tc>
          <w:tcPr>
            <w:tcW w:w="986" w:type="dxa"/>
            <w:tcBorders>
              <w:top w:val="single" w:color="000000" w:sz="4" w:space="0"/>
              <w:left w:val="single" w:color="000000" w:sz="4" w:space="0"/>
              <w:bottom w:val="single" w:color="000000" w:sz="4" w:space="0"/>
              <w:right w:val="single" w:color="000000" w:sz="4" w:space="0"/>
            </w:tcBorders>
            <w:noWrap w:val="0"/>
            <w:vAlign w:val="center"/>
          </w:tcPr>
          <w:p w14:paraId="4D6C690A">
            <w:pPr>
              <w:pStyle w:val="191"/>
              <w:spacing w:line="240" w:lineRule="auto"/>
              <w:ind w:firstLine="0"/>
              <w:jc w:val="center"/>
              <w:rPr>
                <w:rFonts w:ascii="Times New Roman" w:hAnsi="Times New Roman" w:eastAsia="宋体" w:cs="Times New Roman"/>
                <w:color w:val="000000"/>
                <w:sz w:val="21"/>
                <w:szCs w:val="21"/>
              </w:rPr>
            </w:pPr>
            <w:r>
              <w:rPr>
                <w:rFonts w:ascii="Times New Roman" w:hAnsi="Times New Roman" w:eastAsia="宋体" w:cs="Times New Roman"/>
                <w:color w:val="000000"/>
                <w:sz w:val="21"/>
                <w:szCs w:val="21"/>
              </w:rPr>
              <w:t>150</w:t>
            </w:r>
          </w:p>
        </w:tc>
        <w:tc>
          <w:tcPr>
            <w:tcW w:w="984" w:type="dxa"/>
            <w:tcBorders>
              <w:top w:val="single" w:color="000000" w:sz="4" w:space="0"/>
              <w:left w:val="single" w:color="000000" w:sz="4" w:space="0"/>
              <w:bottom w:val="single" w:color="000000" w:sz="4" w:space="0"/>
              <w:right w:val="single" w:color="000000" w:sz="4" w:space="0"/>
            </w:tcBorders>
            <w:noWrap w:val="0"/>
            <w:vAlign w:val="center"/>
          </w:tcPr>
          <w:p w14:paraId="28EB9CD5">
            <w:pPr>
              <w:pStyle w:val="191"/>
              <w:spacing w:line="240" w:lineRule="auto"/>
              <w:ind w:firstLine="0"/>
              <w:jc w:val="center"/>
              <w:rPr>
                <w:rFonts w:ascii="Times New Roman" w:hAnsi="Times New Roman" w:eastAsia="宋体" w:cs="Times New Roman"/>
                <w:color w:val="000000"/>
                <w:sz w:val="21"/>
                <w:szCs w:val="21"/>
              </w:rPr>
            </w:pPr>
            <w:r>
              <w:rPr>
                <w:rFonts w:ascii="Times New Roman" w:hAnsi="Times New Roman" w:eastAsia="宋体" w:cs="Times New Roman"/>
                <w:color w:val="000000"/>
                <w:sz w:val="21"/>
                <w:szCs w:val="21"/>
              </w:rPr>
              <w:t>200</w:t>
            </w:r>
          </w:p>
        </w:tc>
        <w:tc>
          <w:tcPr>
            <w:tcW w:w="986" w:type="dxa"/>
            <w:tcBorders>
              <w:top w:val="single" w:color="000000" w:sz="4" w:space="0"/>
              <w:left w:val="single" w:color="000000" w:sz="4" w:space="0"/>
              <w:bottom w:val="single" w:color="000000" w:sz="4" w:space="0"/>
              <w:right w:val="single" w:color="000000" w:sz="4" w:space="0"/>
            </w:tcBorders>
            <w:noWrap w:val="0"/>
            <w:vAlign w:val="center"/>
          </w:tcPr>
          <w:p w14:paraId="38CDA76B">
            <w:pPr>
              <w:pStyle w:val="191"/>
              <w:spacing w:line="240" w:lineRule="auto"/>
              <w:ind w:firstLine="0"/>
              <w:jc w:val="center"/>
              <w:rPr>
                <w:rFonts w:ascii="Times New Roman" w:hAnsi="Times New Roman" w:eastAsia="宋体" w:cs="Times New Roman"/>
                <w:color w:val="000000"/>
                <w:sz w:val="21"/>
                <w:szCs w:val="21"/>
              </w:rPr>
            </w:pPr>
            <w:r>
              <w:rPr>
                <w:rFonts w:ascii="Times New Roman" w:hAnsi="Times New Roman" w:eastAsia="宋体" w:cs="Times New Roman"/>
                <w:color w:val="000000"/>
                <w:sz w:val="21"/>
                <w:szCs w:val="21"/>
              </w:rPr>
              <w:t>250</w:t>
            </w:r>
          </w:p>
        </w:tc>
        <w:tc>
          <w:tcPr>
            <w:tcW w:w="986" w:type="dxa"/>
            <w:tcBorders>
              <w:top w:val="single" w:color="000000" w:sz="4" w:space="0"/>
              <w:left w:val="single" w:color="000000" w:sz="4" w:space="0"/>
              <w:bottom w:val="single" w:color="000000" w:sz="4" w:space="0"/>
              <w:right w:val="single" w:color="000000" w:sz="4" w:space="0"/>
            </w:tcBorders>
            <w:noWrap w:val="0"/>
            <w:vAlign w:val="center"/>
          </w:tcPr>
          <w:p w14:paraId="783C440B">
            <w:pPr>
              <w:pStyle w:val="191"/>
              <w:spacing w:line="240" w:lineRule="auto"/>
              <w:ind w:firstLine="0"/>
              <w:jc w:val="center"/>
              <w:rPr>
                <w:rFonts w:ascii="Times New Roman" w:hAnsi="Times New Roman" w:eastAsia="宋体" w:cs="Times New Roman"/>
                <w:color w:val="000000"/>
                <w:sz w:val="21"/>
                <w:szCs w:val="21"/>
              </w:rPr>
            </w:pPr>
            <w:r>
              <w:rPr>
                <w:rFonts w:ascii="Times New Roman" w:hAnsi="Times New Roman" w:eastAsia="宋体" w:cs="Times New Roman"/>
                <w:color w:val="000000"/>
                <w:sz w:val="21"/>
                <w:szCs w:val="21"/>
              </w:rPr>
              <w:t>300</w:t>
            </w:r>
          </w:p>
        </w:tc>
      </w:tr>
      <w:tr w14:paraId="341FFE76">
        <w:tblPrEx>
          <w:tblCellMar>
            <w:top w:w="0" w:type="dxa"/>
            <w:left w:w="108" w:type="dxa"/>
            <w:bottom w:w="0" w:type="dxa"/>
            <w:right w:w="108" w:type="dxa"/>
          </w:tblCellMar>
        </w:tblPrEx>
        <w:trPr>
          <w:trHeight w:val="350" w:hRule="atLeast"/>
        </w:trPr>
        <w:tc>
          <w:tcPr>
            <w:tcW w:w="2050" w:type="dxa"/>
            <w:tcBorders>
              <w:top w:val="single" w:color="000000" w:sz="4" w:space="0"/>
              <w:left w:val="single" w:color="000000" w:sz="4" w:space="0"/>
              <w:bottom w:val="single" w:color="000000" w:sz="4" w:space="0"/>
              <w:right w:val="single" w:color="000000" w:sz="4" w:space="0"/>
            </w:tcBorders>
            <w:noWrap w:val="0"/>
            <w:vAlign w:val="center"/>
          </w:tcPr>
          <w:p w14:paraId="06BB1CFF">
            <w:pPr>
              <w:pStyle w:val="191"/>
              <w:spacing w:line="240" w:lineRule="auto"/>
              <w:ind w:firstLine="0"/>
              <w:jc w:val="center"/>
              <w:rPr>
                <w:rFonts w:ascii="Times New Roman" w:hAnsi="Times New Roman" w:eastAsia="宋体" w:cs="Times New Roman"/>
                <w:color w:val="000000"/>
                <w:sz w:val="21"/>
                <w:szCs w:val="21"/>
              </w:rPr>
            </w:pPr>
            <w:r>
              <w:rPr>
                <w:rFonts w:ascii="Times New Roman" w:hAnsi="Times New Roman" w:eastAsia="宋体" w:cs="Times New Roman"/>
                <w:color w:val="000000"/>
                <w:sz w:val="21"/>
                <w:szCs w:val="21"/>
              </w:rPr>
              <w:t>沉降速度（m/s）</w:t>
            </w:r>
          </w:p>
        </w:tc>
        <w:tc>
          <w:tcPr>
            <w:tcW w:w="986" w:type="dxa"/>
            <w:tcBorders>
              <w:top w:val="single" w:color="000000" w:sz="4" w:space="0"/>
              <w:left w:val="single" w:color="000000" w:sz="4" w:space="0"/>
              <w:bottom w:val="single" w:color="000000" w:sz="4" w:space="0"/>
              <w:right w:val="single" w:color="000000" w:sz="4" w:space="0"/>
            </w:tcBorders>
            <w:noWrap w:val="0"/>
            <w:vAlign w:val="center"/>
          </w:tcPr>
          <w:p w14:paraId="7F49DEE8">
            <w:pPr>
              <w:pStyle w:val="191"/>
              <w:spacing w:line="240" w:lineRule="auto"/>
              <w:ind w:firstLine="0"/>
              <w:jc w:val="center"/>
              <w:rPr>
                <w:rFonts w:ascii="Times New Roman" w:hAnsi="Times New Roman" w:eastAsia="宋体" w:cs="Times New Roman"/>
                <w:color w:val="000000"/>
                <w:sz w:val="21"/>
                <w:szCs w:val="21"/>
              </w:rPr>
            </w:pPr>
            <w:r>
              <w:rPr>
                <w:rFonts w:ascii="Times New Roman" w:hAnsi="Times New Roman" w:eastAsia="宋体" w:cs="Times New Roman"/>
                <w:color w:val="000000"/>
                <w:sz w:val="21"/>
                <w:szCs w:val="21"/>
              </w:rPr>
              <w:t>0.158</w:t>
            </w:r>
          </w:p>
        </w:tc>
        <w:tc>
          <w:tcPr>
            <w:tcW w:w="984" w:type="dxa"/>
            <w:tcBorders>
              <w:top w:val="single" w:color="000000" w:sz="4" w:space="0"/>
              <w:left w:val="single" w:color="000000" w:sz="4" w:space="0"/>
              <w:bottom w:val="single" w:color="000000" w:sz="4" w:space="0"/>
              <w:right w:val="single" w:color="000000" w:sz="4" w:space="0"/>
            </w:tcBorders>
            <w:noWrap w:val="0"/>
            <w:vAlign w:val="center"/>
          </w:tcPr>
          <w:p w14:paraId="3F4649DA">
            <w:pPr>
              <w:pStyle w:val="191"/>
              <w:spacing w:line="240" w:lineRule="auto"/>
              <w:ind w:firstLine="0"/>
              <w:jc w:val="center"/>
              <w:rPr>
                <w:rFonts w:ascii="Times New Roman" w:hAnsi="Times New Roman" w:eastAsia="宋体" w:cs="Times New Roman"/>
                <w:color w:val="000000"/>
                <w:sz w:val="21"/>
                <w:szCs w:val="21"/>
              </w:rPr>
            </w:pPr>
            <w:r>
              <w:rPr>
                <w:rFonts w:ascii="Times New Roman" w:hAnsi="Times New Roman" w:eastAsia="宋体" w:cs="Times New Roman"/>
                <w:color w:val="000000"/>
                <w:sz w:val="21"/>
                <w:szCs w:val="21"/>
              </w:rPr>
              <w:t>0.170</w:t>
            </w:r>
          </w:p>
        </w:tc>
        <w:tc>
          <w:tcPr>
            <w:tcW w:w="984" w:type="dxa"/>
            <w:tcBorders>
              <w:top w:val="single" w:color="000000" w:sz="4" w:space="0"/>
              <w:left w:val="single" w:color="000000" w:sz="4" w:space="0"/>
              <w:bottom w:val="single" w:color="000000" w:sz="4" w:space="0"/>
              <w:right w:val="single" w:color="000000" w:sz="4" w:space="0"/>
            </w:tcBorders>
            <w:noWrap w:val="0"/>
            <w:vAlign w:val="center"/>
          </w:tcPr>
          <w:p w14:paraId="1BC0191D">
            <w:pPr>
              <w:pStyle w:val="191"/>
              <w:spacing w:line="240" w:lineRule="auto"/>
              <w:ind w:firstLine="0"/>
              <w:jc w:val="center"/>
              <w:rPr>
                <w:rFonts w:ascii="Times New Roman" w:hAnsi="Times New Roman" w:eastAsia="宋体" w:cs="Times New Roman"/>
                <w:color w:val="000000"/>
                <w:sz w:val="21"/>
                <w:szCs w:val="21"/>
              </w:rPr>
            </w:pPr>
            <w:r>
              <w:rPr>
                <w:rFonts w:ascii="Times New Roman" w:hAnsi="Times New Roman" w:eastAsia="宋体" w:cs="Times New Roman"/>
                <w:color w:val="000000"/>
                <w:sz w:val="21"/>
                <w:szCs w:val="21"/>
              </w:rPr>
              <w:t>0.182</w:t>
            </w:r>
          </w:p>
        </w:tc>
        <w:tc>
          <w:tcPr>
            <w:tcW w:w="986" w:type="dxa"/>
            <w:tcBorders>
              <w:top w:val="single" w:color="000000" w:sz="4" w:space="0"/>
              <w:left w:val="single" w:color="000000" w:sz="4" w:space="0"/>
              <w:bottom w:val="single" w:color="000000" w:sz="4" w:space="0"/>
              <w:right w:val="single" w:color="000000" w:sz="4" w:space="0"/>
            </w:tcBorders>
            <w:noWrap w:val="0"/>
            <w:vAlign w:val="center"/>
          </w:tcPr>
          <w:p w14:paraId="79D37481">
            <w:pPr>
              <w:pStyle w:val="191"/>
              <w:spacing w:line="240" w:lineRule="auto"/>
              <w:ind w:firstLine="0"/>
              <w:jc w:val="center"/>
              <w:rPr>
                <w:rFonts w:ascii="Times New Roman" w:hAnsi="Times New Roman" w:eastAsia="宋体" w:cs="Times New Roman"/>
                <w:color w:val="000000"/>
                <w:sz w:val="21"/>
                <w:szCs w:val="21"/>
              </w:rPr>
            </w:pPr>
            <w:r>
              <w:rPr>
                <w:rFonts w:ascii="Times New Roman" w:hAnsi="Times New Roman" w:eastAsia="宋体" w:cs="Times New Roman"/>
                <w:color w:val="000000"/>
                <w:sz w:val="21"/>
                <w:szCs w:val="21"/>
              </w:rPr>
              <w:t>0.239</w:t>
            </w:r>
          </w:p>
        </w:tc>
        <w:tc>
          <w:tcPr>
            <w:tcW w:w="984" w:type="dxa"/>
            <w:tcBorders>
              <w:top w:val="single" w:color="000000" w:sz="4" w:space="0"/>
              <w:left w:val="single" w:color="000000" w:sz="4" w:space="0"/>
              <w:bottom w:val="single" w:color="000000" w:sz="4" w:space="0"/>
              <w:right w:val="single" w:color="000000" w:sz="4" w:space="0"/>
            </w:tcBorders>
            <w:noWrap w:val="0"/>
            <w:vAlign w:val="center"/>
          </w:tcPr>
          <w:p w14:paraId="09544867">
            <w:pPr>
              <w:pStyle w:val="191"/>
              <w:spacing w:line="240" w:lineRule="auto"/>
              <w:ind w:firstLine="0"/>
              <w:jc w:val="center"/>
              <w:rPr>
                <w:rFonts w:ascii="Times New Roman" w:hAnsi="Times New Roman" w:eastAsia="宋体" w:cs="Times New Roman"/>
                <w:color w:val="000000"/>
                <w:sz w:val="21"/>
                <w:szCs w:val="21"/>
              </w:rPr>
            </w:pPr>
            <w:r>
              <w:rPr>
                <w:rFonts w:ascii="Times New Roman" w:hAnsi="Times New Roman" w:eastAsia="宋体" w:cs="Times New Roman"/>
                <w:color w:val="000000"/>
                <w:sz w:val="21"/>
                <w:szCs w:val="21"/>
              </w:rPr>
              <w:t>0.804</w:t>
            </w:r>
          </w:p>
        </w:tc>
        <w:tc>
          <w:tcPr>
            <w:tcW w:w="986" w:type="dxa"/>
            <w:tcBorders>
              <w:top w:val="single" w:color="000000" w:sz="4" w:space="0"/>
              <w:left w:val="single" w:color="000000" w:sz="4" w:space="0"/>
              <w:bottom w:val="single" w:color="000000" w:sz="4" w:space="0"/>
              <w:right w:val="single" w:color="000000" w:sz="4" w:space="0"/>
            </w:tcBorders>
            <w:noWrap w:val="0"/>
            <w:vAlign w:val="center"/>
          </w:tcPr>
          <w:p w14:paraId="57677AA1">
            <w:pPr>
              <w:pStyle w:val="191"/>
              <w:spacing w:line="240" w:lineRule="auto"/>
              <w:ind w:firstLine="0"/>
              <w:jc w:val="center"/>
              <w:rPr>
                <w:rFonts w:ascii="Times New Roman" w:hAnsi="Times New Roman" w:eastAsia="宋体" w:cs="Times New Roman"/>
                <w:color w:val="000000"/>
                <w:sz w:val="21"/>
                <w:szCs w:val="21"/>
              </w:rPr>
            </w:pPr>
            <w:r>
              <w:rPr>
                <w:rFonts w:ascii="Times New Roman" w:hAnsi="Times New Roman" w:eastAsia="宋体" w:cs="Times New Roman"/>
                <w:color w:val="000000"/>
                <w:sz w:val="21"/>
                <w:szCs w:val="21"/>
              </w:rPr>
              <w:t>1.005</w:t>
            </w:r>
          </w:p>
        </w:tc>
        <w:tc>
          <w:tcPr>
            <w:tcW w:w="986" w:type="dxa"/>
            <w:tcBorders>
              <w:top w:val="single" w:color="000000" w:sz="4" w:space="0"/>
              <w:left w:val="single" w:color="000000" w:sz="4" w:space="0"/>
              <w:bottom w:val="single" w:color="000000" w:sz="4" w:space="0"/>
              <w:right w:val="single" w:color="000000" w:sz="4" w:space="0"/>
            </w:tcBorders>
            <w:noWrap w:val="0"/>
            <w:vAlign w:val="center"/>
          </w:tcPr>
          <w:p w14:paraId="52D23AA8">
            <w:pPr>
              <w:pStyle w:val="191"/>
              <w:spacing w:line="240" w:lineRule="auto"/>
              <w:ind w:firstLine="0"/>
              <w:jc w:val="center"/>
              <w:rPr>
                <w:rFonts w:ascii="Times New Roman" w:hAnsi="Times New Roman" w:eastAsia="宋体" w:cs="Times New Roman"/>
                <w:color w:val="000000"/>
                <w:sz w:val="21"/>
                <w:szCs w:val="21"/>
              </w:rPr>
            </w:pPr>
            <w:r>
              <w:rPr>
                <w:rFonts w:ascii="Times New Roman" w:hAnsi="Times New Roman" w:eastAsia="宋体" w:cs="Times New Roman"/>
                <w:color w:val="000000"/>
                <w:sz w:val="21"/>
                <w:szCs w:val="21"/>
              </w:rPr>
              <w:t>1.829</w:t>
            </w:r>
          </w:p>
        </w:tc>
      </w:tr>
      <w:tr w14:paraId="42AE050A">
        <w:tblPrEx>
          <w:tblCellMar>
            <w:top w:w="0" w:type="dxa"/>
            <w:left w:w="108" w:type="dxa"/>
            <w:bottom w:w="0" w:type="dxa"/>
            <w:right w:w="108" w:type="dxa"/>
          </w:tblCellMar>
        </w:tblPrEx>
        <w:trPr>
          <w:trHeight w:val="350" w:hRule="atLeast"/>
        </w:trPr>
        <w:tc>
          <w:tcPr>
            <w:tcW w:w="2050" w:type="dxa"/>
            <w:tcBorders>
              <w:top w:val="single" w:color="000000" w:sz="4" w:space="0"/>
              <w:left w:val="single" w:color="000000" w:sz="4" w:space="0"/>
              <w:bottom w:val="single" w:color="000000" w:sz="4" w:space="0"/>
              <w:right w:val="single" w:color="000000" w:sz="4" w:space="0"/>
            </w:tcBorders>
            <w:noWrap w:val="0"/>
            <w:vAlign w:val="center"/>
          </w:tcPr>
          <w:p w14:paraId="54A34239">
            <w:pPr>
              <w:pStyle w:val="191"/>
              <w:spacing w:line="240" w:lineRule="auto"/>
              <w:ind w:firstLine="0"/>
              <w:jc w:val="center"/>
              <w:rPr>
                <w:rFonts w:ascii="Times New Roman" w:hAnsi="Times New Roman" w:eastAsia="宋体" w:cs="Times New Roman"/>
                <w:color w:val="000000"/>
                <w:sz w:val="21"/>
                <w:szCs w:val="21"/>
              </w:rPr>
            </w:pPr>
            <w:r>
              <w:rPr>
                <w:rFonts w:ascii="Times New Roman" w:hAnsi="Times New Roman" w:eastAsia="宋体" w:cs="Times New Roman"/>
                <w:color w:val="000000"/>
                <w:sz w:val="21"/>
                <w:szCs w:val="21"/>
              </w:rPr>
              <w:t>粒径（μm）</w:t>
            </w:r>
          </w:p>
        </w:tc>
        <w:tc>
          <w:tcPr>
            <w:tcW w:w="986" w:type="dxa"/>
            <w:tcBorders>
              <w:top w:val="single" w:color="000000" w:sz="4" w:space="0"/>
              <w:left w:val="single" w:color="000000" w:sz="4" w:space="0"/>
              <w:bottom w:val="single" w:color="000000" w:sz="4" w:space="0"/>
              <w:right w:val="single" w:color="000000" w:sz="4" w:space="0"/>
            </w:tcBorders>
            <w:noWrap w:val="0"/>
            <w:vAlign w:val="center"/>
          </w:tcPr>
          <w:p w14:paraId="6C549F71">
            <w:pPr>
              <w:pStyle w:val="191"/>
              <w:spacing w:line="240" w:lineRule="auto"/>
              <w:ind w:firstLine="0"/>
              <w:jc w:val="center"/>
              <w:rPr>
                <w:rFonts w:ascii="Times New Roman" w:hAnsi="Times New Roman" w:eastAsia="宋体" w:cs="Times New Roman"/>
                <w:color w:val="000000"/>
                <w:sz w:val="21"/>
                <w:szCs w:val="21"/>
              </w:rPr>
            </w:pPr>
            <w:r>
              <w:rPr>
                <w:rFonts w:ascii="Times New Roman" w:hAnsi="Times New Roman" w:eastAsia="宋体" w:cs="Times New Roman"/>
                <w:color w:val="000000"/>
                <w:sz w:val="21"/>
                <w:szCs w:val="21"/>
              </w:rPr>
              <w:t>450</w:t>
            </w:r>
          </w:p>
        </w:tc>
        <w:tc>
          <w:tcPr>
            <w:tcW w:w="984" w:type="dxa"/>
            <w:tcBorders>
              <w:top w:val="single" w:color="000000" w:sz="4" w:space="0"/>
              <w:left w:val="single" w:color="000000" w:sz="4" w:space="0"/>
              <w:bottom w:val="single" w:color="000000" w:sz="4" w:space="0"/>
              <w:right w:val="single" w:color="000000" w:sz="4" w:space="0"/>
            </w:tcBorders>
            <w:noWrap w:val="0"/>
            <w:vAlign w:val="center"/>
          </w:tcPr>
          <w:p w14:paraId="47BCD0F4">
            <w:pPr>
              <w:pStyle w:val="191"/>
              <w:spacing w:line="240" w:lineRule="auto"/>
              <w:ind w:firstLine="0"/>
              <w:jc w:val="center"/>
              <w:rPr>
                <w:rFonts w:ascii="Times New Roman" w:hAnsi="Times New Roman" w:eastAsia="宋体" w:cs="Times New Roman"/>
                <w:color w:val="000000"/>
                <w:sz w:val="21"/>
                <w:szCs w:val="21"/>
              </w:rPr>
            </w:pPr>
            <w:r>
              <w:rPr>
                <w:rFonts w:ascii="Times New Roman" w:hAnsi="Times New Roman" w:eastAsia="宋体" w:cs="Times New Roman"/>
                <w:color w:val="000000"/>
                <w:sz w:val="21"/>
                <w:szCs w:val="21"/>
              </w:rPr>
              <w:t>550</w:t>
            </w:r>
          </w:p>
        </w:tc>
        <w:tc>
          <w:tcPr>
            <w:tcW w:w="984" w:type="dxa"/>
            <w:tcBorders>
              <w:top w:val="single" w:color="000000" w:sz="4" w:space="0"/>
              <w:left w:val="single" w:color="000000" w:sz="4" w:space="0"/>
              <w:bottom w:val="single" w:color="000000" w:sz="4" w:space="0"/>
              <w:right w:val="single" w:color="000000" w:sz="4" w:space="0"/>
            </w:tcBorders>
            <w:noWrap w:val="0"/>
            <w:vAlign w:val="center"/>
          </w:tcPr>
          <w:p w14:paraId="354C5C90">
            <w:pPr>
              <w:pStyle w:val="191"/>
              <w:spacing w:line="240" w:lineRule="auto"/>
              <w:ind w:firstLine="0"/>
              <w:jc w:val="center"/>
              <w:rPr>
                <w:rFonts w:ascii="Times New Roman" w:hAnsi="Times New Roman" w:eastAsia="宋体" w:cs="Times New Roman"/>
                <w:color w:val="000000"/>
                <w:sz w:val="21"/>
                <w:szCs w:val="21"/>
              </w:rPr>
            </w:pPr>
            <w:r>
              <w:rPr>
                <w:rFonts w:ascii="Times New Roman" w:hAnsi="Times New Roman" w:eastAsia="宋体" w:cs="Times New Roman"/>
                <w:color w:val="000000"/>
                <w:sz w:val="21"/>
                <w:szCs w:val="21"/>
              </w:rPr>
              <w:t>650</w:t>
            </w:r>
          </w:p>
        </w:tc>
        <w:tc>
          <w:tcPr>
            <w:tcW w:w="986" w:type="dxa"/>
            <w:tcBorders>
              <w:top w:val="single" w:color="000000" w:sz="4" w:space="0"/>
              <w:left w:val="single" w:color="000000" w:sz="4" w:space="0"/>
              <w:bottom w:val="single" w:color="000000" w:sz="4" w:space="0"/>
              <w:right w:val="single" w:color="000000" w:sz="4" w:space="0"/>
            </w:tcBorders>
            <w:noWrap w:val="0"/>
            <w:vAlign w:val="center"/>
          </w:tcPr>
          <w:p w14:paraId="5B74050B">
            <w:pPr>
              <w:pStyle w:val="191"/>
              <w:spacing w:line="240" w:lineRule="auto"/>
              <w:ind w:firstLine="0"/>
              <w:jc w:val="center"/>
              <w:rPr>
                <w:rFonts w:ascii="Times New Roman" w:hAnsi="Times New Roman" w:eastAsia="宋体" w:cs="Times New Roman"/>
                <w:color w:val="000000"/>
                <w:sz w:val="21"/>
                <w:szCs w:val="21"/>
              </w:rPr>
            </w:pPr>
            <w:r>
              <w:rPr>
                <w:rFonts w:ascii="Times New Roman" w:hAnsi="Times New Roman" w:eastAsia="宋体" w:cs="Times New Roman"/>
                <w:color w:val="000000"/>
                <w:sz w:val="21"/>
                <w:szCs w:val="21"/>
              </w:rPr>
              <w:t>750</w:t>
            </w:r>
          </w:p>
        </w:tc>
        <w:tc>
          <w:tcPr>
            <w:tcW w:w="984" w:type="dxa"/>
            <w:tcBorders>
              <w:top w:val="single" w:color="000000" w:sz="4" w:space="0"/>
              <w:left w:val="single" w:color="000000" w:sz="4" w:space="0"/>
              <w:bottom w:val="single" w:color="000000" w:sz="4" w:space="0"/>
              <w:right w:val="single" w:color="000000" w:sz="4" w:space="0"/>
            </w:tcBorders>
            <w:noWrap w:val="0"/>
            <w:vAlign w:val="center"/>
          </w:tcPr>
          <w:p w14:paraId="13A45F18">
            <w:pPr>
              <w:pStyle w:val="191"/>
              <w:spacing w:line="240" w:lineRule="auto"/>
              <w:ind w:firstLine="0"/>
              <w:jc w:val="center"/>
              <w:rPr>
                <w:rFonts w:ascii="Times New Roman" w:hAnsi="Times New Roman" w:eastAsia="宋体" w:cs="Times New Roman"/>
                <w:color w:val="000000"/>
                <w:sz w:val="21"/>
                <w:szCs w:val="21"/>
              </w:rPr>
            </w:pPr>
            <w:r>
              <w:rPr>
                <w:rFonts w:ascii="Times New Roman" w:hAnsi="Times New Roman" w:eastAsia="宋体" w:cs="Times New Roman"/>
                <w:color w:val="000000"/>
                <w:sz w:val="21"/>
                <w:szCs w:val="21"/>
              </w:rPr>
              <w:t>850</w:t>
            </w:r>
          </w:p>
        </w:tc>
        <w:tc>
          <w:tcPr>
            <w:tcW w:w="986" w:type="dxa"/>
            <w:tcBorders>
              <w:top w:val="single" w:color="000000" w:sz="4" w:space="0"/>
              <w:left w:val="single" w:color="000000" w:sz="4" w:space="0"/>
              <w:bottom w:val="single" w:color="000000" w:sz="4" w:space="0"/>
              <w:right w:val="single" w:color="000000" w:sz="4" w:space="0"/>
            </w:tcBorders>
            <w:noWrap w:val="0"/>
            <w:vAlign w:val="center"/>
          </w:tcPr>
          <w:p w14:paraId="26442BC9">
            <w:pPr>
              <w:pStyle w:val="191"/>
              <w:spacing w:line="240" w:lineRule="auto"/>
              <w:ind w:firstLine="0"/>
              <w:jc w:val="center"/>
              <w:rPr>
                <w:rFonts w:ascii="Times New Roman" w:hAnsi="Times New Roman" w:eastAsia="宋体" w:cs="Times New Roman"/>
                <w:color w:val="000000"/>
                <w:sz w:val="21"/>
                <w:szCs w:val="21"/>
              </w:rPr>
            </w:pPr>
            <w:r>
              <w:rPr>
                <w:rFonts w:ascii="Times New Roman" w:hAnsi="Times New Roman" w:eastAsia="宋体" w:cs="Times New Roman"/>
                <w:color w:val="000000"/>
                <w:sz w:val="21"/>
                <w:szCs w:val="21"/>
              </w:rPr>
              <w:t>950</w:t>
            </w:r>
          </w:p>
        </w:tc>
        <w:tc>
          <w:tcPr>
            <w:tcW w:w="986" w:type="dxa"/>
            <w:tcBorders>
              <w:top w:val="single" w:color="000000" w:sz="4" w:space="0"/>
              <w:left w:val="single" w:color="000000" w:sz="4" w:space="0"/>
              <w:bottom w:val="single" w:color="000000" w:sz="4" w:space="0"/>
              <w:right w:val="single" w:color="000000" w:sz="4" w:space="0"/>
            </w:tcBorders>
            <w:noWrap w:val="0"/>
            <w:vAlign w:val="center"/>
          </w:tcPr>
          <w:p w14:paraId="4D7F9C1A">
            <w:pPr>
              <w:pStyle w:val="191"/>
              <w:spacing w:line="240" w:lineRule="auto"/>
              <w:ind w:firstLine="0"/>
              <w:jc w:val="center"/>
              <w:rPr>
                <w:rFonts w:ascii="Times New Roman" w:hAnsi="Times New Roman" w:eastAsia="宋体" w:cs="Times New Roman"/>
                <w:color w:val="000000"/>
                <w:sz w:val="21"/>
                <w:szCs w:val="21"/>
              </w:rPr>
            </w:pPr>
            <w:r>
              <w:rPr>
                <w:rFonts w:ascii="Times New Roman" w:hAnsi="Times New Roman" w:eastAsia="宋体" w:cs="Times New Roman"/>
                <w:color w:val="000000"/>
                <w:sz w:val="21"/>
                <w:szCs w:val="21"/>
              </w:rPr>
              <w:t>1050</w:t>
            </w:r>
          </w:p>
        </w:tc>
      </w:tr>
      <w:tr w14:paraId="73AAA1DE">
        <w:tblPrEx>
          <w:tblCellMar>
            <w:top w:w="0" w:type="dxa"/>
            <w:left w:w="108" w:type="dxa"/>
            <w:bottom w:w="0" w:type="dxa"/>
            <w:right w:w="108" w:type="dxa"/>
          </w:tblCellMar>
        </w:tblPrEx>
        <w:trPr>
          <w:trHeight w:val="391" w:hRule="atLeast"/>
        </w:trPr>
        <w:tc>
          <w:tcPr>
            <w:tcW w:w="2050" w:type="dxa"/>
            <w:tcBorders>
              <w:top w:val="single" w:color="000000" w:sz="4" w:space="0"/>
              <w:left w:val="single" w:color="000000" w:sz="4" w:space="0"/>
              <w:bottom w:val="single" w:color="000000" w:sz="4" w:space="0"/>
              <w:right w:val="single" w:color="000000" w:sz="4" w:space="0"/>
            </w:tcBorders>
            <w:noWrap w:val="0"/>
            <w:vAlign w:val="center"/>
          </w:tcPr>
          <w:p w14:paraId="6CA859B5">
            <w:pPr>
              <w:pStyle w:val="191"/>
              <w:spacing w:line="240" w:lineRule="auto"/>
              <w:ind w:firstLine="0"/>
              <w:jc w:val="center"/>
              <w:rPr>
                <w:rFonts w:ascii="Times New Roman" w:hAnsi="Times New Roman" w:eastAsia="宋体" w:cs="Times New Roman"/>
                <w:color w:val="000000"/>
                <w:sz w:val="21"/>
                <w:szCs w:val="21"/>
              </w:rPr>
            </w:pPr>
            <w:r>
              <w:rPr>
                <w:rFonts w:ascii="Times New Roman" w:hAnsi="Times New Roman" w:eastAsia="宋体" w:cs="Times New Roman"/>
                <w:color w:val="000000"/>
                <w:sz w:val="21"/>
                <w:szCs w:val="21"/>
              </w:rPr>
              <w:t>沉降速度（m/s）</w:t>
            </w:r>
          </w:p>
        </w:tc>
        <w:tc>
          <w:tcPr>
            <w:tcW w:w="986" w:type="dxa"/>
            <w:tcBorders>
              <w:top w:val="single" w:color="000000" w:sz="4" w:space="0"/>
              <w:left w:val="single" w:color="000000" w:sz="4" w:space="0"/>
              <w:bottom w:val="single" w:color="000000" w:sz="4" w:space="0"/>
              <w:right w:val="single" w:color="000000" w:sz="4" w:space="0"/>
            </w:tcBorders>
            <w:noWrap w:val="0"/>
            <w:vAlign w:val="center"/>
          </w:tcPr>
          <w:p w14:paraId="0286CDA5">
            <w:pPr>
              <w:pStyle w:val="191"/>
              <w:spacing w:line="240" w:lineRule="auto"/>
              <w:ind w:firstLine="0"/>
              <w:jc w:val="center"/>
              <w:rPr>
                <w:rFonts w:ascii="Times New Roman" w:hAnsi="Times New Roman" w:eastAsia="宋体" w:cs="Times New Roman"/>
                <w:color w:val="000000"/>
                <w:sz w:val="21"/>
                <w:szCs w:val="21"/>
              </w:rPr>
            </w:pPr>
            <w:r>
              <w:rPr>
                <w:rFonts w:ascii="Times New Roman" w:hAnsi="Times New Roman" w:eastAsia="宋体" w:cs="Times New Roman"/>
                <w:color w:val="000000"/>
                <w:sz w:val="21"/>
                <w:szCs w:val="21"/>
              </w:rPr>
              <w:t>2.211</w:t>
            </w:r>
          </w:p>
        </w:tc>
        <w:tc>
          <w:tcPr>
            <w:tcW w:w="984" w:type="dxa"/>
            <w:tcBorders>
              <w:top w:val="single" w:color="000000" w:sz="4" w:space="0"/>
              <w:left w:val="single" w:color="000000" w:sz="4" w:space="0"/>
              <w:bottom w:val="single" w:color="000000" w:sz="4" w:space="0"/>
              <w:right w:val="single" w:color="000000" w:sz="4" w:space="0"/>
            </w:tcBorders>
            <w:noWrap w:val="0"/>
            <w:vAlign w:val="center"/>
          </w:tcPr>
          <w:p w14:paraId="140D505B">
            <w:pPr>
              <w:pStyle w:val="191"/>
              <w:spacing w:line="240" w:lineRule="auto"/>
              <w:ind w:firstLine="0"/>
              <w:jc w:val="center"/>
              <w:rPr>
                <w:rFonts w:ascii="Times New Roman" w:hAnsi="Times New Roman" w:eastAsia="宋体" w:cs="Times New Roman"/>
                <w:color w:val="000000"/>
                <w:sz w:val="21"/>
                <w:szCs w:val="21"/>
              </w:rPr>
            </w:pPr>
            <w:r>
              <w:rPr>
                <w:rFonts w:ascii="Times New Roman" w:hAnsi="Times New Roman" w:eastAsia="宋体" w:cs="Times New Roman"/>
                <w:color w:val="000000"/>
                <w:sz w:val="21"/>
                <w:szCs w:val="21"/>
              </w:rPr>
              <w:t>2.614</w:t>
            </w:r>
          </w:p>
        </w:tc>
        <w:tc>
          <w:tcPr>
            <w:tcW w:w="984" w:type="dxa"/>
            <w:tcBorders>
              <w:top w:val="single" w:color="000000" w:sz="4" w:space="0"/>
              <w:left w:val="single" w:color="000000" w:sz="4" w:space="0"/>
              <w:bottom w:val="single" w:color="000000" w:sz="4" w:space="0"/>
              <w:right w:val="single" w:color="000000" w:sz="4" w:space="0"/>
            </w:tcBorders>
            <w:noWrap w:val="0"/>
            <w:vAlign w:val="center"/>
          </w:tcPr>
          <w:p w14:paraId="5D1A1320">
            <w:pPr>
              <w:pStyle w:val="191"/>
              <w:spacing w:line="240" w:lineRule="auto"/>
              <w:ind w:firstLine="0"/>
              <w:jc w:val="center"/>
              <w:rPr>
                <w:rFonts w:ascii="Times New Roman" w:hAnsi="Times New Roman" w:eastAsia="宋体" w:cs="Times New Roman"/>
                <w:color w:val="000000"/>
                <w:sz w:val="21"/>
                <w:szCs w:val="21"/>
              </w:rPr>
            </w:pPr>
            <w:r>
              <w:rPr>
                <w:rFonts w:ascii="Times New Roman" w:hAnsi="Times New Roman" w:eastAsia="宋体" w:cs="Times New Roman"/>
                <w:color w:val="000000"/>
                <w:sz w:val="21"/>
                <w:szCs w:val="21"/>
              </w:rPr>
              <w:t>3.016</w:t>
            </w:r>
          </w:p>
        </w:tc>
        <w:tc>
          <w:tcPr>
            <w:tcW w:w="986" w:type="dxa"/>
            <w:tcBorders>
              <w:top w:val="single" w:color="000000" w:sz="4" w:space="0"/>
              <w:left w:val="single" w:color="000000" w:sz="4" w:space="0"/>
              <w:bottom w:val="single" w:color="000000" w:sz="4" w:space="0"/>
              <w:right w:val="single" w:color="000000" w:sz="4" w:space="0"/>
            </w:tcBorders>
            <w:noWrap w:val="0"/>
            <w:vAlign w:val="center"/>
          </w:tcPr>
          <w:p w14:paraId="45AC6099">
            <w:pPr>
              <w:pStyle w:val="191"/>
              <w:spacing w:line="240" w:lineRule="auto"/>
              <w:ind w:firstLine="0"/>
              <w:jc w:val="center"/>
              <w:rPr>
                <w:rFonts w:ascii="Times New Roman" w:hAnsi="Times New Roman" w:eastAsia="宋体" w:cs="Times New Roman"/>
                <w:color w:val="000000"/>
                <w:sz w:val="21"/>
                <w:szCs w:val="21"/>
              </w:rPr>
            </w:pPr>
            <w:r>
              <w:rPr>
                <w:rFonts w:ascii="Times New Roman" w:hAnsi="Times New Roman" w:eastAsia="宋体" w:cs="Times New Roman"/>
                <w:color w:val="000000"/>
                <w:sz w:val="21"/>
                <w:szCs w:val="21"/>
              </w:rPr>
              <w:t>3.418</w:t>
            </w:r>
          </w:p>
        </w:tc>
        <w:tc>
          <w:tcPr>
            <w:tcW w:w="984" w:type="dxa"/>
            <w:tcBorders>
              <w:top w:val="single" w:color="000000" w:sz="4" w:space="0"/>
              <w:left w:val="single" w:color="000000" w:sz="4" w:space="0"/>
              <w:bottom w:val="single" w:color="000000" w:sz="4" w:space="0"/>
              <w:right w:val="single" w:color="000000" w:sz="4" w:space="0"/>
            </w:tcBorders>
            <w:noWrap w:val="0"/>
            <w:vAlign w:val="center"/>
          </w:tcPr>
          <w:p w14:paraId="6E30FB6A">
            <w:pPr>
              <w:pStyle w:val="191"/>
              <w:spacing w:line="240" w:lineRule="auto"/>
              <w:ind w:firstLine="0"/>
              <w:jc w:val="center"/>
              <w:rPr>
                <w:rFonts w:ascii="Times New Roman" w:hAnsi="Times New Roman" w:eastAsia="宋体" w:cs="Times New Roman"/>
                <w:color w:val="000000"/>
                <w:sz w:val="21"/>
                <w:szCs w:val="21"/>
              </w:rPr>
            </w:pPr>
            <w:r>
              <w:rPr>
                <w:rFonts w:ascii="Times New Roman" w:hAnsi="Times New Roman" w:eastAsia="宋体" w:cs="Times New Roman"/>
                <w:color w:val="000000"/>
                <w:sz w:val="21"/>
                <w:szCs w:val="21"/>
              </w:rPr>
              <w:t>3.820</w:t>
            </w:r>
          </w:p>
        </w:tc>
        <w:tc>
          <w:tcPr>
            <w:tcW w:w="986" w:type="dxa"/>
            <w:tcBorders>
              <w:top w:val="single" w:color="000000" w:sz="4" w:space="0"/>
              <w:left w:val="single" w:color="000000" w:sz="4" w:space="0"/>
              <w:bottom w:val="single" w:color="000000" w:sz="4" w:space="0"/>
              <w:right w:val="single" w:color="000000" w:sz="4" w:space="0"/>
            </w:tcBorders>
            <w:noWrap w:val="0"/>
            <w:vAlign w:val="center"/>
          </w:tcPr>
          <w:p w14:paraId="4CA49C1F">
            <w:pPr>
              <w:pStyle w:val="191"/>
              <w:spacing w:line="240" w:lineRule="auto"/>
              <w:ind w:firstLine="0"/>
              <w:jc w:val="center"/>
              <w:rPr>
                <w:rFonts w:ascii="Times New Roman" w:hAnsi="Times New Roman" w:eastAsia="宋体" w:cs="Times New Roman"/>
                <w:color w:val="000000"/>
                <w:sz w:val="21"/>
                <w:szCs w:val="21"/>
              </w:rPr>
            </w:pPr>
            <w:r>
              <w:rPr>
                <w:rFonts w:ascii="Times New Roman" w:hAnsi="Times New Roman" w:eastAsia="宋体" w:cs="Times New Roman"/>
                <w:color w:val="000000"/>
                <w:sz w:val="21"/>
                <w:szCs w:val="21"/>
              </w:rPr>
              <w:t>4.222</w:t>
            </w:r>
          </w:p>
        </w:tc>
        <w:tc>
          <w:tcPr>
            <w:tcW w:w="986" w:type="dxa"/>
            <w:tcBorders>
              <w:top w:val="single" w:color="000000" w:sz="4" w:space="0"/>
              <w:left w:val="single" w:color="000000" w:sz="4" w:space="0"/>
              <w:bottom w:val="single" w:color="000000" w:sz="4" w:space="0"/>
              <w:right w:val="single" w:color="000000" w:sz="4" w:space="0"/>
            </w:tcBorders>
            <w:noWrap w:val="0"/>
            <w:vAlign w:val="center"/>
          </w:tcPr>
          <w:p w14:paraId="335CB26B">
            <w:pPr>
              <w:pStyle w:val="191"/>
              <w:spacing w:line="240" w:lineRule="auto"/>
              <w:ind w:firstLine="0"/>
              <w:jc w:val="center"/>
              <w:rPr>
                <w:rFonts w:ascii="Times New Roman" w:hAnsi="Times New Roman" w:eastAsia="宋体" w:cs="Times New Roman"/>
                <w:color w:val="000000"/>
                <w:sz w:val="21"/>
                <w:szCs w:val="21"/>
              </w:rPr>
            </w:pPr>
            <w:r>
              <w:rPr>
                <w:rFonts w:ascii="Times New Roman" w:hAnsi="Times New Roman" w:eastAsia="宋体" w:cs="Times New Roman"/>
                <w:color w:val="000000"/>
                <w:sz w:val="21"/>
                <w:szCs w:val="21"/>
              </w:rPr>
              <w:t>4.624</w:t>
            </w:r>
          </w:p>
        </w:tc>
      </w:tr>
    </w:tbl>
    <w:p w14:paraId="1F33D914">
      <w:pPr>
        <w:pStyle w:val="197"/>
        <w:spacing w:after="0" w:line="360" w:lineRule="auto"/>
        <w:ind w:left="0" w:firstLine="480"/>
        <w:rPr>
          <w:color w:val="000000"/>
          <w:sz w:val="24"/>
        </w:rPr>
      </w:pPr>
      <w:r>
        <w:rPr>
          <w:color w:val="000000"/>
          <w:sz w:val="24"/>
        </w:rPr>
        <w:t>2） 车辆行驶的动力起尘</w:t>
      </w:r>
    </w:p>
    <w:p w14:paraId="074CA4ED">
      <w:pPr>
        <w:spacing w:line="360" w:lineRule="auto"/>
        <w:ind w:firstLine="480"/>
        <w:rPr>
          <w:color w:val="000000"/>
          <w:sz w:val="24"/>
        </w:rPr>
      </w:pPr>
      <w:r>
        <w:rPr>
          <w:color w:val="000000"/>
          <w:sz w:val="24"/>
        </w:rPr>
        <w:t>据有关文献，车辆行驶产生的扬尘占总扬尘的60％以上，车辆行驶产生的扬尘，在完全干燥情况下，可按下列经验公式计算：</w:t>
      </w:r>
    </w:p>
    <w:p w14:paraId="4571AFB8">
      <w:pPr>
        <w:pStyle w:val="197"/>
        <w:spacing w:after="0" w:line="360" w:lineRule="auto"/>
        <w:ind w:left="0" w:firstLine="1200"/>
        <w:rPr>
          <w:color w:val="000000"/>
          <w:sz w:val="24"/>
        </w:rPr>
      </w:pPr>
      <w:r>
        <w:rPr>
          <w:color w:val="000000"/>
          <w:sz w:val="24"/>
        </w:rPr>
        <w:t>Q＝0.123(V/5)(W/6.8)</w:t>
      </w:r>
      <w:r>
        <w:rPr>
          <w:color w:val="000000"/>
          <w:sz w:val="24"/>
          <w:vertAlign w:val="superscript"/>
        </w:rPr>
        <w:t>0.85</w:t>
      </w:r>
      <w:r>
        <w:rPr>
          <w:color w:val="000000"/>
          <w:sz w:val="24"/>
        </w:rPr>
        <w:t>(P/0.5)</w:t>
      </w:r>
      <w:r>
        <w:rPr>
          <w:color w:val="000000"/>
          <w:sz w:val="24"/>
          <w:vertAlign w:val="superscript"/>
        </w:rPr>
        <w:t>0.75</w:t>
      </w:r>
    </w:p>
    <w:p w14:paraId="161C956B">
      <w:pPr>
        <w:pStyle w:val="197"/>
        <w:spacing w:after="0" w:line="360" w:lineRule="auto"/>
        <w:ind w:left="0" w:firstLine="480"/>
        <w:rPr>
          <w:color w:val="000000"/>
          <w:sz w:val="24"/>
        </w:rPr>
      </w:pPr>
      <w:r>
        <w:rPr>
          <w:color w:val="000000"/>
          <w:sz w:val="24"/>
        </w:rPr>
        <w:t>式中：Q一汽车行驶时的扬尘，kg/Km•辆；</w:t>
      </w:r>
    </w:p>
    <w:p w14:paraId="4F6CD9DE">
      <w:pPr>
        <w:pStyle w:val="197"/>
        <w:spacing w:after="0" w:line="360" w:lineRule="auto"/>
        <w:ind w:left="0" w:firstLine="1200"/>
        <w:rPr>
          <w:color w:val="000000"/>
          <w:sz w:val="24"/>
        </w:rPr>
      </w:pPr>
      <w:r>
        <w:rPr>
          <w:color w:val="000000"/>
          <w:sz w:val="24"/>
        </w:rPr>
        <w:t>V一汽车速度，km/h；</w:t>
      </w:r>
    </w:p>
    <w:p w14:paraId="59268125">
      <w:pPr>
        <w:pStyle w:val="197"/>
        <w:spacing w:after="0" w:line="360" w:lineRule="auto"/>
        <w:ind w:left="0" w:firstLine="1200"/>
        <w:rPr>
          <w:color w:val="000000"/>
          <w:sz w:val="24"/>
        </w:rPr>
      </w:pPr>
      <w:r>
        <w:rPr>
          <w:color w:val="000000"/>
          <w:sz w:val="24"/>
        </w:rPr>
        <w:t>W一汽车载重量，吨；</w:t>
      </w:r>
    </w:p>
    <w:p w14:paraId="56F8A027">
      <w:pPr>
        <w:pStyle w:val="197"/>
        <w:spacing w:after="0" w:line="360" w:lineRule="auto"/>
        <w:ind w:left="0" w:firstLine="1200"/>
        <w:rPr>
          <w:color w:val="000000"/>
          <w:sz w:val="24"/>
        </w:rPr>
      </w:pPr>
      <w:r>
        <w:rPr>
          <w:color w:val="000000"/>
          <w:sz w:val="24"/>
        </w:rPr>
        <w:t>P一道路表面粉尘量，kg/m</w:t>
      </w:r>
      <w:r>
        <w:rPr>
          <w:color w:val="000000"/>
          <w:sz w:val="24"/>
          <w:vertAlign w:val="superscript"/>
        </w:rPr>
        <w:t>2</w:t>
      </w:r>
      <w:r>
        <w:rPr>
          <w:color w:val="000000"/>
          <w:sz w:val="24"/>
        </w:rPr>
        <w:t>。</w:t>
      </w:r>
    </w:p>
    <w:p w14:paraId="15327A72">
      <w:pPr>
        <w:pStyle w:val="197"/>
        <w:spacing w:after="0" w:line="360" w:lineRule="auto"/>
        <w:ind w:left="0" w:firstLine="480"/>
        <w:rPr>
          <w:color w:val="000000"/>
          <w:sz w:val="24"/>
        </w:rPr>
      </w:pPr>
      <w:r>
        <w:rPr>
          <w:color w:val="000000"/>
          <w:sz w:val="24"/>
        </w:rPr>
        <w:t>表3.6-3中为一辆10t卡车，通过一段长度为1km的路面时，不同路面清洁程度、不同行驶速度情况下的扬尘量。由此可见，在同样路面清洁程度条件下，车速越快，扬尘量越大；而在同样车速情况下，路面越脏，扬尘量越大。因此限速行驶及保持路面的清洁是减少汽车扬尘的有效办法。</w:t>
      </w:r>
    </w:p>
    <w:p w14:paraId="49235912">
      <w:pPr>
        <w:pStyle w:val="197"/>
        <w:spacing w:after="0"/>
        <w:ind w:left="0"/>
        <w:jc w:val="center"/>
        <w:rPr>
          <w:b/>
          <w:color w:val="000000"/>
          <w:sz w:val="24"/>
        </w:rPr>
      </w:pPr>
      <w:r>
        <w:rPr>
          <w:b/>
          <w:color w:val="000000"/>
          <w:sz w:val="24"/>
        </w:rPr>
        <w:t xml:space="preserve">表3.6-3　在不同车速和地面清洁程度的汽车扬尘    </w:t>
      </w:r>
    </w:p>
    <w:p w14:paraId="2B46C613">
      <w:pPr>
        <w:pStyle w:val="197"/>
        <w:spacing w:after="0"/>
        <w:ind w:left="0"/>
        <w:jc w:val="center"/>
        <w:rPr>
          <w:b/>
          <w:color w:val="000000"/>
          <w:szCs w:val="21"/>
        </w:rPr>
      </w:pPr>
      <w:r>
        <w:rPr>
          <w:bCs/>
          <w:color w:val="000000"/>
          <w:szCs w:val="21"/>
        </w:rPr>
        <w:t xml:space="preserve">                                                             </w:t>
      </w:r>
      <w:r>
        <w:rPr>
          <w:b/>
          <w:bCs/>
          <w:color w:val="000000"/>
          <w:szCs w:val="21"/>
        </w:rPr>
        <w:t xml:space="preserve">  单位：kg/辆.km</w:t>
      </w:r>
    </w:p>
    <w:tbl>
      <w:tblPr>
        <w:tblStyle w:val="27"/>
        <w:tblW w:w="0" w:type="auto"/>
        <w:tblInd w:w="-108" w:type="dxa"/>
        <w:tblLayout w:type="fixed"/>
        <w:tblCellMar>
          <w:top w:w="0" w:type="dxa"/>
          <w:left w:w="108" w:type="dxa"/>
          <w:bottom w:w="0" w:type="dxa"/>
          <w:right w:w="108" w:type="dxa"/>
        </w:tblCellMar>
      </w:tblPr>
      <w:tblGrid>
        <w:gridCol w:w="2154"/>
        <w:gridCol w:w="1199"/>
        <w:gridCol w:w="995"/>
        <w:gridCol w:w="1140"/>
        <w:gridCol w:w="1192"/>
        <w:gridCol w:w="1192"/>
        <w:gridCol w:w="1074"/>
      </w:tblGrid>
      <w:tr w14:paraId="6CF0C739">
        <w:tblPrEx>
          <w:tblCellMar>
            <w:top w:w="0" w:type="dxa"/>
            <w:left w:w="108" w:type="dxa"/>
            <w:bottom w:w="0" w:type="dxa"/>
            <w:right w:w="108" w:type="dxa"/>
          </w:tblCellMar>
        </w:tblPrEx>
        <w:trPr>
          <w:trHeight w:val="617" w:hRule="atLeast"/>
        </w:trPr>
        <w:tc>
          <w:tcPr>
            <w:tcW w:w="2154" w:type="dxa"/>
            <w:tcBorders>
              <w:top w:val="single" w:color="000000" w:sz="4" w:space="0"/>
              <w:left w:val="single" w:color="000000" w:sz="4" w:space="0"/>
              <w:bottom w:val="single" w:color="000000" w:sz="4" w:space="0"/>
              <w:right w:val="single" w:color="000000" w:sz="4" w:space="0"/>
            </w:tcBorders>
            <w:noWrap w:val="0"/>
            <w:vAlign w:val="center"/>
          </w:tcPr>
          <w:p w14:paraId="099259DD">
            <w:pPr>
              <w:pStyle w:val="191"/>
              <w:spacing w:line="240" w:lineRule="auto"/>
              <w:ind w:firstLine="0"/>
              <w:jc w:val="center"/>
              <w:rPr>
                <w:rFonts w:ascii="Times New Roman" w:hAnsi="Times New Roman" w:eastAsia="宋体" w:cs="Times New Roman"/>
                <w:b/>
                <w:color w:val="000000"/>
                <w:sz w:val="21"/>
                <w:szCs w:val="21"/>
              </w:rPr>
            </w:pPr>
            <w:r>
              <w:rPr>
                <w:rFonts w:ascii="Times New Roman" w:hAnsi="Times New Roman" w:eastAsia="宋体" w:cs="Times New Roman"/>
                <w:b/>
                <w:color w:val="000000"/>
                <w:sz w:val="21"/>
                <w:szCs w:val="21"/>
              </w:rPr>
              <mc:AlternateContent>
                <mc:Choice Requires="wps">
                  <w:drawing>
                    <wp:anchor distT="0" distB="0" distL="114300" distR="114300" simplePos="0" relativeHeight="251660288" behindDoc="0" locked="0" layoutInCell="1" allowOverlap="1">
                      <wp:simplePos x="0" y="0"/>
                      <wp:positionH relativeFrom="column">
                        <wp:posOffset>-71755</wp:posOffset>
                      </wp:positionH>
                      <wp:positionV relativeFrom="paragraph">
                        <wp:posOffset>10160</wp:posOffset>
                      </wp:positionV>
                      <wp:extent cx="1371600" cy="361950"/>
                      <wp:effectExtent l="0" t="0" r="0" b="0"/>
                      <wp:wrapNone/>
                      <wp:docPr id="45" name="_x0000_s1070"/>
                      <wp:cNvGraphicFramePr/>
                      <a:graphic xmlns:a="http://schemas.openxmlformats.org/drawingml/2006/main">
                        <a:graphicData uri="http://schemas.microsoft.com/office/word/2010/wordprocessingShape">
                          <wps:wsp>
                            <wps:cNvCnPr/>
                            <wps:spPr bwMode="auto">
                              <a:xfrm>
                                <a:off x="0" y="0"/>
                                <a:ext cx="1371600" cy="361950"/>
                              </a:xfrm>
                              <a:prstGeom prst="line">
                                <a:avLst/>
                              </a:prstGeom>
                              <a:solidFill>
                                <a:srgbClr val="FFFFFF"/>
                              </a:solidFill>
                              <a:ln>
                                <a:solidFill>
                                  <a:srgbClr val="000000"/>
                                </a:solidFill>
                              </a:ln>
                            </wps:spPr>
                            <wps:bodyPr rot="0">
                              <a:noAutofit/>
                            </wps:bodyPr>
                          </wps:wsp>
                        </a:graphicData>
                      </a:graphic>
                    </wp:anchor>
                  </w:drawing>
                </mc:Choice>
                <mc:Fallback>
                  <w:pict>
                    <v:line id="_x0000_s1070" o:spid="_x0000_s1026" o:spt="20" style="position:absolute;left:0pt;margin-left:-5.65pt;margin-top:0.8pt;height:28.5pt;width:108pt;z-index:251660288;mso-width-relative:page;mso-height-relative:page;" fillcolor="#FFFFFF" filled="t" stroked="t" coordsize="21600,21600" o:gfxdata="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AFdtnrXAAAACAEAAA8AAAAAAAAAAQAgAAAAIgAAAGRycy9kb3ducmV2&#10;LnhtbFBLAQIUABQAAAAIAIdO4kCAviqExAEAALEDAAAOAAAAAAAAAAEAIAAAACYBAABkcnMvZTJv&#10;RG9jLnhtbFBLBQYAAAAABgAGAFkBAABcBQAAAAA=&#10;">
                      <v:fill on="t" focussize="0,0"/>
                      <v:stroke color="#000000" joinstyle="round"/>
                      <v:imagedata o:title=""/>
                      <o:lock v:ext="edit" aspectratio="f"/>
                    </v:line>
                  </w:pict>
                </mc:Fallback>
              </mc:AlternateContent>
            </w:r>
            <w:r>
              <w:rPr>
                <w:rFonts w:hint="eastAsia" w:ascii="Times New Roman" w:hAnsi="Times New Roman" w:eastAsia="宋体" w:cs="Times New Roman"/>
                <w:b/>
                <w:color w:val="000000"/>
                <w:sz w:val="21"/>
                <w:szCs w:val="21"/>
              </w:rPr>
              <w:t xml:space="preserve">  </w:t>
            </w:r>
            <w:r>
              <w:rPr>
                <w:rFonts w:ascii="Times New Roman" w:hAnsi="Times New Roman" w:eastAsia="宋体" w:cs="Times New Roman"/>
                <w:b/>
                <w:color w:val="000000"/>
                <w:sz w:val="21"/>
                <w:szCs w:val="21"/>
              </w:rPr>
              <w:t xml:space="preserve">   </w:t>
            </w:r>
            <w:r>
              <w:rPr>
                <w:rFonts w:hint="eastAsia" w:ascii="Times New Roman" w:hAnsi="Times New Roman" w:eastAsia="宋体" w:cs="Times New Roman"/>
                <w:b/>
                <w:color w:val="000000"/>
                <w:sz w:val="21"/>
                <w:szCs w:val="21"/>
              </w:rPr>
              <w:t xml:space="preserve">         </w:t>
            </w:r>
            <w:r>
              <w:rPr>
                <w:rFonts w:ascii="Times New Roman" w:hAnsi="Times New Roman" w:eastAsia="宋体" w:cs="Times New Roman"/>
                <w:b/>
                <w:color w:val="000000"/>
                <w:sz w:val="21"/>
                <w:szCs w:val="21"/>
              </w:rPr>
              <w:t xml:space="preserve">P          </w:t>
            </w:r>
          </w:p>
          <w:p w14:paraId="7295F38C">
            <w:pPr>
              <w:pStyle w:val="191"/>
              <w:spacing w:line="240" w:lineRule="auto"/>
              <w:ind w:firstLine="0"/>
              <w:rPr>
                <w:rFonts w:ascii="Times New Roman" w:hAnsi="Times New Roman" w:eastAsia="宋体" w:cs="Times New Roman"/>
                <w:b/>
                <w:color w:val="000000"/>
                <w:sz w:val="21"/>
                <w:szCs w:val="21"/>
              </w:rPr>
            </w:pPr>
            <w:r>
              <w:rPr>
                <w:rFonts w:ascii="Times New Roman" w:hAnsi="Times New Roman" w:eastAsia="宋体" w:cs="Times New Roman"/>
                <w:b/>
                <w:color w:val="000000"/>
                <w:sz w:val="21"/>
                <w:szCs w:val="21"/>
              </w:rPr>
              <w:t>车 速</w:t>
            </w:r>
          </w:p>
        </w:tc>
        <w:tc>
          <w:tcPr>
            <w:tcW w:w="1199" w:type="dxa"/>
            <w:tcBorders>
              <w:top w:val="single" w:color="000000" w:sz="4" w:space="0"/>
              <w:left w:val="single" w:color="000000" w:sz="4" w:space="0"/>
              <w:bottom w:val="single" w:color="000000" w:sz="4" w:space="0"/>
              <w:right w:val="single" w:color="000000" w:sz="4" w:space="0"/>
            </w:tcBorders>
            <w:noWrap w:val="0"/>
            <w:vAlign w:val="center"/>
          </w:tcPr>
          <w:p w14:paraId="744CE17C">
            <w:pPr>
              <w:pStyle w:val="191"/>
              <w:spacing w:line="240" w:lineRule="auto"/>
              <w:ind w:firstLine="0"/>
              <w:jc w:val="center"/>
              <w:rPr>
                <w:rFonts w:ascii="Times New Roman" w:hAnsi="Times New Roman" w:eastAsia="宋体" w:cs="Times New Roman"/>
                <w:b/>
                <w:color w:val="000000"/>
                <w:sz w:val="21"/>
                <w:szCs w:val="21"/>
              </w:rPr>
            </w:pPr>
            <w:r>
              <w:rPr>
                <w:rFonts w:ascii="Times New Roman" w:hAnsi="Times New Roman" w:eastAsia="宋体" w:cs="Times New Roman"/>
                <w:b/>
                <w:color w:val="000000"/>
                <w:sz w:val="21"/>
                <w:szCs w:val="21"/>
              </w:rPr>
              <w:t>0.1</w:t>
            </w:r>
          </w:p>
        </w:tc>
        <w:tc>
          <w:tcPr>
            <w:tcW w:w="995" w:type="dxa"/>
            <w:tcBorders>
              <w:top w:val="single" w:color="000000" w:sz="4" w:space="0"/>
              <w:left w:val="single" w:color="000000" w:sz="4" w:space="0"/>
              <w:bottom w:val="single" w:color="000000" w:sz="4" w:space="0"/>
              <w:right w:val="single" w:color="000000" w:sz="4" w:space="0"/>
            </w:tcBorders>
            <w:noWrap w:val="0"/>
            <w:vAlign w:val="center"/>
          </w:tcPr>
          <w:p w14:paraId="5A6E636B">
            <w:pPr>
              <w:pStyle w:val="191"/>
              <w:spacing w:line="240" w:lineRule="auto"/>
              <w:ind w:firstLine="0"/>
              <w:jc w:val="center"/>
              <w:rPr>
                <w:rFonts w:ascii="Times New Roman" w:hAnsi="Times New Roman" w:eastAsia="宋体" w:cs="Times New Roman"/>
                <w:b/>
                <w:color w:val="000000"/>
                <w:sz w:val="21"/>
                <w:szCs w:val="21"/>
              </w:rPr>
            </w:pPr>
            <w:r>
              <w:rPr>
                <w:rFonts w:ascii="Times New Roman" w:hAnsi="Times New Roman" w:eastAsia="宋体" w:cs="Times New Roman"/>
                <w:b/>
                <w:color w:val="000000"/>
                <w:sz w:val="21"/>
                <w:szCs w:val="21"/>
              </w:rPr>
              <w:t>0.2</w:t>
            </w:r>
          </w:p>
        </w:tc>
        <w:tc>
          <w:tcPr>
            <w:tcW w:w="1140" w:type="dxa"/>
            <w:tcBorders>
              <w:top w:val="single" w:color="000000" w:sz="4" w:space="0"/>
              <w:left w:val="single" w:color="000000" w:sz="4" w:space="0"/>
              <w:bottom w:val="single" w:color="000000" w:sz="4" w:space="0"/>
              <w:right w:val="single" w:color="000000" w:sz="4" w:space="0"/>
            </w:tcBorders>
            <w:noWrap w:val="0"/>
            <w:vAlign w:val="center"/>
          </w:tcPr>
          <w:p w14:paraId="54BC99D3">
            <w:pPr>
              <w:pStyle w:val="191"/>
              <w:spacing w:line="240" w:lineRule="auto"/>
              <w:ind w:firstLine="0"/>
              <w:jc w:val="center"/>
              <w:rPr>
                <w:rFonts w:ascii="Times New Roman" w:hAnsi="Times New Roman" w:eastAsia="宋体" w:cs="Times New Roman"/>
                <w:b/>
                <w:color w:val="000000"/>
                <w:sz w:val="21"/>
                <w:szCs w:val="21"/>
              </w:rPr>
            </w:pPr>
            <w:r>
              <w:rPr>
                <w:rFonts w:ascii="Times New Roman" w:hAnsi="Times New Roman" w:eastAsia="宋体" w:cs="Times New Roman"/>
                <w:b/>
                <w:color w:val="000000"/>
                <w:sz w:val="21"/>
                <w:szCs w:val="21"/>
              </w:rPr>
              <w:t>0.3</w:t>
            </w:r>
          </w:p>
        </w:tc>
        <w:tc>
          <w:tcPr>
            <w:tcW w:w="1192" w:type="dxa"/>
            <w:tcBorders>
              <w:top w:val="single" w:color="000000" w:sz="4" w:space="0"/>
              <w:left w:val="single" w:color="000000" w:sz="4" w:space="0"/>
              <w:bottom w:val="single" w:color="000000" w:sz="4" w:space="0"/>
              <w:right w:val="single" w:color="000000" w:sz="4" w:space="0"/>
            </w:tcBorders>
            <w:noWrap w:val="0"/>
            <w:vAlign w:val="center"/>
          </w:tcPr>
          <w:p w14:paraId="2E560DAF">
            <w:pPr>
              <w:pStyle w:val="191"/>
              <w:spacing w:line="240" w:lineRule="auto"/>
              <w:ind w:firstLine="0"/>
              <w:jc w:val="center"/>
              <w:rPr>
                <w:rFonts w:ascii="Times New Roman" w:hAnsi="Times New Roman" w:eastAsia="宋体" w:cs="Times New Roman"/>
                <w:b/>
                <w:color w:val="000000"/>
                <w:sz w:val="21"/>
                <w:szCs w:val="21"/>
              </w:rPr>
            </w:pPr>
            <w:r>
              <w:rPr>
                <w:rFonts w:ascii="Times New Roman" w:hAnsi="Times New Roman" w:eastAsia="宋体" w:cs="Times New Roman"/>
                <w:b/>
                <w:color w:val="000000"/>
                <w:sz w:val="21"/>
                <w:szCs w:val="21"/>
              </w:rPr>
              <w:t>0.4</w:t>
            </w:r>
          </w:p>
        </w:tc>
        <w:tc>
          <w:tcPr>
            <w:tcW w:w="1192" w:type="dxa"/>
            <w:tcBorders>
              <w:top w:val="single" w:color="000000" w:sz="4" w:space="0"/>
              <w:left w:val="single" w:color="000000" w:sz="4" w:space="0"/>
              <w:bottom w:val="single" w:color="000000" w:sz="4" w:space="0"/>
              <w:right w:val="single" w:color="000000" w:sz="4" w:space="0"/>
            </w:tcBorders>
            <w:noWrap w:val="0"/>
            <w:vAlign w:val="center"/>
          </w:tcPr>
          <w:p w14:paraId="75691329">
            <w:pPr>
              <w:pStyle w:val="191"/>
              <w:spacing w:line="240" w:lineRule="auto"/>
              <w:ind w:firstLine="0"/>
              <w:jc w:val="center"/>
              <w:rPr>
                <w:rFonts w:ascii="Times New Roman" w:hAnsi="Times New Roman" w:eastAsia="宋体" w:cs="Times New Roman"/>
                <w:b/>
                <w:color w:val="000000"/>
                <w:sz w:val="21"/>
                <w:szCs w:val="21"/>
              </w:rPr>
            </w:pPr>
            <w:r>
              <w:rPr>
                <w:rFonts w:ascii="Times New Roman" w:hAnsi="Times New Roman" w:eastAsia="宋体" w:cs="Times New Roman"/>
                <w:b/>
                <w:color w:val="000000"/>
                <w:sz w:val="21"/>
                <w:szCs w:val="21"/>
              </w:rPr>
              <w:t>0.5</w:t>
            </w:r>
          </w:p>
        </w:tc>
        <w:tc>
          <w:tcPr>
            <w:tcW w:w="1074" w:type="dxa"/>
            <w:tcBorders>
              <w:top w:val="single" w:color="000000" w:sz="4" w:space="0"/>
              <w:left w:val="single" w:color="000000" w:sz="4" w:space="0"/>
              <w:bottom w:val="single" w:color="000000" w:sz="4" w:space="0"/>
              <w:right w:val="single" w:color="000000" w:sz="4" w:space="0"/>
            </w:tcBorders>
            <w:noWrap w:val="0"/>
            <w:vAlign w:val="center"/>
          </w:tcPr>
          <w:p w14:paraId="043B6D39">
            <w:pPr>
              <w:pStyle w:val="191"/>
              <w:spacing w:line="240" w:lineRule="auto"/>
              <w:ind w:firstLine="0"/>
              <w:jc w:val="center"/>
              <w:rPr>
                <w:rFonts w:ascii="Times New Roman" w:hAnsi="Times New Roman" w:eastAsia="宋体" w:cs="Times New Roman"/>
                <w:b/>
                <w:color w:val="000000"/>
                <w:sz w:val="21"/>
                <w:szCs w:val="21"/>
              </w:rPr>
            </w:pPr>
            <w:r>
              <w:rPr>
                <w:rFonts w:ascii="Times New Roman" w:hAnsi="Times New Roman" w:eastAsia="宋体" w:cs="Times New Roman"/>
                <w:b/>
                <w:color w:val="000000"/>
                <w:sz w:val="21"/>
                <w:szCs w:val="21"/>
              </w:rPr>
              <w:t>1</w:t>
            </w:r>
          </w:p>
        </w:tc>
      </w:tr>
      <w:tr w14:paraId="4CA64BF6">
        <w:tblPrEx>
          <w:tblCellMar>
            <w:top w:w="0" w:type="dxa"/>
            <w:left w:w="108" w:type="dxa"/>
            <w:bottom w:w="0" w:type="dxa"/>
            <w:right w:w="108" w:type="dxa"/>
          </w:tblCellMar>
        </w:tblPrEx>
        <w:trPr>
          <w:trHeight w:val="332" w:hRule="atLeast"/>
        </w:trPr>
        <w:tc>
          <w:tcPr>
            <w:tcW w:w="2154" w:type="dxa"/>
            <w:tcBorders>
              <w:top w:val="single" w:color="000000" w:sz="4" w:space="0"/>
              <w:left w:val="single" w:color="000000" w:sz="4" w:space="0"/>
              <w:bottom w:val="single" w:color="000000" w:sz="4" w:space="0"/>
              <w:right w:val="single" w:color="000000" w:sz="4" w:space="0"/>
            </w:tcBorders>
            <w:noWrap w:val="0"/>
            <w:vAlign w:val="center"/>
          </w:tcPr>
          <w:p w14:paraId="5142677A">
            <w:pPr>
              <w:pStyle w:val="191"/>
              <w:spacing w:line="240" w:lineRule="auto"/>
              <w:ind w:firstLine="0"/>
              <w:jc w:val="center"/>
              <w:rPr>
                <w:rFonts w:ascii="Times New Roman" w:hAnsi="Times New Roman" w:eastAsia="宋体" w:cs="Times New Roman"/>
                <w:color w:val="000000"/>
                <w:sz w:val="21"/>
                <w:szCs w:val="21"/>
              </w:rPr>
            </w:pPr>
            <w:r>
              <w:rPr>
                <w:rFonts w:ascii="Times New Roman" w:hAnsi="Times New Roman" w:eastAsia="宋体" w:cs="Times New Roman"/>
                <w:color w:val="000000"/>
                <w:sz w:val="21"/>
                <w:szCs w:val="21"/>
              </w:rPr>
              <w:t>5（km/h）</w:t>
            </w:r>
          </w:p>
        </w:tc>
        <w:tc>
          <w:tcPr>
            <w:tcW w:w="1199" w:type="dxa"/>
            <w:tcBorders>
              <w:top w:val="single" w:color="000000" w:sz="4" w:space="0"/>
              <w:left w:val="single" w:color="000000" w:sz="4" w:space="0"/>
              <w:bottom w:val="single" w:color="000000" w:sz="4" w:space="0"/>
              <w:right w:val="single" w:color="000000" w:sz="4" w:space="0"/>
            </w:tcBorders>
            <w:noWrap w:val="0"/>
            <w:vAlign w:val="center"/>
          </w:tcPr>
          <w:p w14:paraId="10E567F1">
            <w:pPr>
              <w:pStyle w:val="191"/>
              <w:spacing w:line="240" w:lineRule="auto"/>
              <w:ind w:firstLine="0"/>
              <w:jc w:val="center"/>
              <w:rPr>
                <w:rFonts w:ascii="Times New Roman" w:hAnsi="Times New Roman" w:eastAsia="宋体" w:cs="Times New Roman"/>
                <w:color w:val="000000"/>
                <w:sz w:val="21"/>
                <w:szCs w:val="21"/>
              </w:rPr>
            </w:pPr>
            <w:r>
              <w:rPr>
                <w:rFonts w:ascii="Times New Roman" w:hAnsi="Times New Roman" w:eastAsia="宋体" w:cs="Times New Roman"/>
                <w:color w:val="000000"/>
                <w:sz w:val="21"/>
                <w:szCs w:val="21"/>
              </w:rPr>
              <w:t>0.051</w:t>
            </w:r>
          </w:p>
        </w:tc>
        <w:tc>
          <w:tcPr>
            <w:tcW w:w="995" w:type="dxa"/>
            <w:tcBorders>
              <w:top w:val="single" w:color="000000" w:sz="4" w:space="0"/>
              <w:left w:val="single" w:color="000000" w:sz="4" w:space="0"/>
              <w:bottom w:val="single" w:color="000000" w:sz="4" w:space="0"/>
              <w:right w:val="single" w:color="000000" w:sz="4" w:space="0"/>
            </w:tcBorders>
            <w:noWrap w:val="0"/>
            <w:vAlign w:val="center"/>
          </w:tcPr>
          <w:p w14:paraId="31C5632F">
            <w:pPr>
              <w:pStyle w:val="191"/>
              <w:spacing w:line="240" w:lineRule="auto"/>
              <w:ind w:firstLine="0"/>
              <w:jc w:val="center"/>
              <w:rPr>
                <w:rFonts w:ascii="Times New Roman" w:hAnsi="Times New Roman" w:eastAsia="宋体" w:cs="Times New Roman"/>
                <w:color w:val="000000"/>
                <w:sz w:val="21"/>
                <w:szCs w:val="21"/>
              </w:rPr>
            </w:pPr>
            <w:r>
              <w:rPr>
                <w:rFonts w:ascii="Times New Roman" w:hAnsi="Times New Roman" w:eastAsia="宋体" w:cs="Times New Roman"/>
                <w:color w:val="000000"/>
                <w:sz w:val="21"/>
                <w:szCs w:val="21"/>
              </w:rPr>
              <w:t>0.086</w:t>
            </w:r>
          </w:p>
        </w:tc>
        <w:tc>
          <w:tcPr>
            <w:tcW w:w="1140" w:type="dxa"/>
            <w:tcBorders>
              <w:top w:val="single" w:color="000000" w:sz="4" w:space="0"/>
              <w:left w:val="single" w:color="000000" w:sz="4" w:space="0"/>
              <w:bottom w:val="single" w:color="000000" w:sz="4" w:space="0"/>
              <w:right w:val="single" w:color="000000" w:sz="4" w:space="0"/>
            </w:tcBorders>
            <w:noWrap w:val="0"/>
            <w:vAlign w:val="center"/>
          </w:tcPr>
          <w:p w14:paraId="78674371">
            <w:pPr>
              <w:pStyle w:val="191"/>
              <w:spacing w:line="240" w:lineRule="auto"/>
              <w:ind w:firstLine="0"/>
              <w:jc w:val="center"/>
              <w:rPr>
                <w:rFonts w:ascii="Times New Roman" w:hAnsi="Times New Roman" w:eastAsia="宋体" w:cs="Times New Roman"/>
                <w:color w:val="000000"/>
                <w:sz w:val="21"/>
                <w:szCs w:val="21"/>
              </w:rPr>
            </w:pPr>
            <w:r>
              <w:rPr>
                <w:rFonts w:ascii="Times New Roman" w:hAnsi="Times New Roman" w:eastAsia="宋体" w:cs="Times New Roman"/>
                <w:color w:val="000000"/>
                <w:sz w:val="21"/>
                <w:szCs w:val="21"/>
              </w:rPr>
              <w:t>0.116</w:t>
            </w:r>
          </w:p>
        </w:tc>
        <w:tc>
          <w:tcPr>
            <w:tcW w:w="1192" w:type="dxa"/>
            <w:tcBorders>
              <w:top w:val="single" w:color="000000" w:sz="4" w:space="0"/>
              <w:left w:val="single" w:color="000000" w:sz="4" w:space="0"/>
              <w:bottom w:val="single" w:color="000000" w:sz="4" w:space="0"/>
              <w:right w:val="single" w:color="000000" w:sz="4" w:space="0"/>
            </w:tcBorders>
            <w:noWrap w:val="0"/>
            <w:vAlign w:val="center"/>
          </w:tcPr>
          <w:p w14:paraId="2A1204BC">
            <w:pPr>
              <w:pStyle w:val="191"/>
              <w:spacing w:line="240" w:lineRule="auto"/>
              <w:ind w:firstLine="0"/>
              <w:jc w:val="center"/>
              <w:rPr>
                <w:rFonts w:ascii="Times New Roman" w:hAnsi="Times New Roman" w:eastAsia="宋体" w:cs="Times New Roman"/>
                <w:color w:val="000000"/>
                <w:sz w:val="21"/>
                <w:szCs w:val="21"/>
              </w:rPr>
            </w:pPr>
            <w:r>
              <w:rPr>
                <w:rFonts w:ascii="Times New Roman" w:hAnsi="Times New Roman" w:eastAsia="宋体" w:cs="Times New Roman"/>
                <w:color w:val="000000"/>
                <w:sz w:val="21"/>
                <w:szCs w:val="21"/>
              </w:rPr>
              <w:t>0.144</w:t>
            </w:r>
          </w:p>
        </w:tc>
        <w:tc>
          <w:tcPr>
            <w:tcW w:w="1192" w:type="dxa"/>
            <w:tcBorders>
              <w:top w:val="single" w:color="000000" w:sz="4" w:space="0"/>
              <w:left w:val="single" w:color="000000" w:sz="4" w:space="0"/>
              <w:bottom w:val="single" w:color="000000" w:sz="4" w:space="0"/>
              <w:right w:val="single" w:color="000000" w:sz="4" w:space="0"/>
            </w:tcBorders>
            <w:noWrap w:val="0"/>
            <w:vAlign w:val="center"/>
          </w:tcPr>
          <w:p w14:paraId="57549389">
            <w:pPr>
              <w:pStyle w:val="191"/>
              <w:spacing w:line="240" w:lineRule="auto"/>
              <w:ind w:firstLine="0"/>
              <w:jc w:val="center"/>
              <w:rPr>
                <w:rFonts w:ascii="Times New Roman" w:hAnsi="Times New Roman" w:eastAsia="宋体" w:cs="Times New Roman"/>
                <w:color w:val="000000"/>
                <w:sz w:val="21"/>
                <w:szCs w:val="21"/>
              </w:rPr>
            </w:pPr>
            <w:r>
              <w:rPr>
                <w:rFonts w:ascii="Times New Roman" w:hAnsi="Times New Roman" w:eastAsia="宋体" w:cs="Times New Roman"/>
                <w:color w:val="000000"/>
                <w:sz w:val="21"/>
                <w:szCs w:val="21"/>
              </w:rPr>
              <w:t>0.171</w:t>
            </w:r>
          </w:p>
        </w:tc>
        <w:tc>
          <w:tcPr>
            <w:tcW w:w="1074" w:type="dxa"/>
            <w:tcBorders>
              <w:top w:val="single" w:color="000000" w:sz="4" w:space="0"/>
              <w:left w:val="single" w:color="000000" w:sz="4" w:space="0"/>
              <w:bottom w:val="single" w:color="000000" w:sz="4" w:space="0"/>
              <w:right w:val="single" w:color="000000" w:sz="4" w:space="0"/>
            </w:tcBorders>
            <w:noWrap w:val="0"/>
            <w:vAlign w:val="center"/>
          </w:tcPr>
          <w:p w14:paraId="62EEA360">
            <w:pPr>
              <w:pStyle w:val="191"/>
              <w:spacing w:line="240" w:lineRule="auto"/>
              <w:ind w:firstLine="0"/>
              <w:jc w:val="center"/>
              <w:rPr>
                <w:rFonts w:ascii="Times New Roman" w:hAnsi="Times New Roman" w:eastAsia="宋体" w:cs="Times New Roman"/>
                <w:color w:val="000000"/>
                <w:sz w:val="21"/>
                <w:szCs w:val="21"/>
              </w:rPr>
            </w:pPr>
            <w:r>
              <w:rPr>
                <w:rFonts w:ascii="Times New Roman" w:hAnsi="Times New Roman" w:eastAsia="宋体" w:cs="Times New Roman"/>
                <w:color w:val="000000"/>
                <w:sz w:val="21"/>
                <w:szCs w:val="21"/>
              </w:rPr>
              <w:t>0.287</w:t>
            </w:r>
          </w:p>
        </w:tc>
      </w:tr>
      <w:tr w14:paraId="321B4769">
        <w:tblPrEx>
          <w:tblCellMar>
            <w:top w:w="0" w:type="dxa"/>
            <w:left w:w="108" w:type="dxa"/>
            <w:bottom w:w="0" w:type="dxa"/>
            <w:right w:w="108" w:type="dxa"/>
          </w:tblCellMar>
        </w:tblPrEx>
        <w:trPr>
          <w:trHeight w:val="332" w:hRule="atLeast"/>
        </w:trPr>
        <w:tc>
          <w:tcPr>
            <w:tcW w:w="2154" w:type="dxa"/>
            <w:tcBorders>
              <w:top w:val="single" w:color="000000" w:sz="4" w:space="0"/>
              <w:left w:val="single" w:color="000000" w:sz="4" w:space="0"/>
              <w:bottom w:val="single" w:color="000000" w:sz="4" w:space="0"/>
              <w:right w:val="single" w:color="000000" w:sz="4" w:space="0"/>
            </w:tcBorders>
            <w:noWrap w:val="0"/>
            <w:vAlign w:val="center"/>
          </w:tcPr>
          <w:p w14:paraId="65595D12">
            <w:pPr>
              <w:pStyle w:val="191"/>
              <w:spacing w:line="240" w:lineRule="auto"/>
              <w:ind w:firstLine="0"/>
              <w:jc w:val="center"/>
              <w:rPr>
                <w:rFonts w:ascii="Times New Roman" w:hAnsi="Times New Roman" w:eastAsia="宋体" w:cs="Times New Roman"/>
                <w:color w:val="000000"/>
                <w:sz w:val="21"/>
                <w:szCs w:val="21"/>
              </w:rPr>
            </w:pPr>
            <w:r>
              <w:rPr>
                <w:rFonts w:ascii="Times New Roman" w:hAnsi="Times New Roman" w:eastAsia="宋体" w:cs="Times New Roman"/>
                <w:color w:val="000000"/>
                <w:sz w:val="21"/>
                <w:szCs w:val="21"/>
              </w:rPr>
              <w:t>10（km/h）</w:t>
            </w:r>
          </w:p>
        </w:tc>
        <w:tc>
          <w:tcPr>
            <w:tcW w:w="1199" w:type="dxa"/>
            <w:tcBorders>
              <w:top w:val="single" w:color="000000" w:sz="4" w:space="0"/>
              <w:left w:val="single" w:color="000000" w:sz="4" w:space="0"/>
              <w:bottom w:val="single" w:color="000000" w:sz="4" w:space="0"/>
              <w:right w:val="single" w:color="000000" w:sz="4" w:space="0"/>
            </w:tcBorders>
            <w:noWrap w:val="0"/>
            <w:vAlign w:val="center"/>
          </w:tcPr>
          <w:p w14:paraId="034109C2">
            <w:pPr>
              <w:pStyle w:val="191"/>
              <w:spacing w:line="240" w:lineRule="auto"/>
              <w:ind w:firstLine="0"/>
              <w:jc w:val="center"/>
              <w:rPr>
                <w:rFonts w:ascii="Times New Roman" w:hAnsi="Times New Roman" w:eastAsia="宋体" w:cs="Times New Roman"/>
                <w:color w:val="000000"/>
                <w:sz w:val="21"/>
                <w:szCs w:val="21"/>
              </w:rPr>
            </w:pPr>
            <w:r>
              <w:rPr>
                <w:rFonts w:ascii="Times New Roman" w:hAnsi="Times New Roman" w:eastAsia="宋体" w:cs="Times New Roman"/>
                <w:color w:val="000000"/>
                <w:sz w:val="21"/>
                <w:szCs w:val="21"/>
              </w:rPr>
              <w:t>0.102</w:t>
            </w:r>
          </w:p>
        </w:tc>
        <w:tc>
          <w:tcPr>
            <w:tcW w:w="995" w:type="dxa"/>
            <w:tcBorders>
              <w:top w:val="single" w:color="000000" w:sz="4" w:space="0"/>
              <w:left w:val="single" w:color="000000" w:sz="4" w:space="0"/>
              <w:bottom w:val="single" w:color="000000" w:sz="4" w:space="0"/>
              <w:right w:val="single" w:color="000000" w:sz="4" w:space="0"/>
            </w:tcBorders>
            <w:noWrap w:val="0"/>
            <w:vAlign w:val="center"/>
          </w:tcPr>
          <w:p w14:paraId="09787EC0">
            <w:pPr>
              <w:pStyle w:val="191"/>
              <w:spacing w:line="240" w:lineRule="auto"/>
              <w:ind w:firstLine="0"/>
              <w:jc w:val="center"/>
              <w:rPr>
                <w:rFonts w:ascii="Times New Roman" w:hAnsi="Times New Roman" w:eastAsia="宋体" w:cs="Times New Roman"/>
                <w:color w:val="000000"/>
                <w:sz w:val="21"/>
                <w:szCs w:val="21"/>
              </w:rPr>
            </w:pPr>
            <w:r>
              <w:rPr>
                <w:rFonts w:ascii="Times New Roman" w:hAnsi="Times New Roman" w:eastAsia="宋体" w:cs="Times New Roman"/>
                <w:color w:val="000000"/>
                <w:sz w:val="21"/>
                <w:szCs w:val="21"/>
              </w:rPr>
              <w:t>0.171</w:t>
            </w:r>
          </w:p>
        </w:tc>
        <w:tc>
          <w:tcPr>
            <w:tcW w:w="1140" w:type="dxa"/>
            <w:tcBorders>
              <w:top w:val="single" w:color="000000" w:sz="4" w:space="0"/>
              <w:left w:val="single" w:color="000000" w:sz="4" w:space="0"/>
              <w:bottom w:val="single" w:color="000000" w:sz="4" w:space="0"/>
              <w:right w:val="single" w:color="000000" w:sz="4" w:space="0"/>
            </w:tcBorders>
            <w:noWrap w:val="0"/>
            <w:vAlign w:val="center"/>
          </w:tcPr>
          <w:p w14:paraId="583D08EA">
            <w:pPr>
              <w:pStyle w:val="191"/>
              <w:spacing w:line="240" w:lineRule="auto"/>
              <w:ind w:firstLine="0"/>
              <w:jc w:val="center"/>
              <w:rPr>
                <w:rFonts w:ascii="Times New Roman" w:hAnsi="Times New Roman" w:eastAsia="宋体" w:cs="Times New Roman"/>
                <w:color w:val="000000"/>
                <w:sz w:val="21"/>
                <w:szCs w:val="21"/>
              </w:rPr>
            </w:pPr>
            <w:r>
              <w:rPr>
                <w:rFonts w:ascii="Times New Roman" w:hAnsi="Times New Roman" w:eastAsia="宋体" w:cs="Times New Roman"/>
                <w:color w:val="000000"/>
                <w:sz w:val="21"/>
                <w:szCs w:val="21"/>
              </w:rPr>
              <w:t>0.232</w:t>
            </w:r>
          </w:p>
        </w:tc>
        <w:tc>
          <w:tcPr>
            <w:tcW w:w="1192" w:type="dxa"/>
            <w:tcBorders>
              <w:top w:val="single" w:color="000000" w:sz="4" w:space="0"/>
              <w:left w:val="single" w:color="000000" w:sz="4" w:space="0"/>
              <w:bottom w:val="single" w:color="000000" w:sz="4" w:space="0"/>
              <w:right w:val="single" w:color="000000" w:sz="4" w:space="0"/>
            </w:tcBorders>
            <w:noWrap w:val="0"/>
            <w:vAlign w:val="center"/>
          </w:tcPr>
          <w:p w14:paraId="2029476E">
            <w:pPr>
              <w:pStyle w:val="191"/>
              <w:spacing w:line="240" w:lineRule="auto"/>
              <w:ind w:firstLine="0"/>
              <w:jc w:val="center"/>
              <w:rPr>
                <w:rFonts w:ascii="Times New Roman" w:hAnsi="Times New Roman" w:eastAsia="宋体" w:cs="Times New Roman"/>
                <w:color w:val="000000"/>
                <w:sz w:val="21"/>
                <w:szCs w:val="21"/>
              </w:rPr>
            </w:pPr>
            <w:r>
              <w:rPr>
                <w:rFonts w:ascii="Times New Roman" w:hAnsi="Times New Roman" w:eastAsia="宋体" w:cs="Times New Roman"/>
                <w:color w:val="000000"/>
                <w:sz w:val="21"/>
                <w:szCs w:val="21"/>
              </w:rPr>
              <w:t>0.289</w:t>
            </w:r>
          </w:p>
        </w:tc>
        <w:tc>
          <w:tcPr>
            <w:tcW w:w="1192" w:type="dxa"/>
            <w:tcBorders>
              <w:top w:val="single" w:color="000000" w:sz="4" w:space="0"/>
              <w:left w:val="single" w:color="000000" w:sz="4" w:space="0"/>
              <w:bottom w:val="single" w:color="000000" w:sz="4" w:space="0"/>
              <w:right w:val="single" w:color="000000" w:sz="4" w:space="0"/>
            </w:tcBorders>
            <w:noWrap w:val="0"/>
            <w:vAlign w:val="center"/>
          </w:tcPr>
          <w:p w14:paraId="51D2B5B8">
            <w:pPr>
              <w:pStyle w:val="191"/>
              <w:spacing w:line="240" w:lineRule="auto"/>
              <w:ind w:firstLine="0"/>
              <w:jc w:val="center"/>
              <w:rPr>
                <w:rFonts w:ascii="Times New Roman" w:hAnsi="Times New Roman" w:eastAsia="宋体" w:cs="Times New Roman"/>
                <w:color w:val="000000"/>
                <w:sz w:val="21"/>
                <w:szCs w:val="21"/>
              </w:rPr>
            </w:pPr>
            <w:r>
              <w:rPr>
                <w:rFonts w:ascii="Times New Roman" w:hAnsi="Times New Roman" w:eastAsia="宋体" w:cs="Times New Roman"/>
                <w:color w:val="000000"/>
                <w:sz w:val="21"/>
                <w:szCs w:val="21"/>
              </w:rPr>
              <w:t>0.341</w:t>
            </w:r>
          </w:p>
        </w:tc>
        <w:tc>
          <w:tcPr>
            <w:tcW w:w="1074" w:type="dxa"/>
            <w:tcBorders>
              <w:top w:val="single" w:color="000000" w:sz="4" w:space="0"/>
              <w:left w:val="single" w:color="000000" w:sz="4" w:space="0"/>
              <w:bottom w:val="single" w:color="000000" w:sz="4" w:space="0"/>
              <w:right w:val="single" w:color="000000" w:sz="4" w:space="0"/>
            </w:tcBorders>
            <w:noWrap w:val="0"/>
            <w:vAlign w:val="center"/>
          </w:tcPr>
          <w:p w14:paraId="1A2EBBAE">
            <w:pPr>
              <w:pStyle w:val="191"/>
              <w:spacing w:line="240" w:lineRule="auto"/>
              <w:ind w:firstLine="0"/>
              <w:jc w:val="center"/>
              <w:rPr>
                <w:rFonts w:ascii="Times New Roman" w:hAnsi="Times New Roman" w:eastAsia="宋体" w:cs="Times New Roman"/>
                <w:color w:val="000000"/>
                <w:sz w:val="21"/>
                <w:szCs w:val="21"/>
              </w:rPr>
            </w:pPr>
            <w:r>
              <w:rPr>
                <w:rFonts w:ascii="Times New Roman" w:hAnsi="Times New Roman" w:eastAsia="宋体" w:cs="Times New Roman"/>
                <w:color w:val="000000"/>
                <w:sz w:val="21"/>
                <w:szCs w:val="21"/>
              </w:rPr>
              <w:t>0.574</w:t>
            </w:r>
          </w:p>
        </w:tc>
      </w:tr>
      <w:tr w14:paraId="28763997">
        <w:tblPrEx>
          <w:tblCellMar>
            <w:top w:w="0" w:type="dxa"/>
            <w:left w:w="108" w:type="dxa"/>
            <w:bottom w:w="0" w:type="dxa"/>
            <w:right w:w="108" w:type="dxa"/>
          </w:tblCellMar>
        </w:tblPrEx>
        <w:trPr>
          <w:trHeight w:val="332" w:hRule="atLeast"/>
        </w:trPr>
        <w:tc>
          <w:tcPr>
            <w:tcW w:w="2154" w:type="dxa"/>
            <w:tcBorders>
              <w:top w:val="single" w:color="000000" w:sz="4" w:space="0"/>
              <w:left w:val="single" w:color="000000" w:sz="4" w:space="0"/>
              <w:bottom w:val="single" w:color="000000" w:sz="4" w:space="0"/>
              <w:right w:val="single" w:color="000000" w:sz="4" w:space="0"/>
            </w:tcBorders>
            <w:noWrap w:val="0"/>
            <w:vAlign w:val="center"/>
          </w:tcPr>
          <w:p w14:paraId="216335C7">
            <w:pPr>
              <w:pStyle w:val="191"/>
              <w:spacing w:line="240" w:lineRule="auto"/>
              <w:ind w:firstLine="0"/>
              <w:jc w:val="center"/>
              <w:rPr>
                <w:rFonts w:ascii="Times New Roman" w:hAnsi="Times New Roman" w:eastAsia="宋体" w:cs="Times New Roman"/>
                <w:color w:val="000000"/>
                <w:sz w:val="21"/>
                <w:szCs w:val="21"/>
              </w:rPr>
            </w:pPr>
            <w:r>
              <w:rPr>
                <w:rFonts w:ascii="Times New Roman" w:hAnsi="Times New Roman" w:eastAsia="宋体" w:cs="Times New Roman"/>
                <w:color w:val="000000"/>
                <w:sz w:val="21"/>
                <w:szCs w:val="21"/>
              </w:rPr>
              <w:t>15（km/h）</w:t>
            </w:r>
          </w:p>
        </w:tc>
        <w:tc>
          <w:tcPr>
            <w:tcW w:w="1199" w:type="dxa"/>
            <w:tcBorders>
              <w:top w:val="single" w:color="000000" w:sz="4" w:space="0"/>
              <w:left w:val="single" w:color="000000" w:sz="4" w:space="0"/>
              <w:bottom w:val="single" w:color="000000" w:sz="4" w:space="0"/>
              <w:right w:val="single" w:color="000000" w:sz="4" w:space="0"/>
            </w:tcBorders>
            <w:noWrap w:val="0"/>
            <w:vAlign w:val="center"/>
          </w:tcPr>
          <w:p w14:paraId="29891EAE">
            <w:pPr>
              <w:pStyle w:val="191"/>
              <w:spacing w:line="240" w:lineRule="auto"/>
              <w:ind w:firstLine="0"/>
              <w:jc w:val="center"/>
              <w:rPr>
                <w:rFonts w:ascii="Times New Roman" w:hAnsi="Times New Roman" w:eastAsia="宋体" w:cs="Times New Roman"/>
                <w:color w:val="000000"/>
                <w:sz w:val="21"/>
                <w:szCs w:val="21"/>
              </w:rPr>
            </w:pPr>
            <w:r>
              <w:rPr>
                <w:rFonts w:ascii="Times New Roman" w:hAnsi="Times New Roman" w:eastAsia="宋体" w:cs="Times New Roman"/>
                <w:color w:val="000000"/>
                <w:sz w:val="21"/>
                <w:szCs w:val="21"/>
              </w:rPr>
              <w:t>0.153</w:t>
            </w:r>
          </w:p>
        </w:tc>
        <w:tc>
          <w:tcPr>
            <w:tcW w:w="995" w:type="dxa"/>
            <w:tcBorders>
              <w:top w:val="single" w:color="000000" w:sz="4" w:space="0"/>
              <w:left w:val="single" w:color="000000" w:sz="4" w:space="0"/>
              <w:bottom w:val="single" w:color="000000" w:sz="4" w:space="0"/>
              <w:right w:val="single" w:color="000000" w:sz="4" w:space="0"/>
            </w:tcBorders>
            <w:noWrap w:val="0"/>
            <w:vAlign w:val="center"/>
          </w:tcPr>
          <w:p w14:paraId="78D2EC4B">
            <w:pPr>
              <w:pStyle w:val="191"/>
              <w:spacing w:line="240" w:lineRule="auto"/>
              <w:ind w:firstLine="0"/>
              <w:jc w:val="center"/>
              <w:rPr>
                <w:rFonts w:ascii="Times New Roman" w:hAnsi="Times New Roman" w:eastAsia="宋体" w:cs="Times New Roman"/>
                <w:color w:val="000000"/>
                <w:sz w:val="21"/>
                <w:szCs w:val="21"/>
              </w:rPr>
            </w:pPr>
            <w:r>
              <w:rPr>
                <w:rFonts w:ascii="Times New Roman" w:hAnsi="Times New Roman" w:eastAsia="宋体" w:cs="Times New Roman"/>
                <w:color w:val="000000"/>
                <w:sz w:val="21"/>
                <w:szCs w:val="21"/>
              </w:rPr>
              <w:t>0.257</w:t>
            </w:r>
          </w:p>
        </w:tc>
        <w:tc>
          <w:tcPr>
            <w:tcW w:w="1140" w:type="dxa"/>
            <w:tcBorders>
              <w:top w:val="single" w:color="000000" w:sz="4" w:space="0"/>
              <w:left w:val="single" w:color="000000" w:sz="4" w:space="0"/>
              <w:bottom w:val="single" w:color="000000" w:sz="4" w:space="0"/>
              <w:right w:val="single" w:color="000000" w:sz="4" w:space="0"/>
            </w:tcBorders>
            <w:noWrap w:val="0"/>
            <w:vAlign w:val="center"/>
          </w:tcPr>
          <w:p w14:paraId="5D51D7B7">
            <w:pPr>
              <w:pStyle w:val="191"/>
              <w:spacing w:line="240" w:lineRule="auto"/>
              <w:ind w:firstLine="0"/>
              <w:jc w:val="center"/>
              <w:rPr>
                <w:rFonts w:ascii="Times New Roman" w:hAnsi="Times New Roman" w:eastAsia="宋体" w:cs="Times New Roman"/>
                <w:color w:val="000000"/>
                <w:sz w:val="21"/>
                <w:szCs w:val="21"/>
              </w:rPr>
            </w:pPr>
            <w:r>
              <w:rPr>
                <w:rFonts w:ascii="Times New Roman" w:hAnsi="Times New Roman" w:eastAsia="宋体" w:cs="Times New Roman"/>
                <w:color w:val="000000"/>
                <w:sz w:val="21"/>
                <w:szCs w:val="21"/>
              </w:rPr>
              <w:t>0.349</w:t>
            </w:r>
          </w:p>
        </w:tc>
        <w:tc>
          <w:tcPr>
            <w:tcW w:w="1192" w:type="dxa"/>
            <w:tcBorders>
              <w:top w:val="single" w:color="000000" w:sz="4" w:space="0"/>
              <w:left w:val="single" w:color="000000" w:sz="4" w:space="0"/>
              <w:bottom w:val="single" w:color="000000" w:sz="4" w:space="0"/>
              <w:right w:val="single" w:color="000000" w:sz="4" w:space="0"/>
            </w:tcBorders>
            <w:noWrap w:val="0"/>
            <w:vAlign w:val="center"/>
          </w:tcPr>
          <w:p w14:paraId="55B001B0">
            <w:pPr>
              <w:pStyle w:val="191"/>
              <w:spacing w:line="240" w:lineRule="auto"/>
              <w:ind w:firstLine="0"/>
              <w:jc w:val="center"/>
              <w:rPr>
                <w:rFonts w:ascii="Times New Roman" w:hAnsi="Times New Roman" w:eastAsia="宋体" w:cs="Times New Roman"/>
                <w:color w:val="000000"/>
                <w:sz w:val="21"/>
                <w:szCs w:val="21"/>
              </w:rPr>
            </w:pPr>
            <w:r>
              <w:rPr>
                <w:rFonts w:ascii="Times New Roman" w:hAnsi="Times New Roman" w:eastAsia="宋体" w:cs="Times New Roman"/>
                <w:color w:val="000000"/>
                <w:sz w:val="21"/>
                <w:szCs w:val="21"/>
              </w:rPr>
              <w:t>0.433</w:t>
            </w:r>
          </w:p>
        </w:tc>
        <w:tc>
          <w:tcPr>
            <w:tcW w:w="1192" w:type="dxa"/>
            <w:tcBorders>
              <w:top w:val="single" w:color="000000" w:sz="4" w:space="0"/>
              <w:left w:val="single" w:color="000000" w:sz="4" w:space="0"/>
              <w:bottom w:val="single" w:color="000000" w:sz="4" w:space="0"/>
              <w:right w:val="single" w:color="000000" w:sz="4" w:space="0"/>
            </w:tcBorders>
            <w:noWrap w:val="0"/>
            <w:vAlign w:val="center"/>
          </w:tcPr>
          <w:p w14:paraId="752D0965">
            <w:pPr>
              <w:pStyle w:val="191"/>
              <w:spacing w:line="240" w:lineRule="auto"/>
              <w:ind w:firstLine="0"/>
              <w:jc w:val="center"/>
              <w:rPr>
                <w:rFonts w:ascii="Times New Roman" w:hAnsi="Times New Roman" w:eastAsia="宋体" w:cs="Times New Roman"/>
                <w:color w:val="000000"/>
                <w:sz w:val="21"/>
                <w:szCs w:val="21"/>
              </w:rPr>
            </w:pPr>
            <w:r>
              <w:rPr>
                <w:rFonts w:ascii="Times New Roman" w:hAnsi="Times New Roman" w:eastAsia="宋体" w:cs="Times New Roman"/>
                <w:color w:val="000000"/>
                <w:sz w:val="21"/>
                <w:szCs w:val="21"/>
              </w:rPr>
              <w:t>0.512</w:t>
            </w:r>
          </w:p>
        </w:tc>
        <w:tc>
          <w:tcPr>
            <w:tcW w:w="1074" w:type="dxa"/>
            <w:tcBorders>
              <w:top w:val="single" w:color="000000" w:sz="4" w:space="0"/>
              <w:left w:val="single" w:color="000000" w:sz="4" w:space="0"/>
              <w:bottom w:val="single" w:color="000000" w:sz="4" w:space="0"/>
              <w:right w:val="single" w:color="000000" w:sz="4" w:space="0"/>
            </w:tcBorders>
            <w:noWrap w:val="0"/>
            <w:vAlign w:val="center"/>
          </w:tcPr>
          <w:p w14:paraId="7DBBF174">
            <w:pPr>
              <w:pStyle w:val="191"/>
              <w:spacing w:line="240" w:lineRule="auto"/>
              <w:ind w:firstLine="0"/>
              <w:jc w:val="center"/>
              <w:rPr>
                <w:rFonts w:ascii="Times New Roman" w:hAnsi="Times New Roman" w:eastAsia="宋体" w:cs="Times New Roman"/>
                <w:color w:val="000000"/>
                <w:sz w:val="21"/>
                <w:szCs w:val="21"/>
              </w:rPr>
            </w:pPr>
            <w:r>
              <w:rPr>
                <w:rFonts w:ascii="Times New Roman" w:hAnsi="Times New Roman" w:eastAsia="宋体" w:cs="Times New Roman"/>
                <w:color w:val="000000"/>
                <w:sz w:val="21"/>
                <w:szCs w:val="21"/>
              </w:rPr>
              <w:t>0.861</w:t>
            </w:r>
          </w:p>
        </w:tc>
      </w:tr>
      <w:tr w14:paraId="7984DBE6">
        <w:tblPrEx>
          <w:tblCellMar>
            <w:top w:w="0" w:type="dxa"/>
            <w:left w:w="108" w:type="dxa"/>
            <w:bottom w:w="0" w:type="dxa"/>
            <w:right w:w="108" w:type="dxa"/>
          </w:tblCellMar>
        </w:tblPrEx>
        <w:trPr>
          <w:trHeight w:val="344" w:hRule="atLeast"/>
        </w:trPr>
        <w:tc>
          <w:tcPr>
            <w:tcW w:w="2154" w:type="dxa"/>
            <w:tcBorders>
              <w:top w:val="single" w:color="000000" w:sz="4" w:space="0"/>
              <w:left w:val="single" w:color="000000" w:sz="4" w:space="0"/>
              <w:bottom w:val="single" w:color="000000" w:sz="4" w:space="0"/>
              <w:right w:val="single" w:color="000000" w:sz="4" w:space="0"/>
            </w:tcBorders>
            <w:noWrap w:val="0"/>
            <w:vAlign w:val="center"/>
          </w:tcPr>
          <w:p w14:paraId="013170BC">
            <w:pPr>
              <w:pStyle w:val="191"/>
              <w:spacing w:line="240" w:lineRule="auto"/>
              <w:ind w:firstLine="0"/>
              <w:jc w:val="center"/>
              <w:rPr>
                <w:rFonts w:ascii="Times New Roman" w:hAnsi="Times New Roman" w:eastAsia="宋体" w:cs="Times New Roman"/>
                <w:color w:val="000000"/>
                <w:sz w:val="21"/>
                <w:szCs w:val="21"/>
              </w:rPr>
            </w:pPr>
            <w:r>
              <w:rPr>
                <w:rFonts w:ascii="Times New Roman" w:hAnsi="Times New Roman" w:eastAsia="宋体" w:cs="Times New Roman"/>
                <w:color w:val="000000"/>
                <w:sz w:val="21"/>
                <w:szCs w:val="21"/>
              </w:rPr>
              <w:t>20（km/h）</w:t>
            </w:r>
          </w:p>
        </w:tc>
        <w:tc>
          <w:tcPr>
            <w:tcW w:w="1199" w:type="dxa"/>
            <w:tcBorders>
              <w:top w:val="single" w:color="000000" w:sz="4" w:space="0"/>
              <w:left w:val="single" w:color="000000" w:sz="4" w:space="0"/>
              <w:bottom w:val="single" w:color="000000" w:sz="4" w:space="0"/>
              <w:right w:val="single" w:color="000000" w:sz="4" w:space="0"/>
            </w:tcBorders>
            <w:noWrap w:val="0"/>
            <w:vAlign w:val="center"/>
          </w:tcPr>
          <w:p w14:paraId="7BD654EE">
            <w:pPr>
              <w:pStyle w:val="191"/>
              <w:spacing w:line="240" w:lineRule="auto"/>
              <w:ind w:firstLine="0"/>
              <w:jc w:val="center"/>
              <w:rPr>
                <w:rFonts w:ascii="Times New Roman" w:hAnsi="Times New Roman" w:eastAsia="宋体" w:cs="Times New Roman"/>
                <w:color w:val="000000"/>
                <w:sz w:val="21"/>
                <w:szCs w:val="21"/>
              </w:rPr>
            </w:pPr>
            <w:r>
              <w:rPr>
                <w:rFonts w:ascii="Times New Roman" w:hAnsi="Times New Roman" w:eastAsia="宋体" w:cs="Times New Roman"/>
                <w:color w:val="000000"/>
                <w:sz w:val="21"/>
                <w:szCs w:val="21"/>
              </w:rPr>
              <w:t>0.255</w:t>
            </w:r>
          </w:p>
        </w:tc>
        <w:tc>
          <w:tcPr>
            <w:tcW w:w="995" w:type="dxa"/>
            <w:tcBorders>
              <w:top w:val="single" w:color="000000" w:sz="4" w:space="0"/>
              <w:left w:val="single" w:color="000000" w:sz="4" w:space="0"/>
              <w:bottom w:val="single" w:color="000000" w:sz="4" w:space="0"/>
              <w:right w:val="single" w:color="000000" w:sz="4" w:space="0"/>
            </w:tcBorders>
            <w:noWrap w:val="0"/>
            <w:vAlign w:val="center"/>
          </w:tcPr>
          <w:p w14:paraId="520F8979">
            <w:pPr>
              <w:pStyle w:val="191"/>
              <w:spacing w:line="240" w:lineRule="auto"/>
              <w:ind w:firstLine="0"/>
              <w:jc w:val="center"/>
              <w:rPr>
                <w:rFonts w:ascii="Times New Roman" w:hAnsi="Times New Roman" w:eastAsia="宋体" w:cs="Times New Roman"/>
                <w:color w:val="000000"/>
                <w:sz w:val="21"/>
                <w:szCs w:val="21"/>
              </w:rPr>
            </w:pPr>
            <w:r>
              <w:rPr>
                <w:rFonts w:ascii="Times New Roman" w:hAnsi="Times New Roman" w:eastAsia="宋体" w:cs="Times New Roman"/>
                <w:color w:val="000000"/>
                <w:sz w:val="21"/>
                <w:szCs w:val="21"/>
              </w:rPr>
              <w:t>0.429</w:t>
            </w:r>
          </w:p>
        </w:tc>
        <w:tc>
          <w:tcPr>
            <w:tcW w:w="1140" w:type="dxa"/>
            <w:tcBorders>
              <w:top w:val="single" w:color="000000" w:sz="4" w:space="0"/>
              <w:left w:val="single" w:color="000000" w:sz="4" w:space="0"/>
              <w:bottom w:val="single" w:color="000000" w:sz="4" w:space="0"/>
              <w:right w:val="single" w:color="000000" w:sz="4" w:space="0"/>
            </w:tcBorders>
            <w:noWrap w:val="0"/>
            <w:vAlign w:val="center"/>
          </w:tcPr>
          <w:p w14:paraId="76DD3790">
            <w:pPr>
              <w:pStyle w:val="191"/>
              <w:spacing w:line="240" w:lineRule="auto"/>
              <w:ind w:firstLine="0"/>
              <w:jc w:val="center"/>
              <w:rPr>
                <w:rFonts w:ascii="Times New Roman" w:hAnsi="Times New Roman" w:eastAsia="宋体" w:cs="Times New Roman"/>
                <w:color w:val="000000"/>
                <w:sz w:val="21"/>
                <w:szCs w:val="21"/>
              </w:rPr>
            </w:pPr>
            <w:r>
              <w:rPr>
                <w:rFonts w:ascii="Times New Roman" w:hAnsi="Times New Roman" w:eastAsia="宋体" w:cs="Times New Roman"/>
                <w:color w:val="000000"/>
                <w:sz w:val="21"/>
                <w:szCs w:val="21"/>
              </w:rPr>
              <w:t>0.582</w:t>
            </w:r>
          </w:p>
        </w:tc>
        <w:tc>
          <w:tcPr>
            <w:tcW w:w="1192" w:type="dxa"/>
            <w:tcBorders>
              <w:top w:val="single" w:color="000000" w:sz="4" w:space="0"/>
              <w:left w:val="single" w:color="000000" w:sz="4" w:space="0"/>
              <w:bottom w:val="single" w:color="000000" w:sz="4" w:space="0"/>
              <w:right w:val="single" w:color="000000" w:sz="4" w:space="0"/>
            </w:tcBorders>
            <w:noWrap w:val="0"/>
            <w:vAlign w:val="center"/>
          </w:tcPr>
          <w:p w14:paraId="4CFFF46F">
            <w:pPr>
              <w:pStyle w:val="191"/>
              <w:spacing w:line="240" w:lineRule="auto"/>
              <w:ind w:firstLine="0"/>
              <w:jc w:val="center"/>
              <w:rPr>
                <w:rFonts w:ascii="Times New Roman" w:hAnsi="Times New Roman" w:eastAsia="宋体" w:cs="Times New Roman"/>
                <w:color w:val="000000"/>
                <w:sz w:val="21"/>
                <w:szCs w:val="21"/>
              </w:rPr>
            </w:pPr>
            <w:r>
              <w:rPr>
                <w:rFonts w:ascii="Times New Roman" w:hAnsi="Times New Roman" w:eastAsia="宋体" w:cs="Times New Roman"/>
                <w:color w:val="000000"/>
                <w:sz w:val="21"/>
                <w:szCs w:val="21"/>
              </w:rPr>
              <w:t>0.722</w:t>
            </w:r>
          </w:p>
        </w:tc>
        <w:tc>
          <w:tcPr>
            <w:tcW w:w="1192" w:type="dxa"/>
            <w:tcBorders>
              <w:top w:val="single" w:color="000000" w:sz="4" w:space="0"/>
              <w:left w:val="single" w:color="000000" w:sz="4" w:space="0"/>
              <w:bottom w:val="single" w:color="000000" w:sz="4" w:space="0"/>
              <w:right w:val="single" w:color="000000" w:sz="4" w:space="0"/>
            </w:tcBorders>
            <w:noWrap w:val="0"/>
            <w:vAlign w:val="center"/>
          </w:tcPr>
          <w:p w14:paraId="16DDA80D">
            <w:pPr>
              <w:pStyle w:val="191"/>
              <w:spacing w:line="240" w:lineRule="auto"/>
              <w:ind w:firstLine="0"/>
              <w:jc w:val="center"/>
              <w:rPr>
                <w:rFonts w:ascii="Times New Roman" w:hAnsi="Times New Roman" w:eastAsia="宋体" w:cs="Times New Roman"/>
                <w:color w:val="000000"/>
                <w:sz w:val="21"/>
                <w:szCs w:val="21"/>
              </w:rPr>
            </w:pPr>
            <w:r>
              <w:rPr>
                <w:rFonts w:ascii="Times New Roman" w:hAnsi="Times New Roman" w:eastAsia="宋体" w:cs="Times New Roman"/>
                <w:color w:val="000000"/>
                <w:sz w:val="21"/>
                <w:szCs w:val="21"/>
              </w:rPr>
              <w:t>0.853</w:t>
            </w:r>
          </w:p>
        </w:tc>
        <w:tc>
          <w:tcPr>
            <w:tcW w:w="1074" w:type="dxa"/>
            <w:tcBorders>
              <w:top w:val="single" w:color="000000" w:sz="4" w:space="0"/>
              <w:left w:val="single" w:color="000000" w:sz="4" w:space="0"/>
              <w:bottom w:val="single" w:color="000000" w:sz="4" w:space="0"/>
              <w:right w:val="single" w:color="000000" w:sz="4" w:space="0"/>
            </w:tcBorders>
            <w:noWrap w:val="0"/>
            <w:vAlign w:val="center"/>
          </w:tcPr>
          <w:p w14:paraId="026675B7">
            <w:pPr>
              <w:pStyle w:val="191"/>
              <w:spacing w:line="240" w:lineRule="auto"/>
              <w:ind w:firstLine="0"/>
              <w:jc w:val="center"/>
              <w:rPr>
                <w:rFonts w:ascii="Times New Roman" w:hAnsi="Times New Roman" w:eastAsia="宋体" w:cs="Times New Roman"/>
                <w:color w:val="000000"/>
                <w:sz w:val="21"/>
                <w:szCs w:val="21"/>
              </w:rPr>
            </w:pPr>
            <w:r>
              <w:rPr>
                <w:rFonts w:ascii="Times New Roman" w:hAnsi="Times New Roman" w:eastAsia="宋体" w:cs="Times New Roman"/>
                <w:color w:val="000000"/>
                <w:sz w:val="21"/>
                <w:szCs w:val="21"/>
              </w:rPr>
              <w:t>1.435</w:t>
            </w:r>
          </w:p>
        </w:tc>
      </w:tr>
    </w:tbl>
    <w:p w14:paraId="7B7BFEFC">
      <w:pPr>
        <w:spacing w:line="360" w:lineRule="auto"/>
        <w:ind w:firstLine="480"/>
        <w:rPr>
          <w:color w:val="000000"/>
          <w:sz w:val="24"/>
        </w:rPr>
      </w:pPr>
      <w:r>
        <w:rPr>
          <w:color w:val="000000"/>
          <w:sz w:val="24"/>
        </w:rPr>
        <w:t>本项目的粉尘主要表现在运输过程和</w:t>
      </w:r>
      <w:r>
        <w:rPr>
          <w:bCs/>
          <w:color w:val="000000"/>
          <w:sz w:val="24"/>
        </w:rPr>
        <w:t>建材(如黄沙、水泥等)的装卸、堆放过程</w:t>
      </w:r>
      <w:r>
        <w:rPr>
          <w:color w:val="000000"/>
          <w:sz w:val="24"/>
        </w:rPr>
        <w:t>，尤其是天气干燥及风速较大时影响更为明显，使该区域及周边地区大气中总悬浮颗粒(TSP)浓度增大。粉尘的排放量大小直接与施工期的管理措施有关，因此较难估算，根据同类工程类比项目浓度较高的地点是场地平整过程中的土料装卸过程（约20mg/m</w:t>
      </w:r>
      <w:r>
        <w:rPr>
          <w:color w:val="000000"/>
          <w:sz w:val="24"/>
          <w:vertAlign w:val="superscript"/>
        </w:rPr>
        <w:t>3</w:t>
      </w:r>
      <w:r>
        <w:rPr>
          <w:color w:val="000000"/>
          <w:sz w:val="24"/>
        </w:rPr>
        <w:t>～50mg/m</w:t>
      </w:r>
      <w:r>
        <w:rPr>
          <w:color w:val="000000"/>
          <w:sz w:val="24"/>
          <w:vertAlign w:val="superscript"/>
        </w:rPr>
        <w:t>3</w:t>
      </w:r>
      <w:r>
        <w:rPr>
          <w:color w:val="000000"/>
          <w:sz w:val="24"/>
        </w:rPr>
        <w:t>）。</w:t>
      </w:r>
    </w:p>
    <w:p w14:paraId="03BF31CA">
      <w:pPr>
        <w:pStyle w:val="183"/>
        <w:ind w:firstLine="472"/>
        <w:rPr>
          <w:rFonts w:eastAsia="仿宋_GB2312"/>
          <w:color w:val="000000"/>
          <w:sz w:val="24"/>
          <w:szCs w:val="24"/>
        </w:rPr>
      </w:pPr>
      <w:bookmarkStart w:id="221" w:name="_Toc136458258"/>
      <w:bookmarkEnd w:id="221"/>
      <w:bookmarkStart w:id="222" w:name="_Toc136458080"/>
      <w:bookmarkEnd w:id="222"/>
      <w:bookmarkStart w:id="223" w:name="_Toc143548084"/>
      <w:bookmarkEnd w:id="223"/>
      <w:bookmarkStart w:id="224" w:name="_Toc136457676"/>
      <w:bookmarkEnd w:id="224"/>
      <w:bookmarkStart w:id="225" w:name="_Toc143467191"/>
      <w:bookmarkEnd w:id="225"/>
      <w:bookmarkStart w:id="226" w:name="_Toc136456641"/>
      <w:bookmarkEnd w:id="226"/>
      <w:bookmarkStart w:id="227" w:name="_Toc143458560"/>
      <w:bookmarkEnd w:id="227"/>
      <w:bookmarkStart w:id="228" w:name="_Toc143717649"/>
      <w:bookmarkEnd w:id="228"/>
      <w:bookmarkStart w:id="229" w:name="_Toc144118327"/>
      <w:bookmarkEnd w:id="229"/>
      <w:bookmarkStart w:id="230" w:name="_Toc143542685"/>
      <w:bookmarkEnd w:id="230"/>
      <w:bookmarkStart w:id="231" w:name="_Toc135596858"/>
      <w:bookmarkEnd w:id="231"/>
      <w:bookmarkStart w:id="232" w:name="_Toc144145000"/>
      <w:bookmarkEnd w:id="232"/>
      <w:bookmarkStart w:id="233" w:name="_Toc144224616"/>
      <w:bookmarkEnd w:id="233"/>
      <w:bookmarkStart w:id="234" w:name="_Toc143991909"/>
      <w:bookmarkEnd w:id="234"/>
      <w:bookmarkStart w:id="235" w:name="_Toc136457747"/>
      <w:bookmarkEnd w:id="235"/>
      <w:bookmarkStart w:id="236" w:name="_Toc143542912"/>
      <w:bookmarkEnd w:id="236"/>
      <w:bookmarkStart w:id="237" w:name="_Toc143549439"/>
      <w:bookmarkEnd w:id="237"/>
      <w:bookmarkStart w:id="238" w:name="_Toc136457385"/>
      <w:bookmarkEnd w:id="238"/>
      <w:bookmarkStart w:id="239" w:name="_Toc143640637"/>
      <w:bookmarkEnd w:id="239"/>
      <w:bookmarkStart w:id="240" w:name="_Toc143640430"/>
      <w:bookmarkEnd w:id="240"/>
      <w:bookmarkStart w:id="241" w:name="_Toc143996311"/>
      <w:bookmarkEnd w:id="241"/>
      <w:bookmarkStart w:id="242" w:name="_Toc143641055"/>
      <w:bookmarkEnd w:id="242"/>
      <w:bookmarkStart w:id="243" w:name="_Toc143644033"/>
      <w:bookmarkEnd w:id="243"/>
      <w:bookmarkStart w:id="244" w:name="_Toc143548206"/>
      <w:bookmarkEnd w:id="244"/>
      <w:bookmarkStart w:id="245" w:name="_Toc136456575"/>
      <w:bookmarkEnd w:id="245"/>
      <w:bookmarkStart w:id="246" w:name="_Toc143991181"/>
      <w:bookmarkEnd w:id="246"/>
      <w:bookmarkStart w:id="247" w:name="_Toc143642713"/>
      <w:bookmarkEnd w:id="247"/>
      <w:bookmarkStart w:id="248" w:name="_Toc136457465"/>
      <w:bookmarkEnd w:id="248"/>
      <w:bookmarkStart w:id="249" w:name="_Toc135639655"/>
      <w:bookmarkEnd w:id="249"/>
      <w:bookmarkStart w:id="250" w:name="_Toc241904942"/>
      <w:bookmarkEnd w:id="250"/>
      <w:bookmarkStart w:id="251" w:name="_Toc144483894"/>
      <w:bookmarkEnd w:id="251"/>
      <w:bookmarkStart w:id="252" w:name="_Toc144465244"/>
      <w:bookmarkEnd w:id="252"/>
      <w:bookmarkStart w:id="253" w:name="_Toc170140392"/>
      <w:bookmarkEnd w:id="253"/>
      <w:bookmarkStart w:id="254" w:name="_Toc495500062"/>
      <w:r>
        <w:rPr>
          <w:rFonts w:eastAsia="仿宋_GB2312"/>
          <w:color w:val="000000"/>
          <w:sz w:val="24"/>
          <w:szCs w:val="24"/>
        </w:rPr>
        <w:t>3.</w:t>
      </w:r>
      <w:r>
        <w:rPr>
          <w:rFonts w:hint="eastAsia" w:eastAsia="仿宋_GB2312"/>
          <w:color w:val="000000"/>
          <w:sz w:val="24"/>
          <w:szCs w:val="24"/>
        </w:rPr>
        <w:t>6</w:t>
      </w:r>
      <w:r>
        <w:rPr>
          <w:rFonts w:eastAsia="仿宋_GB2312"/>
          <w:color w:val="000000"/>
          <w:sz w:val="24"/>
          <w:szCs w:val="24"/>
        </w:rPr>
        <w:t>.3 施工固体废弃物</w:t>
      </w:r>
      <w:bookmarkEnd w:id="254"/>
    </w:p>
    <w:p w14:paraId="2652C0DD">
      <w:pPr>
        <w:spacing w:line="360" w:lineRule="auto"/>
        <w:ind w:firstLine="480"/>
        <w:rPr>
          <w:color w:val="000000"/>
          <w:sz w:val="24"/>
        </w:rPr>
      </w:pPr>
      <w:bookmarkStart w:id="255" w:name="_Toc143642714"/>
      <w:bookmarkEnd w:id="255"/>
      <w:bookmarkStart w:id="256" w:name="_Toc143717650"/>
      <w:bookmarkEnd w:id="256"/>
      <w:bookmarkStart w:id="257" w:name="_Toc143542913"/>
      <w:bookmarkEnd w:id="257"/>
      <w:bookmarkStart w:id="258" w:name="_Toc135639656"/>
      <w:bookmarkEnd w:id="258"/>
      <w:bookmarkStart w:id="259" w:name="_Toc143644034"/>
      <w:bookmarkEnd w:id="259"/>
      <w:bookmarkStart w:id="260" w:name="_Toc144145001"/>
      <w:bookmarkEnd w:id="260"/>
      <w:bookmarkStart w:id="261" w:name="_Toc136457386"/>
      <w:bookmarkEnd w:id="261"/>
      <w:bookmarkStart w:id="262" w:name="_Toc143640431"/>
      <w:bookmarkEnd w:id="262"/>
      <w:bookmarkStart w:id="263" w:name="_Toc136457466"/>
      <w:bookmarkEnd w:id="263"/>
      <w:bookmarkStart w:id="264" w:name="_Toc136456576"/>
      <w:bookmarkEnd w:id="264"/>
      <w:bookmarkStart w:id="265" w:name="_Toc143549440"/>
      <w:bookmarkEnd w:id="265"/>
      <w:bookmarkStart w:id="266" w:name="_Toc143458561"/>
      <w:bookmarkEnd w:id="266"/>
      <w:bookmarkStart w:id="267" w:name="_Toc144118328"/>
      <w:bookmarkEnd w:id="267"/>
      <w:bookmarkStart w:id="268" w:name="_Toc136458081"/>
      <w:bookmarkEnd w:id="268"/>
      <w:bookmarkStart w:id="269" w:name="_Toc143467192"/>
      <w:bookmarkEnd w:id="269"/>
      <w:bookmarkStart w:id="270" w:name="_Toc136456642"/>
      <w:bookmarkEnd w:id="270"/>
      <w:bookmarkStart w:id="271" w:name="_Toc143996312"/>
      <w:bookmarkEnd w:id="271"/>
      <w:bookmarkStart w:id="272" w:name="_Toc144483895"/>
      <w:bookmarkEnd w:id="272"/>
      <w:bookmarkStart w:id="273" w:name="_Toc170140393"/>
      <w:bookmarkEnd w:id="273"/>
      <w:bookmarkStart w:id="274" w:name="_Toc136457748"/>
      <w:bookmarkEnd w:id="274"/>
      <w:bookmarkStart w:id="275" w:name="_Toc143548207"/>
      <w:bookmarkEnd w:id="275"/>
      <w:bookmarkStart w:id="276" w:name="_Toc143991910"/>
      <w:bookmarkEnd w:id="276"/>
      <w:bookmarkStart w:id="277" w:name="_Toc143640638"/>
      <w:bookmarkEnd w:id="277"/>
      <w:bookmarkStart w:id="278" w:name="_Toc143548085"/>
      <w:bookmarkEnd w:id="278"/>
      <w:bookmarkStart w:id="279" w:name="_Toc144224617"/>
      <w:bookmarkEnd w:id="279"/>
      <w:bookmarkStart w:id="280" w:name="_Toc135596859"/>
      <w:bookmarkEnd w:id="280"/>
      <w:bookmarkStart w:id="281" w:name="_Toc143641056"/>
      <w:bookmarkEnd w:id="281"/>
      <w:bookmarkStart w:id="282" w:name="_Toc143542686"/>
      <w:bookmarkEnd w:id="282"/>
      <w:bookmarkStart w:id="283" w:name="_Toc143991182"/>
      <w:bookmarkEnd w:id="283"/>
      <w:bookmarkStart w:id="284" w:name="_Toc136458259"/>
      <w:bookmarkEnd w:id="284"/>
      <w:bookmarkStart w:id="285" w:name="_Toc144465245"/>
      <w:bookmarkEnd w:id="285"/>
      <w:bookmarkStart w:id="286" w:name="_Toc136457677"/>
      <w:bookmarkEnd w:id="286"/>
      <w:r>
        <w:rPr>
          <w:color w:val="000000"/>
          <w:sz w:val="24"/>
        </w:rPr>
        <w:t>施工期产生的固体废弃物主要为废弃土石方、建筑垃圾和施工人员生活垃圾。</w:t>
      </w:r>
    </w:p>
    <w:p w14:paraId="248B964F">
      <w:pPr>
        <w:spacing w:line="360" w:lineRule="auto"/>
        <w:ind w:firstLine="480"/>
        <w:rPr>
          <w:color w:val="000000"/>
          <w:sz w:val="24"/>
        </w:rPr>
      </w:pPr>
      <w:r>
        <w:rPr>
          <w:color w:val="000000"/>
          <w:sz w:val="24"/>
        </w:rPr>
        <w:t>项目所在场地平整，挖方量大于填方量，本项目没有在</w:t>
      </w:r>
      <w:r>
        <w:rPr>
          <w:rFonts w:hint="eastAsia"/>
          <w:color w:val="000000"/>
          <w:sz w:val="24"/>
        </w:rPr>
        <w:t>场区</w:t>
      </w:r>
      <w:r>
        <w:rPr>
          <w:color w:val="000000"/>
          <w:sz w:val="24"/>
        </w:rPr>
        <w:t>内设置临时堆场，开挖的土石方除部分回填外，剩余的由施工单位外运至</w:t>
      </w:r>
      <w:r>
        <w:rPr>
          <w:rFonts w:hint="eastAsia"/>
          <w:color w:val="000000"/>
          <w:sz w:val="24"/>
        </w:rPr>
        <w:t>芒市</w:t>
      </w:r>
      <w:r>
        <w:rPr>
          <w:color w:val="000000"/>
          <w:sz w:val="24"/>
        </w:rPr>
        <w:t>建筑管理部门指定的地点堆放。根据设计资料，本项目产生的土石方见下表3.6-4土石方平衡图。</w:t>
      </w:r>
    </w:p>
    <w:p w14:paraId="0167DBB4">
      <w:pPr>
        <w:spacing w:line="360" w:lineRule="auto"/>
        <w:ind w:firstLine="540"/>
        <w:rPr>
          <w:color w:val="000000"/>
          <w:sz w:val="24"/>
        </w:rPr>
      </w:pPr>
      <w:r>
        <w:rPr>
          <w:color w:val="000000"/>
          <w:sz w:val="24"/>
        </w:rPr>
        <w:t>施工期的固体废弃物主要为建筑垃圾。建筑垃圾主要是施工废弃材料，以装修和建筑废弃材料为主。在建设过程中及房子装修阶段，将产生很多的装修垃圾，其排放量较难计算。对建筑垃圾中可回收部分材料（如钢材边角料等）可回收处理，剩余部分应委托有资质的</w:t>
      </w:r>
      <w:r>
        <w:rPr>
          <w:rFonts w:hint="eastAsia"/>
          <w:color w:val="000000"/>
          <w:sz w:val="24"/>
        </w:rPr>
        <w:t>相关</w:t>
      </w:r>
      <w:r>
        <w:rPr>
          <w:color w:val="000000"/>
          <w:sz w:val="24"/>
        </w:rPr>
        <w:t>单位清运处理。根据建筑业统计资料，年单位面积建筑垃圾产生量按0.5kg/(m</w:t>
      </w:r>
      <w:r>
        <w:rPr>
          <w:color w:val="000000"/>
          <w:sz w:val="24"/>
          <w:vertAlign w:val="superscript"/>
        </w:rPr>
        <w:t>2</w:t>
      </w:r>
      <w:r>
        <w:rPr>
          <w:color w:val="000000"/>
          <w:sz w:val="24"/>
        </w:rPr>
        <w:t>·a)来对建筑垃圾量进行估算，本工程新建建筑面积为</w:t>
      </w:r>
      <w:r>
        <w:rPr>
          <w:rFonts w:hint="eastAsia"/>
          <w:color w:val="000000"/>
          <w:sz w:val="24"/>
        </w:rPr>
        <w:t>34286</w:t>
      </w:r>
      <w:r>
        <w:rPr>
          <w:color w:val="000000"/>
          <w:sz w:val="24"/>
        </w:rPr>
        <w:t>㎡，年产生建筑固体废弃物约</w:t>
      </w:r>
      <w:r>
        <w:rPr>
          <w:rFonts w:hint="eastAsia"/>
          <w:color w:val="000000"/>
          <w:sz w:val="24"/>
        </w:rPr>
        <w:t>17.143</w:t>
      </w:r>
      <w:r>
        <w:rPr>
          <w:color w:val="000000"/>
          <w:sz w:val="24"/>
        </w:rPr>
        <w:t>t/a。</w:t>
      </w:r>
    </w:p>
    <w:p w14:paraId="38F2FE8C">
      <w:pPr>
        <w:spacing w:line="360" w:lineRule="auto"/>
        <w:ind w:firstLine="540"/>
        <w:rPr>
          <w:color w:val="000000"/>
          <w:sz w:val="24"/>
        </w:rPr>
        <w:sectPr>
          <w:pgSz w:w="11906" w:h="16838" w:orient="landscape"/>
          <w:pgMar w:top="1701" w:right="1588" w:bottom="1985" w:left="1588" w:header="851" w:footer="992" w:gutter="0"/>
          <w:cols w:space="1701" w:num="1"/>
        </w:sectPr>
      </w:pPr>
      <w:r>
        <w:rPr>
          <w:color w:val="000000"/>
          <w:sz w:val="24"/>
        </w:rPr>
        <w:t>施工人员的生活垃圾按施工人员每天产生0.5kg计，施工人员数按</w:t>
      </w:r>
      <w:r>
        <w:rPr>
          <w:rFonts w:hint="eastAsia"/>
          <w:color w:val="000000"/>
          <w:sz w:val="24"/>
        </w:rPr>
        <w:t>10</w:t>
      </w:r>
      <w:r>
        <w:rPr>
          <w:color w:val="000000"/>
          <w:sz w:val="24"/>
        </w:rPr>
        <w:t>0人计，产生的生活垃圾量为</w:t>
      </w:r>
      <w:r>
        <w:rPr>
          <w:rFonts w:hint="eastAsia"/>
          <w:color w:val="000000"/>
          <w:sz w:val="24"/>
        </w:rPr>
        <w:t>5</w:t>
      </w:r>
      <w:r>
        <w:rPr>
          <w:color w:val="000000"/>
          <w:sz w:val="24"/>
        </w:rPr>
        <w:t>0kg/d。</w:t>
      </w:r>
    </w:p>
    <w:p w14:paraId="774EC2DD">
      <w:pPr>
        <w:pStyle w:val="197"/>
        <w:spacing w:after="0"/>
        <w:ind w:left="0"/>
        <w:jc w:val="center"/>
        <w:rPr>
          <w:b/>
          <w:color w:val="000000"/>
          <w:szCs w:val="21"/>
        </w:rPr>
      </w:pPr>
      <w:r>
        <w:rPr>
          <w:b/>
          <w:color w:val="000000"/>
          <w:sz w:val="24"/>
        </w:rPr>
        <w:t xml:space="preserve">表3.6-4   土石方平衡及流向表    </w:t>
      </w:r>
      <w:r>
        <w:rPr>
          <w:b/>
          <w:color w:val="000000"/>
          <w:szCs w:val="21"/>
        </w:rPr>
        <w:t>单位：万m</w:t>
      </w:r>
      <w:r>
        <w:rPr>
          <w:b/>
          <w:color w:val="000000"/>
          <w:szCs w:val="21"/>
          <w:vertAlign w:val="superscript"/>
        </w:rPr>
        <w:t>3</w:t>
      </w:r>
    </w:p>
    <w:tbl>
      <w:tblPr>
        <w:tblStyle w:val="27"/>
        <w:tblW w:w="0" w:type="auto"/>
        <w:tblInd w:w="0" w:type="dxa"/>
        <w:tblLayout w:type="fixed"/>
        <w:tblCellMar>
          <w:top w:w="0" w:type="dxa"/>
          <w:left w:w="108" w:type="dxa"/>
          <w:bottom w:w="0" w:type="dxa"/>
          <w:right w:w="108" w:type="dxa"/>
        </w:tblCellMar>
      </w:tblPr>
      <w:tblGrid>
        <w:gridCol w:w="698"/>
        <w:gridCol w:w="1796"/>
        <w:gridCol w:w="1077"/>
        <w:gridCol w:w="1077"/>
        <w:gridCol w:w="1077"/>
        <w:gridCol w:w="1077"/>
        <w:gridCol w:w="1077"/>
        <w:gridCol w:w="1077"/>
        <w:gridCol w:w="1077"/>
        <w:gridCol w:w="1077"/>
        <w:gridCol w:w="1077"/>
        <w:gridCol w:w="1077"/>
        <w:gridCol w:w="1077"/>
      </w:tblGrid>
      <w:tr w14:paraId="5DEA6217">
        <w:tblPrEx>
          <w:tblCellMar>
            <w:top w:w="0" w:type="dxa"/>
            <w:left w:w="108" w:type="dxa"/>
            <w:bottom w:w="0" w:type="dxa"/>
            <w:right w:w="108" w:type="dxa"/>
          </w:tblCellMar>
        </w:tblPrEx>
        <w:trPr>
          <w:trHeight w:val="517" w:hRule="atLeast"/>
        </w:trPr>
        <w:tc>
          <w:tcPr>
            <w:tcW w:w="698" w:type="dxa"/>
            <w:vMerge w:val="restart"/>
            <w:tcBorders>
              <w:top w:val="single" w:color="000000" w:sz="8" w:space="0"/>
              <w:left w:val="single" w:color="000000" w:sz="8" w:space="0"/>
              <w:bottom w:val="single" w:color="000000" w:sz="8" w:space="0"/>
              <w:right w:val="single" w:color="000000" w:sz="8" w:space="0"/>
            </w:tcBorders>
            <w:noWrap w:val="0"/>
            <w:vAlign w:val="center"/>
          </w:tcPr>
          <w:p w14:paraId="163F9ED5">
            <w:pPr>
              <w:widowControl/>
              <w:jc w:val="center"/>
              <w:rPr>
                <w:rFonts w:cs="宋体"/>
                <w:b/>
                <w:color w:val="000000"/>
                <w:szCs w:val="21"/>
              </w:rPr>
            </w:pPr>
            <w:r>
              <w:rPr>
                <w:rFonts w:hint="eastAsia" w:cs="宋体"/>
                <w:b/>
                <w:color w:val="000000"/>
                <w:szCs w:val="21"/>
              </w:rPr>
              <w:t>序号</w:t>
            </w:r>
          </w:p>
        </w:tc>
        <w:tc>
          <w:tcPr>
            <w:tcW w:w="1796" w:type="dxa"/>
            <w:vMerge w:val="restart"/>
            <w:tcBorders>
              <w:top w:val="single" w:color="000000" w:sz="8" w:space="0"/>
              <w:left w:val="single" w:color="000000" w:sz="8" w:space="0"/>
              <w:bottom w:val="single" w:color="000000" w:sz="8" w:space="0"/>
              <w:right w:val="single" w:color="000000" w:sz="8" w:space="0"/>
            </w:tcBorders>
            <w:noWrap w:val="0"/>
            <w:vAlign w:val="center"/>
          </w:tcPr>
          <w:p w14:paraId="0ABCB2C3">
            <w:pPr>
              <w:widowControl/>
              <w:jc w:val="center"/>
              <w:rPr>
                <w:rFonts w:cs="宋体"/>
                <w:b/>
                <w:color w:val="000000"/>
                <w:szCs w:val="21"/>
              </w:rPr>
            </w:pPr>
            <w:r>
              <w:rPr>
                <w:rFonts w:hint="eastAsia" w:cs="宋体"/>
                <w:b/>
                <w:color w:val="000000"/>
                <w:szCs w:val="21"/>
              </w:rPr>
              <w:t>分区</w:t>
            </w:r>
          </w:p>
        </w:tc>
        <w:tc>
          <w:tcPr>
            <w:tcW w:w="1077" w:type="dxa"/>
            <w:vMerge w:val="restart"/>
            <w:tcBorders>
              <w:top w:val="single" w:color="000000" w:sz="8" w:space="0"/>
              <w:left w:val="single" w:color="000000" w:sz="8" w:space="0"/>
              <w:bottom w:val="single" w:color="000000" w:sz="8" w:space="0"/>
              <w:right w:val="single" w:color="000000" w:sz="8" w:space="0"/>
            </w:tcBorders>
            <w:noWrap w:val="0"/>
            <w:vAlign w:val="center"/>
          </w:tcPr>
          <w:p w14:paraId="2AA5C16F">
            <w:pPr>
              <w:widowControl/>
              <w:jc w:val="center"/>
              <w:rPr>
                <w:rFonts w:cs="宋体"/>
                <w:b/>
                <w:color w:val="000000"/>
                <w:szCs w:val="21"/>
              </w:rPr>
            </w:pPr>
            <w:r>
              <w:rPr>
                <w:rFonts w:hint="eastAsia" w:cs="宋体"/>
                <w:b/>
                <w:color w:val="000000"/>
                <w:szCs w:val="21"/>
              </w:rPr>
              <w:t>挖方</w:t>
            </w:r>
          </w:p>
        </w:tc>
        <w:tc>
          <w:tcPr>
            <w:tcW w:w="1077" w:type="dxa"/>
            <w:vMerge w:val="restart"/>
            <w:tcBorders>
              <w:top w:val="single" w:color="000000" w:sz="8" w:space="0"/>
              <w:left w:val="single" w:color="000000" w:sz="8" w:space="0"/>
              <w:bottom w:val="single" w:color="000000" w:sz="8" w:space="0"/>
              <w:right w:val="single" w:color="000000" w:sz="8" w:space="0"/>
            </w:tcBorders>
            <w:noWrap w:val="0"/>
            <w:vAlign w:val="center"/>
          </w:tcPr>
          <w:p w14:paraId="01693B73">
            <w:pPr>
              <w:widowControl/>
              <w:jc w:val="center"/>
              <w:rPr>
                <w:rFonts w:cs="宋体"/>
                <w:b/>
                <w:color w:val="000000"/>
                <w:szCs w:val="21"/>
              </w:rPr>
            </w:pPr>
            <w:r>
              <w:rPr>
                <w:rFonts w:hint="eastAsia" w:cs="宋体"/>
                <w:b/>
                <w:color w:val="000000"/>
                <w:szCs w:val="21"/>
              </w:rPr>
              <w:t>回填/利用</w:t>
            </w:r>
          </w:p>
        </w:tc>
        <w:tc>
          <w:tcPr>
            <w:tcW w:w="2154" w:type="dxa"/>
            <w:gridSpan w:val="2"/>
            <w:tcBorders>
              <w:top w:val="single" w:color="000000" w:sz="8" w:space="0"/>
              <w:left w:val="single" w:color="000000" w:sz="8" w:space="0"/>
              <w:bottom w:val="single" w:color="000000" w:sz="8" w:space="0"/>
              <w:right w:val="single" w:color="000000" w:sz="8" w:space="0"/>
            </w:tcBorders>
            <w:noWrap w:val="0"/>
            <w:vAlign w:val="center"/>
          </w:tcPr>
          <w:p w14:paraId="75E50766">
            <w:pPr>
              <w:widowControl/>
              <w:jc w:val="center"/>
              <w:rPr>
                <w:rFonts w:cs="宋体"/>
                <w:b/>
                <w:color w:val="000000"/>
                <w:szCs w:val="21"/>
              </w:rPr>
            </w:pPr>
            <w:r>
              <w:rPr>
                <w:rFonts w:hint="eastAsia" w:cs="宋体"/>
                <w:b/>
                <w:color w:val="000000"/>
                <w:szCs w:val="21"/>
              </w:rPr>
              <w:t>区间调入</w:t>
            </w:r>
          </w:p>
        </w:tc>
        <w:tc>
          <w:tcPr>
            <w:tcW w:w="2154" w:type="dxa"/>
            <w:gridSpan w:val="2"/>
            <w:tcBorders>
              <w:top w:val="single" w:color="000000" w:sz="8" w:space="0"/>
              <w:left w:val="single" w:color="000000" w:sz="8" w:space="0"/>
              <w:bottom w:val="single" w:color="000000" w:sz="8" w:space="0"/>
              <w:right w:val="single" w:color="000000" w:sz="8" w:space="0"/>
            </w:tcBorders>
            <w:noWrap w:val="0"/>
            <w:vAlign w:val="center"/>
          </w:tcPr>
          <w:p w14:paraId="5C7865A2">
            <w:pPr>
              <w:widowControl/>
              <w:jc w:val="center"/>
              <w:rPr>
                <w:rFonts w:cs="宋体"/>
                <w:b/>
                <w:color w:val="000000"/>
                <w:szCs w:val="21"/>
              </w:rPr>
            </w:pPr>
            <w:r>
              <w:rPr>
                <w:rFonts w:hint="eastAsia" w:cs="宋体"/>
                <w:b/>
                <w:color w:val="000000"/>
                <w:szCs w:val="21"/>
              </w:rPr>
              <w:t>区间调出</w:t>
            </w:r>
          </w:p>
        </w:tc>
        <w:tc>
          <w:tcPr>
            <w:tcW w:w="2154" w:type="dxa"/>
            <w:gridSpan w:val="2"/>
            <w:tcBorders>
              <w:top w:val="single" w:color="000000" w:sz="8" w:space="0"/>
              <w:left w:val="single" w:color="000000" w:sz="8" w:space="0"/>
              <w:bottom w:val="single" w:color="000000" w:sz="8" w:space="0"/>
              <w:right w:val="single" w:color="000000" w:sz="8" w:space="0"/>
            </w:tcBorders>
            <w:noWrap w:val="0"/>
            <w:vAlign w:val="center"/>
          </w:tcPr>
          <w:p w14:paraId="20D60D54">
            <w:pPr>
              <w:widowControl/>
              <w:jc w:val="center"/>
              <w:rPr>
                <w:rFonts w:cs="宋体"/>
                <w:b/>
                <w:color w:val="000000"/>
                <w:szCs w:val="21"/>
              </w:rPr>
            </w:pPr>
            <w:r>
              <w:rPr>
                <w:rFonts w:hint="eastAsia" w:cs="宋体"/>
                <w:b/>
                <w:color w:val="000000"/>
                <w:szCs w:val="21"/>
              </w:rPr>
              <w:t>外购方</w:t>
            </w:r>
          </w:p>
        </w:tc>
        <w:tc>
          <w:tcPr>
            <w:tcW w:w="2154" w:type="dxa"/>
            <w:gridSpan w:val="2"/>
            <w:tcBorders>
              <w:top w:val="single" w:color="000000" w:sz="8" w:space="0"/>
              <w:left w:val="single" w:color="000000" w:sz="8" w:space="0"/>
              <w:bottom w:val="single" w:color="000000" w:sz="8" w:space="0"/>
              <w:right w:val="single" w:color="000000" w:sz="8" w:space="0"/>
            </w:tcBorders>
            <w:noWrap w:val="0"/>
            <w:vAlign w:val="center"/>
          </w:tcPr>
          <w:p w14:paraId="403A47BB">
            <w:pPr>
              <w:widowControl/>
              <w:jc w:val="center"/>
              <w:rPr>
                <w:rFonts w:cs="宋体"/>
                <w:b/>
                <w:color w:val="000000"/>
                <w:szCs w:val="21"/>
              </w:rPr>
            </w:pPr>
            <w:r>
              <w:rPr>
                <w:rFonts w:hint="eastAsia" w:cs="宋体"/>
                <w:b/>
                <w:color w:val="000000"/>
                <w:szCs w:val="21"/>
              </w:rPr>
              <w:t>弃方</w:t>
            </w:r>
          </w:p>
        </w:tc>
        <w:tc>
          <w:tcPr>
            <w:tcW w:w="1077" w:type="dxa"/>
            <w:vMerge w:val="restart"/>
            <w:tcBorders>
              <w:top w:val="single" w:color="000000" w:sz="8" w:space="0"/>
              <w:left w:val="single" w:color="000000" w:sz="8" w:space="0"/>
              <w:bottom w:val="single" w:color="000000" w:sz="8" w:space="0"/>
              <w:right w:val="single" w:color="000000" w:sz="8" w:space="0"/>
            </w:tcBorders>
            <w:noWrap w:val="0"/>
            <w:vAlign w:val="center"/>
          </w:tcPr>
          <w:p w14:paraId="703158C6">
            <w:pPr>
              <w:widowControl/>
              <w:jc w:val="center"/>
              <w:rPr>
                <w:rFonts w:cs="宋体"/>
                <w:b/>
                <w:color w:val="000000"/>
                <w:szCs w:val="21"/>
              </w:rPr>
            </w:pPr>
            <w:r>
              <w:rPr>
                <w:rFonts w:hint="eastAsia" w:cs="宋体"/>
                <w:b/>
                <w:color w:val="000000"/>
                <w:szCs w:val="21"/>
              </w:rPr>
              <w:t>备注</w:t>
            </w:r>
          </w:p>
        </w:tc>
      </w:tr>
      <w:tr w14:paraId="4983FD82">
        <w:tblPrEx>
          <w:tblCellMar>
            <w:top w:w="0" w:type="dxa"/>
            <w:left w:w="108" w:type="dxa"/>
            <w:bottom w:w="0" w:type="dxa"/>
            <w:right w:w="108" w:type="dxa"/>
          </w:tblCellMar>
        </w:tblPrEx>
        <w:trPr>
          <w:trHeight w:val="517" w:hRule="atLeast"/>
        </w:trPr>
        <w:tc>
          <w:tcPr>
            <w:tcW w:w="698" w:type="dxa"/>
            <w:vMerge w:val="continue"/>
            <w:tcBorders>
              <w:top w:val="single" w:color="000000" w:sz="8" w:space="0"/>
              <w:left w:val="single" w:color="000000" w:sz="8" w:space="0"/>
              <w:bottom w:val="single" w:color="000000" w:sz="8" w:space="0"/>
              <w:right w:val="single" w:color="000000" w:sz="8" w:space="0"/>
            </w:tcBorders>
            <w:noWrap w:val="0"/>
            <w:vAlign w:val="center"/>
          </w:tcPr>
          <w:p w14:paraId="0400C3CA">
            <w:pPr>
              <w:jc w:val="left"/>
              <w:rPr>
                <w:rFonts w:cs="宋体"/>
                <w:b/>
                <w:color w:val="000000"/>
                <w:szCs w:val="21"/>
              </w:rPr>
            </w:pPr>
          </w:p>
        </w:tc>
        <w:tc>
          <w:tcPr>
            <w:tcW w:w="1796" w:type="dxa"/>
            <w:vMerge w:val="continue"/>
            <w:tcBorders>
              <w:top w:val="single" w:color="000000" w:sz="8" w:space="0"/>
              <w:left w:val="single" w:color="000000" w:sz="8" w:space="0"/>
              <w:bottom w:val="single" w:color="000000" w:sz="8" w:space="0"/>
              <w:right w:val="single" w:color="000000" w:sz="8" w:space="0"/>
            </w:tcBorders>
            <w:noWrap w:val="0"/>
            <w:vAlign w:val="center"/>
          </w:tcPr>
          <w:p w14:paraId="5C66B4DB">
            <w:pPr>
              <w:jc w:val="left"/>
              <w:rPr>
                <w:rFonts w:cs="宋体"/>
                <w:b/>
                <w:color w:val="000000"/>
                <w:szCs w:val="21"/>
              </w:rPr>
            </w:pPr>
          </w:p>
        </w:tc>
        <w:tc>
          <w:tcPr>
            <w:tcW w:w="1077" w:type="dxa"/>
            <w:vMerge w:val="continue"/>
            <w:tcBorders>
              <w:top w:val="single" w:color="000000" w:sz="8" w:space="0"/>
              <w:left w:val="single" w:color="000000" w:sz="8" w:space="0"/>
              <w:bottom w:val="single" w:color="000000" w:sz="8" w:space="0"/>
              <w:right w:val="single" w:color="000000" w:sz="8" w:space="0"/>
            </w:tcBorders>
            <w:noWrap w:val="0"/>
            <w:vAlign w:val="center"/>
          </w:tcPr>
          <w:p w14:paraId="5CF4D587">
            <w:pPr>
              <w:jc w:val="left"/>
              <w:rPr>
                <w:rFonts w:cs="宋体"/>
                <w:b/>
                <w:color w:val="000000"/>
                <w:szCs w:val="21"/>
              </w:rPr>
            </w:pPr>
          </w:p>
        </w:tc>
        <w:tc>
          <w:tcPr>
            <w:tcW w:w="1077" w:type="dxa"/>
            <w:vMerge w:val="continue"/>
            <w:tcBorders>
              <w:top w:val="single" w:color="000000" w:sz="8" w:space="0"/>
              <w:left w:val="single" w:color="000000" w:sz="8" w:space="0"/>
              <w:bottom w:val="single" w:color="000000" w:sz="8" w:space="0"/>
              <w:right w:val="single" w:color="000000" w:sz="8" w:space="0"/>
            </w:tcBorders>
            <w:noWrap w:val="0"/>
            <w:vAlign w:val="center"/>
          </w:tcPr>
          <w:p w14:paraId="7280F64B">
            <w:pPr>
              <w:jc w:val="left"/>
              <w:rPr>
                <w:rFonts w:cs="宋体"/>
                <w:b/>
                <w:color w:val="000000"/>
                <w:szCs w:val="21"/>
              </w:rPr>
            </w:pPr>
          </w:p>
        </w:tc>
        <w:tc>
          <w:tcPr>
            <w:tcW w:w="1077" w:type="dxa"/>
            <w:tcBorders>
              <w:top w:val="single" w:color="000000" w:sz="8" w:space="0"/>
              <w:left w:val="single" w:color="000000" w:sz="8" w:space="0"/>
              <w:bottom w:val="single" w:color="000000" w:sz="8" w:space="0"/>
              <w:right w:val="single" w:color="000000" w:sz="8" w:space="0"/>
            </w:tcBorders>
            <w:noWrap w:val="0"/>
            <w:vAlign w:val="center"/>
          </w:tcPr>
          <w:p w14:paraId="1468361D">
            <w:pPr>
              <w:widowControl/>
              <w:jc w:val="center"/>
              <w:rPr>
                <w:rFonts w:cs="宋体"/>
                <w:color w:val="000000"/>
                <w:szCs w:val="21"/>
              </w:rPr>
            </w:pPr>
            <w:r>
              <w:rPr>
                <w:rFonts w:hint="eastAsia" w:cs="宋体"/>
                <w:color w:val="000000"/>
                <w:szCs w:val="21"/>
              </w:rPr>
              <w:t>数量</w:t>
            </w:r>
          </w:p>
        </w:tc>
        <w:tc>
          <w:tcPr>
            <w:tcW w:w="1077" w:type="dxa"/>
            <w:tcBorders>
              <w:top w:val="single" w:color="000000" w:sz="8" w:space="0"/>
              <w:left w:val="single" w:color="000000" w:sz="8" w:space="0"/>
              <w:bottom w:val="single" w:color="000000" w:sz="8" w:space="0"/>
              <w:right w:val="single" w:color="000000" w:sz="8" w:space="0"/>
            </w:tcBorders>
            <w:noWrap w:val="0"/>
            <w:vAlign w:val="center"/>
          </w:tcPr>
          <w:p w14:paraId="0A4E88DF">
            <w:pPr>
              <w:widowControl/>
              <w:jc w:val="center"/>
              <w:rPr>
                <w:rFonts w:cs="宋体"/>
                <w:color w:val="000000"/>
                <w:szCs w:val="21"/>
              </w:rPr>
            </w:pPr>
            <w:r>
              <w:rPr>
                <w:rFonts w:hint="eastAsia" w:cs="宋体"/>
                <w:color w:val="000000"/>
                <w:szCs w:val="21"/>
              </w:rPr>
              <w:t>来源</w:t>
            </w:r>
          </w:p>
        </w:tc>
        <w:tc>
          <w:tcPr>
            <w:tcW w:w="1077" w:type="dxa"/>
            <w:tcBorders>
              <w:top w:val="single" w:color="000000" w:sz="8" w:space="0"/>
              <w:left w:val="single" w:color="000000" w:sz="8" w:space="0"/>
              <w:bottom w:val="single" w:color="000000" w:sz="8" w:space="0"/>
              <w:right w:val="single" w:color="000000" w:sz="8" w:space="0"/>
            </w:tcBorders>
            <w:noWrap w:val="0"/>
            <w:vAlign w:val="center"/>
          </w:tcPr>
          <w:p w14:paraId="482C09BE">
            <w:pPr>
              <w:widowControl/>
              <w:jc w:val="center"/>
              <w:rPr>
                <w:rFonts w:cs="宋体"/>
                <w:color w:val="000000"/>
                <w:szCs w:val="21"/>
              </w:rPr>
            </w:pPr>
            <w:r>
              <w:rPr>
                <w:rFonts w:hint="eastAsia" w:cs="宋体"/>
                <w:color w:val="000000"/>
                <w:szCs w:val="21"/>
              </w:rPr>
              <w:t>数量</w:t>
            </w:r>
          </w:p>
        </w:tc>
        <w:tc>
          <w:tcPr>
            <w:tcW w:w="1077" w:type="dxa"/>
            <w:tcBorders>
              <w:top w:val="single" w:color="000000" w:sz="8" w:space="0"/>
              <w:left w:val="single" w:color="000000" w:sz="8" w:space="0"/>
              <w:bottom w:val="single" w:color="000000" w:sz="8" w:space="0"/>
              <w:right w:val="single" w:color="000000" w:sz="8" w:space="0"/>
            </w:tcBorders>
            <w:noWrap w:val="0"/>
            <w:vAlign w:val="center"/>
          </w:tcPr>
          <w:p w14:paraId="420E1ECA">
            <w:pPr>
              <w:widowControl/>
              <w:jc w:val="center"/>
              <w:rPr>
                <w:rFonts w:cs="宋体"/>
                <w:color w:val="000000"/>
                <w:szCs w:val="21"/>
              </w:rPr>
            </w:pPr>
            <w:r>
              <w:rPr>
                <w:rFonts w:hint="eastAsia" w:cs="宋体"/>
                <w:color w:val="000000"/>
                <w:szCs w:val="21"/>
              </w:rPr>
              <w:t>去向</w:t>
            </w:r>
          </w:p>
        </w:tc>
        <w:tc>
          <w:tcPr>
            <w:tcW w:w="1077" w:type="dxa"/>
            <w:tcBorders>
              <w:top w:val="single" w:color="000000" w:sz="8" w:space="0"/>
              <w:left w:val="single" w:color="000000" w:sz="8" w:space="0"/>
              <w:bottom w:val="single" w:color="000000" w:sz="8" w:space="0"/>
              <w:right w:val="single" w:color="000000" w:sz="8" w:space="0"/>
            </w:tcBorders>
            <w:noWrap w:val="0"/>
            <w:vAlign w:val="center"/>
          </w:tcPr>
          <w:p w14:paraId="77CDEF03">
            <w:pPr>
              <w:widowControl/>
              <w:jc w:val="center"/>
              <w:rPr>
                <w:rFonts w:cs="宋体"/>
                <w:color w:val="000000"/>
                <w:szCs w:val="21"/>
              </w:rPr>
            </w:pPr>
            <w:r>
              <w:rPr>
                <w:rFonts w:hint="eastAsia" w:cs="宋体"/>
                <w:color w:val="000000"/>
                <w:szCs w:val="21"/>
              </w:rPr>
              <w:t>数量</w:t>
            </w:r>
          </w:p>
        </w:tc>
        <w:tc>
          <w:tcPr>
            <w:tcW w:w="1077" w:type="dxa"/>
            <w:tcBorders>
              <w:top w:val="single" w:color="000000" w:sz="8" w:space="0"/>
              <w:left w:val="single" w:color="000000" w:sz="8" w:space="0"/>
              <w:bottom w:val="single" w:color="000000" w:sz="8" w:space="0"/>
              <w:right w:val="single" w:color="000000" w:sz="8" w:space="0"/>
            </w:tcBorders>
            <w:noWrap w:val="0"/>
            <w:vAlign w:val="center"/>
          </w:tcPr>
          <w:p w14:paraId="0D995833">
            <w:pPr>
              <w:widowControl/>
              <w:jc w:val="center"/>
              <w:rPr>
                <w:rFonts w:cs="宋体"/>
                <w:color w:val="000000"/>
                <w:szCs w:val="21"/>
              </w:rPr>
            </w:pPr>
            <w:r>
              <w:rPr>
                <w:rFonts w:hint="eastAsia" w:cs="宋体"/>
                <w:color w:val="000000"/>
                <w:szCs w:val="21"/>
              </w:rPr>
              <w:t>来源</w:t>
            </w:r>
          </w:p>
        </w:tc>
        <w:tc>
          <w:tcPr>
            <w:tcW w:w="1077" w:type="dxa"/>
            <w:tcBorders>
              <w:top w:val="single" w:color="000000" w:sz="8" w:space="0"/>
              <w:left w:val="single" w:color="000000" w:sz="8" w:space="0"/>
              <w:bottom w:val="single" w:color="000000" w:sz="8" w:space="0"/>
              <w:right w:val="single" w:color="000000" w:sz="8" w:space="0"/>
            </w:tcBorders>
            <w:noWrap w:val="0"/>
            <w:vAlign w:val="center"/>
          </w:tcPr>
          <w:p w14:paraId="6619E118">
            <w:pPr>
              <w:widowControl/>
              <w:jc w:val="center"/>
              <w:rPr>
                <w:rFonts w:cs="宋体"/>
                <w:color w:val="000000"/>
                <w:szCs w:val="21"/>
              </w:rPr>
            </w:pPr>
            <w:r>
              <w:rPr>
                <w:rFonts w:hint="eastAsia" w:cs="宋体"/>
                <w:color w:val="000000"/>
                <w:szCs w:val="21"/>
              </w:rPr>
              <w:t>数量</w:t>
            </w:r>
          </w:p>
        </w:tc>
        <w:tc>
          <w:tcPr>
            <w:tcW w:w="1077" w:type="dxa"/>
            <w:tcBorders>
              <w:top w:val="single" w:color="000000" w:sz="8" w:space="0"/>
              <w:left w:val="single" w:color="000000" w:sz="8" w:space="0"/>
              <w:bottom w:val="single" w:color="000000" w:sz="8" w:space="0"/>
              <w:right w:val="single" w:color="000000" w:sz="8" w:space="0"/>
            </w:tcBorders>
            <w:noWrap w:val="0"/>
            <w:vAlign w:val="center"/>
          </w:tcPr>
          <w:p w14:paraId="3F41214E">
            <w:pPr>
              <w:widowControl/>
              <w:jc w:val="center"/>
              <w:rPr>
                <w:rFonts w:cs="宋体"/>
                <w:color w:val="000000"/>
                <w:szCs w:val="21"/>
              </w:rPr>
            </w:pPr>
            <w:r>
              <w:rPr>
                <w:rFonts w:hint="eastAsia" w:cs="宋体"/>
                <w:color w:val="000000"/>
                <w:szCs w:val="21"/>
              </w:rPr>
              <w:t>流向</w:t>
            </w:r>
          </w:p>
        </w:tc>
        <w:tc>
          <w:tcPr>
            <w:tcW w:w="1077" w:type="dxa"/>
            <w:vMerge w:val="continue"/>
            <w:tcBorders>
              <w:top w:val="single" w:color="000000" w:sz="8" w:space="0"/>
              <w:left w:val="single" w:color="000000" w:sz="8" w:space="0"/>
              <w:bottom w:val="single" w:color="000000" w:sz="8" w:space="0"/>
              <w:right w:val="single" w:color="000000" w:sz="8" w:space="0"/>
            </w:tcBorders>
            <w:noWrap w:val="0"/>
            <w:vAlign w:val="center"/>
          </w:tcPr>
          <w:p w14:paraId="75AD47BB">
            <w:pPr>
              <w:jc w:val="left"/>
              <w:rPr>
                <w:rFonts w:cs="宋体"/>
                <w:color w:val="000000"/>
                <w:szCs w:val="21"/>
              </w:rPr>
            </w:pPr>
          </w:p>
        </w:tc>
      </w:tr>
      <w:tr w14:paraId="2ED6A9B2">
        <w:tblPrEx>
          <w:tblCellMar>
            <w:top w:w="0" w:type="dxa"/>
            <w:left w:w="108" w:type="dxa"/>
            <w:bottom w:w="0" w:type="dxa"/>
            <w:right w:w="108" w:type="dxa"/>
          </w:tblCellMar>
        </w:tblPrEx>
        <w:trPr>
          <w:trHeight w:val="1000" w:hRule="atLeast"/>
        </w:trPr>
        <w:tc>
          <w:tcPr>
            <w:tcW w:w="698" w:type="dxa"/>
            <w:tcBorders>
              <w:top w:val="single" w:color="000000" w:sz="8" w:space="0"/>
              <w:left w:val="single" w:color="000000" w:sz="8" w:space="0"/>
              <w:bottom w:val="single" w:color="000000" w:sz="8" w:space="0"/>
              <w:right w:val="single" w:color="000000" w:sz="8" w:space="0"/>
            </w:tcBorders>
            <w:noWrap w:val="0"/>
            <w:vAlign w:val="center"/>
          </w:tcPr>
          <w:p w14:paraId="5B718CB0">
            <w:pPr>
              <w:widowControl/>
              <w:jc w:val="center"/>
              <w:rPr>
                <w:rFonts w:cs="宋体"/>
                <w:color w:val="000000"/>
                <w:szCs w:val="21"/>
              </w:rPr>
            </w:pPr>
            <w:r>
              <w:rPr>
                <w:rFonts w:hint="eastAsia" w:cs="宋体"/>
                <w:color w:val="000000"/>
                <w:szCs w:val="21"/>
              </w:rPr>
              <w:t>一</w:t>
            </w:r>
          </w:p>
        </w:tc>
        <w:tc>
          <w:tcPr>
            <w:tcW w:w="1796" w:type="dxa"/>
            <w:tcBorders>
              <w:top w:val="single" w:color="000000" w:sz="8" w:space="0"/>
              <w:left w:val="single" w:color="000000" w:sz="8" w:space="0"/>
              <w:bottom w:val="single" w:color="000000" w:sz="8" w:space="0"/>
              <w:right w:val="single" w:color="000000" w:sz="8" w:space="0"/>
            </w:tcBorders>
            <w:noWrap w:val="0"/>
            <w:vAlign w:val="center"/>
          </w:tcPr>
          <w:p w14:paraId="20D79C66">
            <w:pPr>
              <w:widowControl/>
              <w:jc w:val="center"/>
              <w:rPr>
                <w:rFonts w:cs="宋体"/>
                <w:color w:val="000000"/>
                <w:szCs w:val="21"/>
              </w:rPr>
            </w:pPr>
            <w:r>
              <w:rPr>
                <w:rFonts w:hint="eastAsia" w:cs="宋体"/>
                <w:color w:val="000000"/>
                <w:szCs w:val="21"/>
              </w:rPr>
              <w:t>建筑物区</w:t>
            </w:r>
          </w:p>
        </w:tc>
        <w:tc>
          <w:tcPr>
            <w:tcW w:w="1077" w:type="dxa"/>
            <w:tcBorders>
              <w:top w:val="single" w:color="000000" w:sz="8" w:space="0"/>
              <w:left w:val="single" w:color="000000" w:sz="8" w:space="0"/>
              <w:bottom w:val="single" w:color="000000" w:sz="8" w:space="0"/>
              <w:right w:val="single" w:color="000000" w:sz="8" w:space="0"/>
            </w:tcBorders>
            <w:noWrap w:val="0"/>
            <w:vAlign w:val="center"/>
          </w:tcPr>
          <w:p w14:paraId="42BEFB5D">
            <w:pPr>
              <w:jc w:val="center"/>
              <w:rPr>
                <w:color w:val="000000"/>
                <w:szCs w:val="21"/>
              </w:rPr>
            </w:pPr>
            <w:r>
              <w:rPr>
                <w:rFonts w:hint="eastAsia"/>
                <w:color w:val="000000"/>
                <w:szCs w:val="21"/>
              </w:rPr>
              <w:t>8.2</w:t>
            </w:r>
          </w:p>
        </w:tc>
        <w:tc>
          <w:tcPr>
            <w:tcW w:w="1077" w:type="dxa"/>
            <w:tcBorders>
              <w:top w:val="single" w:color="000000" w:sz="8" w:space="0"/>
              <w:left w:val="single" w:color="000000" w:sz="8" w:space="0"/>
              <w:bottom w:val="single" w:color="000000" w:sz="8" w:space="0"/>
              <w:right w:val="single" w:color="000000" w:sz="8" w:space="0"/>
            </w:tcBorders>
            <w:noWrap w:val="0"/>
            <w:vAlign w:val="center"/>
          </w:tcPr>
          <w:p w14:paraId="32A612CA">
            <w:pPr>
              <w:jc w:val="center"/>
              <w:rPr>
                <w:color w:val="000000"/>
                <w:szCs w:val="21"/>
              </w:rPr>
            </w:pPr>
            <w:r>
              <w:rPr>
                <w:rFonts w:hint="eastAsia"/>
                <w:color w:val="000000"/>
                <w:szCs w:val="21"/>
              </w:rPr>
              <w:t>3.42</w:t>
            </w:r>
          </w:p>
        </w:tc>
        <w:tc>
          <w:tcPr>
            <w:tcW w:w="1077" w:type="dxa"/>
            <w:tcBorders>
              <w:top w:val="single" w:color="000000" w:sz="8" w:space="0"/>
              <w:left w:val="single" w:color="000000" w:sz="8" w:space="0"/>
              <w:bottom w:val="single" w:color="000000" w:sz="8" w:space="0"/>
              <w:right w:val="single" w:color="000000" w:sz="8" w:space="0"/>
            </w:tcBorders>
            <w:noWrap w:val="0"/>
            <w:vAlign w:val="center"/>
          </w:tcPr>
          <w:p w14:paraId="3838A28B">
            <w:pPr>
              <w:jc w:val="center"/>
              <w:rPr>
                <w:rFonts w:cs="宋体"/>
                <w:color w:val="000000"/>
                <w:szCs w:val="21"/>
              </w:rPr>
            </w:pPr>
            <w:r>
              <w:rPr>
                <w:rFonts w:hint="eastAsia"/>
                <w:color w:val="000000"/>
                <w:szCs w:val="21"/>
              </w:rPr>
              <w:t>　</w:t>
            </w:r>
          </w:p>
        </w:tc>
        <w:tc>
          <w:tcPr>
            <w:tcW w:w="1077" w:type="dxa"/>
            <w:tcBorders>
              <w:top w:val="single" w:color="000000" w:sz="8" w:space="0"/>
              <w:left w:val="single" w:color="000000" w:sz="8" w:space="0"/>
              <w:bottom w:val="single" w:color="000000" w:sz="8" w:space="0"/>
              <w:right w:val="single" w:color="000000" w:sz="8" w:space="0"/>
            </w:tcBorders>
            <w:noWrap w:val="0"/>
            <w:vAlign w:val="center"/>
          </w:tcPr>
          <w:p w14:paraId="465BB178">
            <w:pPr>
              <w:jc w:val="center"/>
              <w:rPr>
                <w:rFonts w:cs="宋体"/>
                <w:color w:val="000000"/>
                <w:szCs w:val="21"/>
              </w:rPr>
            </w:pPr>
            <w:r>
              <w:rPr>
                <w:rFonts w:hint="eastAsia"/>
                <w:color w:val="000000"/>
                <w:szCs w:val="21"/>
              </w:rPr>
              <w:t>　</w:t>
            </w:r>
          </w:p>
        </w:tc>
        <w:tc>
          <w:tcPr>
            <w:tcW w:w="1077" w:type="dxa"/>
            <w:tcBorders>
              <w:top w:val="single" w:color="000000" w:sz="8" w:space="0"/>
              <w:left w:val="single" w:color="000000" w:sz="8" w:space="0"/>
              <w:bottom w:val="single" w:color="000000" w:sz="8" w:space="0"/>
              <w:right w:val="single" w:color="000000" w:sz="8" w:space="0"/>
            </w:tcBorders>
            <w:noWrap w:val="0"/>
            <w:vAlign w:val="center"/>
          </w:tcPr>
          <w:p w14:paraId="70C1089F">
            <w:pPr>
              <w:jc w:val="center"/>
              <w:rPr>
                <w:color w:val="000000"/>
                <w:szCs w:val="21"/>
              </w:rPr>
            </w:pPr>
            <w:r>
              <w:rPr>
                <w:rFonts w:hint="eastAsia"/>
                <w:color w:val="000000"/>
                <w:szCs w:val="21"/>
              </w:rPr>
              <w:t>4.78</w:t>
            </w:r>
          </w:p>
        </w:tc>
        <w:tc>
          <w:tcPr>
            <w:tcW w:w="1077" w:type="dxa"/>
            <w:tcBorders>
              <w:top w:val="single" w:color="000000" w:sz="8" w:space="0"/>
              <w:left w:val="single" w:color="000000" w:sz="8" w:space="0"/>
              <w:bottom w:val="single" w:color="000000" w:sz="8" w:space="0"/>
              <w:right w:val="single" w:color="000000" w:sz="8" w:space="0"/>
            </w:tcBorders>
            <w:noWrap w:val="0"/>
            <w:vAlign w:val="center"/>
          </w:tcPr>
          <w:p w14:paraId="2A479DA4">
            <w:pPr>
              <w:rPr>
                <w:rFonts w:cs="宋体"/>
                <w:color w:val="000000"/>
                <w:szCs w:val="21"/>
              </w:rPr>
            </w:pPr>
            <w:r>
              <w:rPr>
                <w:rFonts w:cs="宋体"/>
                <w:color w:val="000000"/>
                <w:szCs w:val="21"/>
              </w:rPr>
              <w:t>绿化区</w:t>
            </w:r>
            <w:r>
              <w:rPr>
                <w:rFonts w:hint="eastAsia" w:cs="宋体"/>
                <w:color w:val="000000"/>
                <w:szCs w:val="21"/>
              </w:rPr>
              <w:t>1</w:t>
            </w:r>
            <w:r>
              <w:rPr>
                <w:rFonts w:cs="宋体"/>
                <w:color w:val="000000"/>
                <w:szCs w:val="21"/>
              </w:rPr>
              <w:t>.32</w:t>
            </w:r>
          </w:p>
        </w:tc>
        <w:tc>
          <w:tcPr>
            <w:tcW w:w="1077" w:type="dxa"/>
            <w:tcBorders>
              <w:top w:val="single" w:color="000000" w:sz="8" w:space="0"/>
              <w:left w:val="single" w:color="000000" w:sz="8" w:space="0"/>
              <w:bottom w:val="single" w:color="000000" w:sz="8" w:space="0"/>
              <w:right w:val="single" w:color="000000" w:sz="8" w:space="0"/>
            </w:tcBorders>
            <w:noWrap w:val="0"/>
            <w:vAlign w:val="center"/>
          </w:tcPr>
          <w:p w14:paraId="7DEB00CF">
            <w:pPr>
              <w:jc w:val="right"/>
              <w:rPr>
                <w:rFonts w:cs="宋体"/>
                <w:color w:val="000000"/>
                <w:szCs w:val="21"/>
              </w:rPr>
            </w:pPr>
            <w:r>
              <w:rPr>
                <w:rFonts w:hint="eastAsia"/>
                <w:color w:val="000000"/>
                <w:szCs w:val="21"/>
              </w:rPr>
              <w:t>　</w:t>
            </w:r>
          </w:p>
        </w:tc>
        <w:tc>
          <w:tcPr>
            <w:tcW w:w="1077" w:type="dxa"/>
            <w:tcBorders>
              <w:top w:val="single" w:color="000000" w:sz="8" w:space="0"/>
              <w:left w:val="single" w:color="000000" w:sz="8" w:space="0"/>
              <w:bottom w:val="single" w:color="000000" w:sz="8" w:space="0"/>
              <w:right w:val="single" w:color="000000" w:sz="8" w:space="0"/>
            </w:tcBorders>
            <w:noWrap w:val="0"/>
            <w:vAlign w:val="center"/>
          </w:tcPr>
          <w:p w14:paraId="401FCF56">
            <w:pPr>
              <w:jc w:val="center"/>
              <w:rPr>
                <w:rFonts w:cs="宋体"/>
                <w:color w:val="000000"/>
                <w:szCs w:val="21"/>
              </w:rPr>
            </w:pPr>
            <w:r>
              <w:rPr>
                <w:rFonts w:hint="eastAsia"/>
                <w:color w:val="000000"/>
                <w:szCs w:val="21"/>
              </w:rPr>
              <w:t>　</w:t>
            </w:r>
          </w:p>
        </w:tc>
        <w:tc>
          <w:tcPr>
            <w:tcW w:w="1077" w:type="dxa"/>
            <w:tcBorders>
              <w:top w:val="single" w:color="000000" w:sz="8" w:space="0"/>
              <w:left w:val="single" w:color="000000" w:sz="8" w:space="0"/>
              <w:bottom w:val="single" w:color="000000" w:sz="8" w:space="0"/>
              <w:right w:val="single" w:color="000000" w:sz="8" w:space="0"/>
            </w:tcBorders>
            <w:noWrap w:val="0"/>
            <w:vAlign w:val="center"/>
          </w:tcPr>
          <w:p w14:paraId="59FFB3D6">
            <w:pPr>
              <w:jc w:val="center"/>
              <w:rPr>
                <w:rFonts w:cs="宋体"/>
                <w:color w:val="000000"/>
                <w:szCs w:val="21"/>
              </w:rPr>
            </w:pPr>
            <w:r>
              <w:rPr>
                <w:rFonts w:hint="eastAsia"/>
                <w:color w:val="000000"/>
                <w:szCs w:val="21"/>
              </w:rPr>
              <w:t>3.46　</w:t>
            </w:r>
          </w:p>
        </w:tc>
        <w:tc>
          <w:tcPr>
            <w:tcW w:w="1077" w:type="dxa"/>
            <w:tcBorders>
              <w:top w:val="single" w:color="000000" w:sz="8" w:space="0"/>
              <w:left w:val="single" w:color="000000" w:sz="8" w:space="0"/>
              <w:bottom w:val="single" w:color="000000" w:sz="8" w:space="0"/>
              <w:right w:val="single" w:color="000000" w:sz="8" w:space="0"/>
            </w:tcBorders>
            <w:noWrap w:val="0"/>
            <w:vAlign w:val="center"/>
          </w:tcPr>
          <w:p w14:paraId="5BA1AEEB">
            <w:pPr>
              <w:jc w:val="center"/>
              <w:rPr>
                <w:rFonts w:cs="宋体"/>
                <w:color w:val="000000"/>
                <w:szCs w:val="21"/>
              </w:rPr>
            </w:pPr>
            <w:r>
              <w:rPr>
                <w:rFonts w:hint="eastAsia"/>
                <w:color w:val="000000"/>
                <w:szCs w:val="21"/>
              </w:rPr>
              <w:t>外运至芒市城市指定地点堆放</w:t>
            </w:r>
          </w:p>
        </w:tc>
        <w:tc>
          <w:tcPr>
            <w:tcW w:w="1077" w:type="dxa"/>
            <w:vMerge w:val="restart"/>
            <w:tcBorders>
              <w:top w:val="single" w:color="000000" w:sz="8" w:space="0"/>
              <w:left w:val="single" w:color="000000" w:sz="8" w:space="0"/>
              <w:bottom w:val="single" w:color="000000" w:sz="8" w:space="0"/>
              <w:right w:val="single" w:color="000000" w:sz="8" w:space="0"/>
            </w:tcBorders>
            <w:noWrap w:val="0"/>
            <w:vAlign w:val="center"/>
          </w:tcPr>
          <w:p w14:paraId="3C64E34D">
            <w:pPr>
              <w:widowControl/>
              <w:jc w:val="center"/>
              <w:rPr>
                <w:rFonts w:cs="宋体"/>
                <w:color w:val="000000"/>
                <w:szCs w:val="21"/>
              </w:rPr>
            </w:pPr>
            <w:r>
              <w:rPr>
                <w:rFonts w:hint="eastAsia" w:cs="宋体"/>
                <w:color w:val="000000"/>
                <w:szCs w:val="21"/>
              </w:rPr>
              <w:t>　</w:t>
            </w:r>
          </w:p>
          <w:p w14:paraId="6A01020A">
            <w:pPr>
              <w:widowControl/>
              <w:jc w:val="center"/>
              <w:rPr>
                <w:rFonts w:cs="宋体"/>
                <w:color w:val="000000"/>
                <w:szCs w:val="21"/>
              </w:rPr>
            </w:pPr>
            <w:r>
              <w:rPr>
                <w:rFonts w:hint="eastAsia"/>
                <w:color w:val="000000"/>
                <w:szCs w:val="21"/>
              </w:rPr>
              <w:t>　</w:t>
            </w:r>
          </w:p>
        </w:tc>
      </w:tr>
      <w:tr w14:paraId="0C1DDEB1">
        <w:tblPrEx>
          <w:tblCellMar>
            <w:top w:w="0" w:type="dxa"/>
            <w:left w:w="108" w:type="dxa"/>
            <w:bottom w:w="0" w:type="dxa"/>
            <w:right w:w="108" w:type="dxa"/>
          </w:tblCellMar>
        </w:tblPrEx>
        <w:trPr>
          <w:trHeight w:val="517" w:hRule="atLeast"/>
        </w:trPr>
        <w:tc>
          <w:tcPr>
            <w:tcW w:w="698" w:type="dxa"/>
            <w:tcBorders>
              <w:top w:val="single" w:color="000000" w:sz="8" w:space="0"/>
              <w:left w:val="single" w:color="000000" w:sz="8" w:space="0"/>
              <w:bottom w:val="single" w:color="000000" w:sz="8" w:space="0"/>
              <w:right w:val="single" w:color="000000" w:sz="8" w:space="0"/>
            </w:tcBorders>
            <w:noWrap w:val="0"/>
            <w:vAlign w:val="center"/>
          </w:tcPr>
          <w:p w14:paraId="1D621523">
            <w:pPr>
              <w:widowControl/>
              <w:jc w:val="center"/>
              <w:rPr>
                <w:rFonts w:cs="宋体"/>
                <w:color w:val="000000"/>
                <w:szCs w:val="21"/>
              </w:rPr>
            </w:pPr>
            <w:r>
              <w:rPr>
                <w:rFonts w:hint="eastAsia" w:cs="宋体"/>
                <w:color w:val="000000"/>
                <w:szCs w:val="21"/>
              </w:rPr>
              <w:t>二</w:t>
            </w:r>
          </w:p>
        </w:tc>
        <w:tc>
          <w:tcPr>
            <w:tcW w:w="1796" w:type="dxa"/>
            <w:tcBorders>
              <w:top w:val="single" w:color="000000" w:sz="8" w:space="0"/>
              <w:left w:val="single" w:color="000000" w:sz="8" w:space="0"/>
              <w:bottom w:val="single" w:color="000000" w:sz="8" w:space="0"/>
              <w:right w:val="single" w:color="000000" w:sz="8" w:space="0"/>
            </w:tcBorders>
            <w:noWrap w:val="0"/>
            <w:vAlign w:val="center"/>
          </w:tcPr>
          <w:p w14:paraId="04496BBE">
            <w:pPr>
              <w:widowControl/>
              <w:jc w:val="center"/>
              <w:rPr>
                <w:rFonts w:cs="宋体"/>
                <w:color w:val="000000"/>
                <w:szCs w:val="21"/>
              </w:rPr>
            </w:pPr>
            <w:r>
              <w:rPr>
                <w:rFonts w:hint="eastAsia" w:cs="宋体"/>
                <w:color w:val="000000"/>
                <w:szCs w:val="21"/>
              </w:rPr>
              <w:t>道路区</w:t>
            </w:r>
          </w:p>
        </w:tc>
        <w:tc>
          <w:tcPr>
            <w:tcW w:w="1077" w:type="dxa"/>
            <w:tcBorders>
              <w:top w:val="single" w:color="000000" w:sz="8" w:space="0"/>
              <w:left w:val="single" w:color="000000" w:sz="8" w:space="0"/>
              <w:bottom w:val="single" w:color="000000" w:sz="8" w:space="0"/>
              <w:right w:val="single" w:color="000000" w:sz="8" w:space="0"/>
            </w:tcBorders>
            <w:noWrap w:val="0"/>
            <w:vAlign w:val="center"/>
          </w:tcPr>
          <w:p w14:paraId="67743D30">
            <w:pPr>
              <w:jc w:val="center"/>
              <w:rPr>
                <w:rFonts w:cs="宋体"/>
                <w:color w:val="000000"/>
                <w:szCs w:val="21"/>
              </w:rPr>
            </w:pPr>
            <w:r>
              <w:rPr>
                <w:rFonts w:hint="eastAsia"/>
                <w:color w:val="000000"/>
                <w:szCs w:val="21"/>
              </w:rPr>
              <w:t xml:space="preserve">1.12 </w:t>
            </w:r>
          </w:p>
        </w:tc>
        <w:tc>
          <w:tcPr>
            <w:tcW w:w="1077" w:type="dxa"/>
            <w:tcBorders>
              <w:top w:val="single" w:color="000000" w:sz="8" w:space="0"/>
              <w:left w:val="single" w:color="000000" w:sz="8" w:space="0"/>
              <w:bottom w:val="single" w:color="000000" w:sz="8" w:space="0"/>
              <w:right w:val="single" w:color="000000" w:sz="8" w:space="0"/>
            </w:tcBorders>
            <w:noWrap w:val="0"/>
            <w:vAlign w:val="center"/>
          </w:tcPr>
          <w:p w14:paraId="6AD69D11">
            <w:pPr>
              <w:jc w:val="center"/>
              <w:rPr>
                <w:rFonts w:cs="宋体"/>
                <w:color w:val="000000"/>
                <w:szCs w:val="21"/>
              </w:rPr>
            </w:pPr>
            <w:r>
              <w:rPr>
                <w:rFonts w:hint="eastAsia"/>
                <w:color w:val="000000"/>
                <w:szCs w:val="21"/>
              </w:rPr>
              <w:t xml:space="preserve">1.12 </w:t>
            </w:r>
          </w:p>
        </w:tc>
        <w:tc>
          <w:tcPr>
            <w:tcW w:w="1077" w:type="dxa"/>
            <w:tcBorders>
              <w:top w:val="single" w:color="000000" w:sz="8" w:space="0"/>
              <w:left w:val="single" w:color="000000" w:sz="8" w:space="0"/>
              <w:bottom w:val="single" w:color="000000" w:sz="8" w:space="0"/>
              <w:right w:val="single" w:color="000000" w:sz="8" w:space="0"/>
            </w:tcBorders>
            <w:noWrap w:val="0"/>
            <w:vAlign w:val="center"/>
          </w:tcPr>
          <w:p w14:paraId="2CCF071D">
            <w:pPr>
              <w:jc w:val="center"/>
              <w:rPr>
                <w:rFonts w:cs="宋体"/>
                <w:color w:val="000000"/>
                <w:szCs w:val="21"/>
              </w:rPr>
            </w:pPr>
            <w:r>
              <w:rPr>
                <w:rFonts w:hint="eastAsia"/>
                <w:color w:val="000000"/>
                <w:szCs w:val="21"/>
              </w:rPr>
              <w:t>　</w:t>
            </w:r>
          </w:p>
        </w:tc>
        <w:tc>
          <w:tcPr>
            <w:tcW w:w="1077" w:type="dxa"/>
            <w:tcBorders>
              <w:top w:val="single" w:color="000000" w:sz="8" w:space="0"/>
              <w:left w:val="single" w:color="000000" w:sz="8" w:space="0"/>
              <w:bottom w:val="single" w:color="000000" w:sz="8" w:space="0"/>
              <w:right w:val="single" w:color="000000" w:sz="8" w:space="0"/>
            </w:tcBorders>
            <w:noWrap w:val="0"/>
            <w:vAlign w:val="center"/>
          </w:tcPr>
          <w:p w14:paraId="58C739CC">
            <w:pPr>
              <w:jc w:val="center"/>
              <w:rPr>
                <w:rFonts w:cs="宋体"/>
                <w:color w:val="000000"/>
                <w:szCs w:val="21"/>
              </w:rPr>
            </w:pPr>
            <w:r>
              <w:rPr>
                <w:rFonts w:hint="eastAsia"/>
                <w:color w:val="000000"/>
                <w:szCs w:val="21"/>
              </w:rPr>
              <w:t>　</w:t>
            </w:r>
          </w:p>
        </w:tc>
        <w:tc>
          <w:tcPr>
            <w:tcW w:w="1077" w:type="dxa"/>
            <w:tcBorders>
              <w:top w:val="single" w:color="000000" w:sz="8" w:space="0"/>
              <w:left w:val="single" w:color="000000" w:sz="8" w:space="0"/>
              <w:bottom w:val="single" w:color="000000" w:sz="8" w:space="0"/>
              <w:right w:val="single" w:color="000000" w:sz="8" w:space="0"/>
            </w:tcBorders>
            <w:noWrap w:val="0"/>
            <w:vAlign w:val="center"/>
          </w:tcPr>
          <w:p w14:paraId="69CF307C">
            <w:pPr>
              <w:jc w:val="center"/>
              <w:rPr>
                <w:rFonts w:cs="宋体"/>
                <w:color w:val="000000"/>
                <w:szCs w:val="21"/>
              </w:rPr>
            </w:pPr>
            <w:r>
              <w:rPr>
                <w:rFonts w:hint="eastAsia"/>
                <w:color w:val="000000"/>
                <w:szCs w:val="21"/>
              </w:rPr>
              <w:t>　</w:t>
            </w:r>
          </w:p>
        </w:tc>
        <w:tc>
          <w:tcPr>
            <w:tcW w:w="1077" w:type="dxa"/>
            <w:tcBorders>
              <w:top w:val="single" w:color="000000" w:sz="8" w:space="0"/>
              <w:left w:val="single" w:color="000000" w:sz="8" w:space="0"/>
              <w:bottom w:val="single" w:color="000000" w:sz="8" w:space="0"/>
              <w:right w:val="single" w:color="000000" w:sz="8" w:space="0"/>
            </w:tcBorders>
            <w:noWrap w:val="0"/>
            <w:vAlign w:val="center"/>
          </w:tcPr>
          <w:p w14:paraId="4533660F">
            <w:pPr>
              <w:jc w:val="center"/>
              <w:rPr>
                <w:rFonts w:cs="宋体"/>
                <w:color w:val="000000"/>
                <w:szCs w:val="21"/>
              </w:rPr>
            </w:pPr>
            <w:r>
              <w:rPr>
                <w:rFonts w:hint="eastAsia"/>
                <w:color w:val="000000"/>
                <w:szCs w:val="21"/>
              </w:rPr>
              <w:t>　</w:t>
            </w:r>
          </w:p>
        </w:tc>
        <w:tc>
          <w:tcPr>
            <w:tcW w:w="1077" w:type="dxa"/>
            <w:tcBorders>
              <w:top w:val="single" w:color="000000" w:sz="8" w:space="0"/>
              <w:left w:val="single" w:color="000000" w:sz="8" w:space="0"/>
              <w:bottom w:val="single" w:color="000000" w:sz="8" w:space="0"/>
              <w:right w:val="single" w:color="000000" w:sz="8" w:space="0"/>
            </w:tcBorders>
            <w:noWrap w:val="0"/>
            <w:vAlign w:val="center"/>
          </w:tcPr>
          <w:p w14:paraId="79CF5F51">
            <w:pPr>
              <w:ind w:right="210"/>
              <w:jc w:val="right"/>
              <w:rPr>
                <w:rFonts w:cs="宋体"/>
                <w:color w:val="000000"/>
                <w:szCs w:val="21"/>
              </w:rPr>
            </w:pPr>
            <w:r>
              <w:rPr>
                <w:rFonts w:hint="eastAsia"/>
                <w:color w:val="000000"/>
                <w:szCs w:val="21"/>
              </w:rPr>
              <w:t>　　</w:t>
            </w:r>
          </w:p>
        </w:tc>
        <w:tc>
          <w:tcPr>
            <w:tcW w:w="1077" w:type="dxa"/>
            <w:tcBorders>
              <w:top w:val="single" w:color="000000" w:sz="8" w:space="0"/>
              <w:left w:val="single" w:color="000000" w:sz="8" w:space="0"/>
              <w:bottom w:val="single" w:color="000000" w:sz="8" w:space="0"/>
              <w:right w:val="single" w:color="000000" w:sz="8" w:space="0"/>
            </w:tcBorders>
            <w:noWrap w:val="0"/>
            <w:vAlign w:val="center"/>
          </w:tcPr>
          <w:p w14:paraId="66B75964">
            <w:pPr>
              <w:jc w:val="center"/>
              <w:rPr>
                <w:rFonts w:cs="宋体"/>
                <w:color w:val="000000"/>
                <w:szCs w:val="21"/>
              </w:rPr>
            </w:pPr>
            <w:r>
              <w:rPr>
                <w:rFonts w:hint="eastAsia"/>
                <w:color w:val="000000"/>
                <w:szCs w:val="21"/>
              </w:rPr>
              <w:t>　</w:t>
            </w:r>
          </w:p>
        </w:tc>
        <w:tc>
          <w:tcPr>
            <w:tcW w:w="1077" w:type="dxa"/>
            <w:tcBorders>
              <w:top w:val="single" w:color="000000" w:sz="8" w:space="0"/>
              <w:left w:val="single" w:color="000000" w:sz="8" w:space="0"/>
              <w:bottom w:val="single" w:color="000000" w:sz="8" w:space="0"/>
              <w:right w:val="single" w:color="000000" w:sz="8" w:space="0"/>
            </w:tcBorders>
            <w:noWrap w:val="0"/>
            <w:vAlign w:val="center"/>
          </w:tcPr>
          <w:p w14:paraId="5F97AB4F">
            <w:pPr>
              <w:jc w:val="center"/>
              <w:rPr>
                <w:rFonts w:cs="宋体"/>
                <w:color w:val="000000"/>
                <w:szCs w:val="21"/>
              </w:rPr>
            </w:pPr>
            <w:r>
              <w:rPr>
                <w:rFonts w:hint="eastAsia"/>
                <w:color w:val="000000"/>
                <w:szCs w:val="21"/>
              </w:rPr>
              <w:t>　</w:t>
            </w:r>
          </w:p>
        </w:tc>
        <w:tc>
          <w:tcPr>
            <w:tcW w:w="1077" w:type="dxa"/>
            <w:tcBorders>
              <w:top w:val="single" w:color="000000" w:sz="8" w:space="0"/>
              <w:left w:val="single" w:color="000000" w:sz="8" w:space="0"/>
              <w:bottom w:val="single" w:color="000000" w:sz="8" w:space="0"/>
              <w:right w:val="single" w:color="000000" w:sz="8" w:space="0"/>
            </w:tcBorders>
            <w:noWrap w:val="0"/>
            <w:vAlign w:val="center"/>
          </w:tcPr>
          <w:p w14:paraId="1ACA20B8">
            <w:pPr>
              <w:rPr>
                <w:rFonts w:cs="宋体"/>
                <w:color w:val="000000"/>
                <w:szCs w:val="21"/>
              </w:rPr>
            </w:pPr>
            <w:r>
              <w:rPr>
                <w:rFonts w:hint="eastAsia"/>
                <w:color w:val="000000"/>
                <w:szCs w:val="21"/>
              </w:rPr>
              <w:t>　</w:t>
            </w:r>
          </w:p>
        </w:tc>
        <w:tc>
          <w:tcPr>
            <w:tcW w:w="1077" w:type="dxa"/>
            <w:vMerge w:val="continue"/>
            <w:tcBorders>
              <w:top w:val="single" w:color="000000" w:sz="8" w:space="0"/>
              <w:left w:val="single" w:color="000000" w:sz="8" w:space="0"/>
              <w:bottom w:val="single" w:color="000000" w:sz="8" w:space="0"/>
              <w:right w:val="single" w:color="000000" w:sz="8" w:space="0"/>
            </w:tcBorders>
            <w:noWrap w:val="0"/>
            <w:vAlign w:val="center"/>
          </w:tcPr>
          <w:p w14:paraId="0BF8B772">
            <w:pPr>
              <w:jc w:val="left"/>
              <w:rPr>
                <w:rFonts w:cs="宋体"/>
                <w:color w:val="000000"/>
                <w:szCs w:val="21"/>
              </w:rPr>
            </w:pPr>
          </w:p>
        </w:tc>
      </w:tr>
      <w:tr w14:paraId="7F71D3B3">
        <w:tblPrEx>
          <w:tblCellMar>
            <w:top w:w="0" w:type="dxa"/>
            <w:left w:w="108" w:type="dxa"/>
            <w:bottom w:w="0" w:type="dxa"/>
            <w:right w:w="108" w:type="dxa"/>
          </w:tblCellMar>
        </w:tblPrEx>
        <w:trPr>
          <w:trHeight w:val="517" w:hRule="atLeast"/>
        </w:trPr>
        <w:tc>
          <w:tcPr>
            <w:tcW w:w="698" w:type="dxa"/>
            <w:tcBorders>
              <w:top w:val="single" w:color="000000" w:sz="8" w:space="0"/>
              <w:left w:val="single" w:color="000000" w:sz="8" w:space="0"/>
              <w:bottom w:val="single" w:color="000000" w:sz="8" w:space="0"/>
              <w:right w:val="single" w:color="000000" w:sz="8" w:space="0"/>
            </w:tcBorders>
            <w:noWrap w:val="0"/>
            <w:vAlign w:val="center"/>
          </w:tcPr>
          <w:p w14:paraId="22E995A0">
            <w:pPr>
              <w:widowControl/>
              <w:jc w:val="center"/>
              <w:rPr>
                <w:rFonts w:cs="宋体"/>
                <w:color w:val="000000"/>
                <w:szCs w:val="21"/>
              </w:rPr>
            </w:pPr>
            <w:r>
              <w:rPr>
                <w:rFonts w:hint="eastAsia" w:cs="宋体"/>
                <w:color w:val="000000"/>
                <w:szCs w:val="21"/>
              </w:rPr>
              <w:t>三</w:t>
            </w:r>
          </w:p>
        </w:tc>
        <w:tc>
          <w:tcPr>
            <w:tcW w:w="1796" w:type="dxa"/>
            <w:tcBorders>
              <w:top w:val="single" w:color="000000" w:sz="8" w:space="0"/>
              <w:left w:val="single" w:color="000000" w:sz="8" w:space="0"/>
              <w:bottom w:val="single" w:color="000000" w:sz="8" w:space="0"/>
              <w:right w:val="single" w:color="000000" w:sz="8" w:space="0"/>
            </w:tcBorders>
            <w:noWrap w:val="0"/>
            <w:vAlign w:val="center"/>
          </w:tcPr>
          <w:p w14:paraId="40C40B34">
            <w:pPr>
              <w:widowControl/>
              <w:jc w:val="center"/>
              <w:rPr>
                <w:rFonts w:cs="宋体"/>
                <w:color w:val="000000"/>
                <w:szCs w:val="21"/>
              </w:rPr>
            </w:pPr>
            <w:r>
              <w:rPr>
                <w:rFonts w:hint="eastAsia" w:cs="宋体"/>
                <w:color w:val="000000"/>
                <w:szCs w:val="21"/>
              </w:rPr>
              <w:t>绿化区</w:t>
            </w:r>
          </w:p>
        </w:tc>
        <w:tc>
          <w:tcPr>
            <w:tcW w:w="1077" w:type="dxa"/>
            <w:tcBorders>
              <w:top w:val="single" w:color="000000" w:sz="8" w:space="0"/>
              <w:left w:val="single" w:color="000000" w:sz="8" w:space="0"/>
              <w:bottom w:val="single" w:color="000000" w:sz="8" w:space="0"/>
              <w:right w:val="single" w:color="000000" w:sz="8" w:space="0"/>
            </w:tcBorders>
            <w:noWrap w:val="0"/>
            <w:vAlign w:val="center"/>
          </w:tcPr>
          <w:p w14:paraId="77673322">
            <w:pPr>
              <w:jc w:val="center"/>
              <w:rPr>
                <w:rFonts w:cs="宋体"/>
                <w:color w:val="000000"/>
                <w:szCs w:val="21"/>
              </w:rPr>
            </w:pPr>
            <w:r>
              <w:rPr>
                <w:rFonts w:hint="eastAsia"/>
                <w:color w:val="000000"/>
                <w:szCs w:val="21"/>
              </w:rPr>
              <w:t xml:space="preserve">1.32 </w:t>
            </w:r>
          </w:p>
        </w:tc>
        <w:tc>
          <w:tcPr>
            <w:tcW w:w="1077" w:type="dxa"/>
            <w:tcBorders>
              <w:top w:val="single" w:color="000000" w:sz="8" w:space="0"/>
              <w:left w:val="single" w:color="000000" w:sz="8" w:space="0"/>
              <w:bottom w:val="single" w:color="000000" w:sz="8" w:space="0"/>
              <w:right w:val="single" w:color="000000" w:sz="8" w:space="0"/>
            </w:tcBorders>
            <w:noWrap w:val="0"/>
            <w:vAlign w:val="center"/>
          </w:tcPr>
          <w:p w14:paraId="2A1F4A91">
            <w:pPr>
              <w:jc w:val="center"/>
              <w:rPr>
                <w:rFonts w:cs="宋体"/>
                <w:color w:val="000000"/>
                <w:szCs w:val="21"/>
              </w:rPr>
            </w:pPr>
            <w:r>
              <w:rPr>
                <w:rFonts w:hint="eastAsia"/>
                <w:color w:val="000000"/>
                <w:szCs w:val="21"/>
              </w:rPr>
              <w:t xml:space="preserve">1.68 </w:t>
            </w:r>
          </w:p>
        </w:tc>
        <w:tc>
          <w:tcPr>
            <w:tcW w:w="1077" w:type="dxa"/>
            <w:tcBorders>
              <w:top w:val="single" w:color="000000" w:sz="8" w:space="0"/>
              <w:left w:val="single" w:color="000000" w:sz="8" w:space="0"/>
              <w:bottom w:val="single" w:color="000000" w:sz="8" w:space="0"/>
              <w:right w:val="single" w:color="000000" w:sz="8" w:space="0"/>
            </w:tcBorders>
            <w:noWrap w:val="0"/>
            <w:vAlign w:val="center"/>
          </w:tcPr>
          <w:p w14:paraId="5F4F1444">
            <w:pPr>
              <w:jc w:val="center"/>
              <w:rPr>
                <w:rFonts w:cs="宋体"/>
                <w:color w:val="000000"/>
                <w:szCs w:val="21"/>
              </w:rPr>
            </w:pPr>
            <w:r>
              <w:rPr>
                <w:rFonts w:hint="eastAsia"/>
                <w:color w:val="000000"/>
                <w:szCs w:val="21"/>
              </w:rPr>
              <w:t xml:space="preserve">0.36 </w:t>
            </w:r>
          </w:p>
        </w:tc>
        <w:tc>
          <w:tcPr>
            <w:tcW w:w="1077" w:type="dxa"/>
            <w:tcBorders>
              <w:top w:val="single" w:color="000000" w:sz="8" w:space="0"/>
              <w:left w:val="single" w:color="000000" w:sz="8" w:space="0"/>
              <w:bottom w:val="single" w:color="000000" w:sz="8" w:space="0"/>
              <w:right w:val="single" w:color="000000" w:sz="8" w:space="0"/>
            </w:tcBorders>
            <w:noWrap w:val="0"/>
            <w:vAlign w:val="center"/>
          </w:tcPr>
          <w:p w14:paraId="7B05ECE3">
            <w:pPr>
              <w:jc w:val="center"/>
              <w:rPr>
                <w:rFonts w:cs="宋体"/>
                <w:color w:val="000000"/>
                <w:szCs w:val="21"/>
              </w:rPr>
            </w:pPr>
            <w:r>
              <w:rPr>
                <w:rFonts w:cs="宋体"/>
                <w:color w:val="000000"/>
                <w:szCs w:val="21"/>
              </w:rPr>
              <w:t>建筑物区</w:t>
            </w:r>
          </w:p>
        </w:tc>
        <w:tc>
          <w:tcPr>
            <w:tcW w:w="1077" w:type="dxa"/>
            <w:tcBorders>
              <w:top w:val="single" w:color="000000" w:sz="8" w:space="0"/>
              <w:left w:val="single" w:color="000000" w:sz="8" w:space="0"/>
              <w:bottom w:val="single" w:color="000000" w:sz="8" w:space="0"/>
              <w:right w:val="single" w:color="000000" w:sz="8" w:space="0"/>
            </w:tcBorders>
            <w:noWrap w:val="0"/>
            <w:vAlign w:val="center"/>
          </w:tcPr>
          <w:p w14:paraId="42550B71">
            <w:pPr>
              <w:jc w:val="center"/>
              <w:rPr>
                <w:rFonts w:cs="宋体"/>
                <w:color w:val="000000"/>
                <w:szCs w:val="21"/>
              </w:rPr>
            </w:pPr>
            <w:r>
              <w:rPr>
                <w:rFonts w:hint="eastAsia"/>
                <w:color w:val="000000"/>
                <w:szCs w:val="21"/>
              </w:rPr>
              <w:t>　</w:t>
            </w:r>
          </w:p>
        </w:tc>
        <w:tc>
          <w:tcPr>
            <w:tcW w:w="1077" w:type="dxa"/>
            <w:tcBorders>
              <w:top w:val="single" w:color="000000" w:sz="8" w:space="0"/>
              <w:left w:val="single" w:color="000000" w:sz="8" w:space="0"/>
              <w:bottom w:val="single" w:color="000000" w:sz="8" w:space="0"/>
              <w:right w:val="single" w:color="000000" w:sz="8" w:space="0"/>
            </w:tcBorders>
            <w:noWrap w:val="0"/>
            <w:vAlign w:val="center"/>
          </w:tcPr>
          <w:p w14:paraId="74622DCC">
            <w:pPr>
              <w:jc w:val="center"/>
              <w:rPr>
                <w:rFonts w:cs="宋体"/>
                <w:color w:val="000000"/>
                <w:szCs w:val="21"/>
              </w:rPr>
            </w:pPr>
            <w:r>
              <w:rPr>
                <w:rFonts w:hint="eastAsia"/>
                <w:color w:val="000000"/>
                <w:szCs w:val="21"/>
              </w:rPr>
              <w:t>　</w:t>
            </w:r>
          </w:p>
        </w:tc>
        <w:tc>
          <w:tcPr>
            <w:tcW w:w="1077" w:type="dxa"/>
            <w:tcBorders>
              <w:top w:val="single" w:color="000000" w:sz="8" w:space="0"/>
              <w:left w:val="single" w:color="000000" w:sz="8" w:space="0"/>
              <w:bottom w:val="single" w:color="000000" w:sz="8" w:space="0"/>
              <w:right w:val="single" w:color="000000" w:sz="8" w:space="0"/>
            </w:tcBorders>
            <w:noWrap w:val="0"/>
            <w:vAlign w:val="center"/>
          </w:tcPr>
          <w:p w14:paraId="0A752BC4">
            <w:pPr>
              <w:ind w:right="210"/>
              <w:jc w:val="right"/>
              <w:rPr>
                <w:rFonts w:cs="宋体"/>
                <w:color w:val="000000"/>
                <w:szCs w:val="21"/>
              </w:rPr>
            </w:pPr>
            <w:r>
              <w:rPr>
                <w:rFonts w:hint="eastAsia"/>
                <w:color w:val="000000"/>
                <w:szCs w:val="21"/>
              </w:rPr>
              <w:t>　</w:t>
            </w:r>
          </w:p>
        </w:tc>
        <w:tc>
          <w:tcPr>
            <w:tcW w:w="1077" w:type="dxa"/>
            <w:tcBorders>
              <w:top w:val="single" w:color="000000" w:sz="8" w:space="0"/>
              <w:left w:val="single" w:color="000000" w:sz="8" w:space="0"/>
              <w:bottom w:val="single" w:color="000000" w:sz="8" w:space="0"/>
              <w:right w:val="single" w:color="000000" w:sz="8" w:space="0"/>
            </w:tcBorders>
            <w:noWrap w:val="0"/>
            <w:vAlign w:val="center"/>
          </w:tcPr>
          <w:p w14:paraId="73E8C720">
            <w:pPr>
              <w:jc w:val="center"/>
              <w:rPr>
                <w:rFonts w:cs="宋体"/>
                <w:color w:val="000000"/>
                <w:szCs w:val="21"/>
              </w:rPr>
            </w:pPr>
            <w:r>
              <w:rPr>
                <w:rFonts w:hint="eastAsia"/>
                <w:color w:val="000000"/>
                <w:szCs w:val="21"/>
              </w:rPr>
              <w:t>　</w:t>
            </w:r>
          </w:p>
        </w:tc>
        <w:tc>
          <w:tcPr>
            <w:tcW w:w="1077" w:type="dxa"/>
            <w:tcBorders>
              <w:top w:val="single" w:color="000000" w:sz="8" w:space="0"/>
              <w:left w:val="single" w:color="000000" w:sz="8" w:space="0"/>
              <w:bottom w:val="single" w:color="000000" w:sz="8" w:space="0"/>
              <w:right w:val="single" w:color="000000" w:sz="8" w:space="0"/>
            </w:tcBorders>
            <w:noWrap w:val="0"/>
            <w:vAlign w:val="center"/>
          </w:tcPr>
          <w:p w14:paraId="5BE6680E">
            <w:pPr>
              <w:jc w:val="center"/>
              <w:rPr>
                <w:rFonts w:cs="宋体"/>
                <w:color w:val="000000"/>
                <w:szCs w:val="21"/>
              </w:rPr>
            </w:pPr>
            <w:r>
              <w:rPr>
                <w:rFonts w:hint="eastAsia"/>
                <w:color w:val="000000"/>
                <w:szCs w:val="21"/>
              </w:rPr>
              <w:t>　</w:t>
            </w:r>
          </w:p>
        </w:tc>
        <w:tc>
          <w:tcPr>
            <w:tcW w:w="1077" w:type="dxa"/>
            <w:tcBorders>
              <w:top w:val="single" w:color="000000" w:sz="8" w:space="0"/>
              <w:left w:val="single" w:color="000000" w:sz="8" w:space="0"/>
              <w:bottom w:val="single" w:color="000000" w:sz="8" w:space="0"/>
              <w:right w:val="single" w:color="000000" w:sz="8" w:space="0"/>
            </w:tcBorders>
            <w:noWrap w:val="0"/>
            <w:vAlign w:val="center"/>
          </w:tcPr>
          <w:p w14:paraId="7DFE195D">
            <w:pPr>
              <w:rPr>
                <w:rFonts w:cs="宋体"/>
                <w:color w:val="000000"/>
                <w:szCs w:val="21"/>
              </w:rPr>
            </w:pPr>
            <w:r>
              <w:rPr>
                <w:rFonts w:hint="eastAsia"/>
                <w:color w:val="000000"/>
                <w:szCs w:val="21"/>
              </w:rPr>
              <w:t>　</w:t>
            </w:r>
          </w:p>
        </w:tc>
        <w:tc>
          <w:tcPr>
            <w:tcW w:w="1077" w:type="dxa"/>
            <w:vMerge w:val="continue"/>
            <w:tcBorders>
              <w:top w:val="single" w:color="000000" w:sz="8" w:space="0"/>
              <w:left w:val="single" w:color="000000" w:sz="8" w:space="0"/>
              <w:bottom w:val="single" w:color="000000" w:sz="8" w:space="0"/>
              <w:right w:val="single" w:color="000000" w:sz="8" w:space="0"/>
            </w:tcBorders>
            <w:noWrap w:val="0"/>
            <w:vAlign w:val="center"/>
          </w:tcPr>
          <w:p w14:paraId="5FFA8618">
            <w:pPr>
              <w:jc w:val="left"/>
              <w:rPr>
                <w:rFonts w:cs="宋体"/>
                <w:color w:val="000000"/>
                <w:szCs w:val="21"/>
              </w:rPr>
            </w:pPr>
          </w:p>
        </w:tc>
      </w:tr>
      <w:tr w14:paraId="312BCC80">
        <w:tblPrEx>
          <w:tblCellMar>
            <w:top w:w="0" w:type="dxa"/>
            <w:left w:w="108" w:type="dxa"/>
            <w:bottom w:w="0" w:type="dxa"/>
            <w:right w:w="108" w:type="dxa"/>
          </w:tblCellMar>
        </w:tblPrEx>
        <w:trPr>
          <w:trHeight w:val="517" w:hRule="atLeast"/>
        </w:trPr>
        <w:tc>
          <w:tcPr>
            <w:tcW w:w="698" w:type="dxa"/>
            <w:tcBorders>
              <w:top w:val="single" w:color="000000" w:sz="8" w:space="0"/>
              <w:left w:val="single" w:color="000000" w:sz="8" w:space="0"/>
              <w:bottom w:val="single" w:color="000000" w:sz="8" w:space="0"/>
              <w:right w:val="single" w:color="000000" w:sz="8" w:space="0"/>
            </w:tcBorders>
            <w:noWrap w:val="0"/>
            <w:vAlign w:val="center"/>
          </w:tcPr>
          <w:p w14:paraId="60E01909">
            <w:pPr>
              <w:widowControl/>
              <w:jc w:val="center"/>
              <w:rPr>
                <w:rFonts w:cs="宋体"/>
                <w:color w:val="000000"/>
                <w:szCs w:val="21"/>
              </w:rPr>
            </w:pPr>
            <w:r>
              <w:rPr>
                <w:rFonts w:hint="eastAsia" w:cs="宋体"/>
                <w:color w:val="000000"/>
                <w:szCs w:val="21"/>
              </w:rPr>
              <w:t>四</w:t>
            </w:r>
          </w:p>
        </w:tc>
        <w:tc>
          <w:tcPr>
            <w:tcW w:w="1796" w:type="dxa"/>
            <w:tcBorders>
              <w:top w:val="single" w:color="000000" w:sz="8" w:space="0"/>
              <w:left w:val="single" w:color="000000" w:sz="8" w:space="0"/>
              <w:bottom w:val="single" w:color="000000" w:sz="8" w:space="0"/>
              <w:right w:val="single" w:color="000000" w:sz="8" w:space="0"/>
            </w:tcBorders>
            <w:noWrap w:val="0"/>
            <w:vAlign w:val="center"/>
          </w:tcPr>
          <w:p w14:paraId="72FDE139">
            <w:pPr>
              <w:widowControl/>
              <w:jc w:val="center"/>
              <w:rPr>
                <w:rFonts w:cs="宋体"/>
                <w:color w:val="000000"/>
                <w:szCs w:val="21"/>
              </w:rPr>
            </w:pPr>
            <w:r>
              <w:rPr>
                <w:rFonts w:hint="eastAsia" w:cs="宋体"/>
                <w:color w:val="000000"/>
                <w:szCs w:val="21"/>
              </w:rPr>
              <w:t>施工场地区</w:t>
            </w:r>
          </w:p>
        </w:tc>
        <w:tc>
          <w:tcPr>
            <w:tcW w:w="1077" w:type="dxa"/>
            <w:tcBorders>
              <w:top w:val="single" w:color="000000" w:sz="8" w:space="0"/>
              <w:left w:val="single" w:color="000000" w:sz="8" w:space="0"/>
              <w:bottom w:val="single" w:color="000000" w:sz="8" w:space="0"/>
              <w:right w:val="single" w:color="000000" w:sz="8" w:space="0"/>
            </w:tcBorders>
            <w:noWrap w:val="0"/>
            <w:vAlign w:val="center"/>
          </w:tcPr>
          <w:p w14:paraId="5D4AE1EC">
            <w:pPr>
              <w:jc w:val="center"/>
              <w:rPr>
                <w:rFonts w:cs="宋体"/>
                <w:color w:val="000000"/>
                <w:szCs w:val="21"/>
              </w:rPr>
            </w:pPr>
            <w:r>
              <w:rPr>
                <w:rFonts w:hint="eastAsia"/>
                <w:color w:val="000000"/>
                <w:szCs w:val="21"/>
              </w:rPr>
              <w:t xml:space="preserve">0.00 </w:t>
            </w:r>
          </w:p>
        </w:tc>
        <w:tc>
          <w:tcPr>
            <w:tcW w:w="1077" w:type="dxa"/>
            <w:tcBorders>
              <w:top w:val="single" w:color="000000" w:sz="8" w:space="0"/>
              <w:left w:val="single" w:color="000000" w:sz="8" w:space="0"/>
              <w:bottom w:val="single" w:color="000000" w:sz="8" w:space="0"/>
              <w:right w:val="single" w:color="000000" w:sz="8" w:space="0"/>
            </w:tcBorders>
            <w:noWrap w:val="0"/>
            <w:vAlign w:val="center"/>
          </w:tcPr>
          <w:p w14:paraId="5F837764">
            <w:pPr>
              <w:jc w:val="center"/>
              <w:rPr>
                <w:rFonts w:cs="宋体"/>
                <w:color w:val="000000"/>
                <w:szCs w:val="21"/>
              </w:rPr>
            </w:pPr>
            <w:r>
              <w:rPr>
                <w:rFonts w:hint="eastAsia"/>
                <w:color w:val="000000"/>
                <w:szCs w:val="21"/>
              </w:rPr>
              <w:t xml:space="preserve">0.00 </w:t>
            </w:r>
          </w:p>
        </w:tc>
        <w:tc>
          <w:tcPr>
            <w:tcW w:w="1077" w:type="dxa"/>
            <w:tcBorders>
              <w:top w:val="single" w:color="000000" w:sz="8" w:space="0"/>
              <w:left w:val="single" w:color="000000" w:sz="8" w:space="0"/>
              <w:bottom w:val="single" w:color="000000" w:sz="8" w:space="0"/>
              <w:right w:val="single" w:color="000000" w:sz="8" w:space="0"/>
            </w:tcBorders>
            <w:noWrap w:val="0"/>
            <w:vAlign w:val="center"/>
          </w:tcPr>
          <w:p w14:paraId="6E512D1A">
            <w:pPr>
              <w:jc w:val="center"/>
              <w:rPr>
                <w:rFonts w:cs="宋体"/>
                <w:color w:val="000000"/>
                <w:szCs w:val="21"/>
              </w:rPr>
            </w:pPr>
            <w:r>
              <w:rPr>
                <w:rFonts w:hint="eastAsia"/>
                <w:color w:val="000000"/>
                <w:szCs w:val="21"/>
              </w:rPr>
              <w:t xml:space="preserve">0.00 </w:t>
            </w:r>
          </w:p>
        </w:tc>
        <w:tc>
          <w:tcPr>
            <w:tcW w:w="1077" w:type="dxa"/>
            <w:tcBorders>
              <w:top w:val="single" w:color="000000" w:sz="8" w:space="0"/>
              <w:left w:val="single" w:color="000000" w:sz="8" w:space="0"/>
              <w:bottom w:val="single" w:color="000000" w:sz="8" w:space="0"/>
              <w:right w:val="single" w:color="000000" w:sz="8" w:space="0"/>
            </w:tcBorders>
            <w:noWrap w:val="0"/>
            <w:vAlign w:val="center"/>
          </w:tcPr>
          <w:p w14:paraId="0E1251F3">
            <w:pPr>
              <w:jc w:val="center"/>
              <w:rPr>
                <w:rFonts w:cs="宋体"/>
                <w:color w:val="000000"/>
                <w:szCs w:val="21"/>
              </w:rPr>
            </w:pPr>
            <w:r>
              <w:rPr>
                <w:rFonts w:hint="eastAsia"/>
                <w:color w:val="000000"/>
                <w:szCs w:val="21"/>
              </w:rPr>
              <w:t>　</w:t>
            </w:r>
          </w:p>
        </w:tc>
        <w:tc>
          <w:tcPr>
            <w:tcW w:w="1077" w:type="dxa"/>
            <w:tcBorders>
              <w:top w:val="single" w:color="000000" w:sz="8" w:space="0"/>
              <w:left w:val="single" w:color="000000" w:sz="8" w:space="0"/>
              <w:bottom w:val="single" w:color="000000" w:sz="8" w:space="0"/>
              <w:right w:val="single" w:color="000000" w:sz="8" w:space="0"/>
            </w:tcBorders>
            <w:noWrap w:val="0"/>
            <w:vAlign w:val="center"/>
          </w:tcPr>
          <w:p w14:paraId="4C4CA43D">
            <w:pPr>
              <w:jc w:val="center"/>
              <w:rPr>
                <w:rFonts w:cs="宋体"/>
                <w:color w:val="000000"/>
                <w:szCs w:val="21"/>
              </w:rPr>
            </w:pPr>
            <w:r>
              <w:rPr>
                <w:rFonts w:hint="eastAsia"/>
                <w:color w:val="000000"/>
                <w:szCs w:val="21"/>
              </w:rPr>
              <w:t>　</w:t>
            </w:r>
          </w:p>
        </w:tc>
        <w:tc>
          <w:tcPr>
            <w:tcW w:w="1077" w:type="dxa"/>
            <w:tcBorders>
              <w:top w:val="single" w:color="000000" w:sz="8" w:space="0"/>
              <w:left w:val="single" w:color="000000" w:sz="8" w:space="0"/>
              <w:bottom w:val="single" w:color="000000" w:sz="8" w:space="0"/>
              <w:right w:val="single" w:color="000000" w:sz="8" w:space="0"/>
            </w:tcBorders>
            <w:noWrap w:val="0"/>
            <w:vAlign w:val="center"/>
          </w:tcPr>
          <w:p w14:paraId="4BDA8A90">
            <w:pPr>
              <w:jc w:val="center"/>
              <w:rPr>
                <w:rFonts w:cs="宋体"/>
                <w:color w:val="000000"/>
                <w:szCs w:val="21"/>
              </w:rPr>
            </w:pPr>
            <w:r>
              <w:rPr>
                <w:rFonts w:hint="eastAsia"/>
                <w:color w:val="000000"/>
                <w:szCs w:val="21"/>
              </w:rPr>
              <w:t>　</w:t>
            </w:r>
          </w:p>
        </w:tc>
        <w:tc>
          <w:tcPr>
            <w:tcW w:w="1077" w:type="dxa"/>
            <w:tcBorders>
              <w:top w:val="single" w:color="000000" w:sz="8" w:space="0"/>
              <w:left w:val="single" w:color="000000" w:sz="8" w:space="0"/>
              <w:bottom w:val="single" w:color="000000" w:sz="8" w:space="0"/>
              <w:right w:val="single" w:color="000000" w:sz="8" w:space="0"/>
            </w:tcBorders>
            <w:noWrap w:val="0"/>
            <w:vAlign w:val="center"/>
          </w:tcPr>
          <w:p w14:paraId="793F5FA3">
            <w:pPr>
              <w:ind w:right="210"/>
              <w:jc w:val="right"/>
              <w:rPr>
                <w:rFonts w:cs="宋体"/>
                <w:color w:val="000000"/>
                <w:szCs w:val="21"/>
              </w:rPr>
            </w:pPr>
            <w:r>
              <w:rPr>
                <w:rFonts w:hint="eastAsia"/>
                <w:color w:val="000000"/>
                <w:szCs w:val="21"/>
              </w:rPr>
              <w:t>　</w:t>
            </w:r>
          </w:p>
        </w:tc>
        <w:tc>
          <w:tcPr>
            <w:tcW w:w="1077" w:type="dxa"/>
            <w:tcBorders>
              <w:top w:val="single" w:color="000000" w:sz="8" w:space="0"/>
              <w:left w:val="single" w:color="000000" w:sz="8" w:space="0"/>
              <w:bottom w:val="single" w:color="000000" w:sz="8" w:space="0"/>
              <w:right w:val="single" w:color="000000" w:sz="8" w:space="0"/>
            </w:tcBorders>
            <w:noWrap w:val="0"/>
            <w:vAlign w:val="center"/>
          </w:tcPr>
          <w:p w14:paraId="1FB08E1C">
            <w:pPr>
              <w:jc w:val="center"/>
              <w:rPr>
                <w:rFonts w:cs="宋体"/>
                <w:color w:val="000000"/>
                <w:szCs w:val="21"/>
              </w:rPr>
            </w:pPr>
            <w:r>
              <w:rPr>
                <w:rFonts w:hint="eastAsia"/>
                <w:color w:val="000000"/>
                <w:szCs w:val="21"/>
              </w:rPr>
              <w:t>　</w:t>
            </w:r>
          </w:p>
        </w:tc>
        <w:tc>
          <w:tcPr>
            <w:tcW w:w="1077" w:type="dxa"/>
            <w:tcBorders>
              <w:top w:val="single" w:color="000000" w:sz="8" w:space="0"/>
              <w:left w:val="single" w:color="000000" w:sz="8" w:space="0"/>
              <w:bottom w:val="single" w:color="000000" w:sz="8" w:space="0"/>
              <w:right w:val="single" w:color="000000" w:sz="8" w:space="0"/>
            </w:tcBorders>
            <w:noWrap w:val="0"/>
            <w:vAlign w:val="center"/>
          </w:tcPr>
          <w:p w14:paraId="23A294D2">
            <w:pPr>
              <w:jc w:val="center"/>
              <w:rPr>
                <w:rFonts w:cs="宋体"/>
                <w:color w:val="000000"/>
                <w:szCs w:val="21"/>
              </w:rPr>
            </w:pPr>
            <w:r>
              <w:rPr>
                <w:rFonts w:hint="eastAsia"/>
                <w:color w:val="000000"/>
                <w:szCs w:val="21"/>
              </w:rPr>
              <w:t>　</w:t>
            </w:r>
          </w:p>
        </w:tc>
        <w:tc>
          <w:tcPr>
            <w:tcW w:w="1077" w:type="dxa"/>
            <w:tcBorders>
              <w:top w:val="single" w:color="000000" w:sz="8" w:space="0"/>
              <w:left w:val="single" w:color="000000" w:sz="8" w:space="0"/>
              <w:bottom w:val="single" w:color="000000" w:sz="8" w:space="0"/>
              <w:right w:val="single" w:color="000000" w:sz="8" w:space="0"/>
            </w:tcBorders>
            <w:noWrap w:val="0"/>
            <w:vAlign w:val="center"/>
          </w:tcPr>
          <w:p w14:paraId="57400DFB">
            <w:pPr>
              <w:rPr>
                <w:rFonts w:cs="宋体"/>
                <w:color w:val="000000"/>
                <w:szCs w:val="21"/>
              </w:rPr>
            </w:pPr>
            <w:r>
              <w:rPr>
                <w:rFonts w:hint="eastAsia"/>
                <w:color w:val="000000"/>
                <w:szCs w:val="21"/>
              </w:rPr>
              <w:t>　</w:t>
            </w:r>
          </w:p>
        </w:tc>
        <w:tc>
          <w:tcPr>
            <w:tcW w:w="1077" w:type="dxa"/>
            <w:vMerge w:val="continue"/>
            <w:tcBorders>
              <w:top w:val="single" w:color="000000" w:sz="8" w:space="0"/>
              <w:left w:val="single" w:color="000000" w:sz="8" w:space="0"/>
              <w:bottom w:val="single" w:color="000000" w:sz="8" w:space="0"/>
              <w:right w:val="single" w:color="000000" w:sz="8" w:space="0"/>
            </w:tcBorders>
            <w:noWrap w:val="0"/>
            <w:vAlign w:val="center"/>
          </w:tcPr>
          <w:p w14:paraId="67FA33A3">
            <w:pPr>
              <w:jc w:val="left"/>
              <w:rPr>
                <w:rFonts w:cs="宋体"/>
                <w:color w:val="000000"/>
                <w:szCs w:val="21"/>
              </w:rPr>
            </w:pPr>
          </w:p>
        </w:tc>
      </w:tr>
      <w:tr w14:paraId="60CFB266">
        <w:tblPrEx>
          <w:tblCellMar>
            <w:top w:w="0" w:type="dxa"/>
            <w:left w:w="108" w:type="dxa"/>
            <w:bottom w:w="0" w:type="dxa"/>
            <w:right w:w="108" w:type="dxa"/>
          </w:tblCellMar>
        </w:tblPrEx>
        <w:trPr>
          <w:trHeight w:val="517" w:hRule="atLeast"/>
        </w:trPr>
        <w:tc>
          <w:tcPr>
            <w:tcW w:w="2494" w:type="dxa"/>
            <w:gridSpan w:val="2"/>
            <w:tcBorders>
              <w:top w:val="single" w:color="000000" w:sz="8" w:space="0"/>
              <w:left w:val="single" w:color="000000" w:sz="8" w:space="0"/>
              <w:bottom w:val="single" w:color="000000" w:sz="8" w:space="0"/>
              <w:right w:val="single" w:color="000000" w:sz="8" w:space="0"/>
            </w:tcBorders>
            <w:noWrap w:val="0"/>
            <w:vAlign w:val="center"/>
          </w:tcPr>
          <w:p w14:paraId="2CE6AB16">
            <w:pPr>
              <w:widowControl/>
              <w:jc w:val="center"/>
              <w:rPr>
                <w:rFonts w:cs="宋体"/>
                <w:color w:val="000000"/>
                <w:szCs w:val="21"/>
              </w:rPr>
            </w:pPr>
            <w:r>
              <w:rPr>
                <w:rFonts w:hint="eastAsia" w:cs="宋体"/>
                <w:color w:val="000000"/>
                <w:szCs w:val="21"/>
              </w:rPr>
              <w:t>合计</w:t>
            </w:r>
          </w:p>
        </w:tc>
        <w:tc>
          <w:tcPr>
            <w:tcW w:w="1077" w:type="dxa"/>
            <w:tcBorders>
              <w:top w:val="single" w:color="000000" w:sz="8" w:space="0"/>
              <w:left w:val="single" w:color="000000" w:sz="8" w:space="0"/>
              <w:bottom w:val="single" w:color="000000" w:sz="8" w:space="0"/>
              <w:right w:val="single" w:color="000000" w:sz="8" w:space="0"/>
            </w:tcBorders>
            <w:noWrap w:val="0"/>
            <w:vAlign w:val="center"/>
          </w:tcPr>
          <w:p w14:paraId="05CAA42C">
            <w:pPr>
              <w:widowControl/>
              <w:jc w:val="center"/>
              <w:rPr>
                <w:rFonts w:cs="宋体"/>
                <w:color w:val="000000"/>
                <w:szCs w:val="21"/>
              </w:rPr>
            </w:pPr>
            <w:r>
              <w:rPr>
                <w:rFonts w:hint="eastAsia"/>
                <w:color w:val="000000"/>
                <w:szCs w:val="21"/>
              </w:rPr>
              <w:t xml:space="preserve">10.64 </w:t>
            </w:r>
          </w:p>
        </w:tc>
        <w:tc>
          <w:tcPr>
            <w:tcW w:w="1077" w:type="dxa"/>
            <w:tcBorders>
              <w:top w:val="single" w:color="000000" w:sz="8" w:space="0"/>
              <w:left w:val="single" w:color="000000" w:sz="8" w:space="0"/>
              <w:bottom w:val="single" w:color="000000" w:sz="8" w:space="0"/>
              <w:right w:val="single" w:color="000000" w:sz="8" w:space="0"/>
            </w:tcBorders>
            <w:noWrap w:val="0"/>
            <w:vAlign w:val="center"/>
          </w:tcPr>
          <w:p w14:paraId="226DB48E">
            <w:pPr>
              <w:widowControl/>
              <w:jc w:val="center"/>
              <w:rPr>
                <w:rFonts w:cs="宋体"/>
                <w:color w:val="000000"/>
                <w:szCs w:val="21"/>
              </w:rPr>
            </w:pPr>
            <w:r>
              <w:rPr>
                <w:rFonts w:hint="eastAsia"/>
                <w:color w:val="000000"/>
                <w:szCs w:val="21"/>
              </w:rPr>
              <w:t>6.22</w:t>
            </w:r>
          </w:p>
        </w:tc>
        <w:tc>
          <w:tcPr>
            <w:tcW w:w="1077" w:type="dxa"/>
            <w:tcBorders>
              <w:top w:val="single" w:color="000000" w:sz="8" w:space="0"/>
              <w:left w:val="single" w:color="000000" w:sz="8" w:space="0"/>
              <w:bottom w:val="single" w:color="000000" w:sz="8" w:space="0"/>
              <w:right w:val="single" w:color="000000" w:sz="8" w:space="0"/>
            </w:tcBorders>
            <w:noWrap w:val="0"/>
            <w:vAlign w:val="center"/>
          </w:tcPr>
          <w:p w14:paraId="14CAD319">
            <w:pPr>
              <w:widowControl/>
              <w:jc w:val="center"/>
              <w:rPr>
                <w:rFonts w:cs="宋体"/>
                <w:color w:val="000000"/>
                <w:szCs w:val="21"/>
              </w:rPr>
            </w:pPr>
            <w:r>
              <w:rPr>
                <w:rFonts w:hint="eastAsia"/>
                <w:color w:val="000000"/>
                <w:szCs w:val="21"/>
              </w:rPr>
              <w:t>0.36</w:t>
            </w:r>
          </w:p>
        </w:tc>
        <w:tc>
          <w:tcPr>
            <w:tcW w:w="1077" w:type="dxa"/>
            <w:tcBorders>
              <w:top w:val="single" w:color="000000" w:sz="8" w:space="0"/>
              <w:left w:val="single" w:color="000000" w:sz="8" w:space="0"/>
              <w:bottom w:val="single" w:color="000000" w:sz="8" w:space="0"/>
              <w:right w:val="single" w:color="000000" w:sz="8" w:space="0"/>
            </w:tcBorders>
            <w:noWrap w:val="0"/>
            <w:vAlign w:val="center"/>
          </w:tcPr>
          <w:p w14:paraId="68C164E1">
            <w:pPr>
              <w:widowControl/>
              <w:jc w:val="center"/>
              <w:rPr>
                <w:rFonts w:cs="宋体"/>
                <w:color w:val="000000"/>
                <w:szCs w:val="21"/>
              </w:rPr>
            </w:pPr>
            <w:r>
              <w:rPr>
                <w:rFonts w:hint="eastAsia"/>
                <w:color w:val="000000"/>
                <w:szCs w:val="21"/>
              </w:rPr>
              <w:t xml:space="preserve"> </w:t>
            </w:r>
          </w:p>
        </w:tc>
        <w:tc>
          <w:tcPr>
            <w:tcW w:w="1077" w:type="dxa"/>
            <w:tcBorders>
              <w:top w:val="single" w:color="000000" w:sz="8" w:space="0"/>
              <w:left w:val="single" w:color="000000" w:sz="8" w:space="0"/>
              <w:bottom w:val="single" w:color="000000" w:sz="8" w:space="0"/>
              <w:right w:val="single" w:color="000000" w:sz="8" w:space="0"/>
            </w:tcBorders>
            <w:noWrap w:val="0"/>
            <w:vAlign w:val="center"/>
          </w:tcPr>
          <w:p w14:paraId="12389CF9">
            <w:pPr>
              <w:widowControl/>
              <w:jc w:val="center"/>
              <w:rPr>
                <w:rFonts w:cs="宋体"/>
                <w:color w:val="000000"/>
                <w:szCs w:val="21"/>
              </w:rPr>
            </w:pPr>
            <w:r>
              <w:rPr>
                <w:rFonts w:hint="eastAsia"/>
                <w:color w:val="000000"/>
                <w:szCs w:val="21"/>
              </w:rPr>
              <w:t>4.78</w:t>
            </w:r>
          </w:p>
        </w:tc>
        <w:tc>
          <w:tcPr>
            <w:tcW w:w="1077" w:type="dxa"/>
            <w:tcBorders>
              <w:top w:val="single" w:color="000000" w:sz="8" w:space="0"/>
              <w:left w:val="single" w:color="000000" w:sz="8" w:space="0"/>
              <w:bottom w:val="single" w:color="000000" w:sz="8" w:space="0"/>
              <w:right w:val="single" w:color="000000" w:sz="8" w:space="0"/>
            </w:tcBorders>
            <w:noWrap w:val="0"/>
            <w:vAlign w:val="center"/>
          </w:tcPr>
          <w:p w14:paraId="23F2BE85">
            <w:pPr>
              <w:widowControl/>
              <w:jc w:val="center"/>
              <w:rPr>
                <w:rFonts w:cs="宋体"/>
                <w:color w:val="000000"/>
                <w:szCs w:val="21"/>
              </w:rPr>
            </w:pPr>
          </w:p>
        </w:tc>
        <w:tc>
          <w:tcPr>
            <w:tcW w:w="1077" w:type="dxa"/>
            <w:tcBorders>
              <w:top w:val="single" w:color="000000" w:sz="8" w:space="0"/>
              <w:left w:val="single" w:color="000000" w:sz="8" w:space="0"/>
              <w:bottom w:val="single" w:color="000000" w:sz="8" w:space="0"/>
              <w:right w:val="single" w:color="000000" w:sz="8" w:space="0"/>
            </w:tcBorders>
            <w:noWrap w:val="0"/>
            <w:vAlign w:val="center"/>
          </w:tcPr>
          <w:p w14:paraId="768B8DD2">
            <w:pPr>
              <w:widowControl/>
              <w:jc w:val="center"/>
              <w:rPr>
                <w:rFonts w:cs="宋体"/>
                <w:color w:val="000000"/>
                <w:szCs w:val="21"/>
              </w:rPr>
            </w:pPr>
          </w:p>
        </w:tc>
        <w:tc>
          <w:tcPr>
            <w:tcW w:w="1077" w:type="dxa"/>
            <w:tcBorders>
              <w:top w:val="single" w:color="000000" w:sz="8" w:space="0"/>
              <w:left w:val="single" w:color="000000" w:sz="8" w:space="0"/>
              <w:bottom w:val="single" w:color="000000" w:sz="8" w:space="0"/>
              <w:right w:val="single" w:color="000000" w:sz="8" w:space="0"/>
            </w:tcBorders>
            <w:noWrap w:val="0"/>
            <w:vAlign w:val="center"/>
          </w:tcPr>
          <w:p w14:paraId="283F5196">
            <w:pPr>
              <w:widowControl/>
              <w:jc w:val="center"/>
              <w:rPr>
                <w:rFonts w:cs="宋体"/>
                <w:color w:val="000000"/>
                <w:szCs w:val="21"/>
              </w:rPr>
            </w:pPr>
          </w:p>
        </w:tc>
        <w:tc>
          <w:tcPr>
            <w:tcW w:w="1077" w:type="dxa"/>
            <w:tcBorders>
              <w:top w:val="single" w:color="000000" w:sz="8" w:space="0"/>
              <w:left w:val="single" w:color="000000" w:sz="8" w:space="0"/>
              <w:bottom w:val="single" w:color="000000" w:sz="8" w:space="0"/>
              <w:right w:val="single" w:color="000000" w:sz="8" w:space="0"/>
            </w:tcBorders>
            <w:noWrap w:val="0"/>
            <w:vAlign w:val="center"/>
          </w:tcPr>
          <w:p w14:paraId="40DFB7F6">
            <w:pPr>
              <w:widowControl/>
              <w:jc w:val="center"/>
              <w:rPr>
                <w:rFonts w:cs="宋体"/>
                <w:color w:val="000000"/>
                <w:szCs w:val="21"/>
              </w:rPr>
            </w:pPr>
            <w:r>
              <w:rPr>
                <w:rFonts w:hint="eastAsia"/>
                <w:color w:val="000000"/>
                <w:szCs w:val="21"/>
              </w:rPr>
              <w:t>3.46</w:t>
            </w:r>
          </w:p>
        </w:tc>
        <w:tc>
          <w:tcPr>
            <w:tcW w:w="1077" w:type="dxa"/>
            <w:tcBorders>
              <w:top w:val="single" w:color="000000" w:sz="8" w:space="0"/>
              <w:left w:val="single" w:color="000000" w:sz="8" w:space="0"/>
              <w:bottom w:val="single" w:color="000000" w:sz="8" w:space="0"/>
              <w:right w:val="single" w:color="000000" w:sz="8" w:space="0"/>
            </w:tcBorders>
            <w:noWrap w:val="0"/>
            <w:vAlign w:val="center"/>
          </w:tcPr>
          <w:p w14:paraId="02B3AAAB">
            <w:pPr>
              <w:widowControl/>
              <w:jc w:val="center"/>
              <w:rPr>
                <w:rFonts w:cs="宋体"/>
                <w:color w:val="000000"/>
                <w:szCs w:val="21"/>
              </w:rPr>
            </w:pPr>
            <w:r>
              <w:rPr>
                <w:rFonts w:hint="eastAsia"/>
                <w:color w:val="000000"/>
                <w:szCs w:val="21"/>
              </w:rPr>
              <w:t>外运至芒市城市指定地点堆放</w:t>
            </w:r>
          </w:p>
        </w:tc>
        <w:tc>
          <w:tcPr>
            <w:tcW w:w="1077" w:type="dxa"/>
            <w:vMerge w:val="continue"/>
            <w:tcBorders>
              <w:top w:val="single" w:color="000000" w:sz="8" w:space="0"/>
              <w:left w:val="single" w:color="000000" w:sz="8" w:space="0"/>
              <w:bottom w:val="single" w:color="000000" w:sz="8" w:space="0"/>
              <w:right w:val="single" w:color="000000" w:sz="8" w:space="0"/>
            </w:tcBorders>
            <w:noWrap w:val="0"/>
            <w:vAlign w:val="center"/>
          </w:tcPr>
          <w:p w14:paraId="4FA0B4D7">
            <w:pPr>
              <w:jc w:val="left"/>
              <w:rPr>
                <w:rFonts w:cs="宋体"/>
                <w:color w:val="000000"/>
                <w:szCs w:val="21"/>
              </w:rPr>
            </w:pPr>
          </w:p>
        </w:tc>
      </w:tr>
    </w:tbl>
    <w:p w14:paraId="2267A01C">
      <w:pPr>
        <w:rPr>
          <w:color w:val="000000"/>
        </w:rPr>
      </w:pPr>
    </w:p>
    <w:p w14:paraId="55023E86">
      <w:pPr>
        <w:spacing w:line="360" w:lineRule="auto"/>
        <w:rPr>
          <w:color w:val="000000"/>
          <w:sz w:val="24"/>
        </w:rPr>
      </w:pPr>
    </w:p>
    <w:p w14:paraId="340610E2">
      <w:pPr>
        <w:spacing w:line="360" w:lineRule="auto"/>
        <w:rPr>
          <w:color w:val="000000"/>
          <w:sz w:val="24"/>
        </w:rPr>
        <w:sectPr>
          <w:headerReference r:id="rId9" w:type="default"/>
          <w:footerReference r:id="rId10" w:type="default"/>
          <w:pgSz w:w="16838" w:h="11906"/>
          <w:pgMar w:top="1797" w:right="1440" w:bottom="1797" w:left="1440" w:header="851" w:footer="992" w:gutter="0"/>
          <w:cols w:space="1701" w:num="1"/>
        </w:sectPr>
      </w:pPr>
    </w:p>
    <w:p w14:paraId="1480A8FB">
      <w:pPr>
        <w:pStyle w:val="183"/>
        <w:ind w:firstLine="472"/>
        <w:rPr>
          <w:rFonts w:eastAsia="仿宋_GB2312"/>
          <w:color w:val="000000"/>
          <w:sz w:val="24"/>
          <w:szCs w:val="24"/>
        </w:rPr>
      </w:pPr>
      <w:bookmarkStart w:id="287" w:name="_Toc241904943"/>
      <w:bookmarkEnd w:id="287"/>
      <w:bookmarkStart w:id="288" w:name="_Toc495500063"/>
      <w:r>
        <w:rPr>
          <w:rFonts w:eastAsia="仿宋_GB2312"/>
          <w:color w:val="000000"/>
          <w:sz w:val="24"/>
          <w:szCs w:val="24"/>
        </w:rPr>
        <w:t>3.</w:t>
      </w:r>
      <w:r>
        <w:rPr>
          <w:rFonts w:hint="eastAsia" w:eastAsia="仿宋_GB2312"/>
          <w:color w:val="000000"/>
          <w:sz w:val="24"/>
          <w:szCs w:val="24"/>
        </w:rPr>
        <w:t>6</w:t>
      </w:r>
      <w:r>
        <w:rPr>
          <w:rFonts w:eastAsia="仿宋_GB2312"/>
          <w:color w:val="000000"/>
          <w:sz w:val="24"/>
          <w:szCs w:val="24"/>
        </w:rPr>
        <w:t>.4 施工噪声</w:t>
      </w:r>
      <w:bookmarkEnd w:id="288"/>
    </w:p>
    <w:p w14:paraId="08A32E22">
      <w:pPr>
        <w:spacing w:line="360" w:lineRule="auto"/>
        <w:ind w:firstLine="540"/>
        <w:rPr>
          <w:color w:val="000000"/>
          <w:sz w:val="24"/>
        </w:rPr>
      </w:pPr>
      <w:r>
        <w:rPr>
          <w:color w:val="000000"/>
          <w:sz w:val="24"/>
        </w:rPr>
        <w:t>施工期间，打桩机、施工机械运行及施工材料运输均会产生较高强度的噪声，土石方开挖强度超过90dB(A)，大型施工机械声源强度超过95dB(A)，大型运输机械噪声源声级多在85dB(A)以上。施工噪声突出的主要在打桩场所、建筑材料</w:t>
      </w:r>
      <w:r>
        <w:rPr>
          <w:rFonts w:hint="eastAsia"/>
          <w:color w:val="000000"/>
          <w:sz w:val="24"/>
          <w:lang w:eastAsia="zh-CN"/>
        </w:rPr>
        <w:t>加工厂</w:t>
      </w:r>
      <w:r>
        <w:rPr>
          <w:color w:val="000000"/>
          <w:sz w:val="24"/>
        </w:rPr>
        <w:t>地，建筑场地以及施工运输道路。打桩及运输噪声为不连续性噪声，施工场地及材料</w:t>
      </w:r>
      <w:r>
        <w:rPr>
          <w:rFonts w:hint="eastAsia"/>
          <w:color w:val="000000"/>
          <w:sz w:val="24"/>
          <w:lang w:eastAsia="zh-CN"/>
        </w:rPr>
        <w:t>加工厂</w:t>
      </w:r>
      <w:r>
        <w:rPr>
          <w:color w:val="000000"/>
          <w:sz w:val="24"/>
        </w:rPr>
        <w:t>地噪声为连续噪声。项目施工期个机械产噪声参照</w:t>
      </w:r>
      <w:r>
        <w:rPr>
          <w:bCs/>
          <w:color w:val="000000"/>
          <w:sz w:val="24"/>
        </w:rPr>
        <w:t>《环境噪声与振动控制工程技术导则》（HJ2034-2013）中源强。</w:t>
      </w:r>
    </w:p>
    <w:p w14:paraId="712860D9">
      <w:pPr>
        <w:spacing w:line="360" w:lineRule="auto"/>
        <w:jc w:val="center"/>
        <w:rPr>
          <w:b/>
          <w:color w:val="000000"/>
          <w:sz w:val="24"/>
        </w:rPr>
      </w:pPr>
      <w:r>
        <w:rPr>
          <w:b/>
          <w:color w:val="000000"/>
          <w:sz w:val="24"/>
        </w:rPr>
        <w:t>表3.6-5  建设期主要噪声源</w:t>
      </w:r>
    </w:p>
    <w:tbl>
      <w:tblPr>
        <w:tblStyle w:val="27"/>
        <w:tblW w:w="0" w:type="auto"/>
        <w:tblInd w:w="-108" w:type="dxa"/>
        <w:tblLayout w:type="fixed"/>
        <w:tblCellMar>
          <w:top w:w="0" w:type="dxa"/>
          <w:left w:w="108" w:type="dxa"/>
          <w:bottom w:w="0" w:type="dxa"/>
          <w:right w:w="108" w:type="dxa"/>
        </w:tblCellMar>
      </w:tblPr>
      <w:tblGrid>
        <w:gridCol w:w="1096"/>
        <w:gridCol w:w="2062"/>
        <w:gridCol w:w="2685"/>
        <w:gridCol w:w="2685"/>
      </w:tblGrid>
      <w:tr w14:paraId="51ACAE0C">
        <w:tblPrEx>
          <w:tblCellMar>
            <w:top w:w="0" w:type="dxa"/>
            <w:left w:w="108" w:type="dxa"/>
            <w:bottom w:w="0" w:type="dxa"/>
            <w:right w:w="108" w:type="dxa"/>
          </w:tblCellMar>
        </w:tblPrEx>
        <w:trPr>
          <w:cantSplit/>
          <w:trHeight w:val="331" w:hRule="atLeast"/>
        </w:trPr>
        <w:tc>
          <w:tcPr>
            <w:tcW w:w="1096" w:type="dxa"/>
            <w:vMerge w:val="restart"/>
            <w:tcBorders>
              <w:top w:val="single" w:color="000000" w:sz="4" w:space="0"/>
              <w:left w:val="single" w:color="000000" w:sz="4" w:space="0"/>
              <w:bottom w:val="single" w:color="000000" w:sz="4" w:space="0"/>
              <w:right w:val="single" w:color="000000" w:sz="4" w:space="0"/>
            </w:tcBorders>
            <w:noWrap w:val="0"/>
            <w:vAlign w:val="center"/>
          </w:tcPr>
          <w:p w14:paraId="7A820742">
            <w:pPr>
              <w:jc w:val="center"/>
              <w:rPr>
                <w:color w:val="000000"/>
                <w:szCs w:val="21"/>
              </w:rPr>
            </w:pPr>
            <w:r>
              <w:rPr>
                <w:color w:val="000000"/>
                <w:szCs w:val="21"/>
              </w:rPr>
              <w:t>施工阶段</w:t>
            </w:r>
          </w:p>
        </w:tc>
        <w:tc>
          <w:tcPr>
            <w:tcW w:w="2062" w:type="dxa"/>
            <w:tcBorders>
              <w:top w:val="single" w:color="000000" w:sz="4" w:space="0"/>
              <w:left w:val="single" w:color="000000" w:sz="4" w:space="0"/>
              <w:bottom w:val="single" w:color="000000" w:sz="4" w:space="0"/>
              <w:right w:val="single" w:color="000000" w:sz="4" w:space="0"/>
            </w:tcBorders>
            <w:noWrap w:val="0"/>
            <w:vAlign w:val="center"/>
          </w:tcPr>
          <w:p w14:paraId="3CF4D820">
            <w:pPr>
              <w:jc w:val="center"/>
              <w:rPr>
                <w:b/>
                <w:color w:val="000000"/>
                <w:szCs w:val="21"/>
              </w:rPr>
            </w:pPr>
            <w:r>
              <w:rPr>
                <w:b/>
                <w:color w:val="000000"/>
                <w:szCs w:val="21"/>
              </w:rPr>
              <w:t>设备名称</w:t>
            </w:r>
          </w:p>
        </w:tc>
        <w:tc>
          <w:tcPr>
            <w:tcW w:w="2685" w:type="dxa"/>
            <w:tcBorders>
              <w:top w:val="single" w:color="000000" w:sz="4" w:space="0"/>
              <w:left w:val="single" w:color="000000" w:sz="4" w:space="0"/>
              <w:bottom w:val="single" w:color="000000" w:sz="4" w:space="0"/>
              <w:right w:val="single" w:color="000000" w:sz="4" w:space="0"/>
            </w:tcBorders>
            <w:noWrap w:val="0"/>
            <w:vAlign w:val="center"/>
          </w:tcPr>
          <w:p w14:paraId="457D53B7">
            <w:pPr>
              <w:jc w:val="center"/>
              <w:rPr>
                <w:b/>
                <w:color w:val="000000"/>
                <w:szCs w:val="21"/>
              </w:rPr>
            </w:pPr>
            <w:r>
              <w:rPr>
                <w:b/>
                <w:color w:val="000000"/>
                <w:szCs w:val="21"/>
              </w:rPr>
              <w:t>距声源5m[dB(A)]</w:t>
            </w:r>
          </w:p>
        </w:tc>
        <w:tc>
          <w:tcPr>
            <w:tcW w:w="2685" w:type="dxa"/>
            <w:tcBorders>
              <w:top w:val="single" w:color="000000" w:sz="4" w:space="0"/>
              <w:left w:val="single" w:color="000000" w:sz="4" w:space="0"/>
              <w:bottom w:val="single" w:color="000000" w:sz="4" w:space="0"/>
              <w:right w:val="single" w:color="000000" w:sz="4" w:space="0"/>
            </w:tcBorders>
            <w:noWrap w:val="0"/>
            <w:vAlign w:val="center"/>
          </w:tcPr>
          <w:p w14:paraId="08A96E33">
            <w:pPr>
              <w:jc w:val="center"/>
              <w:rPr>
                <w:b/>
                <w:color w:val="000000"/>
                <w:szCs w:val="21"/>
              </w:rPr>
            </w:pPr>
            <w:r>
              <w:rPr>
                <w:rFonts w:hint="eastAsia"/>
                <w:b/>
                <w:color w:val="000000"/>
                <w:szCs w:val="21"/>
              </w:rPr>
              <w:t>距声源10m</w:t>
            </w:r>
            <w:r>
              <w:rPr>
                <w:b/>
                <w:color w:val="000000"/>
                <w:szCs w:val="21"/>
              </w:rPr>
              <w:t>[dB(A)]</w:t>
            </w:r>
          </w:p>
        </w:tc>
      </w:tr>
      <w:tr w14:paraId="35751C3D">
        <w:tblPrEx>
          <w:tblCellMar>
            <w:top w:w="0" w:type="dxa"/>
            <w:left w:w="108" w:type="dxa"/>
            <w:bottom w:w="0" w:type="dxa"/>
            <w:right w:w="108" w:type="dxa"/>
          </w:tblCellMar>
        </w:tblPrEx>
        <w:trPr>
          <w:cantSplit/>
          <w:trHeight w:val="331" w:hRule="atLeast"/>
        </w:trPr>
        <w:tc>
          <w:tcPr>
            <w:tcW w:w="1096" w:type="dxa"/>
            <w:vMerge w:val="continue"/>
            <w:tcBorders>
              <w:top w:val="single" w:color="000000" w:sz="4" w:space="0"/>
              <w:left w:val="single" w:color="000000" w:sz="4" w:space="0"/>
              <w:bottom w:val="single" w:color="000000" w:sz="4" w:space="0"/>
              <w:right w:val="single" w:color="000000" w:sz="4" w:space="0"/>
            </w:tcBorders>
            <w:noWrap w:val="0"/>
            <w:vAlign w:val="center"/>
          </w:tcPr>
          <w:p w14:paraId="7A29E396">
            <w:pPr>
              <w:jc w:val="left"/>
              <w:rPr>
                <w:b/>
                <w:color w:val="000000"/>
                <w:szCs w:val="21"/>
              </w:rPr>
            </w:pPr>
          </w:p>
        </w:tc>
        <w:tc>
          <w:tcPr>
            <w:tcW w:w="2062" w:type="dxa"/>
            <w:tcBorders>
              <w:top w:val="single" w:color="000000" w:sz="4" w:space="0"/>
              <w:left w:val="single" w:color="000000" w:sz="4" w:space="0"/>
              <w:bottom w:val="single" w:color="000000" w:sz="4" w:space="0"/>
              <w:right w:val="single" w:color="000000" w:sz="4" w:space="0"/>
            </w:tcBorders>
            <w:noWrap w:val="0"/>
            <w:vAlign w:val="center"/>
          </w:tcPr>
          <w:p w14:paraId="51ABED47">
            <w:pPr>
              <w:jc w:val="center"/>
              <w:rPr>
                <w:color w:val="000000"/>
                <w:szCs w:val="21"/>
              </w:rPr>
            </w:pPr>
            <w:r>
              <w:rPr>
                <w:color w:val="000000"/>
                <w:szCs w:val="21"/>
              </w:rPr>
              <w:t>静</w:t>
            </w:r>
            <w:r>
              <w:rPr>
                <w:rFonts w:hint="eastAsia"/>
                <w:color w:val="000000"/>
                <w:szCs w:val="21"/>
              </w:rPr>
              <w:t>力</w:t>
            </w:r>
            <w:r>
              <w:rPr>
                <w:color w:val="000000"/>
                <w:szCs w:val="21"/>
              </w:rPr>
              <w:t>打桩机</w:t>
            </w:r>
          </w:p>
        </w:tc>
        <w:tc>
          <w:tcPr>
            <w:tcW w:w="2685" w:type="dxa"/>
            <w:tcBorders>
              <w:top w:val="single" w:color="000000" w:sz="4" w:space="0"/>
              <w:left w:val="single" w:color="000000" w:sz="4" w:space="0"/>
              <w:bottom w:val="single" w:color="000000" w:sz="4" w:space="0"/>
              <w:right w:val="single" w:color="000000" w:sz="4" w:space="0"/>
            </w:tcBorders>
            <w:noWrap w:val="0"/>
            <w:vAlign w:val="center"/>
          </w:tcPr>
          <w:p w14:paraId="72E0A5AB">
            <w:pPr>
              <w:jc w:val="center"/>
              <w:rPr>
                <w:color w:val="000000"/>
                <w:szCs w:val="21"/>
              </w:rPr>
            </w:pPr>
            <w:r>
              <w:rPr>
                <w:color w:val="000000"/>
                <w:szCs w:val="21"/>
              </w:rPr>
              <w:t>70-75</w:t>
            </w:r>
          </w:p>
        </w:tc>
        <w:tc>
          <w:tcPr>
            <w:tcW w:w="2685" w:type="dxa"/>
            <w:tcBorders>
              <w:top w:val="single" w:color="000000" w:sz="4" w:space="0"/>
              <w:left w:val="single" w:color="000000" w:sz="4" w:space="0"/>
              <w:bottom w:val="single" w:color="000000" w:sz="4" w:space="0"/>
              <w:right w:val="single" w:color="000000" w:sz="4" w:space="0"/>
            </w:tcBorders>
            <w:noWrap w:val="0"/>
            <w:vAlign w:val="center"/>
          </w:tcPr>
          <w:p w14:paraId="3D6874AF">
            <w:pPr>
              <w:jc w:val="center"/>
              <w:rPr>
                <w:color w:val="000000"/>
                <w:szCs w:val="21"/>
              </w:rPr>
            </w:pPr>
            <w:r>
              <w:rPr>
                <w:color w:val="000000"/>
                <w:szCs w:val="21"/>
              </w:rPr>
              <w:t>68-73</w:t>
            </w:r>
          </w:p>
        </w:tc>
      </w:tr>
      <w:tr w14:paraId="01042916">
        <w:tblPrEx>
          <w:tblCellMar>
            <w:top w:w="0" w:type="dxa"/>
            <w:left w:w="108" w:type="dxa"/>
            <w:bottom w:w="0" w:type="dxa"/>
            <w:right w:w="108" w:type="dxa"/>
          </w:tblCellMar>
        </w:tblPrEx>
        <w:trPr>
          <w:cantSplit/>
          <w:trHeight w:val="331" w:hRule="atLeast"/>
        </w:trPr>
        <w:tc>
          <w:tcPr>
            <w:tcW w:w="1096" w:type="dxa"/>
            <w:vMerge w:val="continue"/>
            <w:tcBorders>
              <w:top w:val="single" w:color="000000" w:sz="4" w:space="0"/>
              <w:left w:val="single" w:color="000000" w:sz="4" w:space="0"/>
              <w:bottom w:val="single" w:color="000000" w:sz="4" w:space="0"/>
              <w:right w:val="single" w:color="000000" w:sz="4" w:space="0"/>
            </w:tcBorders>
            <w:noWrap w:val="0"/>
            <w:vAlign w:val="center"/>
          </w:tcPr>
          <w:p w14:paraId="5814051E">
            <w:pPr>
              <w:jc w:val="left"/>
              <w:rPr>
                <w:color w:val="000000"/>
                <w:szCs w:val="21"/>
              </w:rPr>
            </w:pPr>
          </w:p>
        </w:tc>
        <w:tc>
          <w:tcPr>
            <w:tcW w:w="2062" w:type="dxa"/>
            <w:tcBorders>
              <w:top w:val="single" w:color="000000" w:sz="4" w:space="0"/>
              <w:left w:val="single" w:color="000000" w:sz="4" w:space="0"/>
              <w:bottom w:val="single" w:color="000000" w:sz="4" w:space="0"/>
              <w:right w:val="single" w:color="000000" w:sz="4" w:space="0"/>
            </w:tcBorders>
            <w:noWrap w:val="0"/>
            <w:vAlign w:val="center"/>
          </w:tcPr>
          <w:p w14:paraId="627B917F">
            <w:pPr>
              <w:jc w:val="center"/>
              <w:rPr>
                <w:color w:val="000000"/>
                <w:szCs w:val="21"/>
              </w:rPr>
            </w:pPr>
            <w:r>
              <w:rPr>
                <w:color w:val="000000"/>
                <w:szCs w:val="21"/>
              </w:rPr>
              <w:t>空压机</w:t>
            </w:r>
          </w:p>
        </w:tc>
        <w:tc>
          <w:tcPr>
            <w:tcW w:w="2685" w:type="dxa"/>
            <w:tcBorders>
              <w:top w:val="single" w:color="000000" w:sz="4" w:space="0"/>
              <w:left w:val="single" w:color="000000" w:sz="4" w:space="0"/>
              <w:bottom w:val="single" w:color="000000" w:sz="4" w:space="0"/>
              <w:right w:val="single" w:color="000000" w:sz="4" w:space="0"/>
            </w:tcBorders>
            <w:noWrap w:val="0"/>
            <w:vAlign w:val="center"/>
          </w:tcPr>
          <w:p w14:paraId="29A51765">
            <w:pPr>
              <w:jc w:val="center"/>
              <w:rPr>
                <w:color w:val="000000"/>
                <w:szCs w:val="21"/>
              </w:rPr>
            </w:pPr>
            <w:r>
              <w:rPr>
                <w:color w:val="000000"/>
                <w:szCs w:val="21"/>
              </w:rPr>
              <w:t>88-92</w:t>
            </w:r>
          </w:p>
        </w:tc>
        <w:tc>
          <w:tcPr>
            <w:tcW w:w="2685" w:type="dxa"/>
            <w:tcBorders>
              <w:top w:val="single" w:color="000000" w:sz="4" w:space="0"/>
              <w:left w:val="single" w:color="000000" w:sz="4" w:space="0"/>
              <w:bottom w:val="single" w:color="000000" w:sz="4" w:space="0"/>
              <w:right w:val="single" w:color="000000" w:sz="4" w:space="0"/>
            </w:tcBorders>
            <w:noWrap w:val="0"/>
            <w:vAlign w:val="center"/>
          </w:tcPr>
          <w:p w14:paraId="6D58AA15">
            <w:pPr>
              <w:jc w:val="center"/>
              <w:rPr>
                <w:color w:val="000000"/>
                <w:szCs w:val="21"/>
              </w:rPr>
            </w:pPr>
            <w:r>
              <w:rPr>
                <w:color w:val="000000"/>
                <w:szCs w:val="21"/>
              </w:rPr>
              <w:t>83-88</w:t>
            </w:r>
          </w:p>
        </w:tc>
      </w:tr>
      <w:tr w14:paraId="693D28DA">
        <w:tblPrEx>
          <w:tblCellMar>
            <w:top w:w="0" w:type="dxa"/>
            <w:left w:w="108" w:type="dxa"/>
            <w:bottom w:w="0" w:type="dxa"/>
            <w:right w:w="108" w:type="dxa"/>
          </w:tblCellMar>
        </w:tblPrEx>
        <w:trPr>
          <w:cantSplit/>
          <w:trHeight w:val="331" w:hRule="atLeast"/>
        </w:trPr>
        <w:tc>
          <w:tcPr>
            <w:tcW w:w="1096" w:type="dxa"/>
            <w:vMerge w:val="continue"/>
            <w:tcBorders>
              <w:top w:val="single" w:color="000000" w:sz="4" w:space="0"/>
              <w:left w:val="single" w:color="000000" w:sz="4" w:space="0"/>
              <w:bottom w:val="single" w:color="000000" w:sz="4" w:space="0"/>
              <w:right w:val="single" w:color="000000" w:sz="4" w:space="0"/>
            </w:tcBorders>
            <w:noWrap w:val="0"/>
            <w:vAlign w:val="center"/>
          </w:tcPr>
          <w:p w14:paraId="08228418">
            <w:pPr>
              <w:jc w:val="left"/>
              <w:rPr>
                <w:color w:val="000000"/>
                <w:szCs w:val="21"/>
              </w:rPr>
            </w:pPr>
          </w:p>
        </w:tc>
        <w:tc>
          <w:tcPr>
            <w:tcW w:w="2062" w:type="dxa"/>
            <w:tcBorders>
              <w:top w:val="single" w:color="000000" w:sz="4" w:space="0"/>
              <w:left w:val="single" w:color="000000" w:sz="4" w:space="0"/>
              <w:bottom w:val="single" w:color="000000" w:sz="4" w:space="0"/>
              <w:right w:val="single" w:color="000000" w:sz="4" w:space="0"/>
            </w:tcBorders>
            <w:noWrap w:val="0"/>
            <w:vAlign w:val="center"/>
          </w:tcPr>
          <w:p w14:paraId="0AB957DC">
            <w:pPr>
              <w:jc w:val="center"/>
              <w:rPr>
                <w:color w:val="000000"/>
                <w:szCs w:val="21"/>
              </w:rPr>
            </w:pPr>
            <w:r>
              <w:rPr>
                <w:color w:val="000000"/>
                <w:szCs w:val="21"/>
              </w:rPr>
              <w:t>混凝土输送泵</w:t>
            </w:r>
          </w:p>
        </w:tc>
        <w:tc>
          <w:tcPr>
            <w:tcW w:w="2685" w:type="dxa"/>
            <w:tcBorders>
              <w:top w:val="single" w:color="000000" w:sz="4" w:space="0"/>
              <w:left w:val="single" w:color="000000" w:sz="4" w:space="0"/>
              <w:bottom w:val="single" w:color="000000" w:sz="4" w:space="0"/>
              <w:right w:val="single" w:color="000000" w:sz="4" w:space="0"/>
            </w:tcBorders>
            <w:noWrap w:val="0"/>
            <w:vAlign w:val="center"/>
          </w:tcPr>
          <w:p w14:paraId="1F15760A">
            <w:pPr>
              <w:jc w:val="center"/>
              <w:rPr>
                <w:color w:val="000000"/>
                <w:szCs w:val="21"/>
              </w:rPr>
            </w:pPr>
            <w:r>
              <w:rPr>
                <w:color w:val="000000"/>
                <w:szCs w:val="21"/>
              </w:rPr>
              <w:t>88-95</w:t>
            </w:r>
          </w:p>
        </w:tc>
        <w:tc>
          <w:tcPr>
            <w:tcW w:w="2685" w:type="dxa"/>
            <w:tcBorders>
              <w:top w:val="single" w:color="000000" w:sz="4" w:space="0"/>
              <w:left w:val="single" w:color="000000" w:sz="4" w:space="0"/>
              <w:bottom w:val="single" w:color="000000" w:sz="4" w:space="0"/>
              <w:right w:val="single" w:color="000000" w:sz="4" w:space="0"/>
            </w:tcBorders>
            <w:noWrap w:val="0"/>
            <w:vAlign w:val="center"/>
          </w:tcPr>
          <w:p w14:paraId="08505F2C">
            <w:pPr>
              <w:jc w:val="center"/>
              <w:rPr>
                <w:color w:val="000000"/>
                <w:szCs w:val="21"/>
              </w:rPr>
            </w:pPr>
            <w:r>
              <w:rPr>
                <w:color w:val="000000"/>
                <w:szCs w:val="21"/>
              </w:rPr>
              <w:t>84-90</w:t>
            </w:r>
          </w:p>
        </w:tc>
      </w:tr>
      <w:tr w14:paraId="54E40C0F">
        <w:tblPrEx>
          <w:tblCellMar>
            <w:top w:w="0" w:type="dxa"/>
            <w:left w:w="108" w:type="dxa"/>
            <w:bottom w:w="0" w:type="dxa"/>
            <w:right w:w="108" w:type="dxa"/>
          </w:tblCellMar>
        </w:tblPrEx>
        <w:trPr>
          <w:cantSplit/>
          <w:trHeight w:val="331" w:hRule="atLeast"/>
        </w:trPr>
        <w:tc>
          <w:tcPr>
            <w:tcW w:w="1096" w:type="dxa"/>
            <w:vMerge w:val="continue"/>
            <w:tcBorders>
              <w:top w:val="single" w:color="000000" w:sz="4" w:space="0"/>
              <w:left w:val="single" w:color="000000" w:sz="4" w:space="0"/>
              <w:bottom w:val="single" w:color="000000" w:sz="4" w:space="0"/>
              <w:right w:val="single" w:color="000000" w:sz="4" w:space="0"/>
            </w:tcBorders>
            <w:noWrap w:val="0"/>
            <w:vAlign w:val="center"/>
          </w:tcPr>
          <w:p w14:paraId="134179FC">
            <w:pPr>
              <w:jc w:val="left"/>
              <w:rPr>
                <w:color w:val="000000"/>
                <w:szCs w:val="21"/>
              </w:rPr>
            </w:pPr>
          </w:p>
        </w:tc>
        <w:tc>
          <w:tcPr>
            <w:tcW w:w="2062" w:type="dxa"/>
            <w:tcBorders>
              <w:top w:val="single" w:color="000000" w:sz="4" w:space="0"/>
              <w:left w:val="single" w:color="000000" w:sz="4" w:space="0"/>
              <w:bottom w:val="single" w:color="000000" w:sz="4" w:space="0"/>
              <w:right w:val="single" w:color="000000" w:sz="4" w:space="0"/>
            </w:tcBorders>
            <w:noWrap w:val="0"/>
            <w:vAlign w:val="center"/>
          </w:tcPr>
          <w:p w14:paraId="6A05A1B3">
            <w:pPr>
              <w:jc w:val="center"/>
              <w:rPr>
                <w:color w:val="000000"/>
                <w:szCs w:val="21"/>
              </w:rPr>
            </w:pPr>
            <w:r>
              <w:rPr>
                <w:rFonts w:hint="eastAsia"/>
                <w:color w:val="000000"/>
                <w:szCs w:val="21"/>
                <w:lang w:eastAsia="zh-CN"/>
              </w:rPr>
              <w:t>混凝土</w:t>
            </w:r>
            <w:r>
              <w:rPr>
                <w:color w:val="000000"/>
                <w:szCs w:val="21"/>
              </w:rPr>
              <w:t>振捣器</w:t>
            </w:r>
          </w:p>
        </w:tc>
        <w:tc>
          <w:tcPr>
            <w:tcW w:w="2685" w:type="dxa"/>
            <w:tcBorders>
              <w:top w:val="single" w:color="000000" w:sz="4" w:space="0"/>
              <w:left w:val="single" w:color="000000" w:sz="4" w:space="0"/>
              <w:bottom w:val="single" w:color="000000" w:sz="4" w:space="0"/>
              <w:right w:val="single" w:color="000000" w:sz="4" w:space="0"/>
            </w:tcBorders>
            <w:noWrap w:val="0"/>
            <w:vAlign w:val="center"/>
          </w:tcPr>
          <w:p w14:paraId="03E35A2C">
            <w:pPr>
              <w:jc w:val="center"/>
              <w:rPr>
                <w:color w:val="000000"/>
                <w:szCs w:val="21"/>
              </w:rPr>
            </w:pPr>
            <w:r>
              <w:rPr>
                <w:color w:val="000000"/>
                <w:szCs w:val="21"/>
              </w:rPr>
              <w:t>80-88</w:t>
            </w:r>
          </w:p>
        </w:tc>
        <w:tc>
          <w:tcPr>
            <w:tcW w:w="2685" w:type="dxa"/>
            <w:tcBorders>
              <w:top w:val="single" w:color="000000" w:sz="4" w:space="0"/>
              <w:left w:val="single" w:color="000000" w:sz="4" w:space="0"/>
              <w:bottom w:val="single" w:color="000000" w:sz="4" w:space="0"/>
              <w:right w:val="single" w:color="000000" w:sz="4" w:space="0"/>
            </w:tcBorders>
            <w:noWrap w:val="0"/>
            <w:vAlign w:val="center"/>
          </w:tcPr>
          <w:p w14:paraId="03CC55EC">
            <w:pPr>
              <w:jc w:val="center"/>
              <w:rPr>
                <w:color w:val="000000"/>
                <w:szCs w:val="21"/>
              </w:rPr>
            </w:pPr>
            <w:r>
              <w:rPr>
                <w:color w:val="000000"/>
                <w:szCs w:val="21"/>
              </w:rPr>
              <w:t>75-84</w:t>
            </w:r>
          </w:p>
        </w:tc>
      </w:tr>
      <w:tr w14:paraId="52EBEE50">
        <w:tblPrEx>
          <w:tblCellMar>
            <w:top w:w="0" w:type="dxa"/>
            <w:left w:w="108" w:type="dxa"/>
            <w:bottom w:w="0" w:type="dxa"/>
            <w:right w:w="108" w:type="dxa"/>
          </w:tblCellMar>
        </w:tblPrEx>
        <w:trPr>
          <w:cantSplit/>
          <w:trHeight w:val="331" w:hRule="atLeast"/>
        </w:trPr>
        <w:tc>
          <w:tcPr>
            <w:tcW w:w="1096" w:type="dxa"/>
            <w:vMerge w:val="continue"/>
            <w:tcBorders>
              <w:top w:val="single" w:color="000000" w:sz="4" w:space="0"/>
              <w:left w:val="single" w:color="000000" w:sz="4" w:space="0"/>
              <w:bottom w:val="single" w:color="000000" w:sz="4" w:space="0"/>
              <w:right w:val="single" w:color="000000" w:sz="4" w:space="0"/>
            </w:tcBorders>
            <w:noWrap w:val="0"/>
            <w:vAlign w:val="center"/>
          </w:tcPr>
          <w:p w14:paraId="1DAB0360">
            <w:pPr>
              <w:jc w:val="left"/>
              <w:rPr>
                <w:color w:val="000000"/>
                <w:szCs w:val="21"/>
              </w:rPr>
            </w:pPr>
          </w:p>
        </w:tc>
        <w:tc>
          <w:tcPr>
            <w:tcW w:w="2062" w:type="dxa"/>
            <w:tcBorders>
              <w:top w:val="single" w:color="000000" w:sz="4" w:space="0"/>
              <w:left w:val="single" w:color="000000" w:sz="4" w:space="0"/>
              <w:bottom w:val="single" w:color="000000" w:sz="4" w:space="0"/>
              <w:right w:val="single" w:color="000000" w:sz="4" w:space="0"/>
            </w:tcBorders>
            <w:noWrap w:val="0"/>
            <w:vAlign w:val="center"/>
          </w:tcPr>
          <w:p w14:paraId="289710E8">
            <w:pPr>
              <w:jc w:val="center"/>
              <w:rPr>
                <w:color w:val="000000"/>
                <w:szCs w:val="21"/>
              </w:rPr>
            </w:pPr>
            <w:r>
              <w:rPr>
                <w:color w:val="000000"/>
                <w:szCs w:val="21"/>
              </w:rPr>
              <w:t>电锯</w:t>
            </w:r>
          </w:p>
        </w:tc>
        <w:tc>
          <w:tcPr>
            <w:tcW w:w="2685" w:type="dxa"/>
            <w:tcBorders>
              <w:top w:val="single" w:color="000000" w:sz="4" w:space="0"/>
              <w:left w:val="single" w:color="000000" w:sz="4" w:space="0"/>
              <w:bottom w:val="single" w:color="000000" w:sz="4" w:space="0"/>
              <w:right w:val="single" w:color="000000" w:sz="4" w:space="0"/>
            </w:tcBorders>
            <w:noWrap w:val="0"/>
            <w:vAlign w:val="center"/>
          </w:tcPr>
          <w:p w14:paraId="4B0C0F3E">
            <w:pPr>
              <w:jc w:val="center"/>
              <w:rPr>
                <w:color w:val="000000"/>
                <w:szCs w:val="21"/>
              </w:rPr>
            </w:pPr>
            <w:r>
              <w:rPr>
                <w:color w:val="000000"/>
                <w:szCs w:val="21"/>
              </w:rPr>
              <w:t>93-99</w:t>
            </w:r>
          </w:p>
        </w:tc>
        <w:tc>
          <w:tcPr>
            <w:tcW w:w="2685" w:type="dxa"/>
            <w:tcBorders>
              <w:top w:val="single" w:color="000000" w:sz="4" w:space="0"/>
              <w:left w:val="single" w:color="000000" w:sz="4" w:space="0"/>
              <w:bottom w:val="single" w:color="000000" w:sz="4" w:space="0"/>
              <w:right w:val="single" w:color="000000" w:sz="4" w:space="0"/>
            </w:tcBorders>
            <w:noWrap w:val="0"/>
            <w:vAlign w:val="center"/>
          </w:tcPr>
          <w:p w14:paraId="0C45D913">
            <w:pPr>
              <w:jc w:val="center"/>
              <w:rPr>
                <w:color w:val="000000"/>
                <w:szCs w:val="21"/>
              </w:rPr>
            </w:pPr>
            <w:r>
              <w:rPr>
                <w:color w:val="000000"/>
                <w:szCs w:val="21"/>
              </w:rPr>
              <w:t>90-95</w:t>
            </w:r>
          </w:p>
        </w:tc>
      </w:tr>
      <w:tr w14:paraId="3F2C1B73">
        <w:tblPrEx>
          <w:tblCellMar>
            <w:top w:w="0" w:type="dxa"/>
            <w:left w:w="108" w:type="dxa"/>
            <w:bottom w:w="0" w:type="dxa"/>
            <w:right w:w="108" w:type="dxa"/>
          </w:tblCellMar>
        </w:tblPrEx>
        <w:trPr>
          <w:cantSplit/>
          <w:trHeight w:val="331" w:hRule="atLeast"/>
        </w:trPr>
        <w:tc>
          <w:tcPr>
            <w:tcW w:w="1096" w:type="dxa"/>
            <w:vMerge w:val="continue"/>
            <w:tcBorders>
              <w:top w:val="single" w:color="000000" w:sz="4" w:space="0"/>
              <w:left w:val="single" w:color="000000" w:sz="4" w:space="0"/>
              <w:bottom w:val="single" w:color="000000" w:sz="4" w:space="0"/>
              <w:right w:val="single" w:color="000000" w:sz="4" w:space="0"/>
            </w:tcBorders>
            <w:noWrap w:val="0"/>
            <w:vAlign w:val="center"/>
          </w:tcPr>
          <w:p w14:paraId="168886C3">
            <w:pPr>
              <w:jc w:val="left"/>
              <w:rPr>
                <w:color w:val="000000"/>
                <w:szCs w:val="21"/>
              </w:rPr>
            </w:pPr>
          </w:p>
        </w:tc>
        <w:tc>
          <w:tcPr>
            <w:tcW w:w="2062" w:type="dxa"/>
            <w:tcBorders>
              <w:top w:val="single" w:color="000000" w:sz="4" w:space="0"/>
              <w:left w:val="single" w:color="000000" w:sz="4" w:space="0"/>
              <w:bottom w:val="single" w:color="000000" w:sz="4" w:space="0"/>
              <w:right w:val="single" w:color="000000" w:sz="4" w:space="0"/>
            </w:tcBorders>
            <w:noWrap w:val="0"/>
            <w:vAlign w:val="center"/>
          </w:tcPr>
          <w:p w14:paraId="1AA3558C">
            <w:pPr>
              <w:jc w:val="center"/>
              <w:rPr>
                <w:color w:val="000000"/>
                <w:szCs w:val="21"/>
              </w:rPr>
            </w:pPr>
            <w:r>
              <w:rPr>
                <w:color w:val="000000"/>
                <w:szCs w:val="21"/>
              </w:rPr>
              <w:t>重型运输车</w:t>
            </w:r>
          </w:p>
        </w:tc>
        <w:tc>
          <w:tcPr>
            <w:tcW w:w="2685" w:type="dxa"/>
            <w:tcBorders>
              <w:top w:val="single" w:color="000000" w:sz="4" w:space="0"/>
              <w:left w:val="single" w:color="000000" w:sz="4" w:space="0"/>
              <w:bottom w:val="single" w:color="000000" w:sz="4" w:space="0"/>
              <w:right w:val="single" w:color="000000" w:sz="4" w:space="0"/>
            </w:tcBorders>
            <w:noWrap w:val="0"/>
            <w:vAlign w:val="center"/>
          </w:tcPr>
          <w:p w14:paraId="639AD9CA">
            <w:pPr>
              <w:jc w:val="center"/>
              <w:rPr>
                <w:color w:val="000000"/>
                <w:szCs w:val="21"/>
              </w:rPr>
            </w:pPr>
            <w:r>
              <w:rPr>
                <w:color w:val="000000"/>
                <w:szCs w:val="21"/>
              </w:rPr>
              <w:t>82-90</w:t>
            </w:r>
          </w:p>
        </w:tc>
        <w:tc>
          <w:tcPr>
            <w:tcW w:w="2685" w:type="dxa"/>
            <w:tcBorders>
              <w:top w:val="single" w:color="000000" w:sz="4" w:space="0"/>
              <w:left w:val="single" w:color="000000" w:sz="4" w:space="0"/>
              <w:bottom w:val="single" w:color="000000" w:sz="4" w:space="0"/>
              <w:right w:val="single" w:color="000000" w:sz="4" w:space="0"/>
            </w:tcBorders>
            <w:noWrap w:val="0"/>
            <w:vAlign w:val="center"/>
          </w:tcPr>
          <w:p w14:paraId="09EB7CBC">
            <w:pPr>
              <w:jc w:val="center"/>
              <w:rPr>
                <w:color w:val="000000"/>
                <w:szCs w:val="21"/>
              </w:rPr>
            </w:pPr>
            <w:r>
              <w:rPr>
                <w:color w:val="000000"/>
                <w:szCs w:val="21"/>
              </w:rPr>
              <w:t>78-86</w:t>
            </w:r>
          </w:p>
        </w:tc>
      </w:tr>
      <w:tr w14:paraId="6CCA29D9">
        <w:tblPrEx>
          <w:tblCellMar>
            <w:top w:w="0" w:type="dxa"/>
            <w:left w:w="108" w:type="dxa"/>
            <w:bottom w:w="0" w:type="dxa"/>
            <w:right w:w="108" w:type="dxa"/>
          </w:tblCellMar>
        </w:tblPrEx>
        <w:trPr>
          <w:cantSplit/>
          <w:trHeight w:val="331" w:hRule="atLeast"/>
        </w:trPr>
        <w:tc>
          <w:tcPr>
            <w:tcW w:w="1096" w:type="dxa"/>
            <w:vMerge w:val="continue"/>
            <w:tcBorders>
              <w:top w:val="single" w:color="000000" w:sz="4" w:space="0"/>
              <w:left w:val="single" w:color="000000" w:sz="4" w:space="0"/>
              <w:bottom w:val="single" w:color="000000" w:sz="4" w:space="0"/>
              <w:right w:val="single" w:color="000000" w:sz="4" w:space="0"/>
            </w:tcBorders>
            <w:noWrap w:val="0"/>
            <w:vAlign w:val="center"/>
          </w:tcPr>
          <w:p w14:paraId="71A1C199">
            <w:pPr>
              <w:jc w:val="left"/>
              <w:rPr>
                <w:color w:val="000000"/>
                <w:szCs w:val="21"/>
              </w:rPr>
            </w:pPr>
          </w:p>
        </w:tc>
        <w:tc>
          <w:tcPr>
            <w:tcW w:w="2062" w:type="dxa"/>
            <w:tcBorders>
              <w:top w:val="single" w:color="000000" w:sz="4" w:space="0"/>
              <w:left w:val="single" w:color="000000" w:sz="4" w:space="0"/>
              <w:bottom w:val="single" w:color="000000" w:sz="4" w:space="0"/>
              <w:right w:val="single" w:color="000000" w:sz="4" w:space="0"/>
            </w:tcBorders>
            <w:noWrap w:val="0"/>
            <w:vAlign w:val="center"/>
          </w:tcPr>
          <w:p w14:paraId="36A336B1">
            <w:pPr>
              <w:jc w:val="center"/>
              <w:rPr>
                <w:color w:val="000000"/>
                <w:szCs w:val="21"/>
              </w:rPr>
            </w:pPr>
            <w:r>
              <w:rPr>
                <w:color w:val="000000"/>
                <w:szCs w:val="21"/>
              </w:rPr>
              <w:t>电锤</w:t>
            </w:r>
          </w:p>
        </w:tc>
        <w:tc>
          <w:tcPr>
            <w:tcW w:w="2685" w:type="dxa"/>
            <w:tcBorders>
              <w:top w:val="single" w:color="000000" w:sz="4" w:space="0"/>
              <w:left w:val="single" w:color="000000" w:sz="4" w:space="0"/>
              <w:bottom w:val="single" w:color="000000" w:sz="4" w:space="0"/>
              <w:right w:val="single" w:color="000000" w:sz="4" w:space="0"/>
            </w:tcBorders>
            <w:noWrap w:val="0"/>
            <w:vAlign w:val="center"/>
          </w:tcPr>
          <w:p w14:paraId="6663FACB">
            <w:pPr>
              <w:jc w:val="center"/>
              <w:rPr>
                <w:color w:val="000000"/>
                <w:szCs w:val="21"/>
              </w:rPr>
            </w:pPr>
            <w:r>
              <w:rPr>
                <w:color w:val="000000"/>
                <w:szCs w:val="21"/>
              </w:rPr>
              <w:t>100-105</w:t>
            </w:r>
          </w:p>
        </w:tc>
        <w:tc>
          <w:tcPr>
            <w:tcW w:w="2685" w:type="dxa"/>
            <w:tcBorders>
              <w:top w:val="single" w:color="000000" w:sz="4" w:space="0"/>
              <w:left w:val="single" w:color="000000" w:sz="4" w:space="0"/>
              <w:bottom w:val="single" w:color="000000" w:sz="4" w:space="0"/>
              <w:right w:val="single" w:color="000000" w:sz="4" w:space="0"/>
            </w:tcBorders>
            <w:noWrap w:val="0"/>
            <w:vAlign w:val="center"/>
          </w:tcPr>
          <w:p w14:paraId="262D043E">
            <w:pPr>
              <w:jc w:val="center"/>
              <w:rPr>
                <w:color w:val="000000"/>
                <w:szCs w:val="21"/>
              </w:rPr>
            </w:pPr>
            <w:r>
              <w:rPr>
                <w:color w:val="000000"/>
                <w:szCs w:val="21"/>
              </w:rPr>
              <w:t>95-99</w:t>
            </w:r>
          </w:p>
        </w:tc>
      </w:tr>
      <w:tr w14:paraId="5F91034E">
        <w:tblPrEx>
          <w:tblCellMar>
            <w:top w:w="0" w:type="dxa"/>
            <w:left w:w="108" w:type="dxa"/>
            <w:bottom w:w="0" w:type="dxa"/>
            <w:right w:w="108" w:type="dxa"/>
          </w:tblCellMar>
        </w:tblPrEx>
        <w:trPr>
          <w:cantSplit/>
          <w:trHeight w:val="331" w:hRule="atLeast"/>
        </w:trPr>
        <w:tc>
          <w:tcPr>
            <w:tcW w:w="1096" w:type="dxa"/>
            <w:vMerge w:val="continue"/>
            <w:tcBorders>
              <w:top w:val="single" w:color="000000" w:sz="4" w:space="0"/>
              <w:left w:val="single" w:color="000000" w:sz="4" w:space="0"/>
              <w:bottom w:val="single" w:color="000000" w:sz="4" w:space="0"/>
              <w:right w:val="single" w:color="000000" w:sz="4" w:space="0"/>
            </w:tcBorders>
            <w:noWrap w:val="0"/>
            <w:vAlign w:val="center"/>
          </w:tcPr>
          <w:p w14:paraId="7FAEAD2D">
            <w:pPr>
              <w:jc w:val="left"/>
              <w:rPr>
                <w:color w:val="000000"/>
                <w:szCs w:val="21"/>
              </w:rPr>
            </w:pPr>
          </w:p>
        </w:tc>
        <w:tc>
          <w:tcPr>
            <w:tcW w:w="2062" w:type="dxa"/>
            <w:tcBorders>
              <w:top w:val="single" w:color="000000" w:sz="4" w:space="0"/>
              <w:left w:val="single" w:color="000000" w:sz="4" w:space="0"/>
              <w:bottom w:val="single" w:color="000000" w:sz="4" w:space="0"/>
              <w:right w:val="single" w:color="000000" w:sz="4" w:space="0"/>
            </w:tcBorders>
            <w:noWrap w:val="0"/>
            <w:vAlign w:val="center"/>
          </w:tcPr>
          <w:p w14:paraId="466A1471">
            <w:pPr>
              <w:jc w:val="center"/>
              <w:rPr>
                <w:color w:val="000000"/>
                <w:szCs w:val="21"/>
              </w:rPr>
            </w:pPr>
            <w:r>
              <w:rPr>
                <w:color w:val="000000"/>
                <w:szCs w:val="21"/>
              </w:rPr>
              <w:t>商砼搅拌车</w:t>
            </w:r>
          </w:p>
        </w:tc>
        <w:tc>
          <w:tcPr>
            <w:tcW w:w="2685" w:type="dxa"/>
            <w:tcBorders>
              <w:top w:val="single" w:color="000000" w:sz="4" w:space="0"/>
              <w:left w:val="single" w:color="000000" w:sz="4" w:space="0"/>
              <w:bottom w:val="single" w:color="000000" w:sz="4" w:space="0"/>
              <w:right w:val="single" w:color="000000" w:sz="4" w:space="0"/>
            </w:tcBorders>
            <w:noWrap w:val="0"/>
            <w:vAlign w:val="center"/>
          </w:tcPr>
          <w:p w14:paraId="5E7878CE">
            <w:pPr>
              <w:jc w:val="center"/>
              <w:rPr>
                <w:color w:val="000000"/>
                <w:szCs w:val="21"/>
              </w:rPr>
            </w:pPr>
            <w:r>
              <w:rPr>
                <w:color w:val="000000"/>
                <w:szCs w:val="21"/>
              </w:rPr>
              <w:t>85-90</w:t>
            </w:r>
          </w:p>
        </w:tc>
        <w:tc>
          <w:tcPr>
            <w:tcW w:w="2685" w:type="dxa"/>
            <w:tcBorders>
              <w:top w:val="single" w:color="000000" w:sz="4" w:space="0"/>
              <w:left w:val="single" w:color="000000" w:sz="4" w:space="0"/>
              <w:bottom w:val="single" w:color="000000" w:sz="4" w:space="0"/>
              <w:right w:val="single" w:color="000000" w:sz="4" w:space="0"/>
            </w:tcBorders>
            <w:noWrap w:val="0"/>
            <w:vAlign w:val="center"/>
          </w:tcPr>
          <w:p w14:paraId="73F638CC">
            <w:pPr>
              <w:jc w:val="center"/>
              <w:rPr>
                <w:color w:val="000000"/>
                <w:szCs w:val="21"/>
              </w:rPr>
            </w:pPr>
            <w:r>
              <w:rPr>
                <w:color w:val="000000"/>
                <w:szCs w:val="21"/>
              </w:rPr>
              <w:t>82-84</w:t>
            </w:r>
          </w:p>
        </w:tc>
      </w:tr>
      <w:tr w14:paraId="12B5F677">
        <w:tblPrEx>
          <w:tblCellMar>
            <w:top w:w="0" w:type="dxa"/>
            <w:left w:w="108" w:type="dxa"/>
            <w:bottom w:w="0" w:type="dxa"/>
            <w:right w:w="108" w:type="dxa"/>
          </w:tblCellMar>
        </w:tblPrEx>
        <w:trPr>
          <w:cantSplit/>
          <w:trHeight w:val="331" w:hRule="atLeast"/>
        </w:trPr>
        <w:tc>
          <w:tcPr>
            <w:tcW w:w="1096" w:type="dxa"/>
            <w:vMerge w:val="continue"/>
            <w:tcBorders>
              <w:top w:val="single" w:color="000000" w:sz="4" w:space="0"/>
              <w:left w:val="single" w:color="000000" w:sz="4" w:space="0"/>
              <w:bottom w:val="single" w:color="000000" w:sz="4" w:space="0"/>
              <w:right w:val="single" w:color="000000" w:sz="4" w:space="0"/>
            </w:tcBorders>
            <w:noWrap w:val="0"/>
            <w:vAlign w:val="center"/>
          </w:tcPr>
          <w:p w14:paraId="0DBF6A61">
            <w:pPr>
              <w:jc w:val="left"/>
              <w:rPr>
                <w:color w:val="000000"/>
                <w:szCs w:val="21"/>
              </w:rPr>
            </w:pPr>
          </w:p>
        </w:tc>
        <w:tc>
          <w:tcPr>
            <w:tcW w:w="2062" w:type="dxa"/>
            <w:tcBorders>
              <w:top w:val="single" w:color="000000" w:sz="4" w:space="0"/>
              <w:left w:val="single" w:color="000000" w:sz="4" w:space="0"/>
              <w:bottom w:val="single" w:color="000000" w:sz="4" w:space="0"/>
              <w:right w:val="single" w:color="000000" w:sz="4" w:space="0"/>
            </w:tcBorders>
            <w:noWrap w:val="0"/>
            <w:vAlign w:val="center"/>
          </w:tcPr>
          <w:p w14:paraId="64D3AA80">
            <w:pPr>
              <w:jc w:val="center"/>
              <w:rPr>
                <w:color w:val="000000"/>
                <w:szCs w:val="21"/>
              </w:rPr>
            </w:pPr>
            <w:r>
              <w:rPr>
                <w:color w:val="000000"/>
                <w:szCs w:val="21"/>
              </w:rPr>
              <w:t>风镐</w:t>
            </w:r>
          </w:p>
        </w:tc>
        <w:tc>
          <w:tcPr>
            <w:tcW w:w="2685" w:type="dxa"/>
            <w:tcBorders>
              <w:top w:val="single" w:color="000000" w:sz="4" w:space="0"/>
              <w:left w:val="single" w:color="000000" w:sz="4" w:space="0"/>
              <w:bottom w:val="single" w:color="000000" w:sz="4" w:space="0"/>
              <w:right w:val="single" w:color="000000" w:sz="4" w:space="0"/>
            </w:tcBorders>
            <w:noWrap w:val="0"/>
            <w:vAlign w:val="center"/>
          </w:tcPr>
          <w:p w14:paraId="404598C9">
            <w:pPr>
              <w:jc w:val="center"/>
              <w:rPr>
                <w:color w:val="000000"/>
                <w:szCs w:val="21"/>
              </w:rPr>
            </w:pPr>
            <w:r>
              <w:rPr>
                <w:color w:val="000000"/>
                <w:szCs w:val="21"/>
              </w:rPr>
              <w:t>88-92</w:t>
            </w:r>
          </w:p>
        </w:tc>
        <w:tc>
          <w:tcPr>
            <w:tcW w:w="2685" w:type="dxa"/>
            <w:tcBorders>
              <w:top w:val="single" w:color="000000" w:sz="4" w:space="0"/>
              <w:left w:val="single" w:color="000000" w:sz="4" w:space="0"/>
              <w:bottom w:val="single" w:color="000000" w:sz="4" w:space="0"/>
              <w:right w:val="single" w:color="000000" w:sz="4" w:space="0"/>
            </w:tcBorders>
            <w:noWrap w:val="0"/>
            <w:vAlign w:val="center"/>
          </w:tcPr>
          <w:p w14:paraId="082493F0">
            <w:pPr>
              <w:jc w:val="center"/>
              <w:rPr>
                <w:color w:val="000000"/>
                <w:szCs w:val="21"/>
              </w:rPr>
            </w:pPr>
            <w:r>
              <w:rPr>
                <w:color w:val="000000"/>
                <w:szCs w:val="21"/>
              </w:rPr>
              <w:t>83-87</w:t>
            </w:r>
          </w:p>
        </w:tc>
      </w:tr>
      <w:tr w14:paraId="3F9B9A5D">
        <w:tblPrEx>
          <w:tblCellMar>
            <w:top w:w="0" w:type="dxa"/>
            <w:left w:w="108" w:type="dxa"/>
            <w:bottom w:w="0" w:type="dxa"/>
            <w:right w:w="108" w:type="dxa"/>
          </w:tblCellMar>
        </w:tblPrEx>
        <w:trPr>
          <w:cantSplit/>
          <w:trHeight w:val="342" w:hRule="atLeast"/>
        </w:trPr>
        <w:tc>
          <w:tcPr>
            <w:tcW w:w="1096" w:type="dxa"/>
            <w:vMerge w:val="continue"/>
            <w:tcBorders>
              <w:top w:val="single" w:color="000000" w:sz="4" w:space="0"/>
              <w:left w:val="single" w:color="000000" w:sz="4" w:space="0"/>
              <w:bottom w:val="single" w:color="000000" w:sz="4" w:space="0"/>
              <w:right w:val="single" w:color="000000" w:sz="4" w:space="0"/>
            </w:tcBorders>
            <w:noWrap w:val="0"/>
            <w:vAlign w:val="center"/>
          </w:tcPr>
          <w:p w14:paraId="5363C805">
            <w:pPr>
              <w:jc w:val="left"/>
              <w:rPr>
                <w:color w:val="000000"/>
                <w:szCs w:val="21"/>
              </w:rPr>
            </w:pPr>
          </w:p>
        </w:tc>
        <w:tc>
          <w:tcPr>
            <w:tcW w:w="2062" w:type="dxa"/>
            <w:tcBorders>
              <w:top w:val="single" w:color="000000" w:sz="4" w:space="0"/>
              <w:left w:val="single" w:color="000000" w:sz="4" w:space="0"/>
              <w:bottom w:val="single" w:color="000000" w:sz="4" w:space="0"/>
              <w:right w:val="single" w:color="000000" w:sz="4" w:space="0"/>
            </w:tcBorders>
            <w:noWrap w:val="0"/>
            <w:vAlign w:val="center"/>
          </w:tcPr>
          <w:p w14:paraId="03896B7A">
            <w:pPr>
              <w:jc w:val="center"/>
              <w:rPr>
                <w:color w:val="000000"/>
                <w:szCs w:val="21"/>
              </w:rPr>
            </w:pPr>
            <w:r>
              <w:rPr>
                <w:color w:val="000000"/>
                <w:szCs w:val="21"/>
              </w:rPr>
              <w:t>云石机、角磨机</w:t>
            </w:r>
          </w:p>
        </w:tc>
        <w:tc>
          <w:tcPr>
            <w:tcW w:w="2685" w:type="dxa"/>
            <w:tcBorders>
              <w:top w:val="single" w:color="000000" w:sz="4" w:space="0"/>
              <w:left w:val="single" w:color="000000" w:sz="4" w:space="0"/>
              <w:bottom w:val="single" w:color="000000" w:sz="4" w:space="0"/>
              <w:right w:val="single" w:color="000000" w:sz="4" w:space="0"/>
            </w:tcBorders>
            <w:noWrap w:val="0"/>
            <w:vAlign w:val="center"/>
          </w:tcPr>
          <w:p w14:paraId="7D0AAA41">
            <w:pPr>
              <w:jc w:val="center"/>
              <w:rPr>
                <w:color w:val="000000"/>
                <w:szCs w:val="21"/>
              </w:rPr>
            </w:pPr>
            <w:r>
              <w:rPr>
                <w:color w:val="000000"/>
                <w:szCs w:val="21"/>
              </w:rPr>
              <w:t>90-96</w:t>
            </w:r>
          </w:p>
        </w:tc>
        <w:tc>
          <w:tcPr>
            <w:tcW w:w="2685" w:type="dxa"/>
            <w:tcBorders>
              <w:top w:val="single" w:color="000000" w:sz="4" w:space="0"/>
              <w:left w:val="single" w:color="000000" w:sz="4" w:space="0"/>
              <w:bottom w:val="single" w:color="000000" w:sz="4" w:space="0"/>
              <w:right w:val="single" w:color="000000" w:sz="4" w:space="0"/>
            </w:tcBorders>
            <w:noWrap w:val="0"/>
            <w:vAlign w:val="center"/>
          </w:tcPr>
          <w:p w14:paraId="7E6B7FD5">
            <w:pPr>
              <w:jc w:val="center"/>
              <w:rPr>
                <w:color w:val="000000"/>
                <w:szCs w:val="21"/>
              </w:rPr>
            </w:pPr>
            <w:r>
              <w:rPr>
                <w:color w:val="000000"/>
                <w:szCs w:val="21"/>
              </w:rPr>
              <w:t>84-90</w:t>
            </w:r>
          </w:p>
        </w:tc>
      </w:tr>
    </w:tbl>
    <w:p w14:paraId="0001CCAC">
      <w:pPr>
        <w:pStyle w:val="183"/>
        <w:ind w:firstLine="472"/>
        <w:rPr>
          <w:rFonts w:eastAsia="仿宋_GB2312"/>
          <w:color w:val="000000"/>
          <w:sz w:val="24"/>
          <w:szCs w:val="24"/>
        </w:rPr>
      </w:pPr>
      <w:bookmarkStart w:id="289" w:name="_Toc135596860"/>
      <w:bookmarkEnd w:id="289"/>
      <w:bookmarkStart w:id="290" w:name="_Toc136457467"/>
      <w:bookmarkEnd w:id="290"/>
      <w:bookmarkStart w:id="291" w:name="_Toc135639657"/>
      <w:bookmarkEnd w:id="291"/>
      <w:bookmarkStart w:id="292" w:name="_Toc136458082"/>
      <w:bookmarkEnd w:id="292"/>
      <w:bookmarkStart w:id="293" w:name="_Toc143467193"/>
      <w:bookmarkEnd w:id="293"/>
      <w:bookmarkStart w:id="294" w:name="_Toc136458260"/>
      <w:bookmarkEnd w:id="294"/>
      <w:bookmarkStart w:id="295" w:name="_Toc136456577"/>
      <w:bookmarkEnd w:id="295"/>
      <w:bookmarkStart w:id="296" w:name="_Toc143548086"/>
      <w:bookmarkEnd w:id="296"/>
      <w:bookmarkStart w:id="297" w:name="_Toc143542687"/>
      <w:bookmarkEnd w:id="297"/>
      <w:bookmarkStart w:id="298" w:name="_Toc143642715"/>
      <w:bookmarkEnd w:id="298"/>
      <w:bookmarkStart w:id="299" w:name="_Toc143549441"/>
      <w:bookmarkEnd w:id="299"/>
      <w:bookmarkStart w:id="300" w:name="_Toc136457387"/>
      <w:bookmarkEnd w:id="300"/>
      <w:bookmarkStart w:id="301" w:name="_Toc143542914"/>
      <w:bookmarkEnd w:id="301"/>
      <w:bookmarkStart w:id="302" w:name="_Toc136457749"/>
      <w:bookmarkEnd w:id="302"/>
      <w:bookmarkStart w:id="303" w:name="_Toc143644035"/>
      <w:bookmarkEnd w:id="303"/>
      <w:bookmarkStart w:id="304" w:name="_Toc136457678"/>
      <w:bookmarkEnd w:id="304"/>
      <w:bookmarkStart w:id="305" w:name="_Toc136456643"/>
      <w:bookmarkEnd w:id="305"/>
      <w:bookmarkStart w:id="306" w:name="_Toc143548208"/>
      <w:bookmarkEnd w:id="306"/>
      <w:bookmarkStart w:id="307" w:name="_Toc143641057"/>
      <w:bookmarkEnd w:id="307"/>
      <w:bookmarkStart w:id="308" w:name="_Toc143640639"/>
      <w:bookmarkEnd w:id="308"/>
      <w:bookmarkStart w:id="309" w:name="_Toc143717651"/>
      <w:bookmarkEnd w:id="309"/>
      <w:bookmarkStart w:id="310" w:name="_Toc143458562"/>
      <w:bookmarkEnd w:id="310"/>
      <w:bookmarkStart w:id="311" w:name="_Toc143640432"/>
      <w:bookmarkEnd w:id="311"/>
      <w:bookmarkStart w:id="312" w:name="_Toc144483896"/>
      <w:bookmarkEnd w:id="312"/>
      <w:bookmarkStart w:id="313" w:name="_Toc144118329"/>
      <w:bookmarkEnd w:id="313"/>
      <w:bookmarkStart w:id="314" w:name="_Toc144224618"/>
      <w:bookmarkEnd w:id="314"/>
      <w:bookmarkStart w:id="315" w:name="_Toc143991911"/>
      <w:bookmarkEnd w:id="315"/>
      <w:bookmarkStart w:id="316" w:name="_Toc143996313"/>
      <w:bookmarkEnd w:id="316"/>
      <w:bookmarkStart w:id="317" w:name="_Toc170140394"/>
      <w:bookmarkEnd w:id="317"/>
      <w:bookmarkStart w:id="318" w:name="_Toc143991183"/>
      <w:bookmarkEnd w:id="318"/>
      <w:bookmarkStart w:id="319" w:name="_Toc241904944"/>
      <w:bookmarkEnd w:id="319"/>
      <w:bookmarkStart w:id="320" w:name="_Toc144465246"/>
      <w:bookmarkEnd w:id="320"/>
      <w:bookmarkStart w:id="321" w:name="_Toc144145002"/>
      <w:bookmarkEnd w:id="321"/>
      <w:bookmarkStart w:id="322" w:name="_Toc495500064"/>
      <w:r>
        <w:rPr>
          <w:rFonts w:eastAsia="仿宋_GB2312"/>
          <w:color w:val="000000"/>
          <w:sz w:val="24"/>
          <w:szCs w:val="24"/>
        </w:rPr>
        <w:t>3.</w:t>
      </w:r>
      <w:r>
        <w:rPr>
          <w:rFonts w:hint="eastAsia" w:eastAsia="仿宋_GB2312"/>
          <w:color w:val="000000"/>
          <w:sz w:val="24"/>
          <w:szCs w:val="24"/>
        </w:rPr>
        <w:t>6</w:t>
      </w:r>
      <w:r>
        <w:rPr>
          <w:rFonts w:eastAsia="仿宋_GB2312"/>
          <w:color w:val="000000"/>
          <w:sz w:val="24"/>
          <w:szCs w:val="24"/>
        </w:rPr>
        <w:t>.5 生态环境影响因素分析</w:t>
      </w:r>
      <w:bookmarkEnd w:id="322"/>
    </w:p>
    <w:p w14:paraId="7AA093A2">
      <w:pPr>
        <w:spacing w:line="360" w:lineRule="auto"/>
        <w:ind w:firstLine="480"/>
        <w:rPr>
          <w:color w:val="000000"/>
          <w:sz w:val="24"/>
        </w:rPr>
      </w:pPr>
      <w:r>
        <w:rPr>
          <w:color w:val="000000"/>
          <w:sz w:val="24"/>
        </w:rPr>
        <w:t>施工期中开挖、填土、地基建设、机械设备及材料堆放等活动不可避免的对地表产生扰动，造成原有土壤、植被破坏，增加水土流失。雨季施工易造成水土流失影响水体。施工还会造成区域景观不协调。施工期对位于项目周围的居住区产生一定影响。</w:t>
      </w:r>
    </w:p>
    <w:p w14:paraId="286CBDCD">
      <w:pPr>
        <w:spacing w:line="360" w:lineRule="auto"/>
        <w:ind w:firstLine="480"/>
        <w:rPr>
          <w:color w:val="000000"/>
          <w:sz w:val="24"/>
        </w:rPr>
      </w:pPr>
      <w:r>
        <w:rPr>
          <w:color w:val="000000"/>
          <w:sz w:val="24"/>
        </w:rPr>
        <w:t>在施工过程中必将形成新的开挖面，由于土体结构的扰动，破坏了原来的地貌和地表植被，使土壤的抗蚀能力减弱，会导致不同程度的水土流失；在径流的冲刷作用下，施工场地的水土流失量将会大量增加，污染附近水体，其后果是水变浑浊，透明度降低；另外，在土开挖和运输过程中，会使旱季空气中的扬尘增加；余土处理不当，会使水土流失延续至施工期以后。</w:t>
      </w:r>
    </w:p>
    <w:p w14:paraId="5260A023">
      <w:pPr>
        <w:pStyle w:val="183"/>
        <w:ind w:firstLine="472"/>
        <w:rPr>
          <w:rFonts w:eastAsia="仿宋_GB2312"/>
          <w:color w:val="000000"/>
          <w:sz w:val="24"/>
          <w:szCs w:val="24"/>
        </w:rPr>
      </w:pPr>
      <w:bookmarkStart w:id="323" w:name="_Toc143548087"/>
      <w:bookmarkEnd w:id="323"/>
      <w:bookmarkStart w:id="324" w:name="_Toc143458563"/>
      <w:bookmarkEnd w:id="324"/>
      <w:bookmarkStart w:id="325" w:name="_Toc143640433"/>
      <w:bookmarkEnd w:id="325"/>
      <w:bookmarkStart w:id="326" w:name="_Toc143548209"/>
      <w:bookmarkEnd w:id="326"/>
      <w:bookmarkStart w:id="327" w:name="_Toc136458261"/>
      <w:bookmarkEnd w:id="327"/>
      <w:bookmarkStart w:id="328" w:name="_Toc143542915"/>
      <w:bookmarkEnd w:id="328"/>
      <w:bookmarkStart w:id="329" w:name="_Toc143467194"/>
      <w:bookmarkEnd w:id="329"/>
      <w:bookmarkStart w:id="330" w:name="_Toc136457750"/>
      <w:bookmarkEnd w:id="330"/>
      <w:bookmarkStart w:id="331" w:name="_Toc144118330"/>
      <w:bookmarkEnd w:id="331"/>
      <w:bookmarkStart w:id="332" w:name="_Toc135639658"/>
      <w:bookmarkEnd w:id="332"/>
      <w:bookmarkStart w:id="333" w:name="_Toc144145003"/>
      <w:bookmarkEnd w:id="333"/>
      <w:bookmarkStart w:id="334" w:name="_Toc135596861"/>
      <w:bookmarkEnd w:id="334"/>
      <w:bookmarkStart w:id="335" w:name="_Toc143640640"/>
      <w:bookmarkEnd w:id="335"/>
      <w:bookmarkStart w:id="336" w:name="_Toc136456578"/>
      <w:bookmarkEnd w:id="336"/>
      <w:bookmarkStart w:id="337" w:name="_Toc143549442"/>
      <w:bookmarkEnd w:id="337"/>
      <w:bookmarkStart w:id="338" w:name="_Toc136457468"/>
      <w:bookmarkEnd w:id="338"/>
      <w:bookmarkStart w:id="339" w:name="_Toc136457388"/>
      <w:bookmarkEnd w:id="339"/>
      <w:bookmarkStart w:id="340" w:name="_Toc136458083"/>
      <w:bookmarkEnd w:id="340"/>
      <w:bookmarkStart w:id="341" w:name="_Toc136456644"/>
      <w:bookmarkEnd w:id="341"/>
      <w:bookmarkStart w:id="342" w:name="_Toc143542688"/>
      <w:bookmarkEnd w:id="342"/>
      <w:bookmarkStart w:id="343" w:name="_Toc143991912"/>
      <w:bookmarkEnd w:id="343"/>
      <w:bookmarkStart w:id="344" w:name="_Toc143996314"/>
      <w:bookmarkEnd w:id="344"/>
      <w:bookmarkStart w:id="345" w:name="_Toc136457679"/>
      <w:bookmarkEnd w:id="345"/>
      <w:bookmarkStart w:id="346" w:name="_Toc143717652"/>
      <w:bookmarkEnd w:id="346"/>
      <w:bookmarkStart w:id="347" w:name="_Toc144483897"/>
      <w:bookmarkEnd w:id="347"/>
      <w:bookmarkStart w:id="348" w:name="_Toc144224619"/>
      <w:bookmarkEnd w:id="348"/>
      <w:bookmarkStart w:id="349" w:name="_Toc170140395"/>
      <w:bookmarkEnd w:id="349"/>
      <w:bookmarkStart w:id="350" w:name="_Toc143642716"/>
      <w:bookmarkEnd w:id="350"/>
      <w:bookmarkStart w:id="351" w:name="_Toc143641058"/>
      <w:bookmarkEnd w:id="351"/>
      <w:bookmarkStart w:id="352" w:name="_Toc143644036"/>
      <w:bookmarkEnd w:id="352"/>
      <w:bookmarkStart w:id="353" w:name="_Toc143991184"/>
      <w:bookmarkEnd w:id="353"/>
      <w:bookmarkStart w:id="354" w:name="_Toc144465247"/>
      <w:bookmarkEnd w:id="354"/>
      <w:bookmarkStart w:id="355" w:name="_Toc241904945"/>
      <w:bookmarkEnd w:id="355"/>
      <w:bookmarkStart w:id="356" w:name="_Toc495500065"/>
      <w:r>
        <w:rPr>
          <w:rFonts w:eastAsia="仿宋_GB2312"/>
          <w:color w:val="000000"/>
          <w:sz w:val="24"/>
          <w:szCs w:val="24"/>
        </w:rPr>
        <w:t>3.</w:t>
      </w:r>
      <w:r>
        <w:rPr>
          <w:rFonts w:hint="eastAsia" w:eastAsia="仿宋_GB2312"/>
          <w:color w:val="000000"/>
          <w:sz w:val="24"/>
          <w:szCs w:val="24"/>
        </w:rPr>
        <w:t>6</w:t>
      </w:r>
      <w:r>
        <w:rPr>
          <w:rFonts w:eastAsia="仿宋_GB2312"/>
          <w:color w:val="000000"/>
          <w:sz w:val="24"/>
          <w:szCs w:val="24"/>
        </w:rPr>
        <w:t>.6 社会环境影响</w:t>
      </w:r>
      <w:bookmarkEnd w:id="356"/>
    </w:p>
    <w:p w14:paraId="1121B323">
      <w:pPr>
        <w:spacing w:line="360" w:lineRule="auto"/>
        <w:ind w:firstLine="480"/>
        <w:rPr>
          <w:color w:val="000000"/>
          <w:sz w:val="24"/>
        </w:rPr>
      </w:pPr>
      <w:r>
        <w:rPr>
          <w:color w:val="000000"/>
          <w:sz w:val="24"/>
        </w:rPr>
        <w:t>施工过程中由于运输材料、清运废弃物、机械作业等可能引起相应路段的交通流量增加，给正常的交通造成一定的影响。</w:t>
      </w:r>
    </w:p>
    <w:p w14:paraId="51A1A396">
      <w:pPr>
        <w:spacing w:line="360" w:lineRule="auto"/>
        <w:ind w:firstLine="480"/>
        <w:rPr>
          <w:color w:val="000000"/>
          <w:sz w:val="24"/>
        </w:rPr>
      </w:pPr>
      <w:r>
        <w:rPr>
          <w:color w:val="000000"/>
          <w:sz w:val="24"/>
        </w:rPr>
        <w:t>同时工程项目的实施，由于大量资金、物质和劳动力输入，为部分人群提供了就业机会；同时将带动当地建材、餐饮等第三产业的发展，工程所需的建筑材料的采购和运输，可促进当地相关行业的发展。</w:t>
      </w:r>
    </w:p>
    <w:p w14:paraId="67E350E1">
      <w:pPr>
        <w:spacing w:line="360" w:lineRule="auto"/>
        <w:ind w:firstLine="480"/>
        <w:rPr>
          <w:color w:val="000000"/>
          <w:sz w:val="24"/>
        </w:rPr>
      </w:pPr>
      <w:r>
        <w:rPr>
          <w:color w:val="000000"/>
          <w:sz w:val="24"/>
        </w:rPr>
        <w:t>施工期间，由于噪声、扬尘等污染，也会在短期内影响周围居民的生活质量。</w:t>
      </w:r>
    </w:p>
    <w:p w14:paraId="1BB58733">
      <w:pPr>
        <w:pStyle w:val="182"/>
        <w:ind w:firstLine="275"/>
        <w:rPr>
          <w:rFonts w:ascii="Times New Roman" w:hAnsi="Times New Roman" w:eastAsia="仿宋_GB2312" w:cs="Times New Roman"/>
          <w:color w:val="000000"/>
          <w:sz w:val="28"/>
          <w:szCs w:val="28"/>
        </w:rPr>
      </w:pPr>
      <w:bookmarkStart w:id="357" w:name="_Toc495500066"/>
      <w:r>
        <w:rPr>
          <w:rFonts w:ascii="Times New Roman" w:hAnsi="Times New Roman" w:eastAsia="仿宋_GB2312" w:cs="Times New Roman"/>
          <w:color w:val="000000"/>
          <w:sz w:val="28"/>
          <w:szCs w:val="28"/>
        </w:rPr>
        <w:t>3.7营运期产污核算</w:t>
      </w:r>
      <w:bookmarkEnd w:id="357"/>
    </w:p>
    <w:p w14:paraId="18E6195C">
      <w:pPr>
        <w:spacing w:line="360" w:lineRule="auto"/>
        <w:ind w:firstLine="480"/>
        <w:rPr>
          <w:color w:val="000000"/>
          <w:sz w:val="24"/>
        </w:rPr>
      </w:pPr>
      <w:r>
        <w:rPr>
          <w:rFonts w:hint="eastAsia" w:ascii="宋体" w:hAnsi="宋体"/>
          <w:color w:val="000000"/>
          <w:sz w:val="24"/>
        </w:rPr>
        <w:t>本项目门诊、住院楼等建成运营后产生的污染物主要有生活污水、医疗废水、生活垃圾和医疗固体废物等，项目设置病床230张。</w:t>
      </w:r>
    </w:p>
    <w:p w14:paraId="30CD928B">
      <w:pPr>
        <w:pStyle w:val="183"/>
        <w:ind w:firstLine="472"/>
        <w:rPr>
          <w:rFonts w:eastAsia="仿宋_GB2312"/>
          <w:color w:val="000000"/>
          <w:sz w:val="24"/>
          <w:szCs w:val="24"/>
        </w:rPr>
      </w:pPr>
      <w:bookmarkStart w:id="358" w:name="_Toc495500067"/>
      <w:r>
        <w:rPr>
          <w:rFonts w:eastAsia="仿宋_GB2312"/>
          <w:color w:val="000000"/>
          <w:sz w:val="24"/>
          <w:szCs w:val="24"/>
        </w:rPr>
        <w:t>3.7.1废水</w:t>
      </w:r>
      <w:bookmarkEnd w:id="358"/>
    </w:p>
    <w:p w14:paraId="2C2FDDE9">
      <w:pPr>
        <w:pStyle w:val="221"/>
        <w:spacing w:after="0" w:line="360" w:lineRule="auto"/>
        <w:ind w:left="0" w:firstLine="480"/>
        <w:rPr>
          <w:rFonts w:hint="eastAsia" w:ascii="宋体" w:hAnsi="宋体"/>
          <w:color w:val="000000"/>
          <w:sz w:val="24"/>
        </w:rPr>
      </w:pPr>
      <w:r>
        <w:rPr>
          <w:rFonts w:hint="eastAsia" w:ascii="宋体" w:hAnsi="宋体"/>
          <w:color w:val="000000"/>
          <w:sz w:val="24"/>
        </w:rPr>
        <w:t>根据本项目的科室设置，项目在营运期产生的废水主要分为六类，一为门诊部废水；二为住院部废水；三为检验科废水；四为洗浆房洗涤废水；五为食堂废水；六为污水处理系统污泥脱水。本项目的用水量参照《云南省地方用水标准定额》(GB53/T 168-2013)</w:t>
      </w:r>
      <w:r>
        <w:rPr>
          <w:rFonts w:ascii="宋体" w:hAnsi="宋体"/>
          <w:color w:val="000000"/>
          <w:sz w:val="24"/>
        </w:rPr>
        <w:t>中规定的参考数据</w:t>
      </w:r>
      <w:r>
        <w:rPr>
          <w:rFonts w:hint="eastAsia" w:ascii="宋体" w:hAnsi="宋体"/>
          <w:color w:val="000000"/>
          <w:sz w:val="24"/>
        </w:rPr>
        <w:t>；废水水质根据类比曲靖华府医院验收监测报告来进行分析。</w:t>
      </w:r>
      <w:r>
        <w:rPr>
          <w:rFonts w:hint="eastAsia"/>
          <w:color w:val="000000"/>
          <w:sz w:val="24"/>
        </w:rPr>
        <w:t>项目不设同位素室，没有放射性废水产生；影像采用干式洗片机，没有洗印废水产生；病理、血液检查和化验等科室目前已采用成品的试剂盒化验，无含铬废水产生。</w:t>
      </w:r>
    </w:p>
    <w:p w14:paraId="43452620">
      <w:pPr>
        <w:pStyle w:val="197"/>
        <w:spacing w:after="0" w:line="360" w:lineRule="auto"/>
        <w:ind w:left="0" w:firstLine="480"/>
        <w:rPr>
          <w:rFonts w:hint="eastAsia" w:ascii="宋体" w:hAnsi="宋体"/>
          <w:bCs/>
          <w:color w:val="000000"/>
          <w:sz w:val="24"/>
        </w:rPr>
      </w:pPr>
      <w:r>
        <w:rPr>
          <w:rFonts w:hint="eastAsia" w:ascii="宋体" w:hAnsi="宋体"/>
          <w:bCs/>
          <w:color w:val="000000"/>
          <w:sz w:val="24"/>
        </w:rPr>
        <w:t>（1）、门诊废水</w:t>
      </w:r>
    </w:p>
    <w:p w14:paraId="12EC3DE3">
      <w:pPr>
        <w:spacing w:line="360" w:lineRule="auto"/>
        <w:ind w:firstLine="480"/>
        <w:rPr>
          <w:rFonts w:hint="eastAsia"/>
          <w:color w:val="000000"/>
          <w:sz w:val="24"/>
        </w:rPr>
      </w:pPr>
      <w:r>
        <w:rPr>
          <w:rFonts w:ascii="宋体" w:hAnsi="宋体"/>
          <w:color w:val="000000"/>
          <w:sz w:val="24"/>
        </w:rPr>
        <w:t>“门诊（无住院部，含行政及医护人员、附属设施等综合用水）用水定额为20L/（人·次）”。</w:t>
      </w:r>
      <w:r>
        <w:rPr>
          <w:rFonts w:hint="eastAsia" w:ascii="宋体" w:hAnsi="宋体"/>
          <w:color w:val="000000"/>
          <w:sz w:val="24"/>
        </w:rPr>
        <w:t>根据项目设计门诊人数493人次/日，</w:t>
      </w:r>
      <w:r>
        <w:rPr>
          <w:rFonts w:ascii="宋体" w:hAnsi="宋体"/>
          <w:color w:val="000000"/>
          <w:sz w:val="24"/>
        </w:rPr>
        <w:t>因此，门诊部</w:t>
      </w:r>
      <w:r>
        <w:rPr>
          <w:rFonts w:hint="eastAsia" w:ascii="宋体" w:hAnsi="宋体"/>
          <w:color w:val="000000"/>
          <w:sz w:val="24"/>
        </w:rPr>
        <w:t>总用水量</w:t>
      </w:r>
      <w:r>
        <w:rPr>
          <w:rFonts w:ascii="宋体" w:hAnsi="宋体"/>
          <w:color w:val="000000"/>
          <w:sz w:val="24"/>
        </w:rPr>
        <w:t>共计</w:t>
      </w:r>
      <w:r>
        <w:rPr>
          <w:rFonts w:hint="eastAsia" w:ascii="宋体" w:hAnsi="宋体"/>
          <w:color w:val="000000"/>
          <w:sz w:val="24"/>
        </w:rPr>
        <w:t>9.83</w:t>
      </w:r>
      <w:r>
        <w:rPr>
          <w:rFonts w:ascii="宋体" w:hAnsi="宋体"/>
          <w:color w:val="000000"/>
          <w:sz w:val="24"/>
        </w:rPr>
        <w:t>m</w:t>
      </w:r>
      <w:r>
        <w:rPr>
          <w:rFonts w:ascii="宋体" w:hAnsi="宋体"/>
          <w:color w:val="000000"/>
          <w:sz w:val="24"/>
          <w:vertAlign w:val="superscript"/>
        </w:rPr>
        <w:t>3</w:t>
      </w:r>
      <w:r>
        <w:rPr>
          <w:rFonts w:ascii="宋体" w:hAnsi="宋体"/>
          <w:color w:val="000000"/>
          <w:sz w:val="24"/>
        </w:rPr>
        <w:t>/d。</w:t>
      </w:r>
      <w:r>
        <w:rPr>
          <w:rFonts w:hint="eastAsia" w:ascii="宋体" w:hAnsi="宋体"/>
          <w:color w:val="000000"/>
          <w:sz w:val="24"/>
        </w:rPr>
        <w:t>排放系数按0.85计，则项目住院部的废水产生量为8.36</w:t>
      </w:r>
      <w:r>
        <w:rPr>
          <w:rFonts w:ascii="宋体" w:hAnsi="宋体"/>
          <w:color w:val="000000"/>
          <w:sz w:val="24"/>
        </w:rPr>
        <w:t>m</w:t>
      </w:r>
      <w:r>
        <w:rPr>
          <w:rFonts w:ascii="宋体" w:hAnsi="宋体"/>
          <w:color w:val="000000"/>
          <w:sz w:val="24"/>
          <w:vertAlign w:val="superscript"/>
        </w:rPr>
        <w:t>3</w:t>
      </w:r>
      <w:r>
        <w:rPr>
          <w:rFonts w:ascii="宋体" w:hAnsi="宋体"/>
          <w:color w:val="000000"/>
          <w:sz w:val="24"/>
        </w:rPr>
        <w:t>/d。</w:t>
      </w:r>
    </w:p>
    <w:p w14:paraId="2E61606D">
      <w:pPr>
        <w:pStyle w:val="197"/>
        <w:spacing w:after="0" w:line="360" w:lineRule="auto"/>
        <w:ind w:left="0" w:firstLine="480"/>
        <w:rPr>
          <w:rFonts w:hint="eastAsia" w:ascii="宋体" w:hAnsi="宋体"/>
          <w:bCs/>
          <w:color w:val="000000"/>
          <w:sz w:val="24"/>
        </w:rPr>
      </w:pPr>
      <w:r>
        <w:rPr>
          <w:rFonts w:hint="eastAsia" w:ascii="宋体" w:hAnsi="宋体"/>
          <w:bCs/>
          <w:color w:val="000000"/>
          <w:sz w:val="24"/>
        </w:rPr>
        <w:t>（2）、住院部废水</w:t>
      </w:r>
    </w:p>
    <w:p w14:paraId="7CDB8E72">
      <w:pPr>
        <w:pStyle w:val="221"/>
        <w:spacing w:after="0" w:line="360" w:lineRule="auto"/>
        <w:ind w:left="0" w:firstLine="480"/>
        <w:rPr>
          <w:rFonts w:hint="eastAsia" w:ascii="宋体" w:hAnsi="宋体"/>
          <w:color w:val="000000"/>
          <w:sz w:val="24"/>
        </w:rPr>
      </w:pPr>
      <w:r>
        <w:rPr>
          <w:rFonts w:ascii="宋体" w:hAnsi="宋体"/>
          <w:color w:val="000000"/>
          <w:sz w:val="24"/>
        </w:rPr>
        <w:t>项目共设</w:t>
      </w:r>
      <w:r>
        <w:rPr>
          <w:rFonts w:hint="eastAsia" w:ascii="宋体" w:hAnsi="宋体"/>
          <w:color w:val="000000"/>
          <w:sz w:val="24"/>
        </w:rPr>
        <w:t>230</w:t>
      </w:r>
      <w:r>
        <w:rPr>
          <w:rFonts w:ascii="宋体" w:hAnsi="宋体"/>
          <w:color w:val="000000"/>
          <w:sz w:val="24"/>
        </w:rPr>
        <w:t>张床位</w:t>
      </w:r>
      <w:r>
        <w:rPr>
          <w:rFonts w:hint="eastAsia" w:ascii="宋体" w:hAnsi="宋体"/>
          <w:color w:val="000000"/>
          <w:sz w:val="24"/>
        </w:rPr>
        <w:t>，</w:t>
      </w:r>
      <w:r>
        <w:rPr>
          <w:rFonts w:ascii="宋体" w:hAnsi="宋体"/>
          <w:color w:val="000000"/>
          <w:sz w:val="24"/>
        </w:rPr>
        <w:t>根据</w:t>
      </w:r>
      <w:r>
        <w:rPr>
          <w:rFonts w:hint="eastAsia" w:ascii="宋体" w:hAnsi="宋体"/>
          <w:color w:val="000000"/>
          <w:sz w:val="24"/>
        </w:rPr>
        <w:t>《云南省地方用水标准定额》(GB53/T 168-2013)</w:t>
      </w:r>
      <w:r>
        <w:rPr>
          <w:rFonts w:ascii="宋体" w:hAnsi="宋体"/>
          <w:color w:val="000000"/>
          <w:sz w:val="24"/>
        </w:rPr>
        <w:t>，</w:t>
      </w:r>
      <w:r>
        <w:rPr>
          <w:rFonts w:hint="eastAsia" w:ascii="宋体" w:hAnsi="宋体"/>
          <w:color w:val="000000"/>
          <w:sz w:val="24"/>
        </w:rPr>
        <w:t>住院部用水定额为300L/（床位.d）</w:t>
      </w:r>
      <w:r>
        <w:rPr>
          <w:rFonts w:ascii="宋体" w:hAnsi="宋体"/>
          <w:color w:val="000000"/>
          <w:sz w:val="24"/>
        </w:rPr>
        <w:t>(</w:t>
      </w:r>
      <w:r>
        <w:rPr>
          <w:rFonts w:hint="eastAsia" w:ascii="宋体" w:hAnsi="宋体"/>
          <w:color w:val="000000"/>
          <w:sz w:val="24"/>
        </w:rPr>
        <w:t>病房内带洗浴，此用水含行政及医护人员、附属设施等综合用水），按满负荷计算，则用水量为69</w:t>
      </w:r>
      <w:r>
        <w:rPr>
          <w:rFonts w:ascii="宋体" w:hAnsi="宋体"/>
          <w:color w:val="000000"/>
          <w:sz w:val="24"/>
        </w:rPr>
        <w:t>t/d</w:t>
      </w:r>
      <w:r>
        <w:rPr>
          <w:rFonts w:hint="eastAsia" w:ascii="宋体" w:hAnsi="宋体"/>
          <w:color w:val="000000"/>
          <w:sz w:val="24"/>
        </w:rPr>
        <w:t>（25185</w:t>
      </w:r>
      <w:r>
        <w:rPr>
          <w:rFonts w:ascii="宋体" w:hAnsi="宋体"/>
          <w:color w:val="000000"/>
          <w:sz w:val="24"/>
        </w:rPr>
        <w:t>t/a</w:t>
      </w:r>
      <w:r>
        <w:rPr>
          <w:rFonts w:hint="eastAsia" w:ascii="宋体" w:hAnsi="宋体"/>
          <w:color w:val="000000"/>
          <w:sz w:val="24"/>
        </w:rPr>
        <w:t>），</w:t>
      </w:r>
      <w:r>
        <w:rPr>
          <w:rFonts w:ascii="宋体" w:hAnsi="宋体"/>
          <w:color w:val="000000"/>
          <w:sz w:val="24"/>
        </w:rPr>
        <w:t>排污系数按照0.</w:t>
      </w:r>
      <w:r>
        <w:rPr>
          <w:rFonts w:hint="eastAsia" w:ascii="宋体" w:hAnsi="宋体"/>
          <w:color w:val="000000"/>
          <w:sz w:val="24"/>
        </w:rPr>
        <w:t>85</w:t>
      </w:r>
      <w:r>
        <w:rPr>
          <w:rFonts w:ascii="宋体" w:hAnsi="宋体"/>
          <w:color w:val="000000"/>
          <w:sz w:val="24"/>
        </w:rPr>
        <w:t>计算，则住院部废水产生量为</w:t>
      </w:r>
      <w:r>
        <w:rPr>
          <w:rFonts w:hint="eastAsia" w:ascii="宋体" w:hAnsi="宋体"/>
          <w:color w:val="000000"/>
          <w:sz w:val="24"/>
        </w:rPr>
        <w:t>58.65</w:t>
      </w:r>
      <w:r>
        <w:rPr>
          <w:rFonts w:ascii="宋体" w:hAnsi="宋体"/>
          <w:color w:val="000000"/>
          <w:sz w:val="24"/>
        </w:rPr>
        <w:t>t/d</w:t>
      </w:r>
      <w:r>
        <w:rPr>
          <w:rFonts w:hint="eastAsia" w:ascii="宋体" w:hAnsi="宋体"/>
          <w:color w:val="000000"/>
          <w:sz w:val="24"/>
        </w:rPr>
        <w:t>（21407.25</w:t>
      </w:r>
      <w:r>
        <w:rPr>
          <w:rFonts w:ascii="宋体" w:hAnsi="宋体"/>
          <w:color w:val="000000"/>
          <w:sz w:val="24"/>
        </w:rPr>
        <w:t>t/a</w:t>
      </w:r>
      <w:r>
        <w:rPr>
          <w:rFonts w:hint="eastAsia" w:ascii="宋体" w:hAnsi="宋体"/>
          <w:color w:val="000000"/>
          <w:sz w:val="24"/>
        </w:rPr>
        <w:t>）。</w:t>
      </w:r>
    </w:p>
    <w:p w14:paraId="63210C2C">
      <w:pPr>
        <w:pStyle w:val="197"/>
        <w:spacing w:after="0" w:line="360" w:lineRule="auto"/>
        <w:ind w:left="0" w:firstLine="480"/>
        <w:rPr>
          <w:rFonts w:hint="eastAsia" w:ascii="宋体" w:hAnsi="宋体"/>
          <w:bCs/>
          <w:color w:val="000000"/>
          <w:sz w:val="24"/>
        </w:rPr>
      </w:pPr>
      <w:r>
        <w:rPr>
          <w:rFonts w:hint="eastAsia" w:ascii="宋体" w:hAnsi="宋体"/>
          <w:bCs/>
          <w:color w:val="000000"/>
          <w:sz w:val="24"/>
        </w:rPr>
        <w:t>（3）、检验科废水</w:t>
      </w:r>
    </w:p>
    <w:p w14:paraId="1A5BD9E3">
      <w:pPr>
        <w:spacing w:line="360" w:lineRule="auto"/>
        <w:ind w:firstLine="480"/>
        <w:rPr>
          <w:rFonts w:hint="eastAsia" w:ascii="宋体" w:hAnsi="宋体"/>
          <w:color w:val="000000"/>
          <w:sz w:val="24"/>
        </w:rPr>
      </w:pPr>
      <w:r>
        <w:rPr>
          <w:rFonts w:hint="eastAsia" w:ascii="宋体" w:hAnsi="宋体"/>
          <w:color w:val="000000"/>
          <w:sz w:val="24"/>
        </w:rPr>
        <w:t>项目医院内设置检验科，</w:t>
      </w:r>
      <w:r>
        <w:rPr>
          <w:rStyle w:val="245"/>
          <w:rFonts w:hint="eastAsia" w:ascii="宋体" w:hAnsi="宋体"/>
          <w:color w:val="000000"/>
          <w:sz w:val="24"/>
        </w:rPr>
        <w:t>检验科属于特殊科室，检验科主要采用酶作为实验介质，不在医院内自制酶介质，因此不会产生含氰、含铬等重金属废水。废水主要产生于设备清洗阶段，产生的废水主要为碱性废水；检验科每天就诊人次为90人次，按照1</w:t>
      </w:r>
      <w:r>
        <w:rPr>
          <w:rFonts w:ascii="宋体" w:hAnsi="宋体"/>
          <w:color w:val="000000"/>
          <w:sz w:val="24"/>
        </w:rPr>
        <w:t>L/</w:t>
      </w:r>
      <w:r>
        <w:rPr>
          <w:rFonts w:hint="eastAsia" w:ascii="宋体" w:hAnsi="宋体"/>
          <w:color w:val="000000"/>
          <w:sz w:val="24"/>
        </w:rPr>
        <w:t>人计，则用水量约为0.09</w:t>
      </w:r>
      <w:r>
        <w:rPr>
          <w:rFonts w:ascii="宋体" w:hAnsi="宋体"/>
          <w:color w:val="000000"/>
          <w:sz w:val="24"/>
        </w:rPr>
        <w:t>m</w:t>
      </w:r>
      <w:r>
        <w:rPr>
          <w:rFonts w:ascii="宋体" w:hAnsi="宋体"/>
          <w:color w:val="000000"/>
          <w:sz w:val="24"/>
          <w:vertAlign w:val="superscript"/>
        </w:rPr>
        <w:t>3</w:t>
      </w:r>
      <w:r>
        <w:rPr>
          <w:rFonts w:ascii="宋体" w:hAnsi="宋体"/>
          <w:color w:val="000000"/>
          <w:sz w:val="24"/>
        </w:rPr>
        <w:t>/d</w:t>
      </w:r>
      <w:r>
        <w:rPr>
          <w:rFonts w:hint="eastAsia" w:ascii="宋体" w:hAnsi="宋体"/>
          <w:color w:val="000000"/>
          <w:sz w:val="24"/>
        </w:rPr>
        <w:t>。废水</w:t>
      </w:r>
      <w:r>
        <w:rPr>
          <w:rFonts w:ascii="宋体" w:hAnsi="宋体"/>
          <w:color w:val="000000"/>
          <w:sz w:val="24"/>
        </w:rPr>
        <w:t>产生按用水量的</w:t>
      </w:r>
      <w:r>
        <w:rPr>
          <w:rFonts w:hint="eastAsia" w:ascii="宋体" w:hAnsi="宋体"/>
          <w:color w:val="000000"/>
          <w:sz w:val="24"/>
        </w:rPr>
        <w:t>90</w:t>
      </w:r>
      <w:r>
        <w:rPr>
          <w:rFonts w:ascii="宋体" w:hAnsi="宋体"/>
          <w:color w:val="000000"/>
          <w:sz w:val="24"/>
        </w:rPr>
        <w:t>%计</w:t>
      </w:r>
      <w:r>
        <w:rPr>
          <w:rFonts w:hint="eastAsia" w:ascii="宋体" w:hAnsi="宋体"/>
          <w:color w:val="000000"/>
          <w:sz w:val="24"/>
        </w:rPr>
        <w:t>算，则废水产生量为0.081</w:t>
      </w:r>
      <w:r>
        <w:rPr>
          <w:rFonts w:ascii="宋体" w:hAnsi="宋体"/>
          <w:color w:val="000000"/>
          <w:sz w:val="24"/>
        </w:rPr>
        <w:t>m</w:t>
      </w:r>
      <w:r>
        <w:rPr>
          <w:rFonts w:ascii="宋体" w:hAnsi="宋体"/>
          <w:color w:val="000000"/>
          <w:sz w:val="24"/>
          <w:vertAlign w:val="superscript"/>
        </w:rPr>
        <w:t>3</w:t>
      </w:r>
      <w:r>
        <w:rPr>
          <w:rFonts w:ascii="宋体" w:hAnsi="宋体"/>
          <w:color w:val="000000"/>
          <w:sz w:val="24"/>
        </w:rPr>
        <w:t>/d</w:t>
      </w:r>
      <w:r>
        <w:rPr>
          <w:rFonts w:hint="eastAsia" w:ascii="宋体" w:hAnsi="宋体"/>
          <w:color w:val="000000"/>
          <w:sz w:val="24"/>
        </w:rPr>
        <w:t>。</w:t>
      </w:r>
    </w:p>
    <w:p w14:paraId="14C7EC9D">
      <w:pPr>
        <w:pStyle w:val="221"/>
        <w:spacing w:after="0" w:line="360" w:lineRule="auto"/>
        <w:ind w:left="0" w:firstLine="480"/>
        <w:rPr>
          <w:rFonts w:hint="eastAsia" w:ascii="宋体" w:hAnsi="宋体"/>
          <w:color w:val="000000"/>
          <w:sz w:val="24"/>
        </w:rPr>
      </w:pPr>
      <w:r>
        <w:rPr>
          <w:rFonts w:hint="eastAsia" w:ascii="宋体" w:hAnsi="宋体"/>
          <w:color w:val="000000"/>
          <w:sz w:val="24"/>
        </w:rPr>
        <w:t>检验科废水用特定容器（1m</w:t>
      </w:r>
      <w:r>
        <w:rPr>
          <w:rFonts w:hint="eastAsia" w:ascii="宋体" w:hAnsi="宋体"/>
          <w:color w:val="000000"/>
          <w:sz w:val="24"/>
          <w:vertAlign w:val="superscript"/>
        </w:rPr>
        <w:t>3</w:t>
      </w:r>
      <w:r>
        <w:rPr>
          <w:rFonts w:hint="eastAsia" w:ascii="宋体" w:hAnsi="宋体"/>
          <w:color w:val="000000"/>
          <w:sz w:val="24"/>
        </w:rPr>
        <w:t>）收集后进行预处理，检验科废水加酸性试剂中和预处理后，进入化粪池预处理，再进入污水处理站进行处理。</w:t>
      </w:r>
    </w:p>
    <w:p w14:paraId="0FDEF18A">
      <w:pPr>
        <w:pStyle w:val="221"/>
        <w:spacing w:after="0" w:line="360" w:lineRule="auto"/>
        <w:ind w:left="0" w:firstLine="480"/>
        <w:rPr>
          <w:rFonts w:hint="eastAsia" w:ascii="宋体" w:hAnsi="宋体"/>
          <w:color w:val="000000"/>
          <w:sz w:val="24"/>
        </w:rPr>
      </w:pPr>
      <w:r>
        <w:rPr>
          <w:rFonts w:hint="eastAsia" w:ascii="宋体" w:hAnsi="宋体"/>
          <w:color w:val="000000"/>
          <w:sz w:val="24"/>
        </w:rPr>
        <w:t>（4）、口腔科废水</w:t>
      </w:r>
    </w:p>
    <w:p w14:paraId="0397D0D4">
      <w:pPr>
        <w:pStyle w:val="221"/>
        <w:spacing w:after="0" w:line="360" w:lineRule="auto"/>
        <w:ind w:left="0" w:firstLine="480"/>
        <w:rPr>
          <w:rFonts w:hint="eastAsia" w:ascii="宋体" w:hAnsi="宋体"/>
          <w:color w:val="000000"/>
          <w:sz w:val="24"/>
        </w:rPr>
      </w:pPr>
      <w:r>
        <w:rPr>
          <w:rFonts w:hint="eastAsia" w:ascii="宋体" w:hAnsi="宋体"/>
          <w:color w:val="000000"/>
          <w:sz w:val="24"/>
        </w:rPr>
        <w:t>本项目根据业主提供资料，口腔科每天的就诊人数为</w:t>
      </w:r>
      <w:r>
        <w:rPr>
          <w:rFonts w:hint="eastAsia"/>
          <w:color w:val="000000"/>
          <w:sz w:val="24"/>
        </w:rPr>
        <w:t>40人次，按照0.5</w:t>
      </w:r>
      <w:r>
        <w:rPr>
          <w:rFonts w:ascii="宋体" w:hAnsi="宋体"/>
          <w:color w:val="000000"/>
          <w:sz w:val="24"/>
        </w:rPr>
        <w:t>L/</w:t>
      </w:r>
      <w:r>
        <w:rPr>
          <w:rFonts w:hint="eastAsia" w:ascii="宋体" w:hAnsi="宋体"/>
          <w:color w:val="000000"/>
          <w:sz w:val="24"/>
        </w:rPr>
        <w:t>人计，则用水量约为0.02</w:t>
      </w:r>
      <w:r>
        <w:rPr>
          <w:rFonts w:ascii="宋体" w:hAnsi="宋体"/>
          <w:color w:val="000000"/>
          <w:sz w:val="24"/>
        </w:rPr>
        <w:t>m</w:t>
      </w:r>
      <w:r>
        <w:rPr>
          <w:rFonts w:ascii="宋体" w:hAnsi="宋体"/>
          <w:color w:val="000000"/>
          <w:sz w:val="24"/>
          <w:vertAlign w:val="superscript"/>
        </w:rPr>
        <w:t>3</w:t>
      </w:r>
      <w:r>
        <w:rPr>
          <w:rFonts w:ascii="宋体" w:hAnsi="宋体"/>
          <w:color w:val="000000"/>
          <w:sz w:val="24"/>
        </w:rPr>
        <w:t>/d</w:t>
      </w:r>
      <w:r>
        <w:rPr>
          <w:rFonts w:hint="eastAsia" w:ascii="宋体" w:hAnsi="宋体"/>
          <w:color w:val="000000"/>
          <w:sz w:val="24"/>
        </w:rPr>
        <w:t>。废水</w:t>
      </w:r>
      <w:r>
        <w:rPr>
          <w:rFonts w:ascii="宋体" w:hAnsi="宋体"/>
          <w:color w:val="000000"/>
          <w:sz w:val="24"/>
        </w:rPr>
        <w:t>产生按用水量的</w:t>
      </w:r>
      <w:r>
        <w:rPr>
          <w:rFonts w:hint="eastAsia" w:ascii="宋体" w:hAnsi="宋体"/>
          <w:color w:val="000000"/>
          <w:sz w:val="24"/>
        </w:rPr>
        <w:t>90</w:t>
      </w:r>
      <w:r>
        <w:rPr>
          <w:rFonts w:ascii="宋体" w:hAnsi="宋体"/>
          <w:color w:val="000000"/>
          <w:sz w:val="24"/>
        </w:rPr>
        <w:t>%计</w:t>
      </w:r>
      <w:r>
        <w:rPr>
          <w:rFonts w:hint="eastAsia" w:ascii="宋体" w:hAnsi="宋体"/>
          <w:color w:val="000000"/>
          <w:sz w:val="24"/>
        </w:rPr>
        <w:t>算，则废水产生量为0.018</w:t>
      </w:r>
      <w:r>
        <w:rPr>
          <w:rFonts w:ascii="宋体" w:hAnsi="宋体"/>
          <w:color w:val="000000"/>
          <w:sz w:val="24"/>
        </w:rPr>
        <w:t>m</w:t>
      </w:r>
      <w:r>
        <w:rPr>
          <w:rFonts w:ascii="宋体" w:hAnsi="宋体"/>
          <w:color w:val="000000"/>
          <w:sz w:val="24"/>
          <w:vertAlign w:val="superscript"/>
        </w:rPr>
        <w:t>3</w:t>
      </w:r>
      <w:r>
        <w:rPr>
          <w:rFonts w:ascii="宋体" w:hAnsi="宋体"/>
          <w:color w:val="000000"/>
          <w:sz w:val="24"/>
        </w:rPr>
        <w:t>/d</w:t>
      </w:r>
      <w:r>
        <w:rPr>
          <w:rFonts w:hint="eastAsia" w:ascii="宋体" w:hAnsi="宋体"/>
          <w:color w:val="000000"/>
          <w:sz w:val="24"/>
        </w:rPr>
        <w:t>。</w:t>
      </w:r>
    </w:p>
    <w:p w14:paraId="549071DE">
      <w:pPr>
        <w:pStyle w:val="221"/>
        <w:spacing w:after="0" w:line="360" w:lineRule="auto"/>
        <w:ind w:left="0" w:firstLine="480"/>
        <w:rPr>
          <w:rFonts w:hint="eastAsia" w:ascii="宋体" w:hAnsi="宋体"/>
          <w:color w:val="000000"/>
          <w:sz w:val="24"/>
        </w:rPr>
      </w:pPr>
      <w:r>
        <w:rPr>
          <w:rFonts w:hint="eastAsia" w:ascii="宋体" w:hAnsi="宋体"/>
          <w:color w:val="000000"/>
          <w:sz w:val="24"/>
        </w:rPr>
        <w:t>目前口腔科诊疗时已不再使用含汞的药物，因此该科室产生的废水中不含有汞、铬、砷等对人体有伤害的重金属。但由于废水中沾染有血等致病菌，具有转染性，因此需纳入医疗废水进行单独消毒处理后才能进入污水处理站。</w:t>
      </w:r>
    </w:p>
    <w:p w14:paraId="3007A8BF">
      <w:pPr>
        <w:pStyle w:val="221"/>
        <w:spacing w:after="0" w:line="360" w:lineRule="auto"/>
        <w:ind w:left="0" w:firstLine="480"/>
        <w:rPr>
          <w:rFonts w:hint="eastAsia" w:ascii="宋体" w:hAnsi="宋体"/>
          <w:color w:val="000000"/>
          <w:sz w:val="24"/>
        </w:rPr>
      </w:pPr>
      <w:r>
        <w:rPr>
          <w:rFonts w:hint="eastAsia" w:ascii="宋体" w:hAnsi="宋体"/>
          <w:color w:val="000000"/>
          <w:sz w:val="24"/>
        </w:rPr>
        <w:t>（5）、洗浆房废水</w:t>
      </w:r>
    </w:p>
    <w:p w14:paraId="5480E6FD">
      <w:pPr>
        <w:pStyle w:val="221"/>
        <w:spacing w:after="0" w:line="360" w:lineRule="auto"/>
        <w:ind w:left="0" w:firstLine="480"/>
        <w:rPr>
          <w:rFonts w:hint="eastAsia" w:ascii="宋体" w:hAnsi="宋体"/>
          <w:color w:val="000000"/>
          <w:sz w:val="24"/>
        </w:rPr>
      </w:pPr>
      <w:r>
        <w:rPr>
          <w:rFonts w:hint="eastAsia" w:ascii="宋体" w:hAnsi="宋体"/>
          <w:color w:val="000000"/>
          <w:sz w:val="24"/>
        </w:rPr>
        <w:t>本项目设置230张床位，根据业主提供资料，每天需要洗涤的床单、被套等重量为92kg/d。根据一般</w:t>
      </w:r>
      <w:r>
        <w:rPr>
          <w:rFonts w:ascii="宋体" w:hAnsi="宋体"/>
          <w:color w:val="000000"/>
          <w:sz w:val="24"/>
        </w:rPr>
        <w:t>洗衣机每洗一公斤衣</w:t>
      </w:r>
      <w:r>
        <w:rPr>
          <w:rFonts w:hint="eastAsia" w:ascii="宋体" w:hAnsi="宋体"/>
          <w:color w:val="000000"/>
          <w:sz w:val="24"/>
        </w:rPr>
        <w:t>物洗涤需要水为40L，所以本项目洗衣房每天用水量3.68m</w:t>
      </w:r>
      <w:r>
        <w:rPr>
          <w:rFonts w:hint="eastAsia" w:ascii="宋体" w:hAnsi="宋体"/>
          <w:color w:val="000000"/>
          <w:sz w:val="24"/>
          <w:vertAlign w:val="superscript"/>
        </w:rPr>
        <w:t>3</w:t>
      </w:r>
      <w:r>
        <w:rPr>
          <w:rFonts w:hint="eastAsia" w:ascii="宋体" w:hAnsi="宋体"/>
          <w:color w:val="000000"/>
          <w:sz w:val="24"/>
        </w:rPr>
        <w:t>。排放量按0.8计，排放量2.944m</w:t>
      </w:r>
      <w:r>
        <w:rPr>
          <w:rFonts w:hint="eastAsia" w:ascii="宋体" w:hAnsi="宋体"/>
          <w:color w:val="000000"/>
          <w:sz w:val="24"/>
          <w:vertAlign w:val="superscript"/>
        </w:rPr>
        <w:t>3</w:t>
      </w:r>
      <w:r>
        <w:rPr>
          <w:rFonts w:hint="eastAsia" w:ascii="宋体" w:hAnsi="宋体"/>
          <w:color w:val="000000"/>
          <w:sz w:val="24"/>
        </w:rPr>
        <w:t>/d，水中污染物主要为悬浮物、BOD</w:t>
      </w:r>
      <w:r>
        <w:rPr>
          <w:rFonts w:hint="eastAsia" w:ascii="宋体" w:hAnsi="宋体"/>
          <w:color w:val="000000"/>
          <w:sz w:val="24"/>
          <w:vertAlign w:val="subscript"/>
        </w:rPr>
        <w:t>5</w:t>
      </w:r>
      <w:r>
        <w:rPr>
          <w:rFonts w:hint="eastAsia" w:ascii="宋体" w:hAnsi="宋体"/>
          <w:color w:val="000000"/>
          <w:sz w:val="24"/>
        </w:rPr>
        <w:t>、COD</w:t>
      </w:r>
      <w:r>
        <w:rPr>
          <w:rFonts w:hint="eastAsia" w:ascii="宋体" w:hAnsi="宋体"/>
          <w:color w:val="000000"/>
          <w:sz w:val="24"/>
          <w:vertAlign w:val="subscript"/>
        </w:rPr>
        <w:t>cr</w:t>
      </w:r>
      <w:r>
        <w:rPr>
          <w:rFonts w:hint="eastAsia" w:ascii="宋体" w:hAnsi="宋体"/>
          <w:color w:val="000000"/>
          <w:sz w:val="24"/>
        </w:rPr>
        <w:t>、氨氮。根据相关资料进行类比，水中污染物为COD</w:t>
      </w:r>
      <w:r>
        <w:rPr>
          <w:rFonts w:hint="eastAsia" w:ascii="宋体" w:hAnsi="宋体"/>
          <w:color w:val="000000"/>
          <w:sz w:val="24"/>
          <w:vertAlign w:val="subscript"/>
        </w:rPr>
        <w:t>cr</w:t>
      </w:r>
      <w:r>
        <w:rPr>
          <w:rFonts w:hint="eastAsia" w:ascii="宋体" w:hAnsi="宋体"/>
          <w:color w:val="000000"/>
          <w:sz w:val="24"/>
        </w:rPr>
        <w:t>320mg/L、BOD</w:t>
      </w:r>
      <w:r>
        <w:rPr>
          <w:rFonts w:hint="eastAsia" w:ascii="宋体" w:hAnsi="宋体"/>
          <w:color w:val="000000"/>
          <w:sz w:val="24"/>
          <w:vertAlign w:val="subscript"/>
        </w:rPr>
        <w:t>5</w:t>
      </w:r>
      <w:r>
        <w:rPr>
          <w:rFonts w:hint="eastAsia" w:ascii="宋体" w:hAnsi="宋体"/>
          <w:color w:val="000000"/>
          <w:sz w:val="24"/>
        </w:rPr>
        <w:t>206mg/L、 SS220mg/L、氨氮40mg/L。</w:t>
      </w:r>
    </w:p>
    <w:p w14:paraId="4F6DF6D9">
      <w:pPr>
        <w:pStyle w:val="221"/>
        <w:spacing w:after="0" w:line="360" w:lineRule="auto"/>
        <w:ind w:left="0" w:firstLine="480"/>
        <w:rPr>
          <w:rFonts w:hint="eastAsia" w:ascii="宋体" w:hAnsi="宋体"/>
          <w:color w:val="000000"/>
          <w:sz w:val="24"/>
        </w:rPr>
      </w:pPr>
      <w:r>
        <w:rPr>
          <w:rFonts w:hint="eastAsia" w:ascii="宋体" w:hAnsi="宋体"/>
          <w:color w:val="000000"/>
          <w:sz w:val="24"/>
        </w:rPr>
        <w:t>（6）、食堂废水</w:t>
      </w:r>
    </w:p>
    <w:p w14:paraId="4C6E54D3">
      <w:pPr>
        <w:pStyle w:val="221"/>
        <w:spacing w:after="0" w:line="360" w:lineRule="auto"/>
        <w:ind w:left="0" w:firstLine="480"/>
        <w:rPr>
          <w:rFonts w:hint="eastAsia" w:ascii="宋体" w:hAnsi="宋体"/>
          <w:color w:val="000000"/>
          <w:sz w:val="24"/>
        </w:rPr>
      </w:pPr>
      <w:r>
        <w:rPr>
          <w:rFonts w:ascii="宋体" w:hAnsi="宋体"/>
          <w:color w:val="000000"/>
          <w:sz w:val="24"/>
        </w:rPr>
        <w:t>根据建设单位所提供的资料，项目</w:t>
      </w:r>
      <w:r>
        <w:rPr>
          <w:rFonts w:hint="eastAsia" w:ascii="宋体" w:hAnsi="宋体"/>
          <w:color w:val="000000"/>
          <w:sz w:val="24"/>
        </w:rPr>
        <w:t>食堂设置在后勤楼的一、二层，食堂建筑面积为1000</w:t>
      </w:r>
      <w:r>
        <w:rPr>
          <w:rFonts w:ascii="宋体" w:hAnsi="宋体"/>
          <w:color w:val="000000"/>
          <w:sz w:val="24"/>
        </w:rPr>
        <w:t>m</w:t>
      </w:r>
      <w:r>
        <w:rPr>
          <w:rFonts w:ascii="宋体" w:hAnsi="宋体"/>
          <w:color w:val="000000"/>
          <w:sz w:val="24"/>
          <w:vertAlign w:val="superscript"/>
        </w:rPr>
        <w:t>2</w:t>
      </w:r>
      <w:r>
        <w:rPr>
          <w:rFonts w:ascii="宋体" w:hAnsi="宋体"/>
          <w:color w:val="000000"/>
          <w:sz w:val="24"/>
        </w:rPr>
        <w:t>。参照</w:t>
      </w:r>
      <w:r>
        <w:rPr>
          <w:rFonts w:hint="eastAsia" w:ascii="宋体" w:hAnsi="宋体"/>
          <w:color w:val="000000"/>
          <w:sz w:val="24"/>
        </w:rPr>
        <w:t>《云南省地方用水标准定额》(GB53/T 168-2013)（200 m</w:t>
      </w:r>
      <w:r>
        <w:rPr>
          <w:rFonts w:hint="eastAsia" w:ascii="宋体" w:hAnsi="宋体"/>
          <w:color w:val="000000"/>
          <w:sz w:val="24"/>
          <w:vertAlign w:val="superscript"/>
        </w:rPr>
        <w:t>2</w:t>
      </w:r>
      <w:r>
        <w:rPr>
          <w:rFonts w:hint="eastAsia" w:ascii="宋体" w:hAnsi="宋体"/>
          <w:color w:val="000000"/>
          <w:sz w:val="24"/>
        </w:rPr>
        <w:t>＜营业面积≤1000m</w:t>
      </w:r>
      <w:r>
        <w:rPr>
          <w:rFonts w:hint="eastAsia" w:ascii="宋体" w:hAnsi="宋体"/>
          <w:color w:val="000000"/>
          <w:sz w:val="24"/>
          <w:vertAlign w:val="superscript"/>
        </w:rPr>
        <w:t>2</w:t>
      </w:r>
      <w:r>
        <w:rPr>
          <w:rFonts w:hint="eastAsia" w:ascii="宋体" w:hAnsi="宋体"/>
          <w:color w:val="000000"/>
          <w:sz w:val="24"/>
        </w:rPr>
        <w:t>）</w:t>
      </w:r>
      <w:r>
        <w:rPr>
          <w:rFonts w:ascii="宋体" w:hAnsi="宋体"/>
          <w:color w:val="000000"/>
          <w:sz w:val="24"/>
        </w:rPr>
        <w:t>，用水量</w:t>
      </w:r>
      <w:r>
        <w:rPr>
          <w:rFonts w:hint="eastAsia" w:ascii="宋体" w:hAnsi="宋体"/>
          <w:color w:val="000000"/>
          <w:sz w:val="24"/>
        </w:rPr>
        <w:t>40</w:t>
      </w:r>
      <w:r>
        <w:rPr>
          <w:rFonts w:ascii="宋体" w:hAnsi="宋体"/>
          <w:color w:val="000000"/>
          <w:sz w:val="24"/>
        </w:rPr>
        <w:t>L/（m</w:t>
      </w:r>
      <w:r>
        <w:rPr>
          <w:rFonts w:ascii="宋体" w:hAnsi="宋体"/>
          <w:color w:val="000000"/>
          <w:sz w:val="24"/>
          <w:vertAlign w:val="superscript"/>
        </w:rPr>
        <w:t>2</w:t>
      </w:r>
      <w:r>
        <w:rPr>
          <w:rFonts w:ascii="宋体" w:hAnsi="宋体"/>
          <w:color w:val="000000"/>
          <w:sz w:val="24"/>
        </w:rPr>
        <w:t>·d），则每天的用水量为</w:t>
      </w:r>
      <w:r>
        <w:rPr>
          <w:rFonts w:hint="eastAsia" w:ascii="宋体" w:hAnsi="宋体"/>
          <w:color w:val="000000"/>
          <w:sz w:val="24"/>
        </w:rPr>
        <w:t>40</w:t>
      </w:r>
      <w:r>
        <w:rPr>
          <w:rFonts w:ascii="宋体" w:hAnsi="宋体"/>
          <w:color w:val="000000"/>
          <w:sz w:val="24"/>
        </w:rPr>
        <w:t>m</w:t>
      </w:r>
      <w:r>
        <w:rPr>
          <w:rFonts w:ascii="宋体" w:hAnsi="宋体"/>
          <w:color w:val="000000"/>
          <w:sz w:val="24"/>
          <w:vertAlign w:val="superscript"/>
        </w:rPr>
        <w:t>3</w:t>
      </w:r>
      <w:r>
        <w:rPr>
          <w:rFonts w:ascii="宋体" w:hAnsi="宋体"/>
          <w:color w:val="000000"/>
          <w:sz w:val="24"/>
        </w:rPr>
        <w:t>，产污系数按0.8计，污水排放量约为</w:t>
      </w:r>
      <w:r>
        <w:rPr>
          <w:rFonts w:hint="eastAsia" w:ascii="宋体" w:hAnsi="宋体"/>
          <w:color w:val="000000"/>
          <w:sz w:val="24"/>
        </w:rPr>
        <w:t>32</w:t>
      </w:r>
      <w:r>
        <w:rPr>
          <w:rFonts w:ascii="宋体" w:hAnsi="宋体"/>
          <w:color w:val="000000"/>
          <w:sz w:val="24"/>
        </w:rPr>
        <w:t>m</w:t>
      </w:r>
      <w:r>
        <w:rPr>
          <w:rFonts w:ascii="宋体" w:hAnsi="宋体"/>
          <w:color w:val="000000"/>
          <w:sz w:val="24"/>
          <w:vertAlign w:val="superscript"/>
        </w:rPr>
        <w:t>3</w:t>
      </w:r>
      <w:r>
        <w:rPr>
          <w:rFonts w:ascii="宋体" w:hAnsi="宋体"/>
          <w:color w:val="000000"/>
          <w:sz w:val="24"/>
        </w:rPr>
        <w:t>/d。</w:t>
      </w:r>
      <w:r>
        <w:rPr>
          <w:rFonts w:hint="eastAsia" w:ascii="宋体" w:hAnsi="宋体"/>
          <w:color w:val="000000"/>
          <w:sz w:val="24"/>
        </w:rPr>
        <w:t>废水中主要污染物浓度，参考《第一次全国污染物普查产污手册》为COD</w:t>
      </w:r>
      <w:r>
        <w:rPr>
          <w:rFonts w:hint="eastAsia" w:ascii="宋体" w:hAnsi="宋体"/>
          <w:color w:val="000000"/>
          <w:sz w:val="24"/>
          <w:vertAlign w:val="subscript"/>
        </w:rPr>
        <w:t>cr</w:t>
      </w:r>
      <w:r>
        <w:rPr>
          <w:rFonts w:hint="eastAsia" w:ascii="宋体" w:hAnsi="宋体"/>
          <w:color w:val="000000"/>
          <w:sz w:val="24"/>
        </w:rPr>
        <w:t>：800mg/L，BOD</w:t>
      </w:r>
      <w:r>
        <w:rPr>
          <w:rFonts w:hint="eastAsia" w:ascii="宋体" w:hAnsi="宋体"/>
          <w:color w:val="000000"/>
          <w:sz w:val="24"/>
          <w:vertAlign w:val="subscript"/>
        </w:rPr>
        <w:t>5</w:t>
      </w:r>
      <w:r>
        <w:rPr>
          <w:rFonts w:hint="eastAsia" w:ascii="宋体" w:hAnsi="宋体"/>
          <w:color w:val="000000"/>
          <w:sz w:val="24"/>
        </w:rPr>
        <w:t>:300mg/L，氨氮： 40mg/L，磷酸盐：5mg/L，SS：300mg/L，动植物油：150mg/L。</w:t>
      </w:r>
    </w:p>
    <w:p w14:paraId="59A19293">
      <w:pPr>
        <w:pStyle w:val="197"/>
        <w:spacing w:after="0" w:line="360" w:lineRule="auto"/>
        <w:ind w:left="0" w:firstLine="480"/>
        <w:rPr>
          <w:rFonts w:hint="eastAsia" w:ascii="宋体" w:hAnsi="宋体"/>
          <w:bCs/>
          <w:color w:val="000000"/>
          <w:sz w:val="24"/>
        </w:rPr>
      </w:pPr>
      <w:r>
        <w:rPr>
          <w:rFonts w:hint="eastAsia" w:ascii="宋体" w:hAnsi="宋体"/>
          <w:bCs/>
          <w:color w:val="000000"/>
          <w:sz w:val="24"/>
        </w:rPr>
        <w:t>（7）、污水处理系统污泥脱水</w:t>
      </w:r>
    </w:p>
    <w:p w14:paraId="4281BB34">
      <w:pPr>
        <w:pStyle w:val="221"/>
        <w:spacing w:after="0" w:line="360" w:lineRule="auto"/>
        <w:ind w:left="0" w:firstLine="480"/>
        <w:rPr>
          <w:rFonts w:hint="eastAsia" w:ascii="宋体" w:hAnsi="宋体"/>
          <w:color w:val="000000"/>
          <w:sz w:val="24"/>
        </w:rPr>
      </w:pPr>
      <w:r>
        <w:rPr>
          <w:rFonts w:hint="eastAsia" w:ascii="宋体" w:hAnsi="宋体"/>
          <w:color w:val="000000"/>
          <w:sz w:val="24"/>
        </w:rPr>
        <w:t>项目的医疗污水处理站由于接纳含病菌废水进行处理，因此二级处理工艺产生的污泥中含有大量的病菌和其他污染物，为危险固化废弃物，污泥在进行脱水中将排出一定废水，其产生量约为0.5m</w:t>
      </w:r>
      <w:r>
        <w:rPr>
          <w:rFonts w:hint="eastAsia" w:ascii="宋体" w:hAnsi="宋体"/>
          <w:color w:val="000000"/>
          <w:sz w:val="24"/>
          <w:vertAlign w:val="superscript"/>
        </w:rPr>
        <w:t>3</w:t>
      </w:r>
      <w:r>
        <w:rPr>
          <w:rFonts w:hint="eastAsia" w:ascii="宋体" w:hAnsi="宋体"/>
          <w:color w:val="000000"/>
          <w:sz w:val="24"/>
        </w:rPr>
        <w:t>/d，收集后，还须再返回污水处理站进行处理。</w:t>
      </w:r>
    </w:p>
    <w:p w14:paraId="35788967">
      <w:pPr>
        <w:pStyle w:val="221"/>
        <w:spacing w:after="0" w:line="360" w:lineRule="auto"/>
        <w:ind w:left="0" w:firstLine="480"/>
        <w:rPr>
          <w:rFonts w:hint="eastAsia" w:ascii="宋体" w:hAnsi="宋体"/>
          <w:color w:val="000000"/>
          <w:sz w:val="24"/>
        </w:rPr>
      </w:pPr>
      <w:r>
        <w:rPr>
          <w:rFonts w:hint="eastAsia" w:ascii="宋体" w:hAnsi="宋体"/>
          <w:color w:val="000000"/>
          <w:sz w:val="24"/>
        </w:rPr>
        <w:t>以上产生的医疗废水，不能进行回用。医疗废水应经污水处理站采用二级生化处理+消毒处理，污水处理达到《医疗机构水污染物排放标准》（GB18466-2005）中表2预处理标准后排入市政污水管网。</w:t>
      </w:r>
    </w:p>
    <w:p w14:paraId="64F77BD6">
      <w:pPr>
        <w:spacing w:line="360" w:lineRule="auto"/>
        <w:ind w:firstLine="480"/>
        <w:rPr>
          <w:rFonts w:hint="eastAsia" w:ascii="宋体" w:hAnsi="宋体"/>
          <w:color w:val="000000"/>
          <w:sz w:val="24"/>
        </w:rPr>
      </w:pPr>
      <w:r>
        <w:rPr>
          <w:rFonts w:hint="eastAsia" w:ascii="宋体" w:hAnsi="宋体"/>
          <w:color w:val="000000"/>
          <w:sz w:val="24"/>
        </w:rPr>
        <w:t>（8）、绿化用水</w:t>
      </w:r>
    </w:p>
    <w:p w14:paraId="7C29C4DA">
      <w:pPr>
        <w:pStyle w:val="221"/>
        <w:spacing w:after="0" w:line="360" w:lineRule="auto"/>
        <w:ind w:left="0" w:firstLine="480"/>
        <w:rPr>
          <w:rFonts w:hint="eastAsia" w:ascii="宋体" w:hAnsi="宋体"/>
          <w:color w:val="000000"/>
          <w:sz w:val="24"/>
        </w:rPr>
      </w:pPr>
      <w:r>
        <w:rPr>
          <w:rFonts w:hint="eastAsia" w:ascii="宋体" w:hAnsi="宋体"/>
          <w:color w:val="000000"/>
          <w:sz w:val="24"/>
        </w:rPr>
        <w:t>项目建成后绿化面积为7625.92m</w:t>
      </w:r>
      <w:r>
        <w:rPr>
          <w:rFonts w:hint="eastAsia" w:ascii="宋体" w:hAnsi="宋体"/>
          <w:color w:val="000000"/>
          <w:sz w:val="24"/>
          <w:vertAlign w:val="superscript"/>
        </w:rPr>
        <w:t>2</w:t>
      </w:r>
      <w:r>
        <w:rPr>
          <w:rFonts w:hint="eastAsia" w:ascii="宋体" w:hAnsi="宋体"/>
          <w:color w:val="000000"/>
          <w:sz w:val="24"/>
        </w:rPr>
        <w:t>，按芒市天气情况来看，雨天绿化可靠自然降水浇灌，非雨天需要补充浇灌，根据《云南省用水标准定额》（DB53/T 168-2013），绿化用水定额为3L/（m</w:t>
      </w:r>
      <w:r>
        <w:rPr>
          <w:rFonts w:hint="eastAsia" w:ascii="宋体" w:hAnsi="宋体"/>
          <w:color w:val="000000"/>
          <w:sz w:val="24"/>
          <w:vertAlign w:val="superscript"/>
        </w:rPr>
        <w:t>2</w:t>
      </w:r>
      <w:r>
        <w:rPr>
          <w:rFonts w:hint="eastAsia" w:ascii="宋体" w:hAnsi="宋体"/>
          <w:color w:val="000000"/>
          <w:sz w:val="24"/>
        </w:rPr>
        <w:t>.d），则非雨天（235天）绿化用水量为22.87t/d，则旱季绿化用水量为5374.45t/a。</w:t>
      </w:r>
    </w:p>
    <w:p w14:paraId="2D5DC32E">
      <w:pPr>
        <w:spacing w:line="360" w:lineRule="auto"/>
        <w:ind w:firstLine="480"/>
        <w:rPr>
          <w:rFonts w:hint="eastAsia"/>
          <w:color w:val="000000"/>
          <w:sz w:val="24"/>
        </w:rPr>
      </w:pPr>
      <w:r>
        <w:rPr>
          <w:rFonts w:hAnsi="宋体"/>
          <w:color w:val="000000"/>
          <w:sz w:val="24"/>
        </w:rPr>
        <w:t>项目运营</w:t>
      </w:r>
      <w:r>
        <w:rPr>
          <w:rFonts w:ascii="宋体" w:hAnsi="宋体"/>
          <w:color w:val="000000"/>
          <w:sz w:val="24"/>
        </w:rPr>
        <w:t>期用水量分析见表3.</w:t>
      </w:r>
      <w:r>
        <w:rPr>
          <w:rFonts w:hint="eastAsia" w:ascii="宋体" w:hAnsi="宋体"/>
          <w:color w:val="000000"/>
          <w:sz w:val="24"/>
        </w:rPr>
        <w:t>7</w:t>
      </w:r>
      <w:r>
        <w:rPr>
          <w:rFonts w:ascii="宋体" w:hAnsi="宋体"/>
          <w:color w:val="000000"/>
          <w:sz w:val="24"/>
        </w:rPr>
        <w:t>-</w:t>
      </w:r>
      <w:r>
        <w:rPr>
          <w:rFonts w:hint="eastAsia" w:ascii="宋体" w:hAnsi="宋体"/>
          <w:color w:val="000000"/>
          <w:sz w:val="24"/>
        </w:rPr>
        <w:t>1</w:t>
      </w:r>
      <w:r>
        <w:rPr>
          <w:rFonts w:ascii="宋体" w:hAnsi="宋体"/>
          <w:color w:val="000000"/>
          <w:sz w:val="24"/>
        </w:rPr>
        <w:t>。</w:t>
      </w:r>
    </w:p>
    <w:p w14:paraId="110EB074">
      <w:pPr>
        <w:spacing w:line="360" w:lineRule="auto"/>
        <w:jc w:val="center"/>
        <w:rPr>
          <w:rFonts w:ascii="宋体" w:hAnsi="宋体"/>
          <w:b/>
          <w:color w:val="000000"/>
          <w:sz w:val="24"/>
        </w:rPr>
      </w:pPr>
      <w:r>
        <w:rPr>
          <w:rFonts w:ascii="宋体" w:hAnsi="宋体"/>
          <w:b/>
          <w:color w:val="000000"/>
          <w:sz w:val="24"/>
        </w:rPr>
        <w:t>表3.</w:t>
      </w:r>
      <w:r>
        <w:rPr>
          <w:rFonts w:hint="eastAsia" w:ascii="宋体" w:hAnsi="宋体"/>
          <w:b/>
          <w:color w:val="000000"/>
          <w:sz w:val="24"/>
        </w:rPr>
        <w:t>7</w:t>
      </w:r>
      <w:r>
        <w:rPr>
          <w:rFonts w:ascii="宋体" w:hAnsi="宋体"/>
          <w:b/>
          <w:color w:val="000000"/>
          <w:sz w:val="24"/>
        </w:rPr>
        <w:t>-</w:t>
      </w:r>
      <w:r>
        <w:rPr>
          <w:rFonts w:hint="eastAsia" w:ascii="宋体" w:hAnsi="宋体"/>
          <w:b/>
          <w:color w:val="000000"/>
          <w:sz w:val="24"/>
        </w:rPr>
        <w:t xml:space="preserve">1  </w:t>
      </w:r>
      <w:r>
        <w:rPr>
          <w:rFonts w:ascii="宋体" w:hAnsi="宋体"/>
          <w:b/>
          <w:color w:val="000000"/>
          <w:sz w:val="24"/>
        </w:rPr>
        <w:t>项目运营期用水量分析</w:t>
      </w:r>
    </w:p>
    <w:tbl>
      <w:tblPr>
        <w:tblStyle w:val="27"/>
        <w:tblW w:w="0" w:type="auto"/>
        <w:tblInd w:w="-108"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76"/>
        <w:gridCol w:w="1663"/>
        <w:gridCol w:w="1583"/>
        <w:gridCol w:w="1216"/>
        <w:gridCol w:w="1266"/>
        <w:gridCol w:w="1061"/>
        <w:gridCol w:w="1063"/>
      </w:tblGrid>
      <w:tr w14:paraId="7D3CAB1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676" w:type="dxa"/>
            <w:noWrap w:val="0"/>
            <w:vAlign w:val="top"/>
          </w:tcPr>
          <w:p w14:paraId="71CD8FEC">
            <w:pPr>
              <w:jc w:val="center"/>
              <w:rPr>
                <w:rFonts w:hint="eastAsia" w:ascii="宋体" w:hAnsi="宋体"/>
                <w:color w:val="000000"/>
                <w:szCs w:val="21"/>
              </w:rPr>
            </w:pPr>
            <w:r>
              <w:rPr>
                <w:rFonts w:hint="eastAsia" w:ascii="宋体" w:hAnsi="宋体"/>
                <w:color w:val="000000"/>
                <w:szCs w:val="21"/>
              </w:rPr>
              <w:t>序号</w:t>
            </w:r>
          </w:p>
        </w:tc>
        <w:tc>
          <w:tcPr>
            <w:tcW w:w="1663" w:type="dxa"/>
            <w:noWrap w:val="0"/>
            <w:vAlign w:val="top"/>
          </w:tcPr>
          <w:p w14:paraId="3E987381">
            <w:pPr>
              <w:jc w:val="center"/>
              <w:rPr>
                <w:rFonts w:hint="eastAsia" w:ascii="宋体" w:hAnsi="宋体"/>
                <w:color w:val="000000"/>
                <w:szCs w:val="21"/>
              </w:rPr>
            </w:pPr>
            <w:r>
              <w:rPr>
                <w:rFonts w:hint="eastAsia" w:ascii="宋体" w:hAnsi="宋体"/>
                <w:color w:val="000000"/>
                <w:szCs w:val="21"/>
              </w:rPr>
              <w:t>名称</w:t>
            </w:r>
          </w:p>
        </w:tc>
        <w:tc>
          <w:tcPr>
            <w:tcW w:w="1583" w:type="dxa"/>
            <w:noWrap w:val="0"/>
            <w:vAlign w:val="top"/>
          </w:tcPr>
          <w:p w14:paraId="124AF72B">
            <w:pPr>
              <w:jc w:val="center"/>
              <w:rPr>
                <w:rFonts w:hint="eastAsia" w:ascii="宋体" w:hAnsi="宋体"/>
                <w:color w:val="000000"/>
                <w:szCs w:val="21"/>
              </w:rPr>
            </w:pPr>
            <w:r>
              <w:rPr>
                <w:rFonts w:hint="eastAsia" w:ascii="宋体" w:hAnsi="宋体"/>
                <w:color w:val="000000"/>
                <w:szCs w:val="21"/>
              </w:rPr>
              <w:t>用水定额</w:t>
            </w:r>
          </w:p>
        </w:tc>
        <w:tc>
          <w:tcPr>
            <w:tcW w:w="1216" w:type="dxa"/>
            <w:noWrap w:val="0"/>
            <w:vAlign w:val="top"/>
          </w:tcPr>
          <w:p w14:paraId="63070FCC">
            <w:pPr>
              <w:jc w:val="center"/>
              <w:rPr>
                <w:rFonts w:hint="eastAsia" w:ascii="宋体" w:hAnsi="宋体"/>
                <w:color w:val="000000"/>
                <w:szCs w:val="21"/>
              </w:rPr>
            </w:pPr>
            <w:r>
              <w:rPr>
                <w:rFonts w:hint="eastAsia" w:ascii="宋体" w:hAnsi="宋体"/>
                <w:color w:val="000000"/>
                <w:szCs w:val="21"/>
              </w:rPr>
              <w:t>单位</w:t>
            </w:r>
          </w:p>
        </w:tc>
        <w:tc>
          <w:tcPr>
            <w:tcW w:w="1266" w:type="dxa"/>
            <w:noWrap w:val="0"/>
            <w:vAlign w:val="top"/>
          </w:tcPr>
          <w:p w14:paraId="4CD1297C">
            <w:pPr>
              <w:jc w:val="center"/>
              <w:rPr>
                <w:rFonts w:hint="eastAsia" w:ascii="宋体" w:hAnsi="宋体"/>
                <w:color w:val="000000"/>
                <w:szCs w:val="21"/>
              </w:rPr>
            </w:pPr>
            <w:r>
              <w:rPr>
                <w:rFonts w:hint="eastAsia" w:ascii="宋体" w:hAnsi="宋体"/>
                <w:color w:val="000000"/>
                <w:szCs w:val="21"/>
              </w:rPr>
              <w:t>用水量（m</w:t>
            </w:r>
            <w:r>
              <w:rPr>
                <w:rFonts w:hint="eastAsia" w:ascii="宋体" w:hAnsi="宋体"/>
                <w:color w:val="000000"/>
                <w:szCs w:val="21"/>
                <w:vertAlign w:val="superscript"/>
              </w:rPr>
              <w:t>3</w:t>
            </w:r>
            <w:r>
              <w:rPr>
                <w:rFonts w:hint="eastAsia" w:ascii="宋体" w:hAnsi="宋体"/>
                <w:color w:val="000000"/>
                <w:szCs w:val="21"/>
              </w:rPr>
              <w:t>/d）</w:t>
            </w:r>
          </w:p>
        </w:tc>
        <w:tc>
          <w:tcPr>
            <w:tcW w:w="1061" w:type="dxa"/>
            <w:noWrap w:val="0"/>
            <w:vAlign w:val="top"/>
          </w:tcPr>
          <w:p w14:paraId="5E60CA10">
            <w:pPr>
              <w:jc w:val="center"/>
              <w:rPr>
                <w:rFonts w:hint="eastAsia" w:ascii="宋体" w:hAnsi="宋体"/>
                <w:color w:val="000000"/>
                <w:szCs w:val="21"/>
              </w:rPr>
            </w:pPr>
            <w:r>
              <w:rPr>
                <w:rFonts w:hint="eastAsia" w:ascii="宋体" w:hAnsi="宋体"/>
                <w:color w:val="000000"/>
                <w:szCs w:val="21"/>
              </w:rPr>
              <w:t>消耗量（m</w:t>
            </w:r>
            <w:r>
              <w:rPr>
                <w:rFonts w:hint="eastAsia" w:ascii="宋体" w:hAnsi="宋体"/>
                <w:color w:val="000000"/>
                <w:szCs w:val="21"/>
                <w:vertAlign w:val="superscript"/>
              </w:rPr>
              <w:t>3</w:t>
            </w:r>
            <w:r>
              <w:rPr>
                <w:rFonts w:hint="eastAsia" w:ascii="宋体" w:hAnsi="宋体"/>
                <w:color w:val="000000"/>
                <w:szCs w:val="21"/>
              </w:rPr>
              <w:t>/d）</w:t>
            </w:r>
          </w:p>
        </w:tc>
        <w:tc>
          <w:tcPr>
            <w:tcW w:w="1063" w:type="dxa"/>
            <w:noWrap w:val="0"/>
            <w:vAlign w:val="top"/>
          </w:tcPr>
          <w:p w14:paraId="323C79C5">
            <w:pPr>
              <w:jc w:val="center"/>
              <w:rPr>
                <w:rFonts w:hint="eastAsia" w:ascii="宋体" w:hAnsi="宋体"/>
                <w:color w:val="000000"/>
                <w:szCs w:val="21"/>
              </w:rPr>
            </w:pPr>
            <w:r>
              <w:rPr>
                <w:rFonts w:hint="eastAsia" w:ascii="宋体" w:hAnsi="宋体"/>
                <w:color w:val="000000"/>
                <w:szCs w:val="21"/>
              </w:rPr>
              <w:t>排水量（m</w:t>
            </w:r>
            <w:r>
              <w:rPr>
                <w:rFonts w:hint="eastAsia" w:ascii="宋体" w:hAnsi="宋体"/>
                <w:color w:val="000000"/>
                <w:szCs w:val="21"/>
                <w:vertAlign w:val="superscript"/>
              </w:rPr>
              <w:t>3</w:t>
            </w:r>
            <w:r>
              <w:rPr>
                <w:rFonts w:hint="eastAsia" w:ascii="宋体" w:hAnsi="宋体"/>
                <w:color w:val="000000"/>
                <w:szCs w:val="21"/>
              </w:rPr>
              <w:t>/d）</w:t>
            </w:r>
          </w:p>
        </w:tc>
      </w:tr>
      <w:tr w14:paraId="3EDE42C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676" w:type="dxa"/>
            <w:noWrap w:val="0"/>
            <w:vAlign w:val="top"/>
          </w:tcPr>
          <w:p w14:paraId="57A596CC">
            <w:pPr>
              <w:jc w:val="center"/>
              <w:rPr>
                <w:rFonts w:hint="eastAsia" w:ascii="宋体" w:hAnsi="宋体"/>
                <w:color w:val="000000"/>
                <w:szCs w:val="21"/>
              </w:rPr>
            </w:pPr>
            <w:r>
              <w:rPr>
                <w:rFonts w:hint="eastAsia" w:ascii="宋体" w:hAnsi="宋体"/>
                <w:color w:val="000000"/>
                <w:szCs w:val="21"/>
              </w:rPr>
              <w:t>1</w:t>
            </w:r>
          </w:p>
        </w:tc>
        <w:tc>
          <w:tcPr>
            <w:tcW w:w="1663" w:type="dxa"/>
            <w:noWrap w:val="0"/>
            <w:vAlign w:val="top"/>
          </w:tcPr>
          <w:p w14:paraId="6E4A4404">
            <w:pPr>
              <w:jc w:val="center"/>
              <w:rPr>
                <w:rFonts w:hint="eastAsia" w:ascii="宋体" w:hAnsi="宋体"/>
                <w:color w:val="000000"/>
                <w:szCs w:val="21"/>
              </w:rPr>
            </w:pPr>
            <w:r>
              <w:rPr>
                <w:rFonts w:hint="eastAsia" w:ascii="宋体" w:hAnsi="宋体"/>
                <w:color w:val="000000"/>
                <w:szCs w:val="21"/>
              </w:rPr>
              <w:t>住院部（病房内带洗浴，包括行政及医护人员、附属设施等综合用水）</w:t>
            </w:r>
          </w:p>
        </w:tc>
        <w:tc>
          <w:tcPr>
            <w:tcW w:w="1583" w:type="dxa"/>
            <w:noWrap w:val="0"/>
            <w:vAlign w:val="top"/>
          </w:tcPr>
          <w:p w14:paraId="19C5E6B6">
            <w:pPr>
              <w:jc w:val="center"/>
              <w:rPr>
                <w:rFonts w:hint="eastAsia" w:ascii="宋体" w:hAnsi="宋体"/>
                <w:color w:val="000000"/>
                <w:szCs w:val="21"/>
              </w:rPr>
            </w:pPr>
            <w:r>
              <w:rPr>
                <w:rFonts w:hint="eastAsia" w:ascii="宋体" w:hAnsi="宋体"/>
                <w:color w:val="000000"/>
                <w:szCs w:val="21"/>
              </w:rPr>
              <w:t>300L/（床位.d）</w:t>
            </w:r>
          </w:p>
        </w:tc>
        <w:tc>
          <w:tcPr>
            <w:tcW w:w="1216" w:type="dxa"/>
            <w:noWrap w:val="0"/>
            <w:vAlign w:val="top"/>
          </w:tcPr>
          <w:p w14:paraId="72138DAB">
            <w:pPr>
              <w:jc w:val="center"/>
              <w:rPr>
                <w:rFonts w:hint="eastAsia" w:ascii="宋体" w:hAnsi="宋体"/>
                <w:color w:val="000000"/>
                <w:szCs w:val="21"/>
              </w:rPr>
            </w:pPr>
            <w:r>
              <w:rPr>
                <w:rFonts w:hint="eastAsia" w:ascii="宋体" w:hAnsi="宋体"/>
                <w:color w:val="000000"/>
                <w:szCs w:val="21"/>
              </w:rPr>
              <w:t>230床</w:t>
            </w:r>
          </w:p>
        </w:tc>
        <w:tc>
          <w:tcPr>
            <w:tcW w:w="1266" w:type="dxa"/>
            <w:noWrap w:val="0"/>
            <w:vAlign w:val="top"/>
          </w:tcPr>
          <w:p w14:paraId="30AD4F70">
            <w:pPr>
              <w:jc w:val="center"/>
              <w:rPr>
                <w:rFonts w:hint="eastAsia" w:ascii="宋体" w:hAnsi="宋体"/>
                <w:color w:val="000000"/>
                <w:szCs w:val="21"/>
              </w:rPr>
            </w:pPr>
            <w:r>
              <w:rPr>
                <w:rFonts w:hint="eastAsia" w:ascii="宋体" w:hAnsi="宋体"/>
                <w:color w:val="000000"/>
                <w:szCs w:val="21"/>
              </w:rPr>
              <w:t>69</w:t>
            </w:r>
          </w:p>
        </w:tc>
        <w:tc>
          <w:tcPr>
            <w:tcW w:w="1061" w:type="dxa"/>
            <w:noWrap w:val="0"/>
            <w:vAlign w:val="top"/>
          </w:tcPr>
          <w:p w14:paraId="01C6414F">
            <w:pPr>
              <w:jc w:val="center"/>
              <w:rPr>
                <w:rFonts w:hint="eastAsia" w:ascii="宋体" w:hAnsi="宋体"/>
                <w:color w:val="000000"/>
                <w:szCs w:val="21"/>
              </w:rPr>
            </w:pPr>
            <w:r>
              <w:rPr>
                <w:rFonts w:hint="eastAsia" w:ascii="宋体" w:hAnsi="宋体"/>
                <w:color w:val="000000"/>
                <w:szCs w:val="21"/>
              </w:rPr>
              <w:t>10.35</w:t>
            </w:r>
          </w:p>
        </w:tc>
        <w:tc>
          <w:tcPr>
            <w:tcW w:w="1063" w:type="dxa"/>
            <w:noWrap w:val="0"/>
            <w:vAlign w:val="top"/>
          </w:tcPr>
          <w:p w14:paraId="3A96A7B1">
            <w:pPr>
              <w:jc w:val="center"/>
              <w:rPr>
                <w:rFonts w:hint="eastAsia" w:ascii="宋体" w:hAnsi="宋体"/>
                <w:color w:val="000000"/>
                <w:szCs w:val="21"/>
              </w:rPr>
            </w:pPr>
            <w:r>
              <w:rPr>
                <w:rFonts w:hint="eastAsia" w:ascii="宋体" w:hAnsi="宋体"/>
                <w:color w:val="000000"/>
                <w:szCs w:val="21"/>
              </w:rPr>
              <w:t>58.65</w:t>
            </w:r>
          </w:p>
        </w:tc>
      </w:tr>
      <w:tr w14:paraId="03D6947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676" w:type="dxa"/>
            <w:noWrap w:val="0"/>
            <w:vAlign w:val="top"/>
          </w:tcPr>
          <w:p w14:paraId="7FE80FE3">
            <w:pPr>
              <w:jc w:val="center"/>
              <w:rPr>
                <w:rFonts w:hint="eastAsia" w:ascii="宋体" w:hAnsi="宋体"/>
                <w:color w:val="000000"/>
                <w:szCs w:val="21"/>
              </w:rPr>
            </w:pPr>
            <w:r>
              <w:rPr>
                <w:rFonts w:hint="eastAsia" w:ascii="宋体" w:hAnsi="宋体"/>
                <w:color w:val="000000"/>
                <w:szCs w:val="21"/>
              </w:rPr>
              <w:t>2</w:t>
            </w:r>
          </w:p>
        </w:tc>
        <w:tc>
          <w:tcPr>
            <w:tcW w:w="1663" w:type="dxa"/>
            <w:noWrap w:val="0"/>
            <w:vAlign w:val="top"/>
          </w:tcPr>
          <w:p w14:paraId="1D5EFE27">
            <w:pPr>
              <w:jc w:val="center"/>
              <w:rPr>
                <w:rFonts w:hint="eastAsia" w:ascii="宋体" w:hAnsi="宋体"/>
                <w:color w:val="000000"/>
                <w:szCs w:val="21"/>
              </w:rPr>
            </w:pPr>
            <w:r>
              <w:rPr>
                <w:rFonts w:hint="eastAsia" w:ascii="宋体" w:hAnsi="宋体"/>
                <w:color w:val="000000"/>
                <w:szCs w:val="21"/>
              </w:rPr>
              <w:t>门诊部（无住院部含行政及医护人员、附属设施等综合用水）</w:t>
            </w:r>
          </w:p>
        </w:tc>
        <w:tc>
          <w:tcPr>
            <w:tcW w:w="1583" w:type="dxa"/>
            <w:noWrap w:val="0"/>
            <w:vAlign w:val="top"/>
          </w:tcPr>
          <w:p w14:paraId="557CD9D1">
            <w:pPr>
              <w:jc w:val="center"/>
              <w:rPr>
                <w:rFonts w:hint="eastAsia" w:ascii="宋体" w:hAnsi="宋体"/>
                <w:color w:val="000000"/>
                <w:szCs w:val="21"/>
              </w:rPr>
            </w:pPr>
            <w:r>
              <w:rPr>
                <w:rFonts w:hint="eastAsia" w:ascii="宋体" w:hAnsi="宋体"/>
                <w:color w:val="000000"/>
                <w:szCs w:val="21"/>
              </w:rPr>
              <w:t>20L/（人.d）</w:t>
            </w:r>
          </w:p>
        </w:tc>
        <w:tc>
          <w:tcPr>
            <w:tcW w:w="1216" w:type="dxa"/>
            <w:noWrap w:val="0"/>
            <w:vAlign w:val="top"/>
          </w:tcPr>
          <w:p w14:paraId="79F81BD0">
            <w:pPr>
              <w:jc w:val="center"/>
              <w:rPr>
                <w:rFonts w:hint="eastAsia" w:ascii="宋体" w:hAnsi="宋体"/>
                <w:color w:val="000000"/>
                <w:szCs w:val="21"/>
              </w:rPr>
            </w:pPr>
            <w:r>
              <w:rPr>
                <w:rFonts w:hint="eastAsia" w:ascii="宋体" w:hAnsi="宋体"/>
                <w:color w:val="000000"/>
                <w:szCs w:val="21"/>
              </w:rPr>
              <w:t>493</w:t>
            </w:r>
            <w:r>
              <w:rPr>
                <w:rFonts w:ascii="宋体" w:hAnsi="宋体"/>
                <w:color w:val="000000"/>
                <w:szCs w:val="21"/>
              </w:rPr>
              <w:t>人</w:t>
            </w:r>
            <w:r>
              <w:rPr>
                <w:rFonts w:hint="eastAsia" w:ascii="宋体" w:hAnsi="宋体"/>
                <w:color w:val="000000"/>
                <w:szCs w:val="21"/>
              </w:rPr>
              <w:t>.d</w:t>
            </w:r>
          </w:p>
        </w:tc>
        <w:tc>
          <w:tcPr>
            <w:tcW w:w="1266" w:type="dxa"/>
            <w:noWrap w:val="0"/>
            <w:vAlign w:val="top"/>
          </w:tcPr>
          <w:p w14:paraId="7B92A1BF">
            <w:pPr>
              <w:jc w:val="center"/>
              <w:rPr>
                <w:rFonts w:hint="eastAsia" w:ascii="宋体" w:hAnsi="宋体"/>
                <w:color w:val="000000"/>
                <w:szCs w:val="21"/>
              </w:rPr>
            </w:pPr>
            <w:r>
              <w:rPr>
                <w:rFonts w:hint="eastAsia" w:ascii="宋体" w:hAnsi="宋体"/>
                <w:color w:val="000000"/>
                <w:szCs w:val="21"/>
              </w:rPr>
              <w:t>9.83</w:t>
            </w:r>
          </w:p>
        </w:tc>
        <w:tc>
          <w:tcPr>
            <w:tcW w:w="1061" w:type="dxa"/>
            <w:noWrap w:val="0"/>
            <w:vAlign w:val="top"/>
          </w:tcPr>
          <w:p w14:paraId="25303C2E">
            <w:pPr>
              <w:jc w:val="center"/>
              <w:rPr>
                <w:rFonts w:hint="eastAsia" w:ascii="宋体" w:hAnsi="宋体"/>
                <w:color w:val="000000"/>
                <w:szCs w:val="21"/>
              </w:rPr>
            </w:pPr>
            <w:r>
              <w:rPr>
                <w:rFonts w:hint="eastAsia" w:ascii="宋体" w:hAnsi="宋体"/>
                <w:color w:val="000000"/>
                <w:szCs w:val="21"/>
              </w:rPr>
              <w:t>1.47</w:t>
            </w:r>
          </w:p>
        </w:tc>
        <w:tc>
          <w:tcPr>
            <w:tcW w:w="1063" w:type="dxa"/>
            <w:noWrap w:val="0"/>
            <w:vAlign w:val="top"/>
          </w:tcPr>
          <w:p w14:paraId="25593DCC">
            <w:pPr>
              <w:jc w:val="center"/>
              <w:rPr>
                <w:rFonts w:hint="eastAsia" w:ascii="宋体" w:hAnsi="宋体"/>
                <w:color w:val="000000"/>
                <w:szCs w:val="21"/>
              </w:rPr>
            </w:pPr>
            <w:r>
              <w:rPr>
                <w:rFonts w:hint="eastAsia" w:ascii="宋体" w:hAnsi="宋体"/>
                <w:color w:val="000000"/>
                <w:szCs w:val="21"/>
              </w:rPr>
              <w:t>8.36</w:t>
            </w:r>
          </w:p>
        </w:tc>
      </w:tr>
      <w:tr w14:paraId="313CD3B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676" w:type="dxa"/>
            <w:noWrap w:val="0"/>
            <w:vAlign w:val="top"/>
          </w:tcPr>
          <w:p w14:paraId="3629FEFB">
            <w:pPr>
              <w:jc w:val="center"/>
              <w:rPr>
                <w:rFonts w:hint="eastAsia" w:ascii="宋体" w:hAnsi="宋体"/>
                <w:color w:val="000000"/>
                <w:szCs w:val="21"/>
              </w:rPr>
            </w:pPr>
            <w:r>
              <w:rPr>
                <w:rFonts w:hint="eastAsia" w:ascii="宋体" w:hAnsi="宋体"/>
                <w:color w:val="000000"/>
                <w:szCs w:val="21"/>
              </w:rPr>
              <w:t>3</w:t>
            </w:r>
          </w:p>
        </w:tc>
        <w:tc>
          <w:tcPr>
            <w:tcW w:w="1663" w:type="dxa"/>
            <w:noWrap w:val="0"/>
            <w:vAlign w:val="top"/>
          </w:tcPr>
          <w:p w14:paraId="549AE4D9">
            <w:pPr>
              <w:jc w:val="center"/>
              <w:rPr>
                <w:rFonts w:hint="eastAsia" w:ascii="宋体" w:hAnsi="宋体"/>
                <w:color w:val="000000"/>
                <w:szCs w:val="21"/>
              </w:rPr>
            </w:pPr>
            <w:r>
              <w:rPr>
                <w:rFonts w:hint="eastAsia" w:ascii="宋体" w:hAnsi="宋体"/>
                <w:color w:val="000000"/>
                <w:szCs w:val="21"/>
              </w:rPr>
              <w:t>检验科废水</w:t>
            </w:r>
          </w:p>
        </w:tc>
        <w:tc>
          <w:tcPr>
            <w:tcW w:w="1583" w:type="dxa"/>
            <w:noWrap w:val="0"/>
            <w:vAlign w:val="top"/>
          </w:tcPr>
          <w:p w14:paraId="47EF82D0">
            <w:pPr>
              <w:jc w:val="center"/>
              <w:rPr>
                <w:rFonts w:hint="eastAsia" w:ascii="宋体" w:hAnsi="宋体"/>
                <w:color w:val="000000"/>
                <w:szCs w:val="21"/>
              </w:rPr>
            </w:pPr>
            <w:r>
              <w:rPr>
                <w:rStyle w:val="245"/>
                <w:rFonts w:hint="eastAsia" w:ascii="宋体" w:hAnsi="宋体"/>
                <w:color w:val="000000"/>
                <w:szCs w:val="21"/>
              </w:rPr>
              <w:t>1</w:t>
            </w:r>
            <w:r>
              <w:rPr>
                <w:rFonts w:ascii="宋体" w:hAnsi="宋体"/>
                <w:color w:val="000000"/>
                <w:szCs w:val="21"/>
              </w:rPr>
              <w:t>L/</w:t>
            </w:r>
            <w:r>
              <w:rPr>
                <w:rFonts w:hint="eastAsia" w:ascii="宋体" w:hAnsi="宋体"/>
                <w:color w:val="000000"/>
                <w:szCs w:val="21"/>
              </w:rPr>
              <w:t>人</w:t>
            </w:r>
          </w:p>
        </w:tc>
        <w:tc>
          <w:tcPr>
            <w:tcW w:w="1216" w:type="dxa"/>
            <w:noWrap w:val="0"/>
            <w:vAlign w:val="top"/>
          </w:tcPr>
          <w:p w14:paraId="15E00945">
            <w:pPr>
              <w:jc w:val="center"/>
              <w:rPr>
                <w:rFonts w:hint="eastAsia" w:ascii="宋体" w:hAnsi="宋体"/>
                <w:color w:val="000000"/>
                <w:szCs w:val="21"/>
              </w:rPr>
            </w:pPr>
            <w:r>
              <w:rPr>
                <w:rFonts w:hint="eastAsia" w:ascii="宋体" w:hAnsi="宋体"/>
                <w:color w:val="000000"/>
                <w:szCs w:val="21"/>
              </w:rPr>
              <w:t>90人</w:t>
            </w:r>
          </w:p>
        </w:tc>
        <w:tc>
          <w:tcPr>
            <w:tcW w:w="1266" w:type="dxa"/>
            <w:noWrap w:val="0"/>
            <w:vAlign w:val="top"/>
          </w:tcPr>
          <w:p w14:paraId="2D4BD528">
            <w:pPr>
              <w:jc w:val="center"/>
              <w:rPr>
                <w:rFonts w:hint="eastAsia" w:ascii="宋体" w:hAnsi="宋体"/>
                <w:color w:val="000000"/>
                <w:szCs w:val="21"/>
              </w:rPr>
            </w:pPr>
            <w:r>
              <w:rPr>
                <w:rFonts w:hint="eastAsia" w:ascii="宋体" w:hAnsi="宋体"/>
                <w:color w:val="000000"/>
                <w:szCs w:val="21"/>
              </w:rPr>
              <w:t>0.09</w:t>
            </w:r>
          </w:p>
        </w:tc>
        <w:tc>
          <w:tcPr>
            <w:tcW w:w="1061" w:type="dxa"/>
            <w:noWrap w:val="0"/>
            <w:vAlign w:val="top"/>
          </w:tcPr>
          <w:p w14:paraId="30EFE7A7">
            <w:pPr>
              <w:jc w:val="center"/>
              <w:rPr>
                <w:rFonts w:hint="eastAsia" w:ascii="宋体" w:hAnsi="宋体"/>
                <w:color w:val="000000"/>
                <w:szCs w:val="21"/>
              </w:rPr>
            </w:pPr>
            <w:r>
              <w:rPr>
                <w:rFonts w:hint="eastAsia" w:ascii="宋体" w:hAnsi="宋体"/>
                <w:color w:val="000000"/>
                <w:szCs w:val="21"/>
              </w:rPr>
              <w:t>0.009</w:t>
            </w:r>
          </w:p>
        </w:tc>
        <w:tc>
          <w:tcPr>
            <w:tcW w:w="1063" w:type="dxa"/>
            <w:noWrap w:val="0"/>
            <w:vAlign w:val="top"/>
          </w:tcPr>
          <w:p w14:paraId="32454F22">
            <w:pPr>
              <w:jc w:val="center"/>
              <w:rPr>
                <w:rFonts w:hint="eastAsia" w:ascii="宋体" w:hAnsi="宋体"/>
                <w:color w:val="000000"/>
                <w:szCs w:val="21"/>
              </w:rPr>
            </w:pPr>
            <w:r>
              <w:rPr>
                <w:rFonts w:hint="eastAsia" w:ascii="宋体" w:hAnsi="宋体"/>
                <w:color w:val="000000"/>
                <w:szCs w:val="21"/>
              </w:rPr>
              <w:t>0.081</w:t>
            </w:r>
          </w:p>
        </w:tc>
      </w:tr>
      <w:tr w14:paraId="7FF4908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676" w:type="dxa"/>
            <w:noWrap w:val="0"/>
            <w:vAlign w:val="top"/>
          </w:tcPr>
          <w:p w14:paraId="06363F7C">
            <w:pPr>
              <w:jc w:val="center"/>
              <w:rPr>
                <w:rFonts w:hint="eastAsia" w:ascii="宋体" w:hAnsi="宋体"/>
                <w:color w:val="000000"/>
                <w:szCs w:val="21"/>
              </w:rPr>
            </w:pPr>
            <w:r>
              <w:rPr>
                <w:rFonts w:hint="eastAsia" w:ascii="宋体" w:hAnsi="宋体"/>
                <w:color w:val="000000"/>
                <w:szCs w:val="21"/>
              </w:rPr>
              <w:t>4</w:t>
            </w:r>
          </w:p>
        </w:tc>
        <w:tc>
          <w:tcPr>
            <w:tcW w:w="1663" w:type="dxa"/>
            <w:noWrap w:val="0"/>
            <w:vAlign w:val="top"/>
          </w:tcPr>
          <w:p w14:paraId="6167C375">
            <w:pPr>
              <w:jc w:val="center"/>
              <w:rPr>
                <w:rFonts w:hint="eastAsia" w:ascii="宋体" w:hAnsi="宋体"/>
                <w:color w:val="000000"/>
                <w:szCs w:val="21"/>
              </w:rPr>
            </w:pPr>
            <w:r>
              <w:rPr>
                <w:rFonts w:hint="eastAsia" w:ascii="宋体" w:hAnsi="宋体"/>
                <w:color w:val="000000"/>
                <w:szCs w:val="21"/>
              </w:rPr>
              <w:t>口腔科废水</w:t>
            </w:r>
          </w:p>
        </w:tc>
        <w:tc>
          <w:tcPr>
            <w:tcW w:w="1583" w:type="dxa"/>
            <w:noWrap w:val="0"/>
            <w:vAlign w:val="top"/>
          </w:tcPr>
          <w:p w14:paraId="0D7D23C9">
            <w:pPr>
              <w:jc w:val="center"/>
              <w:rPr>
                <w:rStyle w:val="245"/>
                <w:rFonts w:hint="eastAsia" w:ascii="宋体" w:hAnsi="宋体"/>
                <w:color w:val="000000"/>
                <w:szCs w:val="21"/>
              </w:rPr>
            </w:pPr>
            <w:r>
              <w:rPr>
                <w:rFonts w:hint="eastAsia" w:ascii="宋体" w:hAnsi="宋体"/>
                <w:color w:val="000000"/>
                <w:szCs w:val="21"/>
              </w:rPr>
              <w:t>0.5</w:t>
            </w:r>
            <w:r>
              <w:rPr>
                <w:rFonts w:ascii="宋体" w:hAnsi="宋体"/>
                <w:color w:val="000000"/>
                <w:szCs w:val="21"/>
              </w:rPr>
              <w:t>L/</w:t>
            </w:r>
            <w:r>
              <w:rPr>
                <w:rFonts w:hint="eastAsia" w:ascii="宋体" w:hAnsi="宋体"/>
                <w:color w:val="000000"/>
                <w:szCs w:val="21"/>
              </w:rPr>
              <w:t>人</w:t>
            </w:r>
          </w:p>
        </w:tc>
        <w:tc>
          <w:tcPr>
            <w:tcW w:w="1216" w:type="dxa"/>
            <w:noWrap w:val="0"/>
            <w:vAlign w:val="top"/>
          </w:tcPr>
          <w:p w14:paraId="1EBA920C">
            <w:pPr>
              <w:jc w:val="center"/>
              <w:rPr>
                <w:rFonts w:hint="eastAsia" w:ascii="宋体" w:hAnsi="宋体"/>
                <w:color w:val="000000"/>
                <w:szCs w:val="21"/>
              </w:rPr>
            </w:pPr>
            <w:r>
              <w:rPr>
                <w:rFonts w:hint="eastAsia" w:ascii="宋体" w:hAnsi="宋体"/>
                <w:color w:val="000000"/>
                <w:szCs w:val="21"/>
              </w:rPr>
              <w:t>40人</w:t>
            </w:r>
          </w:p>
        </w:tc>
        <w:tc>
          <w:tcPr>
            <w:tcW w:w="1266" w:type="dxa"/>
            <w:noWrap w:val="0"/>
            <w:vAlign w:val="top"/>
          </w:tcPr>
          <w:p w14:paraId="31999B31">
            <w:pPr>
              <w:jc w:val="center"/>
              <w:rPr>
                <w:rFonts w:hint="eastAsia" w:ascii="宋体" w:hAnsi="宋体"/>
                <w:color w:val="000000"/>
                <w:szCs w:val="21"/>
              </w:rPr>
            </w:pPr>
            <w:r>
              <w:rPr>
                <w:rFonts w:hint="eastAsia" w:ascii="宋体" w:hAnsi="宋体"/>
                <w:color w:val="000000"/>
                <w:szCs w:val="21"/>
              </w:rPr>
              <w:t>0.02</w:t>
            </w:r>
          </w:p>
        </w:tc>
        <w:tc>
          <w:tcPr>
            <w:tcW w:w="1061" w:type="dxa"/>
            <w:noWrap w:val="0"/>
            <w:vAlign w:val="top"/>
          </w:tcPr>
          <w:p w14:paraId="7B66B0DD">
            <w:pPr>
              <w:jc w:val="center"/>
              <w:rPr>
                <w:rFonts w:hint="eastAsia" w:ascii="宋体" w:hAnsi="宋体"/>
                <w:color w:val="000000"/>
                <w:szCs w:val="21"/>
              </w:rPr>
            </w:pPr>
            <w:r>
              <w:rPr>
                <w:rFonts w:hint="eastAsia" w:ascii="宋体" w:hAnsi="宋体"/>
                <w:color w:val="000000"/>
                <w:szCs w:val="21"/>
              </w:rPr>
              <w:t>0.012</w:t>
            </w:r>
          </w:p>
        </w:tc>
        <w:tc>
          <w:tcPr>
            <w:tcW w:w="1063" w:type="dxa"/>
            <w:noWrap w:val="0"/>
            <w:vAlign w:val="top"/>
          </w:tcPr>
          <w:p w14:paraId="494D064F">
            <w:pPr>
              <w:jc w:val="center"/>
              <w:rPr>
                <w:rFonts w:hint="eastAsia" w:ascii="宋体" w:hAnsi="宋体"/>
                <w:color w:val="000000"/>
                <w:szCs w:val="21"/>
              </w:rPr>
            </w:pPr>
            <w:r>
              <w:rPr>
                <w:rFonts w:hint="eastAsia" w:ascii="宋体" w:hAnsi="宋体"/>
                <w:color w:val="000000"/>
                <w:szCs w:val="21"/>
              </w:rPr>
              <w:t>0.018</w:t>
            </w:r>
          </w:p>
        </w:tc>
      </w:tr>
      <w:tr w14:paraId="0968D4F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676" w:type="dxa"/>
            <w:noWrap w:val="0"/>
            <w:vAlign w:val="top"/>
          </w:tcPr>
          <w:p w14:paraId="08C9EBB3">
            <w:pPr>
              <w:jc w:val="center"/>
              <w:rPr>
                <w:rFonts w:hint="eastAsia" w:ascii="宋体" w:hAnsi="宋体"/>
                <w:color w:val="000000"/>
                <w:szCs w:val="21"/>
              </w:rPr>
            </w:pPr>
            <w:r>
              <w:rPr>
                <w:rFonts w:hint="eastAsia" w:ascii="宋体" w:hAnsi="宋体"/>
                <w:color w:val="000000"/>
                <w:szCs w:val="21"/>
              </w:rPr>
              <w:t>5</w:t>
            </w:r>
          </w:p>
        </w:tc>
        <w:tc>
          <w:tcPr>
            <w:tcW w:w="1663" w:type="dxa"/>
            <w:noWrap w:val="0"/>
            <w:vAlign w:val="top"/>
          </w:tcPr>
          <w:p w14:paraId="63327961">
            <w:pPr>
              <w:jc w:val="center"/>
              <w:rPr>
                <w:rFonts w:hint="eastAsia" w:ascii="宋体" w:hAnsi="宋体"/>
                <w:color w:val="000000"/>
                <w:szCs w:val="21"/>
              </w:rPr>
            </w:pPr>
            <w:r>
              <w:rPr>
                <w:rFonts w:hint="eastAsia" w:ascii="宋体" w:hAnsi="宋体"/>
                <w:color w:val="000000"/>
                <w:szCs w:val="21"/>
              </w:rPr>
              <w:t>食堂用水</w:t>
            </w:r>
          </w:p>
        </w:tc>
        <w:tc>
          <w:tcPr>
            <w:tcW w:w="1583" w:type="dxa"/>
            <w:noWrap w:val="0"/>
            <w:vAlign w:val="top"/>
          </w:tcPr>
          <w:p w14:paraId="258ECC7E">
            <w:pPr>
              <w:jc w:val="center"/>
              <w:rPr>
                <w:rFonts w:hint="eastAsia" w:ascii="宋体" w:hAnsi="宋体"/>
                <w:color w:val="000000"/>
                <w:szCs w:val="21"/>
              </w:rPr>
            </w:pPr>
            <w:r>
              <w:rPr>
                <w:rFonts w:hint="eastAsia" w:ascii="宋体" w:hAnsi="宋体"/>
                <w:color w:val="000000"/>
                <w:szCs w:val="21"/>
              </w:rPr>
              <w:t>40</w:t>
            </w:r>
            <w:r>
              <w:rPr>
                <w:rFonts w:ascii="宋体" w:hAnsi="宋体"/>
                <w:color w:val="000000"/>
                <w:szCs w:val="21"/>
              </w:rPr>
              <w:t>L/（m</w:t>
            </w:r>
            <w:r>
              <w:rPr>
                <w:rFonts w:ascii="宋体" w:hAnsi="宋体"/>
                <w:color w:val="000000"/>
                <w:szCs w:val="21"/>
                <w:vertAlign w:val="superscript"/>
              </w:rPr>
              <w:t>2</w:t>
            </w:r>
            <w:r>
              <w:rPr>
                <w:rFonts w:ascii="宋体" w:hAnsi="宋体"/>
                <w:color w:val="000000"/>
                <w:szCs w:val="21"/>
              </w:rPr>
              <w:t>·d）</w:t>
            </w:r>
          </w:p>
        </w:tc>
        <w:tc>
          <w:tcPr>
            <w:tcW w:w="1216" w:type="dxa"/>
            <w:noWrap w:val="0"/>
            <w:vAlign w:val="top"/>
          </w:tcPr>
          <w:p w14:paraId="4C727DF4">
            <w:pPr>
              <w:jc w:val="center"/>
              <w:rPr>
                <w:rFonts w:hint="eastAsia" w:ascii="宋体" w:hAnsi="宋体"/>
                <w:color w:val="000000"/>
                <w:szCs w:val="21"/>
              </w:rPr>
            </w:pPr>
            <w:r>
              <w:rPr>
                <w:rFonts w:hint="eastAsia" w:ascii="宋体" w:hAnsi="宋体"/>
                <w:color w:val="000000"/>
                <w:szCs w:val="21"/>
              </w:rPr>
              <w:t>1000</w:t>
            </w:r>
            <w:r>
              <w:rPr>
                <w:rFonts w:ascii="宋体" w:hAnsi="宋体"/>
                <w:color w:val="000000"/>
                <w:szCs w:val="21"/>
              </w:rPr>
              <w:t>m</w:t>
            </w:r>
            <w:r>
              <w:rPr>
                <w:rFonts w:ascii="宋体" w:hAnsi="宋体"/>
                <w:color w:val="000000"/>
                <w:szCs w:val="21"/>
                <w:vertAlign w:val="superscript"/>
              </w:rPr>
              <w:t>2</w:t>
            </w:r>
          </w:p>
        </w:tc>
        <w:tc>
          <w:tcPr>
            <w:tcW w:w="1266" w:type="dxa"/>
            <w:noWrap w:val="0"/>
            <w:vAlign w:val="top"/>
          </w:tcPr>
          <w:p w14:paraId="7F5AD0DE">
            <w:pPr>
              <w:jc w:val="center"/>
              <w:rPr>
                <w:rFonts w:hint="eastAsia" w:ascii="宋体" w:hAnsi="宋体"/>
                <w:color w:val="000000"/>
                <w:szCs w:val="21"/>
              </w:rPr>
            </w:pPr>
            <w:r>
              <w:rPr>
                <w:rFonts w:hint="eastAsia" w:ascii="宋体" w:hAnsi="宋体"/>
                <w:color w:val="000000"/>
                <w:szCs w:val="21"/>
              </w:rPr>
              <w:t>40</w:t>
            </w:r>
          </w:p>
        </w:tc>
        <w:tc>
          <w:tcPr>
            <w:tcW w:w="1061" w:type="dxa"/>
            <w:noWrap w:val="0"/>
            <w:vAlign w:val="top"/>
          </w:tcPr>
          <w:p w14:paraId="0DA60660">
            <w:pPr>
              <w:tabs>
                <w:tab w:val="center" w:pos="433"/>
              </w:tabs>
              <w:rPr>
                <w:rFonts w:hint="eastAsia" w:ascii="宋体" w:hAnsi="宋体"/>
                <w:color w:val="000000"/>
                <w:szCs w:val="21"/>
              </w:rPr>
            </w:pPr>
            <w:r>
              <w:rPr>
                <w:rFonts w:ascii="宋体" w:hAnsi="宋体"/>
                <w:color w:val="000000"/>
                <w:szCs w:val="21"/>
              </w:rPr>
              <w:tab/>
            </w:r>
            <w:r>
              <w:rPr>
                <w:rFonts w:hint="eastAsia" w:ascii="宋体" w:hAnsi="宋体"/>
                <w:color w:val="000000"/>
                <w:szCs w:val="21"/>
              </w:rPr>
              <w:t>8</w:t>
            </w:r>
          </w:p>
        </w:tc>
        <w:tc>
          <w:tcPr>
            <w:tcW w:w="1063" w:type="dxa"/>
            <w:noWrap w:val="0"/>
            <w:vAlign w:val="top"/>
          </w:tcPr>
          <w:p w14:paraId="7F6D8C23">
            <w:pPr>
              <w:jc w:val="center"/>
              <w:rPr>
                <w:rFonts w:hint="eastAsia" w:ascii="宋体" w:hAnsi="宋体"/>
                <w:color w:val="000000"/>
                <w:szCs w:val="21"/>
              </w:rPr>
            </w:pPr>
            <w:r>
              <w:rPr>
                <w:rFonts w:hint="eastAsia" w:ascii="宋体" w:hAnsi="宋体"/>
                <w:color w:val="000000"/>
                <w:szCs w:val="21"/>
              </w:rPr>
              <w:t>32</w:t>
            </w:r>
          </w:p>
        </w:tc>
      </w:tr>
      <w:tr w14:paraId="16CD689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676" w:type="dxa"/>
            <w:noWrap w:val="0"/>
            <w:vAlign w:val="top"/>
          </w:tcPr>
          <w:p w14:paraId="52C67D5D">
            <w:pPr>
              <w:jc w:val="center"/>
              <w:rPr>
                <w:rFonts w:hint="eastAsia" w:ascii="宋体" w:hAnsi="宋体"/>
                <w:color w:val="000000"/>
                <w:szCs w:val="21"/>
              </w:rPr>
            </w:pPr>
            <w:r>
              <w:rPr>
                <w:rFonts w:hint="eastAsia" w:ascii="宋体" w:hAnsi="宋体"/>
                <w:color w:val="000000"/>
                <w:szCs w:val="21"/>
              </w:rPr>
              <w:t>6</w:t>
            </w:r>
          </w:p>
        </w:tc>
        <w:tc>
          <w:tcPr>
            <w:tcW w:w="1663" w:type="dxa"/>
            <w:noWrap w:val="0"/>
            <w:vAlign w:val="top"/>
          </w:tcPr>
          <w:p w14:paraId="5F9CDAED">
            <w:pPr>
              <w:jc w:val="center"/>
              <w:rPr>
                <w:rFonts w:hint="eastAsia" w:ascii="宋体" w:hAnsi="宋体"/>
                <w:color w:val="000000"/>
                <w:szCs w:val="21"/>
              </w:rPr>
            </w:pPr>
            <w:r>
              <w:rPr>
                <w:rFonts w:hint="eastAsia" w:ascii="宋体" w:hAnsi="宋体"/>
                <w:color w:val="000000"/>
                <w:szCs w:val="21"/>
              </w:rPr>
              <w:t>洗浆房洗涤用水</w:t>
            </w:r>
          </w:p>
        </w:tc>
        <w:tc>
          <w:tcPr>
            <w:tcW w:w="1583" w:type="dxa"/>
            <w:noWrap w:val="0"/>
            <w:vAlign w:val="top"/>
          </w:tcPr>
          <w:p w14:paraId="4938BD29">
            <w:pPr>
              <w:jc w:val="center"/>
              <w:rPr>
                <w:rFonts w:ascii="宋体" w:hAnsi="宋体"/>
                <w:color w:val="000000"/>
                <w:szCs w:val="21"/>
              </w:rPr>
            </w:pPr>
            <w:r>
              <w:rPr>
                <w:rFonts w:hint="eastAsia" w:ascii="宋体" w:hAnsi="宋体"/>
                <w:color w:val="000000"/>
                <w:szCs w:val="21"/>
              </w:rPr>
              <w:t>40L/（公斤）</w:t>
            </w:r>
          </w:p>
        </w:tc>
        <w:tc>
          <w:tcPr>
            <w:tcW w:w="1216" w:type="dxa"/>
            <w:noWrap w:val="0"/>
            <w:vAlign w:val="top"/>
          </w:tcPr>
          <w:p w14:paraId="3CEA4A97">
            <w:pPr>
              <w:jc w:val="center"/>
              <w:rPr>
                <w:rFonts w:hint="eastAsia" w:ascii="宋体" w:hAnsi="宋体"/>
                <w:color w:val="000000"/>
                <w:szCs w:val="21"/>
              </w:rPr>
            </w:pPr>
            <w:r>
              <w:rPr>
                <w:rFonts w:hint="eastAsia" w:ascii="宋体" w:hAnsi="宋体"/>
                <w:color w:val="000000"/>
                <w:szCs w:val="21"/>
              </w:rPr>
              <w:t>92kg/d</w:t>
            </w:r>
          </w:p>
        </w:tc>
        <w:tc>
          <w:tcPr>
            <w:tcW w:w="1266" w:type="dxa"/>
            <w:noWrap w:val="0"/>
            <w:vAlign w:val="top"/>
          </w:tcPr>
          <w:p w14:paraId="750FED07">
            <w:pPr>
              <w:jc w:val="center"/>
              <w:rPr>
                <w:rFonts w:hint="eastAsia" w:ascii="宋体" w:hAnsi="宋体"/>
                <w:color w:val="000000"/>
                <w:szCs w:val="21"/>
              </w:rPr>
            </w:pPr>
            <w:r>
              <w:rPr>
                <w:rFonts w:hint="eastAsia" w:ascii="宋体" w:hAnsi="宋体"/>
                <w:color w:val="000000"/>
                <w:szCs w:val="21"/>
              </w:rPr>
              <w:t>3.68</w:t>
            </w:r>
          </w:p>
        </w:tc>
        <w:tc>
          <w:tcPr>
            <w:tcW w:w="1061" w:type="dxa"/>
            <w:noWrap w:val="0"/>
            <w:vAlign w:val="top"/>
          </w:tcPr>
          <w:p w14:paraId="52FC9EDA">
            <w:pPr>
              <w:jc w:val="center"/>
              <w:rPr>
                <w:rFonts w:hint="eastAsia" w:ascii="宋体" w:hAnsi="宋体"/>
                <w:color w:val="000000"/>
                <w:szCs w:val="21"/>
              </w:rPr>
            </w:pPr>
            <w:r>
              <w:rPr>
                <w:rFonts w:hint="eastAsia" w:ascii="宋体" w:hAnsi="宋体"/>
                <w:color w:val="000000"/>
                <w:szCs w:val="21"/>
              </w:rPr>
              <w:t>0.736</w:t>
            </w:r>
          </w:p>
        </w:tc>
        <w:tc>
          <w:tcPr>
            <w:tcW w:w="1063" w:type="dxa"/>
            <w:noWrap w:val="0"/>
            <w:vAlign w:val="top"/>
          </w:tcPr>
          <w:p w14:paraId="1BA866D7">
            <w:pPr>
              <w:jc w:val="center"/>
              <w:rPr>
                <w:rFonts w:hint="eastAsia" w:ascii="宋体" w:hAnsi="宋体"/>
                <w:color w:val="000000"/>
                <w:szCs w:val="21"/>
              </w:rPr>
            </w:pPr>
            <w:r>
              <w:rPr>
                <w:rFonts w:hint="eastAsia" w:ascii="宋体" w:hAnsi="宋体"/>
                <w:color w:val="000000"/>
                <w:szCs w:val="21"/>
              </w:rPr>
              <w:t>2.944</w:t>
            </w:r>
          </w:p>
        </w:tc>
      </w:tr>
      <w:tr w14:paraId="7C59A74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676" w:type="dxa"/>
            <w:noWrap w:val="0"/>
            <w:vAlign w:val="top"/>
          </w:tcPr>
          <w:p w14:paraId="6EBCA9EA">
            <w:pPr>
              <w:jc w:val="center"/>
              <w:rPr>
                <w:rFonts w:hint="eastAsia" w:ascii="宋体" w:hAnsi="宋体"/>
                <w:color w:val="000000"/>
                <w:szCs w:val="21"/>
              </w:rPr>
            </w:pPr>
            <w:r>
              <w:rPr>
                <w:rFonts w:hint="eastAsia" w:ascii="宋体" w:hAnsi="宋体"/>
                <w:color w:val="000000"/>
                <w:szCs w:val="21"/>
              </w:rPr>
              <w:t>7</w:t>
            </w:r>
          </w:p>
        </w:tc>
        <w:tc>
          <w:tcPr>
            <w:tcW w:w="1663" w:type="dxa"/>
            <w:noWrap w:val="0"/>
            <w:vAlign w:val="top"/>
          </w:tcPr>
          <w:p w14:paraId="606076E3">
            <w:pPr>
              <w:jc w:val="center"/>
              <w:rPr>
                <w:rFonts w:hint="eastAsia" w:ascii="宋体" w:hAnsi="宋体"/>
                <w:color w:val="000000"/>
                <w:szCs w:val="21"/>
              </w:rPr>
            </w:pPr>
            <w:r>
              <w:rPr>
                <w:rFonts w:hint="eastAsia" w:ascii="宋体" w:hAnsi="宋体"/>
                <w:color w:val="000000"/>
                <w:szCs w:val="21"/>
              </w:rPr>
              <w:t>污水处理系统污泥脱水</w:t>
            </w:r>
          </w:p>
        </w:tc>
        <w:tc>
          <w:tcPr>
            <w:tcW w:w="1583" w:type="dxa"/>
            <w:noWrap w:val="0"/>
            <w:vAlign w:val="top"/>
          </w:tcPr>
          <w:p w14:paraId="20A70AE9">
            <w:pPr>
              <w:jc w:val="center"/>
              <w:rPr>
                <w:rFonts w:hint="eastAsia" w:ascii="宋体" w:hAnsi="宋体"/>
                <w:color w:val="000000"/>
                <w:szCs w:val="21"/>
              </w:rPr>
            </w:pPr>
          </w:p>
        </w:tc>
        <w:tc>
          <w:tcPr>
            <w:tcW w:w="1216" w:type="dxa"/>
            <w:noWrap w:val="0"/>
            <w:vAlign w:val="top"/>
          </w:tcPr>
          <w:p w14:paraId="61F33A0D">
            <w:pPr>
              <w:jc w:val="center"/>
              <w:rPr>
                <w:rFonts w:hint="eastAsia" w:ascii="宋体" w:hAnsi="宋体"/>
                <w:color w:val="000000"/>
                <w:szCs w:val="21"/>
              </w:rPr>
            </w:pPr>
          </w:p>
        </w:tc>
        <w:tc>
          <w:tcPr>
            <w:tcW w:w="1266" w:type="dxa"/>
            <w:noWrap w:val="0"/>
            <w:vAlign w:val="top"/>
          </w:tcPr>
          <w:p w14:paraId="51BB8CE6">
            <w:pPr>
              <w:jc w:val="center"/>
              <w:rPr>
                <w:rFonts w:hint="eastAsia" w:ascii="宋体" w:hAnsi="宋体"/>
                <w:color w:val="000000"/>
                <w:szCs w:val="21"/>
              </w:rPr>
            </w:pPr>
          </w:p>
        </w:tc>
        <w:tc>
          <w:tcPr>
            <w:tcW w:w="1061" w:type="dxa"/>
            <w:noWrap w:val="0"/>
            <w:vAlign w:val="top"/>
          </w:tcPr>
          <w:p w14:paraId="2697C47B">
            <w:pPr>
              <w:jc w:val="center"/>
              <w:rPr>
                <w:rFonts w:hint="eastAsia" w:ascii="宋体" w:hAnsi="宋体"/>
                <w:color w:val="000000"/>
                <w:szCs w:val="21"/>
              </w:rPr>
            </w:pPr>
          </w:p>
        </w:tc>
        <w:tc>
          <w:tcPr>
            <w:tcW w:w="1063" w:type="dxa"/>
            <w:noWrap w:val="0"/>
            <w:vAlign w:val="top"/>
          </w:tcPr>
          <w:p w14:paraId="4D2BE962">
            <w:pPr>
              <w:jc w:val="center"/>
              <w:rPr>
                <w:rFonts w:hint="eastAsia" w:ascii="宋体" w:hAnsi="宋体"/>
                <w:color w:val="000000"/>
                <w:szCs w:val="21"/>
              </w:rPr>
            </w:pPr>
            <w:r>
              <w:rPr>
                <w:rFonts w:hint="eastAsia" w:ascii="宋体" w:hAnsi="宋体"/>
                <w:color w:val="000000"/>
                <w:szCs w:val="21"/>
              </w:rPr>
              <w:t>0.5</w:t>
            </w:r>
          </w:p>
        </w:tc>
      </w:tr>
      <w:tr w14:paraId="54C8BED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676" w:type="dxa"/>
            <w:noWrap w:val="0"/>
            <w:vAlign w:val="top"/>
          </w:tcPr>
          <w:p w14:paraId="54597B37">
            <w:pPr>
              <w:jc w:val="center"/>
              <w:rPr>
                <w:rFonts w:hint="eastAsia" w:ascii="宋体" w:hAnsi="宋体"/>
                <w:color w:val="000000"/>
                <w:szCs w:val="21"/>
              </w:rPr>
            </w:pPr>
            <w:r>
              <w:rPr>
                <w:rFonts w:hint="eastAsia" w:ascii="宋体" w:hAnsi="宋体"/>
                <w:color w:val="000000"/>
                <w:szCs w:val="21"/>
              </w:rPr>
              <w:t>8</w:t>
            </w:r>
          </w:p>
        </w:tc>
        <w:tc>
          <w:tcPr>
            <w:tcW w:w="1663" w:type="dxa"/>
            <w:noWrap w:val="0"/>
            <w:vAlign w:val="top"/>
          </w:tcPr>
          <w:p w14:paraId="1537F15D">
            <w:pPr>
              <w:jc w:val="center"/>
              <w:rPr>
                <w:rFonts w:hint="eastAsia" w:ascii="宋体" w:hAnsi="宋体"/>
                <w:color w:val="000000"/>
                <w:szCs w:val="21"/>
              </w:rPr>
            </w:pPr>
            <w:r>
              <w:rPr>
                <w:rFonts w:hint="eastAsia" w:ascii="宋体" w:hAnsi="宋体"/>
                <w:color w:val="000000"/>
                <w:szCs w:val="21"/>
              </w:rPr>
              <w:t>绿化用水（非雨天235天）</w:t>
            </w:r>
          </w:p>
        </w:tc>
        <w:tc>
          <w:tcPr>
            <w:tcW w:w="1583" w:type="dxa"/>
            <w:noWrap w:val="0"/>
            <w:vAlign w:val="top"/>
          </w:tcPr>
          <w:p w14:paraId="7F945071">
            <w:pPr>
              <w:jc w:val="center"/>
              <w:rPr>
                <w:rFonts w:hint="eastAsia" w:ascii="宋体" w:hAnsi="宋体"/>
                <w:color w:val="000000"/>
                <w:szCs w:val="21"/>
              </w:rPr>
            </w:pPr>
            <w:r>
              <w:rPr>
                <w:rFonts w:hint="eastAsia" w:ascii="宋体" w:hAnsi="宋体"/>
                <w:color w:val="000000"/>
                <w:szCs w:val="21"/>
              </w:rPr>
              <w:t>3L/（m</w:t>
            </w:r>
            <w:r>
              <w:rPr>
                <w:rFonts w:hint="eastAsia" w:ascii="宋体" w:hAnsi="宋体"/>
                <w:color w:val="000000"/>
                <w:szCs w:val="21"/>
                <w:vertAlign w:val="superscript"/>
              </w:rPr>
              <w:t>2</w:t>
            </w:r>
            <w:r>
              <w:rPr>
                <w:rFonts w:hint="eastAsia" w:ascii="宋体" w:hAnsi="宋体"/>
                <w:color w:val="000000"/>
                <w:szCs w:val="21"/>
              </w:rPr>
              <w:t>.d）</w:t>
            </w:r>
          </w:p>
        </w:tc>
        <w:tc>
          <w:tcPr>
            <w:tcW w:w="1216" w:type="dxa"/>
            <w:noWrap w:val="0"/>
            <w:vAlign w:val="top"/>
          </w:tcPr>
          <w:p w14:paraId="35F7EBFD">
            <w:pPr>
              <w:jc w:val="center"/>
              <w:rPr>
                <w:rFonts w:hint="eastAsia" w:ascii="宋体" w:hAnsi="宋体"/>
                <w:color w:val="000000"/>
                <w:szCs w:val="21"/>
              </w:rPr>
            </w:pPr>
            <w:r>
              <w:rPr>
                <w:rFonts w:hint="eastAsia" w:ascii="宋体" w:hAnsi="宋体"/>
                <w:color w:val="000000"/>
                <w:szCs w:val="21"/>
              </w:rPr>
              <w:t>7625.92m</w:t>
            </w:r>
            <w:r>
              <w:rPr>
                <w:rFonts w:hint="eastAsia" w:ascii="宋体" w:hAnsi="宋体"/>
                <w:color w:val="000000"/>
                <w:szCs w:val="21"/>
                <w:vertAlign w:val="superscript"/>
              </w:rPr>
              <w:t>2</w:t>
            </w:r>
          </w:p>
        </w:tc>
        <w:tc>
          <w:tcPr>
            <w:tcW w:w="1266" w:type="dxa"/>
            <w:noWrap w:val="0"/>
            <w:vAlign w:val="top"/>
          </w:tcPr>
          <w:p w14:paraId="7357648F">
            <w:pPr>
              <w:jc w:val="center"/>
              <w:rPr>
                <w:rFonts w:hint="eastAsia" w:ascii="宋体" w:hAnsi="宋体"/>
                <w:color w:val="000000"/>
                <w:szCs w:val="21"/>
              </w:rPr>
            </w:pPr>
            <w:r>
              <w:rPr>
                <w:rFonts w:hint="eastAsia" w:ascii="宋体" w:hAnsi="宋体"/>
                <w:color w:val="000000"/>
                <w:szCs w:val="21"/>
              </w:rPr>
              <w:t>22.87</w:t>
            </w:r>
          </w:p>
        </w:tc>
        <w:tc>
          <w:tcPr>
            <w:tcW w:w="1061" w:type="dxa"/>
            <w:noWrap w:val="0"/>
            <w:vAlign w:val="top"/>
          </w:tcPr>
          <w:p w14:paraId="11DD3ECF">
            <w:pPr>
              <w:jc w:val="center"/>
              <w:rPr>
                <w:rFonts w:hint="eastAsia" w:ascii="宋体" w:hAnsi="宋体"/>
                <w:color w:val="000000"/>
                <w:szCs w:val="21"/>
              </w:rPr>
            </w:pPr>
            <w:r>
              <w:rPr>
                <w:rFonts w:hint="eastAsia" w:ascii="宋体" w:hAnsi="宋体"/>
                <w:color w:val="000000"/>
                <w:szCs w:val="21"/>
              </w:rPr>
              <w:t>22.87</w:t>
            </w:r>
          </w:p>
        </w:tc>
        <w:tc>
          <w:tcPr>
            <w:tcW w:w="1063" w:type="dxa"/>
            <w:noWrap w:val="0"/>
            <w:vAlign w:val="top"/>
          </w:tcPr>
          <w:p w14:paraId="59121DB8">
            <w:pPr>
              <w:jc w:val="center"/>
              <w:rPr>
                <w:rFonts w:hint="eastAsia" w:ascii="宋体" w:hAnsi="宋体"/>
                <w:color w:val="000000"/>
                <w:szCs w:val="21"/>
              </w:rPr>
            </w:pPr>
            <w:r>
              <w:rPr>
                <w:rFonts w:hint="eastAsia" w:ascii="宋体" w:hAnsi="宋体"/>
                <w:color w:val="000000"/>
                <w:szCs w:val="21"/>
              </w:rPr>
              <w:t>0</w:t>
            </w:r>
          </w:p>
        </w:tc>
      </w:tr>
      <w:tr w14:paraId="711C621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138" w:type="dxa"/>
            <w:gridSpan w:val="4"/>
            <w:noWrap w:val="0"/>
            <w:vAlign w:val="top"/>
          </w:tcPr>
          <w:p w14:paraId="0FBC78BA">
            <w:pPr>
              <w:jc w:val="center"/>
              <w:rPr>
                <w:rFonts w:hint="eastAsia" w:ascii="宋体" w:hAnsi="宋体"/>
                <w:color w:val="000000"/>
                <w:szCs w:val="21"/>
              </w:rPr>
            </w:pPr>
            <w:r>
              <w:rPr>
                <w:rFonts w:hint="eastAsia" w:ascii="宋体" w:hAnsi="宋体"/>
                <w:color w:val="000000"/>
                <w:szCs w:val="21"/>
              </w:rPr>
              <w:t>合计</w:t>
            </w:r>
          </w:p>
        </w:tc>
        <w:tc>
          <w:tcPr>
            <w:tcW w:w="1266" w:type="dxa"/>
            <w:noWrap w:val="0"/>
            <w:vAlign w:val="top"/>
          </w:tcPr>
          <w:p w14:paraId="2B11B63A">
            <w:pPr>
              <w:jc w:val="center"/>
              <w:rPr>
                <w:rFonts w:hint="eastAsia" w:ascii="宋体" w:hAnsi="宋体"/>
                <w:color w:val="000000"/>
                <w:szCs w:val="21"/>
              </w:rPr>
            </w:pPr>
            <w:r>
              <w:rPr>
                <w:rFonts w:hint="eastAsia" w:ascii="宋体" w:hAnsi="宋体"/>
                <w:color w:val="000000"/>
                <w:szCs w:val="21"/>
              </w:rPr>
              <w:t>145.49；（122.62）</w:t>
            </w:r>
          </w:p>
        </w:tc>
        <w:tc>
          <w:tcPr>
            <w:tcW w:w="1061" w:type="dxa"/>
            <w:noWrap w:val="0"/>
            <w:vAlign w:val="top"/>
          </w:tcPr>
          <w:p w14:paraId="05BD0D91">
            <w:pPr>
              <w:jc w:val="center"/>
              <w:rPr>
                <w:rFonts w:hint="eastAsia" w:ascii="宋体" w:hAnsi="宋体"/>
                <w:color w:val="000000"/>
                <w:szCs w:val="21"/>
              </w:rPr>
            </w:pPr>
            <w:r>
              <w:rPr>
                <w:rFonts w:hint="eastAsia" w:ascii="宋体" w:hAnsi="宋体"/>
                <w:color w:val="000000"/>
                <w:szCs w:val="21"/>
              </w:rPr>
              <w:t>43.447</w:t>
            </w:r>
          </w:p>
        </w:tc>
        <w:tc>
          <w:tcPr>
            <w:tcW w:w="1063" w:type="dxa"/>
            <w:noWrap w:val="0"/>
            <w:vAlign w:val="top"/>
          </w:tcPr>
          <w:p w14:paraId="71D4F690">
            <w:pPr>
              <w:jc w:val="center"/>
              <w:rPr>
                <w:rFonts w:hint="eastAsia" w:ascii="宋体" w:hAnsi="宋体"/>
                <w:color w:val="000000"/>
                <w:szCs w:val="21"/>
              </w:rPr>
            </w:pPr>
            <w:r>
              <w:rPr>
                <w:rFonts w:hint="eastAsia" w:ascii="宋体" w:hAnsi="宋体"/>
                <w:color w:val="000000"/>
                <w:szCs w:val="21"/>
              </w:rPr>
              <w:t>102.553</w:t>
            </w:r>
          </w:p>
        </w:tc>
      </w:tr>
    </w:tbl>
    <w:p w14:paraId="39F8D774">
      <w:pPr>
        <w:spacing w:line="360" w:lineRule="auto"/>
        <w:ind w:firstLine="480"/>
        <w:rPr>
          <w:rFonts w:hint="eastAsia"/>
          <w:color w:val="000000"/>
          <w:sz w:val="24"/>
        </w:rPr>
      </w:pPr>
      <w:r>
        <w:rPr>
          <w:rFonts w:ascii="宋体" w:hAnsi="宋体"/>
          <w:color w:val="000000"/>
          <w:sz w:val="24"/>
        </w:rPr>
        <w:t>项目</w:t>
      </w:r>
      <w:r>
        <w:rPr>
          <w:rFonts w:hint="eastAsia" w:ascii="宋体" w:hAnsi="宋体"/>
          <w:color w:val="000000"/>
          <w:sz w:val="24"/>
        </w:rPr>
        <w:t>非雨天</w:t>
      </w:r>
      <w:r>
        <w:rPr>
          <w:rFonts w:ascii="宋体" w:hAnsi="宋体"/>
          <w:color w:val="000000"/>
          <w:sz w:val="24"/>
        </w:rPr>
        <w:t>总供水量为</w:t>
      </w:r>
      <w:r>
        <w:rPr>
          <w:rFonts w:hint="eastAsia" w:ascii="宋体" w:hAnsi="宋体"/>
          <w:color w:val="000000"/>
          <w:sz w:val="24"/>
        </w:rPr>
        <w:t>145.49</w:t>
      </w:r>
      <w:r>
        <w:rPr>
          <w:rFonts w:ascii="宋体" w:hAnsi="宋体"/>
          <w:color w:val="000000"/>
          <w:sz w:val="24"/>
        </w:rPr>
        <w:t>m</w:t>
      </w:r>
      <w:r>
        <w:rPr>
          <w:rFonts w:ascii="宋体" w:hAnsi="宋体"/>
          <w:color w:val="000000"/>
          <w:sz w:val="24"/>
          <w:vertAlign w:val="superscript"/>
        </w:rPr>
        <w:t>3</w:t>
      </w:r>
      <w:r>
        <w:rPr>
          <w:rFonts w:ascii="宋体" w:hAnsi="宋体"/>
          <w:color w:val="000000"/>
          <w:sz w:val="24"/>
        </w:rPr>
        <w:t>/d</w:t>
      </w:r>
      <w:r>
        <w:rPr>
          <w:rFonts w:hint="eastAsia" w:ascii="宋体" w:hAnsi="宋体"/>
          <w:color w:val="000000"/>
          <w:sz w:val="24"/>
        </w:rPr>
        <w:t>，雨天为122.62</w:t>
      </w:r>
      <w:r>
        <w:rPr>
          <w:rFonts w:ascii="宋体" w:hAnsi="宋体"/>
          <w:color w:val="000000"/>
          <w:sz w:val="24"/>
        </w:rPr>
        <w:t>m</w:t>
      </w:r>
      <w:r>
        <w:rPr>
          <w:rFonts w:ascii="宋体" w:hAnsi="宋体"/>
          <w:color w:val="000000"/>
          <w:sz w:val="24"/>
          <w:vertAlign w:val="superscript"/>
        </w:rPr>
        <w:t>3</w:t>
      </w:r>
      <w:r>
        <w:rPr>
          <w:rFonts w:ascii="宋体" w:hAnsi="宋体"/>
          <w:color w:val="000000"/>
          <w:sz w:val="24"/>
        </w:rPr>
        <w:t>/d</w:t>
      </w:r>
      <w:r>
        <w:rPr>
          <w:rFonts w:hint="eastAsia" w:ascii="宋体" w:hAnsi="宋体"/>
          <w:color w:val="000000"/>
          <w:sz w:val="24"/>
        </w:rPr>
        <w:t>。</w:t>
      </w:r>
      <w:r>
        <w:rPr>
          <w:rFonts w:ascii="宋体" w:hAnsi="宋体"/>
          <w:color w:val="000000"/>
          <w:sz w:val="24"/>
        </w:rPr>
        <w:t>排水主要为医疗废水和生活</w:t>
      </w:r>
      <w:r>
        <w:rPr>
          <w:rFonts w:hint="eastAsia" w:ascii="宋体" w:hAnsi="宋体"/>
          <w:color w:val="000000"/>
          <w:sz w:val="24"/>
        </w:rPr>
        <w:t>污</w:t>
      </w:r>
      <w:r>
        <w:rPr>
          <w:rFonts w:ascii="宋体" w:hAnsi="宋体"/>
          <w:color w:val="000000"/>
          <w:sz w:val="24"/>
        </w:rPr>
        <w:t>水，建设项目总排水量为</w:t>
      </w:r>
      <w:r>
        <w:rPr>
          <w:rFonts w:hint="eastAsia" w:ascii="宋体" w:hAnsi="宋体"/>
          <w:color w:val="000000"/>
          <w:sz w:val="24"/>
        </w:rPr>
        <w:t>102.553</w:t>
      </w:r>
      <w:r>
        <w:rPr>
          <w:rFonts w:ascii="宋体" w:hAnsi="宋体"/>
          <w:color w:val="000000"/>
          <w:sz w:val="24"/>
        </w:rPr>
        <w:t>m</w:t>
      </w:r>
      <w:r>
        <w:rPr>
          <w:rFonts w:ascii="宋体" w:hAnsi="宋体"/>
          <w:color w:val="000000"/>
          <w:sz w:val="24"/>
          <w:vertAlign w:val="superscript"/>
        </w:rPr>
        <w:t>3</w:t>
      </w:r>
      <w:r>
        <w:rPr>
          <w:rFonts w:ascii="宋体" w:hAnsi="宋体"/>
          <w:color w:val="000000"/>
          <w:sz w:val="24"/>
        </w:rPr>
        <w:t>/d。水平衡分析见图3-</w:t>
      </w:r>
      <w:r>
        <w:rPr>
          <w:rFonts w:hint="eastAsia" w:ascii="宋体" w:hAnsi="宋体"/>
          <w:color w:val="000000"/>
          <w:sz w:val="24"/>
        </w:rPr>
        <w:t>3</w:t>
      </w:r>
      <w:r>
        <w:rPr>
          <w:rFonts w:ascii="宋体" w:hAnsi="宋体"/>
          <w:color w:val="000000"/>
          <w:sz w:val="24"/>
        </w:rPr>
        <w:t>。</w:t>
      </w:r>
    </w:p>
    <w:p w14:paraId="739F10C2">
      <w:pPr>
        <w:spacing w:line="360" w:lineRule="auto"/>
        <w:rPr>
          <w:rFonts w:hint="eastAsia"/>
          <w:color w:val="000000"/>
          <w:sz w:val="24"/>
        </w:rPr>
      </w:pPr>
    </w:p>
    <w:p w14:paraId="0F89D125">
      <w:pPr>
        <w:pStyle w:val="283"/>
        <w:ind w:firstLine="0"/>
        <w:rPr>
          <w:rFonts w:hint="eastAsia"/>
          <w:color w:val="000000"/>
        </w:rPr>
      </w:pPr>
      <w:r>
        <w:rPr>
          <w:rFonts w:hint="eastAsia"/>
          <w:color w:val="000000"/>
        </w:rPr>
        <mc:AlternateContent>
          <mc:Choice Requires="wps">
            <w:drawing>
              <wp:anchor distT="0" distB="0" distL="114300" distR="114300" simplePos="0" relativeHeight="251660288" behindDoc="0" locked="0" layoutInCell="1" allowOverlap="1">
                <wp:simplePos x="0" y="0"/>
                <wp:positionH relativeFrom="column">
                  <wp:posOffset>1828800</wp:posOffset>
                </wp:positionH>
                <wp:positionV relativeFrom="paragraph">
                  <wp:posOffset>198120</wp:posOffset>
                </wp:positionV>
                <wp:extent cx="571500" cy="267970"/>
                <wp:effectExtent l="0" t="0" r="0" b="0"/>
                <wp:wrapNone/>
                <wp:docPr id="46" name="_x0000_s1204"/>
                <wp:cNvGraphicFramePr/>
                <a:graphic xmlns:a="http://schemas.openxmlformats.org/drawingml/2006/main">
                  <a:graphicData uri="http://schemas.microsoft.com/office/word/2010/wordprocessingShape">
                    <wps:wsp>
                      <wps:cNvSpPr/>
                      <wps:spPr bwMode="auto">
                        <a:xfrm>
                          <a:off x="0" y="0"/>
                          <a:ext cx="571500" cy="267970"/>
                        </a:xfrm>
                        <a:prstGeom prst="rect">
                          <a:avLst/>
                        </a:prstGeom>
                        <a:solidFill>
                          <a:srgbClr val="FFFFFF"/>
                        </a:solidFill>
                        <a:ln>
                          <a:solidFill>
                            <a:srgbClr val="FFFFFF"/>
                          </a:solidFill>
                        </a:ln>
                      </wps:spPr>
                      <wps:txbx>
                        <w:txbxContent>
                          <w:p w14:paraId="567C4FB7">
                            <w:pPr>
                              <w:pStyle w:val="293"/>
                            </w:pPr>
                            <w:r>
                              <w:rPr>
                                <w:rFonts w:hint="eastAsia"/>
                              </w:rPr>
                              <w:t>8.36</w:t>
                            </w:r>
                          </w:p>
                          <w:p w14:paraId="08E01AE3"/>
                        </w:txbxContent>
                      </wps:txbx>
                      <wps:bodyPr wrap="square" upright="1"/>
                    </wps:wsp>
                  </a:graphicData>
                </a:graphic>
              </wp:anchor>
            </w:drawing>
          </mc:Choice>
          <mc:Fallback>
            <w:pict>
              <v:rect id="_x0000_s1204" o:spid="_x0000_s1026" o:spt="1" style="position:absolute;left:0pt;margin-left:144pt;margin-top:15.6pt;height:21.1pt;width:45pt;z-index:251660288;mso-width-relative:page;mso-height-relative:page;" fillcolor="#FFFFFF" filled="t" stroked="t" coordsize="21600,21600" o:gfxdata="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CneD0zXAAAACQEAAA8AAAAAAAAAAQAgAAAAIgAAAGRycy9kb3ducmV2&#10;LnhtbFBLAQIUABQAAAAIAIdO4kDbruFlxAEAALMDAAAOAAAAAAAAAAEAIAAAACYBAABkcnMvZTJv&#10;RG9jLnhtbFBLBQYAAAAABgAGAFkBAABcBQAAAAA=&#10;">
                <v:fill on="t" focussize="0,0"/>
                <v:stroke color="#FFFFFF" joinstyle="round"/>
                <v:imagedata o:title=""/>
                <o:lock v:ext="edit" aspectratio="f"/>
                <v:textbox>
                  <w:txbxContent>
                    <w:p w14:paraId="567C4FB7">
                      <w:pPr>
                        <w:pStyle w:val="293"/>
                      </w:pPr>
                      <w:r>
                        <w:rPr>
                          <w:rFonts w:hint="eastAsia"/>
                        </w:rPr>
                        <w:t>8.36</w:t>
                      </w:r>
                    </w:p>
                    <w:p w14:paraId="08E01AE3"/>
                  </w:txbxContent>
                </v:textbox>
              </v:rect>
            </w:pict>
          </mc:Fallback>
        </mc:AlternateContent>
      </w:r>
      <w:r>
        <w:rPr>
          <w:rFonts w:hint="eastAsia"/>
          <w:color w:val="000000"/>
        </w:rPr>
        <mc:AlternateContent>
          <mc:Choice Requires="wps">
            <w:drawing>
              <wp:anchor distT="0" distB="0" distL="114300" distR="114300" simplePos="0" relativeHeight="251660288" behindDoc="0" locked="0" layoutInCell="1" allowOverlap="1">
                <wp:simplePos x="0" y="0"/>
                <wp:positionH relativeFrom="column">
                  <wp:posOffset>1028700</wp:posOffset>
                </wp:positionH>
                <wp:positionV relativeFrom="paragraph">
                  <wp:posOffset>0</wp:posOffset>
                </wp:positionV>
                <wp:extent cx="489585" cy="267970"/>
                <wp:effectExtent l="0" t="0" r="0" b="0"/>
                <wp:wrapNone/>
                <wp:docPr id="47" name="_x0000_s1216"/>
                <wp:cNvGraphicFramePr/>
                <a:graphic xmlns:a="http://schemas.openxmlformats.org/drawingml/2006/main">
                  <a:graphicData uri="http://schemas.microsoft.com/office/word/2010/wordprocessingShape">
                    <wps:wsp>
                      <wps:cNvSpPr/>
                      <wps:spPr bwMode="auto">
                        <a:xfrm>
                          <a:off x="0" y="0"/>
                          <a:ext cx="489585" cy="267970"/>
                        </a:xfrm>
                        <a:prstGeom prst="rect">
                          <a:avLst/>
                        </a:prstGeom>
                        <a:solidFill>
                          <a:srgbClr val="FFFFFF"/>
                        </a:solidFill>
                        <a:ln>
                          <a:solidFill>
                            <a:srgbClr val="FFFFFF"/>
                          </a:solidFill>
                        </a:ln>
                      </wps:spPr>
                      <wps:txbx>
                        <w:txbxContent>
                          <w:p w14:paraId="5B96C9C5">
                            <w:pPr>
                              <w:pStyle w:val="293"/>
                            </w:pPr>
                            <w:r>
                              <w:rPr>
                                <w:rFonts w:hint="eastAsia"/>
                              </w:rPr>
                              <w:t>1.47</w:t>
                            </w:r>
                          </w:p>
                          <w:p w14:paraId="32F3F018"/>
                        </w:txbxContent>
                      </wps:txbx>
                      <wps:bodyPr wrap="square" upright="1"/>
                    </wps:wsp>
                  </a:graphicData>
                </a:graphic>
              </wp:anchor>
            </w:drawing>
          </mc:Choice>
          <mc:Fallback>
            <w:pict>
              <v:rect id="_x0000_s1216" o:spid="_x0000_s1026" o:spt="1" style="position:absolute;left:0pt;margin-left:81pt;margin-top:0pt;height:21.1pt;width:38.55pt;z-index:251660288;mso-width-relative:page;mso-height-relative:page;" fillcolor="#FFFFFF" filled="t" stroked="t" coordsize="21600,21600" o:gfxdata="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FnxBB9UAAAAHAQAADwAAAAAAAAABACAAAAAiAAAAZHJzL2Rvd25yZXYu&#10;eG1sUEsBAhQAFAAAAAgAh07iQCOTqJ3FAQAAswMAAA4AAAAAAAAAAQAgAAAAJAEAAGRycy9lMm9E&#10;b2MueG1sUEsFBgAAAAAGAAYAWQEAAFsFAAAAAA==&#10;">
                <v:fill on="t" focussize="0,0"/>
                <v:stroke color="#FFFFFF" joinstyle="round"/>
                <v:imagedata o:title=""/>
                <o:lock v:ext="edit" aspectratio="f"/>
                <v:textbox>
                  <w:txbxContent>
                    <w:p w14:paraId="5B96C9C5">
                      <w:pPr>
                        <w:pStyle w:val="293"/>
                      </w:pPr>
                      <w:r>
                        <w:rPr>
                          <w:rFonts w:hint="eastAsia"/>
                        </w:rPr>
                        <w:t>1.47</w:t>
                      </w:r>
                    </w:p>
                    <w:p w14:paraId="32F3F018"/>
                  </w:txbxContent>
                </v:textbox>
              </v:rect>
            </w:pict>
          </mc:Fallback>
        </mc:AlternateContent>
      </w:r>
      <w:r>
        <w:rPr>
          <w:rFonts w:hint="eastAsia"/>
          <w:color w:val="000000"/>
        </w:rPr>
        <mc:AlternateContent>
          <mc:Choice Requires="wps">
            <w:drawing>
              <wp:anchor distT="0" distB="0" distL="114300" distR="114300" simplePos="0" relativeHeight="251660288" behindDoc="0" locked="0" layoutInCell="1" allowOverlap="1">
                <wp:simplePos x="0" y="0"/>
                <wp:positionH relativeFrom="column">
                  <wp:posOffset>1028700</wp:posOffset>
                </wp:positionH>
                <wp:positionV relativeFrom="paragraph">
                  <wp:posOffset>198120</wp:posOffset>
                </wp:positionV>
                <wp:extent cx="229235" cy="113030"/>
                <wp:effectExtent l="0" t="0" r="0" b="0"/>
                <wp:wrapNone/>
                <wp:docPr id="48" name="_x0000_s1243"/>
                <wp:cNvGraphicFramePr/>
                <a:graphic xmlns:a="http://schemas.openxmlformats.org/drawingml/2006/main">
                  <a:graphicData uri="http://schemas.microsoft.com/office/word/2010/wordprocessingShape">
                    <wps:wsp>
                      <wps:cNvSpPr/>
                      <wps:spPr bwMode="auto">
                        <a:xfrm>
                          <a:off x="0" y="0"/>
                          <a:ext cx="229235" cy="113030"/>
                        </a:xfrm>
                        <a:custGeom>
                          <a:avLst/>
                          <a:gdLst>
                            <a:gd name="gd0" fmla="val 65536"/>
                            <a:gd name="gd1" fmla="val 0"/>
                            <a:gd name="gd2" fmla="val 156"/>
                            <a:gd name="gd3" fmla="val 180"/>
                            <a:gd name="gd4" fmla="val 0"/>
                            <a:gd name="gd5" fmla="val 180"/>
                            <a:gd name="gd6" fmla="val 156"/>
                            <a:gd name="gd7" fmla="val 360"/>
                            <a:gd name="gd8" fmla="val 0"/>
                          </a:gdLst>
                          <a:ahLst/>
                          <a:cxnLst/>
                          <a:rect l="0" t="0" r="r" b="b"/>
                          <a:pathLst>
                            <a:path w="360" h="156" extrusionOk="0">
                              <a:moveTo>
                                <a:pt x="gd1" y="gd2"/>
                              </a:moveTo>
                              <a:cubicBezTo>
                                <a:pt x="75" y="78"/>
                                <a:pt x="150" y="0"/>
                                <a:pt x="180" y="0"/>
                              </a:cubicBezTo>
                              <a:cubicBezTo>
                                <a:pt x="210" y="0"/>
                                <a:pt x="150" y="156"/>
                                <a:pt x="180" y="156"/>
                              </a:cubicBezTo>
                              <a:cubicBezTo>
                                <a:pt x="210" y="156"/>
                                <a:pt x="330" y="26"/>
                                <a:pt x="360" y="0"/>
                              </a:cubicBezTo>
                            </a:path>
                          </a:pathLst>
                        </a:custGeom>
                        <a:noFill/>
                        <a:ln>
                          <a:solidFill>
                            <a:srgbClr val="000000"/>
                          </a:solidFill>
                          <a:tailEnd type="triangle"/>
                        </a:ln>
                      </wps:spPr>
                      <wps:bodyPr rot="0">
                        <a:noAutofit/>
                      </wps:bodyPr>
                    </wps:wsp>
                  </a:graphicData>
                </a:graphic>
              </wp:anchor>
            </w:drawing>
          </mc:Choice>
          <mc:Fallback>
            <w:pict>
              <v:shape id="_x0000_s1243" o:spid="_x0000_s1026" o:spt="100" style="position:absolute;left:0pt;margin-left:81pt;margin-top:15.6pt;height:8.9pt;width:18.05pt;z-index:251660288;mso-width-relative:page;mso-height-relative:page;" filled="f" stroked="t" coordsize="360,156" o:gfxdata="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F2HkyzYAAAACQEAAA8AAAAAAAAAAQAgAAAAIgAAAGRycy9k&#10;b3ducmV2LnhtbFBLAQIUABQAAAAIAIdO4kB7TF3srQIAAJQGAAAOAAAAAAAAAAEAIAAAACcBAABk&#10;cnMvZTJvRG9jLnhtbFBLBQYAAAAABgAGAFkBAABGBgAAAAA=&#10;" path="m0,156c75,78,150,0,180,0c210,0,150,156,180,156c210,156,330,26,360,0e">
                <v:fill on="f" focussize="0,0"/>
                <v:stroke color="#000000" joinstyle="round" endarrow="block"/>
                <v:imagedata o:title=""/>
                <o:lock v:ext="edit" aspectratio="f"/>
              </v:shape>
            </w:pict>
          </mc:Fallback>
        </mc:AlternateContent>
      </w:r>
      <w:r>
        <w:rPr>
          <w:rFonts w:hint="eastAsia"/>
          <w:color w:val="000000"/>
        </w:rPr>
        <mc:AlternateContent>
          <mc:Choice Requires="wps">
            <w:drawing>
              <wp:anchor distT="0" distB="0" distL="114300" distR="114300" simplePos="0" relativeHeight="251660288" behindDoc="0" locked="0" layoutInCell="1" allowOverlap="1">
                <wp:simplePos x="0" y="0"/>
                <wp:positionH relativeFrom="column">
                  <wp:posOffset>1257300</wp:posOffset>
                </wp:positionH>
                <wp:positionV relativeFrom="paragraph">
                  <wp:posOffset>99060</wp:posOffset>
                </wp:positionV>
                <wp:extent cx="539750" cy="297180"/>
                <wp:effectExtent l="0" t="0" r="0" b="0"/>
                <wp:wrapNone/>
                <wp:docPr id="49" name="_x0000_s1207"/>
                <wp:cNvGraphicFramePr/>
                <a:graphic xmlns:a="http://schemas.openxmlformats.org/drawingml/2006/main">
                  <a:graphicData uri="http://schemas.microsoft.com/office/word/2010/wordprocessingShape">
                    <wps:wsp>
                      <wps:cNvSpPr/>
                      <wps:spPr bwMode="auto">
                        <a:xfrm>
                          <a:off x="0" y="0"/>
                          <a:ext cx="539750" cy="297180"/>
                        </a:xfrm>
                        <a:prstGeom prst="rect">
                          <a:avLst/>
                        </a:prstGeom>
                        <a:solidFill>
                          <a:srgbClr val="FFFFFF"/>
                        </a:solidFill>
                        <a:ln>
                          <a:solidFill>
                            <a:srgbClr val="FFFFFF"/>
                          </a:solidFill>
                        </a:ln>
                      </wps:spPr>
                      <wps:txbx>
                        <w:txbxContent>
                          <w:p w14:paraId="42BACC5D"/>
                          <w:p w14:paraId="410018AC"/>
                        </w:txbxContent>
                      </wps:txbx>
                      <wps:bodyPr wrap="square" upright="1"/>
                    </wps:wsp>
                  </a:graphicData>
                </a:graphic>
              </wp:anchor>
            </w:drawing>
          </mc:Choice>
          <mc:Fallback>
            <w:pict>
              <v:rect id="_x0000_s1207" o:spid="_x0000_s1026" o:spt="1" style="position:absolute;left:0pt;margin-left:99pt;margin-top:7.8pt;height:23.4pt;width:42.5pt;z-index:251660288;mso-width-relative:page;mso-height-relative:page;" fillcolor="#FFFFFF" filled="t" stroked="t" coordsize="21600,21600" o:gfxdata="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uNM4i9YAAAAJAQAADwAAAAAAAAABACAAAAAiAAAAZHJzL2Rvd25yZXYu&#10;eG1sUEsBAhQAFAAAAAgAh07iQH91yXvEAQAAswMAAA4AAAAAAAAAAQAgAAAAJQEAAGRycy9lMm9E&#10;b2MueG1sUEsFBgAAAAAGAAYAWQEAAFsFAAAAAA==&#10;">
                <v:fill on="t" focussize="0,0"/>
                <v:stroke color="#FFFFFF" joinstyle="round"/>
                <v:imagedata o:title=""/>
                <o:lock v:ext="edit" aspectratio="f"/>
                <v:textbox>
                  <w:txbxContent>
                    <w:p w14:paraId="42BACC5D"/>
                    <w:p w14:paraId="410018AC"/>
                  </w:txbxContent>
                </v:textbox>
              </v:rect>
            </w:pict>
          </mc:Fallback>
        </mc:AlternateContent>
      </w:r>
      <w:r>
        <w:rPr>
          <w:rFonts w:hint="eastAsia"/>
          <w:color w:val="000000"/>
        </w:rPr>
        <mc:AlternateContent>
          <mc:Choice Requires="wps">
            <w:drawing>
              <wp:anchor distT="0" distB="0" distL="114300" distR="114300" simplePos="0" relativeHeight="251660288" behindDoc="0" locked="0" layoutInCell="1" allowOverlap="1">
                <wp:simplePos x="0" y="0"/>
                <wp:positionH relativeFrom="column">
                  <wp:posOffset>4686300</wp:posOffset>
                </wp:positionH>
                <wp:positionV relativeFrom="paragraph">
                  <wp:posOffset>198120</wp:posOffset>
                </wp:positionV>
                <wp:extent cx="635" cy="0"/>
                <wp:effectExtent l="0" t="0" r="0" b="0"/>
                <wp:wrapNone/>
                <wp:docPr id="50" name="_x0000_s1208"/>
                <wp:cNvGraphicFramePr/>
                <a:graphic xmlns:a="http://schemas.openxmlformats.org/drawingml/2006/main">
                  <a:graphicData uri="http://schemas.microsoft.com/office/word/2010/wordprocessingShape">
                    <wps:wsp>
                      <wps:cNvCnPr/>
                      <wps:spPr bwMode="auto">
                        <a:xfrm>
                          <a:off x="0" y="0"/>
                          <a:ext cx="635" cy="0"/>
                        </a:xfrm>
                        <a:prstGeom prst="line">
                          <a:avLst/>
                        </a:prstGeom>
                        <a:solidFill>
                          <a:srgbClr val="FFFFFF"/>
                        </a:solidFill>
                        <a:ln>
                          <a:solidFill>
                            <a:srgbClr val="000000"/>
                          </a:solidFill>
                        </a:ln>
                      </wps:spPr>
                      <wps:bodyPr rot="0">
                        <a:noAutofit/>
                      </wps:bodyPr>
                    </wps:wsp>
                  </a:graphicData>
                </a:graphic>
              </wp:anchor>
            </w:drawing>
          </mc:Choice>
          <mc:Fallback>
            <w:pict>
              <v:line id="_x0000_s1208" o:spid="_x0000_s1026" o:spt="20" style="position:absolute;left:0pt;margin-left:369pt;margin-top:15.6pt;height:0pt;width:0.05pt;z-index:251660288;mso-width-relative:page;mso-height-relative:page;" fillcolor="#FFFFFF" filled="t" stroked="t" coordsize="21600,21600" o:gfxdata="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Cha8E21QAAAAkBAAAPAAAAAAAAAAEAIAAAACIAAABkcnMvZG93bnJldi54bWxQSwECFAAU&#10;AAAACACHTuJANyZgOrsBAACoAwAADgAAAAAAAAABACAAAAAkAQAAZHJzL2Uyb0RvYy54bWxQSwUG&#10;AAAAAAYABgBZAQAAUQUAAAAA&#10;">
                <v:fill on="t" focussize="0,0"/>
                <v:stroke color="#000000" joinstyle="round"/>
                <v:imagedata o:title=""/>
                <o:lock v:ext="edit" aspectratio="f"/>
              </v:line>
            </w:pict>
          </mc:Fallback>
        </mc:AlternateContent>
      </w:r>
    </w:p>
    <w:p w14:paraId="5273A9CB">
      <w:pPr>
        <w:spacing w:before="48" w:after="48"/>
        <w:rPr>
          <w:rFonts w:hint="eastAsia"/>
          <w:color w:val="000000"/>
        </w:rPr>
      </w:pPr>
      <w:r>
        <w:rPr>
          <w:rFonts w:hint="eastAsia"/>
          <w:color w:val="000000"/>
        </w:rPr>
        <mc:AlternateContent>
          <mc:Choice Requires="wps">
            <w:drawing>
              <wp:anchor distT="0" distB="0" distL="114300" distR="114300" simplePos="0" relativeHeight="251660288" behindDoc="0" locked="0" layoutInCell="1" allowOverlap="1">
                <wp:simplePos x="0" y="0"/>
                <wp:positionH relativeFrom="column">
                  <wp:posOffset>2400300</wp:posOffset>
                </wp:positionH>
                <wp:positionV relativeFrom="paragraph">
                  <wp:posOffset>198120</wp:posOffset>
                </wp:positionV>
                <wp:extent cx="0" cy="950595"/>
                <wp:effectExtent l="0" t="0" r="0" b="0"/>
                <wp:wrapNone/>
                <wp:docPr id="51" name="_x0000_s1230"/>
                <wp:cNvGraphicFramePr/>
                <a:graphic xmlns:a="http://schemas.openxmlformats.org/drawingml/2006/main">
                  <a:graphicData uri="http://schemas.microsoft.com/office/word/2010/wordprocessingShape">
                    <wps:wsp>
                      <wps:cNvCnPr/>
                      <wps:spPr bwMode="auto">
                        <a:xfrm flipV="1">
                          <a:off x="0" y="0"/>
                          <a:ext cx="0" cy="950595"/>
                        </a:xfrm>
                        <a:prstGeom prst="line">
                          <a:avLst/>
                        </a:prstGeom>
                        <a:solidFill>
                          <a:srgbClr val="FFFFFF"/>
                        </a:solidFill>
                        <a:ln w="19050">
                          <a:solidFill>
                            <a:srgbClr val="000000"/>
                          </a:solidFill>
                          <a:prstDash val="lgDash"/>
                        </a:ln>
                      </wps:spPr>
                      <wps:bodyPr rot="0">
                        <a:noAutofit/>
                      </wps:bodyPr>
                    </wps:wsp>
                  </a:graphicData>
                </a:graphic>
              </wp:anchor>
            </w:drawing>
          </mc:Choice>
          <mc:Fallback>
            <w:pict>
              <v:line id="_x0000_s1230" o:spid="_x0000_s1026" o:spt="20" style="position:absolute;left:0pt;flip:y;margin-left:189pt;margin-top:15.6pt;height:74.85pt;width:0pt;z-index:251660288;mso-width-relative:page;mso-height-relative:page;" fillcolor="#FFFFFF" filled="t" stroked="t" coordsize="21600,21600" o:gfxdata="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PBxNxXXAAAACgEAAA8AAAAAAAAA&#10;AQAgAAAAIgAAAGRycy9kb3ducmV2LnhtbFBLAQIUABQAAAAIAIdO4kAb4NXE2QEAANkDAAAOAAAA&#10;AAAAAAEAIAAAACYBAABkcnMvZTJvRG9jLnhtbFBLBQYAAAAABgAGAFkBAABxBQAAAAA=&#10;">
                <v:fill on="t" focussize="0,0"/>
                <v:stroke weight="1.5pt" color="#000000" joinstyle="round" dashstyle="longDash"/>
                <v:imagedata o:title=""/>
                <o:lock v:ext="edit" aspectratio="f"/>
              </v:line>
            </w:pict>
          </mc:Fallback>
        </mc:AlternateContent>
      </w:r>
      <w:r>
        <w:rPr>
          <w:rFonts w:hint="eastAsia"/>
          <w:color w:val="000000"/>
        </w:rPr>
        <mc:AlternateContent>
          <mc:Choice Requires="wps">
            <w:drawing>
              <wp:anchor distT="0" distB="0" distL="114300" distR="114300" simplePos="0" relativeHeight="251660288" behindDoc="0" locked="0" layoutInCell="1" allowOverlap="1">
                <wp:simplePos x="0" y="0"/>
                <wp:positionH relativeFrom="column">
                  <wp:posOffset>114300</wp:posOffset>
                </wp:positionH>
                <wp:positionV relativeFrom="paragraph">
                  <wp:posOffset>1905</wp:posOffset>
                </wp:positionV>
                <wp:extent cx="561340" cy="308610"/>
                <wp:effectExtent l="0" t="0" r="0" b="0"/>
                <wp:wrapNone/>
                <wp:docPr id="52" name="_x0000_s1217"/>
                <wp:cNvGraphicFramePr/>
                <a:graphic xmlns:a="http://schemas.openxmlformats.org/drawingml/2006/main">
                  <a:graphicData uri="http://schemas.microsoft.com/office/word/2010/wordprocessingShape">
                    <wps:wsp>
                      <wps:cNvSpPr/>
                      <wps:spPr bwMode="auto">
                        <a:xfrm>
                          <a:off x="0" y="0"/>
                          <a:ext cx="561340" cy="308610"/>
                        </a:xfrm>
                        <a:prstGeom prst="rect">
                          <a:avLst/>
                        </a:prstGeom>
                        <a:solidFill>
                          <a:srgbClr val="FFFFFF"/>
                        </a:solidFill>
                        <a:ln>
                          <a:solidFill>
                            <a:srgbClr val="FFFFFF"/>
                          </a:solidFill>
                        </a:ln>
                      </wps:spPr>
                      <wps:txbx>
                        <w:txbxContent>
                          <w:p w14:paraId="6562897A">
                            <w:pPr>
                              <w:pStyle w:val="293"/>
                            </w:pPr>
                            <w:r>
                              <w:rPr>
                                <w:rFonts w:hint="eastAsia"/>
                              </w:rPr>
                              <w:t>9.83</w:t>
                            </w:r>
                          </w:p>
                          <w:p w14:paraId="5331ED72"/>
                        </w:txbxContent>
                      </wps:txbx>
                      <wps:bodyPr wrap="square" upright="1"/>
                    </wps:wsp>
                  </a:graphicData>
                </a:graphic>
              </wp:anchor>
            </w:drawing>
          </mc:Choice>
          <mc:Fallback>
            <w:pict>
              <v:rect id="_x0000_s1217" o:spid="_x0000_s1026" o:spt="1" style="position:absolute;left:0pt;margin-left:9pt;margin-top:0.15pt;height:24.3pt;width:44.2pt;z-index:251660288;mso-width-relative:page;mso-height-relative:page;" fillcolor="#FFFFFF" filled="t" stroked="t" coordsize="21600,21600" o:gfxdata="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zN3vh9MAAAAGAQAADwAAAAAAAAABACAAAAAiAAAAZHJzL2Rvd25yZXYueG1s&#10;UEsBAhQAFAAAAAgAh07iQIlMTVPEAQAAswMAAA4AAAAAAAAAAQAgAAAAIgEAAGRycy9lMm9Eb2Mu&#10;eG1sUEsFBgAAAAAGAAYAWQEAAFgFAAAAAA==&#10;">
                <v:fill on="t" focussize="0,0"/>
                <v:stroke color="#FFFFFF" joinstyle="round"/>
                <v:imagedata o:title=""/>
                <o:lock v:ext="edit" aspectratio="f"/>
                <v:textbox>
                  <w:txbxContent>
                    <w:p w14:paraId="6562897A">
                      <w:pPr>
                        <w:pStyle w:val="293"/>
                      </w:pPr>
                      <w:r>
                        <w:rPr>
                          <w:rFonts w:hint="eastAsia"/>
                        </w:rPr>
                        <w:t>9.83</w:t>
                      </w:r>
                    </w:p>
                    <w:p w14:paraId="5331ED72"/>
                  </w:txbxContent>
                </v:textbox>
              </v:rect>
            </w:pict>
          </mc:Fallback>
        </mc:AlternateContent>
      </w:r>
      <w:r>
        <w:rPr>
          <w:rFonts w:hint="eastAsia"/>
          <w:color w:val="000000"/>
        </w:rPr>
        <mc:AlternateContent>
          <mc:Choice Requires="wps">
            <w:drawing>
              <wp:anchor distT="0" distB="0" distL="114300" distR="114300" simplePos="0" relativeHeight="251660288" behindDoc="0" locked="0" layoutInCell="1" allowOverlap="1">
                <wp:simplePos x="0" y="0"/>
                <wp:positionH relativeFrom="column">
                  <wp:posOffset>1828800</wp:posOffset>
                </wp:positionH>
                <wp:positionV relativeFrom="paragraph">
                  <wp:posOffset>201295</wp:posOffset>
                </wp:positionV>
                <wp:extent cx="571500" cy="0"/>
                <wp:effectExtent l="0" t="0" r="0" b="0"/>
                <wp:wrapNone/>
                <wp:docPr id="53" name="_x0000_s1227"/>
                <wp:cNvGraphicFramePr/>
                <a:graphic xmlns:a="http://schemas.openxmlformats.org/drawingml/2006/main">
                  <a:graphicData uri="http://schemas.microsoft.com/office/word/2010/wordprocessingShape">
                    <wps:wsp>
                      <wps:cNvCnPr/>
                      <wps:spPr bwMode="auto">
                        <a:xfrm>
                          <a:off x="0" y="0"/>
                          <a:ext cx="571500" cy="0"/>
                        </a:xfrm>
                        <a:prstGeom prst="line">
                          <a:avLst/>
                        </a:prstGeom>
                        <a:solidFill>
                          <a:srgbClr val="FFFFFF"/>
                        </a:solidFill>
                        <a:ln w="19050">
                          <a:solidFill>
                            <a:srgbClr val="000000"/>
                          </a:solidFill>
                          <a:prstDash val="lgDash"/>
                          <a:tailEnd type="triangle"/>
                        </a:ln>
                      </wps:spPr>
                      <wps:bodyPr rot="0">
                        <a:noAutofit/>
                      </wps:bodyPr>
                    </wps:wsp>
                  </a:graphicData>
                </a:graphic>
              </wp:anchor>
            </w:drawing>
          </mc:Choice>
          <mc:Fallback>
            <w:pict>
              <v:line id="_x0000_s1227" o:spid="_x0000_s1026" o:spt="20" style="position:absolute;left:0pt;margin-left:144pt;margin-top:15.85pt;height:0pt;width:45pt;z-index:251660288;mso-width-relative:page;mso-height-relative:page;" fillcolor="#FFFFFF" filled="t" stroked="t" coordsize="21600,21600" o:gfxdata="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DfnxIg1wAAAAkB&#10;AAAPAAAAAAAAAAEAIAAAACIAAABkcnMvZG93bnJldi54bWxQSwECFAAUAAAACACHTuJALHVohOMB&#10;AADrAwAADgAAAAAAAAABACAAAAAmAQAAZHJzL2Uyb0RvYy54bWxQSwUGAAAAAAYABgBZAQAAewUA&#10;AAAA&#10;">
                <v:fill on="t" focussize="0,0"/>
                <v:stroke weight="1.5pt" color="#000000" joinstyle="round" dashstyle="longDash" endarrow="block"/>
                <v:imagedata o:title=""/>
                <o:lock v:ext="edit" aspectratio="f"/>
              </v:line>
            </w:pict>
          </mc:Fallback>
        </mc:AlternateContent>
      </w:r>
      <w:r>
        <w:rPr>
          <w:rFonts w:hint="eastAsia"/>
          <w:color w:val="000000"/>
        </w:rPr>
        <mc:AlternateContent>
          <mc:Choice Requires="wps">
            <w:drawing>
              <wp:anchor distT="0" distB="0" distL="114300" distR="114300" simplePos="0" relativeHeight="251660288" behindDoc="0" locked="0" layoutInCell="1" allowOverlap="1">
                <wp:simplePos x="0" y="0"/>
                <wp:positionH relativeFrom="column">
                  <wp:posOffset>659130</wp:posOffset>
                </wp:positionH>
                <wp:positionV relativeFrom="paragraph">
                  <wp:posOffset>81915</wp:posOffset>
                </wp:positionV>
                <wp:extent cx="1188085" cy="337185"/>
                <wp:effectExtent l="0" t="0" r="0" b="0"/>
                <wp:wrapNone/>
                <wp:docPr id="54" name="_x0000_s1221"/>
                <wp:cNvGraphicFramePr/>
                <a:graphic xmlns:a="http://schemas.openxmlformats.org/drawingml/2006/main">
                  <a:graphicData uri="http://schemas.microsoft.com/office/word/2010/wordprocessingShape">
                    <wps:wsp>
                      <wps:cNvSpPr/>
                      <wps:spPr bwMode="auto">
                        <a:xfrm>
                          <a:off x="0" y="0"/>
                          <a:ext cx="1188085" cy="337185"/>
                        </a:xfrm>
                        <a:prstGeom prst="rect">
                          <a:avLst/>
                        </a:prstGeom>
                        <a:solidFill>
                          <a:srgbClr val="FFFFFF"/>
                        </a:solidFill>
                        <a:ln>
                          <a:solidFill>
                            <a:srgbClr val="000000"/>
                          </a:solidFill>
                        </a:ln>
                      </wps:spPr>
                      <wps:txbx>
                        <w:txbxContent>
                          <w:p w14:paraId="0D2F14B5">
                            <w:pPr>
                              <w:pStyle w:val="293"/>
                            </w:pPr>
                            <w:r>
                              <w:rPr>
                                <w:rFonts w:hint="eastAsia"/>
                              </w:rPr>
                              <w:t>门诊 部用 水</w:t>
                            </w:r>
                          </w:p>
                          <w:p w14:paraId="44BF81A3"/>
                        </w:txbxContent>
                      </wps:txbx>
                      <wps:bodyPr wrap="square" upright="1"/>
                    </wps:wsp>
                  </a:graphicData>
                </a:graphic>
              </wp:anchor>
            </w:drawing>
          </mc:Choice>
          <mc:Fallback>
            <w:pict>
              <v:rect id="_x0000_s1221" o:spid="_x0000_s1026" o:spt="1" style="position:absolute;left:0pt;margin-left:51.9pt;margin-top:6.45pt;height:26.55pt;width:93.55pt;z-index:251660288;mso-width-relative:page;mso-height-relative:page;" fillcolor="#FFFFFF" filled="t" stroked="t" coordsize="21600,21600" o:gfxdata="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">
                <v:fill on="t" focussize="0,0"/>
                <v:stroke color="#000000" joinstyle="round"/>
                <v:imagedata o:title=""/>
                <o:lock v:ext="edit" aspectratio="f"/>
                <v:textbox>
                  <w:txbxContent>
                    <w:p w14:paraId="0D2F14B5">
                      <w:pPr>
                        <w:pStyle w:val="293"/>
                      </w:pPr>
                      <w:r>
                        <w:rPr>
                          <w:rFonts w:hint="eastAsia"/>
                        </w:rPr>
                        <w:t>门诊 部用 水</w:t>
                      </w:r>
                    </w:p>
                    <w:p w14:paraId="44BF81A3"/>
                  </w:txbxContent>
                </v:textbox>
              </v:rect>
            </w:pict>
          </mc:Fallback>
        </mc:AlternateContent>
      </w:r>
    </w:p>
    <w:p w14:paraId="5270864D">
      <w:pPr>
        <w:spacing w:before="48" w:after="48"/>
        <w:rPr>
          <w:rFonts w:hint="eastAsia"/>
          <w:color w:val="000000"/>
        </w:rPr>
      </w:pPr>
      <w:r>
        <w:rPr>
          <w:rFonts w:hint="eastAsia" w:ascii="宋体" w:hAnsi="宋体"/>
          <w:color w:val="000000"/>
          <w:sz w:val="24"/>
        </w:rPr>
        <mc:AlternateContent>
          <mc:Choice Requires="wps">
            <w:drawing>
              <wp:anchor distT="0" distB="0" distL="114300" distR="114300" simplePos="0" relativeHeight="251660288" behindDoc="0" locked="0" layoutInCell="1" allowOverlap="1">
                <wp:simplePos x="0" y="0"/>
                <wp:positionH relativeFrom="column">
                  <wp:posOffset>1095375</wp:posOffset>
                </wp:positionH>
                <wp:positionV relativeFrom="paragraph">
                  <wp:posOffset>175260</wp:posOffset>
                </wp:positionV>
                <wp:extent cx="489585" cy="267970"/>
                <wp:effectExtent l="0" t="0" r="0" b="0"/>
                <wp:wrapNone/>
                <wp:docPr id="55" name="_x0000_s1201"/>
                <wp:cNvGraphicFramePr/>
                <a:graphic xmlns:a="http://schemas.openxmlformats.org/drawingml/2006/main">
                  <a:graphicData uri="http://schemas.microsoft.com/office/word/2010/wordprocessingShape">
                    <wps:wsp>
                      <wps:cNvSpPr/>
                      <wps:spPr bwMode="auto">
                        <a:xfrm>
                          <a:off x="0" y="0"/>
                          <a:ext cx="489585" cy="267970"/>
                        </a:xfrm>
                        <a:prstGeom prst="rect">
                          <a:avLst/>
                        </a:prstGeom>
                        <a:solidFill>
                          <a:srgbClr val="FFFFFF"/>
                        </a:solidFill>
                        <a:ln>
                          <a:solidFill>
                            <a:srgbClr val="FFFFFF"/>
                          </a:solidFill>
                        </a:ln>
                      </wps:spPr>
                      <wps:txbx>
                        <w:txbxContent>
                          <w:p w14:paraId="69762EF5">
                            <w:pPr>
                              <w:pStyle w:val="293"/>
                              <w:jc w:val="both"/>
                            </w:pPr>
                            <w:r>
                              <w:rPr>
                                <w:rFonts w:hint="eastAsia"/>
                              </w:rPr>
                              <w:t>10.35</w:t>
                            </w:r>
                          </w:p>
                          <w:p w14:paraId="368D5844"/>
                        </w:txbxContent>
                      </wps:txbx>
                      <wps:bodyPr wrap="square" upright="1"/>
                    </wps:wsp>
                  </a:graphicData>
                </a:graphic>
              </wp:anchor>
            </w:drawing>
          </mc:Choice>
          <mc:Fallback>
            <w:pict>
              <v:rect id="_x0000_s1201" o:spid="_x0000_s1026" o:spt="1" style="position:absolute;left:0pt;margin-left:86.25pt;margin-top:13.8pt;height:21.1pt;width:38.55pt;z-index:251660288;mso-width-relative:page;mso-height-relative:page;" fillcolor="#FFFFFF" filled="t" stroked="t" coordsize="21600,21600" o:gfxdata="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B8yYwU1wAAAAkBAAAPAAAAAAAAAAEAIAAAACIAAABkcnMvZG93bnJldi54&#10;bWxQSwECFAAUAAAACACHTuJAd6BPC8IBAACzAwAADgAAAAAAAAABACAAAAAmAQAAZHJzL2Uyb0Rv&#10;Yy54bWxQSwUGAAAAAAYABgBZAQAAWgUAAAAA&#10;">
                <v:fill on="t" focussize="0,0"/>
                <v:stroke color="#FFFFFF" joinstyle="round"/>
                <v:imagedata o:title=""/>
                <o:lock v:ext="edit" aspectratio="f"/>
                <v:textbox>
                  <w:txbxContent>
                    <w:p w14:paraId="69762EF5">
                      <w:pPr>
                        <w:pStyle w:val="293"/>
                        <w:jc w:val="both"/>
                      </w:pPr>
                      <w:r>
                        <w:rPr>
                          <w:rFonts w:hint="eastAsia"/>
                        </w:rPr>
                        <w:t>10.35</w:t>
                      </w:r>
                    </w:p>
                    <w:p w14:paraId="368D5844"/>
                  </w:txbxContent>
                </v:textbox>
              </v:rect>
            </w:pict>
          </mc:Fallback>
        </mc:AlternateContent>
      </w:r>
      <w:r>
        <w:rPr>
          <w:rFonts w:hint="eastAsia"/>
          <w:color w:val="000000"/>
        </w:rPr>
        <mc:AlternateContent>
          <mc:Choice Requires="wps">
            <w:drawing>
              <wp:anchor distT="0" distB="0" distL="114300" distR="114300" simplePos="0" relativeHeight="251660288" behindDoc="0" locked="0" layoutInCell="1" allowOverlap="1">
                <wp:simplePos x="0" y="0"/>
                <wp:positionH relativeFrom="column">
                  <wp:posOffset>114300</wp:posOffset>
                </wp:positionH>
                <wp:positionV relativeFrom="paragraph">
                  <wp:posOffset>40005</wp:posOffset>
                </wp:positionV>
                <wp:extent cx="0" cy="5334000"/>
                <wp:effectExtent l="0" t="0" r="0" b="0"/>
                <wp:wrapNone/>
                <wp:docPr id="56" name="_x0000_s1265"/>
                <wp:cNvGraphicFramePr/>
                <a:graphic xmlns:a="http://schemas.openxmlformats.org/drawingml/2006/main">
                  <a:graphicData uri="http://schemas.microsoft.com/office/word/2010/wordprocessingShape">
                    <wps:wsp>
                      <wps:cNvCnPr/>
                      <wps:spPr bwMode="auto">
                        <a:xfrm>
                          <a:off x="0" y="0"/>
                          <a:ext cx="0" cy="5334000"/>
                        </a:xfrm>
                        <a:prstGeom prst="line">
                          <a:avLst/>
                        </a:prstGeom>
                        <a:noFill/>
                        <a:ln w="28575">
                          <a:solidFill>
                            <a:srgbClr val="000000"/>
                          </a:solidFill>
                        </a:ln>
                      </wps:spPr>
                      <wps:bodyPr rot="0">
                        <a:noAutofit/>
                      </wps:bodyPr>
                    </wps:wsp>
                  </a:graphicData>
                </a:graphic>
              </wp:anchor>
            </w:drawing>
          </mc:Choice>
          <mc:Fallback>
            <w:pict>
              <v:line id="_x0000_s1265" o:spid="_x0000_s1026" o:spt="20" style="position:absolute;left:0pt;margin-left:9pt;margin-top:3.15pt;height:420pt;width:0pt;z-index:251660288;mso-width-relative:page;mso-height-relative:page;" filled="f" stroked="t" coordsize="21600,21600" o:gfxdata="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BWfd+i0wAAAAcBAAAPAAAAAAAAAAEAIAAAACIAAABkcnMvZG93bnJldi54bWxQSwEC&#10;FAAUAAAACACHTuJAZSsK1MABAACNAwAADgAAAAAAAAABACAAAAAiAQAAZHJzL2Uyb0RvYy54bWxQ&#10;SwUGAAAAAAYABgBZAQAAVAUAAAAA&#10;">
                <v:fill on="f" focussize="0,0"/>
                <v:stroke weight="2.25pt" color="#000000" joinstyle="round"/>
                <v:imagedata o:title=""/>
                <o:lock v:ext="edit" aspectratio="f"/>
              </v:line>
            </w:pict>
          </mc:Fallback>
        </mc:AlternateContent>
      </w:r>
      <w:r>
        <w:rPr>
          <w:rFonts w:hint="eastAsia"/>
          <w:color w:val="000000"/>
        </w:rPr>
        <mc:AlternateContent>
          <mc:Choice Requires="wps">
            <w:drawing>
              <wp:anchor distT="0" distB="0" distL="114300" distR="114300" simplePos="0" relativeHeight="251660288" behindDoc="0" locked="0" layoutInCell="1" allowOverlap="1">
                <wp:simplePos x="0" y="0"/>
                <wp:positionH relativeFrom="column">
                  <wp:posOffset>114300</wp:posOffset>
                </wp:positionH>
                <wp:positionV relativeFrom="paragraph">
                  <wp:posOffset>40005</wp:posOffset>
                </wp:positionV>
                <wp:extent cx="571500" cy="0"/>
                <wp:effectExtent l="0" t="0" r="0" b="0"/>
                <wp:wrapNone/>
                <wp:docPr id="57" name="_x0000_s1222"/>
                <wp:cNvGraphicFramePr/>
                <a:graphic xmlns:a="http://schemas.openxmlformats.org/drawingml/2006/main">
                  <a:graphicData uri="http://schemas.microsoft.com/office/word/2010/wordprocessingShape">
                    <wps:wsp>
                      <wps:cNvCnPr/>
                      <wps:spPr bwMode="auto">
                        <a:xfrm>
                          <a:off x="0" y="0"/>
                          <a:ext cx="571500" cy="0"/>
                        </a:xfrm>
                        <a:prstGeom prst="line">
                          <a:avLst/>
                        </a:prstGeom>
                        <a:solidFill>
                          <a:srgbClr val="FFFFFF"/>
                        </a:solidFill>
                        <a:ln w="28575">
                          <a:solidFill>
                            <a:srgbClr val="000000"/>
                          </a:solidFill>
                          <a:tailEnd type="triangle"/>
                        </a:ln>
                      </wps:spPr>
                      <wps:bodyPr rot="0">
                        <a:noAutofit/>
                      </wps:bodyPr>
                    </wps:wsp>
                  </a:graphicData>
                </a:graphic>
              </wp:anchor>
            </w:drawing>
          </mc:Choice>
          <mc:Fallback>
            <w:pict>
              <v:line id="_x0000_s1222" o:spid="_x0000_s1026" o:spt="20" style="position:absolute;left:0pt;margin-left:9pt;margin-top:3.15pt;height:0pt;width:45pt;z-index:251660288;mso-width-relative:page;mso-height-relative:page;" fillcolor="#FFFFFF" filled="t" stroked="t" coordsize="21600,21600" o:gfxdata="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">
                <v:fill on="t" focussize="0,0"/>
                <v:stroke weight="2.25pt" color="#000000" joinstyle="round" endarrow="block"/>
                <v:imagedata o:title=""/>
                <o:lock v:ext="edit" aspectratio="f"/>
              </v:line>
            </w:pict>
          </mc:Fallback>
        </mc:AlternateContent>
      </w:r>
    </w:p>
    <w:p w14:paraId="1DF74A68">
      <w:pPr>
        <w:spacing w:before="48" w:after="48"/>
        <w:rPr>
          <w:rFonts w:hint="eastAsia"/>
          <w:color w:val="000000"/>
        </w:rPr>
      </w:pPr>
      <w:r>
        <w:rPr>
          <w:rFonts w:hint="eastAsia"/>
          <w:color w:val="000000"/>
        </w:rPr>
        <mc:AlternateContent>
          <mc:Choice Requires="wps">
            <w:drawing>
              <wp:anchor distT="0" distB="0" distL="114300" distR="114300" simplePos="0" relativeHeight="251660288" behindDoc="0" locked="0" layoutInCell="1" allowOverlap="1">
                <wp:simplePos x="0" y="0"/>
                <wp:positionH relativeFrom="column">
                  <wp:posOffset>5029200</wp:posOffset>
                </wp:positionH>
                <wp:positionV relativeFrom="paragraph">
                  <wp:posOffset>106680</wp:posOffset>
                </wp:positionV>
                <wp:extent cx="342900" cy="3368040"/>
                <wp:effectExtent l="0" t="0" r="0" b="0"/>
                <wp:wrapNone/>
                <wp:docPr id="58" name="_x0000_s1233"/>
                <wp:cNvGraphicFramePr/>
                <a:graphic xmlns:a="http://schemas.openxmlformats.org/drawingml/2006/main">
                  <a:graphicData uri="http://schemas.microsoft.com/office/word/2010/wordprocessingShape">
                    <wps:wsp>
                      <wps:cNvSpPr/>
                      <wps:spPr bwMode="auto">
                        <a:xfrm>
                          <a:off x="0" y="0"/>
                          <a:ext cx="342900" cy="3368040"/>
                        </a:xfrm>
                        <a:prstGeom prst="rect">
                          <a:avLst/>
                        </a:prstGeom>
                        <a:solidFill>
                          <a:srgbClr val="FFFFFF"/>
                        </a:solidFill>
                        <a:ln>
                          <a:solidFill>
                            <a:srgbClr val="000000"/>
                          </a:solidFill>
                        </a:ln>
                      </wps:spPr>
                      <wps:txbx>
                        <w:txbxContent>
                          <w:p w14:paraId="2E24AACC">
                            <w:pPr>
                              <w:pStyle w:val="293"/>
                              <w:jc w:val="both"/>
                              <w:rPr>
                                <w:rFonts w:hint="eastAsia"/>
                              </w:rPr>
                            </w:pPr>
                          </w:p>
                          <w:p w14:paraId="3A50A62E">
                            <w:pPr>
                              <w:pStyle w:val="293"/>
                              <w:jc w:val="both"/>
                              <w:rPr>
                                <w:rFonts w:hint="eastAsia"/>
                              </w:rPr>
                            </w:pPr>
                          </w:p>
                          <w:p w14:paraId="3366AFE7">
                            <w:pPr>
                              <w:pStyle w:val="293"/>
                              <w:jc w:val="both"/>
                            </w:pPr>
                            <w:r>
                              <w:rPr>
                                <w:rFonts w:hint="eastAsia"/>
                              </w:rPr>
                              <w:t>市政污水管网进入芒市污水处理厂</w:t>
                            </w:r>
                          </w:p>
                          <w:p w14:paraId="5AEED4F3"/>
                        </w:txbxContent>
                      </wps:txbx>
                      <wps:bodyPr wrap="square" upright="1"/>
                    </wps:wsp>
                  </a:graphicData>
                </a:graphic>
              </wp:anchor>
            </w:drawing>
          </mc:Choice>
          <mc:Fallback>
            <w:pict>
              <v:rect id="_x0000_s1233" o:spid="_x0000_s1026" o:spt="1" style="position:absolute;left:0pt;margin-left:396pt;margin-top:8.4pt;height:265.2pt;width:27pt;z-index:251660288;mso-width-relative:page;mso-height-relative:page;" fillcolor="#FFFFFF" filled="t" stroked="t" coordsize="21600,21600" o:gfxdata="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">
                <v:fill on="t" focussize="0,0"/>
                <v:stroke color="#000000" joinstyle="round"/>
                <v:imagedata o:title=""/>
                <o:lock v:ext="edit" aspectratio="f"/>
                <v:textbox>
                  <w:txbxContent>
                    <w:p w14:paraId="2E24AACC">
                      <w:pPr>
                        <w:pStyle w:val="293"/>
                        <w:jc w:val="both"/>
                        <w:rPr>
                          <w:rFonts w:hint="eastAsia"/>
                        </w:rPr>
                      </w:pPr>
                    </w:p>
                    <w:p w14:paraId="3A50A62E">
                      <w:pPr>
                        <w:pStyle w:val="293"/>
                        <w:jc w:val="both"/>
                        <w:rPr>
                          <w:rFonts w:hint="eastAsia"/>
                        </w:rPr>
                      </w:pPr>
                    </w:p>
                    <w:p w14:paraId="3366AFE7">
                      <w:pPr>
                        <w:pStyle w:val="293"/>
                        <w:jc w:val="both"/>
                      </w:pPr>
                      <w:r>
                        <w:rPr>
                          <w:rFonts w:hint="eastAsia"/>
                        </w:rPr>
                        <w:t>市政污水管网进入芒市污水处理厂</w:t>
                      </w:r>
                    </w:p>
                    <w:p w14:paraId="5AEED4F3"/>
                  </w:txbxContent>
                </v:textbox>
              </v:rect>
            </w:pict>
          </mc:Fallback>
        </mc:AlternateContent>
      </w:r>
      <w:r>
        <w:rPr>
          <w:rFonts w:hint="eastAsia"/>
          <w:color w:val="000000"/>
        </w:rPr>
        <mc:AlternateContent>
          <mc:Choice Requires="wps">
            <w:drawing>
              <wp:anchor distT="0" distB="0" distL="114300" distR="114300" simplePos="0" relativeHeight="251660288" behindDoc="0" locked="0" layoutInCell="1" allowOverlap="1">
                <wp:simplePos x="0" y="0"/>
                <wp:positionH relativeFrom="column">
                  <wp:posOffset>1828800</wp:posOffset>
                </wp:positionH>
                <wp:positionV relativeFrom="paragraph">
                  <wp:posOffset>207645</wp:posOffset>
                </wp:positionV>
                <wp:extent cx="571500" cy="267970"/>
                <wp:effectExtent l="0" t="0" r="0" b="0"/>
                <wp:wrapNone/>
                <wp:docPr id="59" name="_x0000_s1225"/>
                <wp:cNvGraphicFramePr/>
                <a:graphic xmlns:a="http://schemas.openxmlformats.org/drawingml/2006/main">
                  <a:graphicData uri="http://schemas.microsoft.com/office/word/2010/wordprocessingShape">
                    <wps:wsp>
                      <wps:cNvSpPr/>
                      <wps:spPr bwMode="auto">
                        <a:xfrm>
                          <a:off x="0" y="0"/>
                          <a:ext cx="571500" cy="267970"/>
                        </a:xfrm>
                        <a:prstGeom prst="rect">
                          <a:avLst/>
                        </a:prstGeom>
                        <a:solidFill>
                          <a:srgbClr val="FFFFFF"/>
                        </a:solidFill>
                        <a:ln>
                          <a:solidFill>
                            <a:srgbClr val="FFFFFF"/>
                          </a:solidFill>
                        </a:ln>
                      </wps:spPr>
                      <wps:txbx>
                        <w:txbxContent>
                          <w:p w14:paraId="19B33145">
                            <w:pPr>
                              <w:pStyle w:val="293"/>
                              <w:jc w:val="both"/>
                            </w:pPr>
                            <w:r>
                              <w:rPr>
                                <w:rFonts w:hint="eastAsia"/>
                              </w:rPr>
                              <w:t>58.65</w:t>
                            </w:r>
                          </w:p>
                          <w:p w14:paraId="2CE21E87"/>
                        </w:txbxContent>
                      </wps:txbx>
                      <wps:bodyPr wrap="square" upright="1"/>
                    </wps:wsp>
                  </a:graphicData>
                </a:graphic>
              </wp:anchor>
            </w:drawing>
          </mc:Choice>
          <mc:Fallback>
            <w:pict>
              <v:rect id="_x0000_s1225" o:spid="_x0000_s1026" o:spt="1" style="position:absolute;left:0pt;margin-left:144pt;margin-top:16.35pt;height:21.1pt;width:45pt;z-index:251660288;mso-width-relative:page;mso-height-relative:page;" fillcolor="#FFFFFF" filled="t" stroked="t" coordsize="21600,21600" o:gfxdata="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DnWyFt2AAAAAkBAAAPAAAAAAAAAAEAIAAAACIAAABkcnMvZG93bnJl&#10;di54bWxQSwECFAAUAAAACACHTuJAQPmfJ8QBAACzAwAADgAAAAAAAAABACAAAAAnAQAAZHJzL2Uy&#10;b0RvYy54bWxQSwUGAAAAAAYABgBZAQAAXQUAAAAA&#10;">
                <v:fill on="t" focussize="0,0"/>
                <v:stroke color="#FFFFFF" joinstyle="round"/>
                <v:imagedata o:title=""/>
                <o:lock v:ext="edit" aspectratio="f"/>
                <v:textbox>
                  <w:txbxContent>
                    <w:p w14:paraId="19B33145">
                      <w:pPr>
                        <w:pStyle w:val="293"/>
                        <w:jc w:val="both"/>
                      </w:pPr>
                      <w:r>
                        <w:rPr>
                          <w:rFonts w:hint="eastAsia"/>
                        </w:rPr>
                        <w:t>58.65</w:t>
                      </w:r>
                    </w:p>
                    <w:p w14:paraId="2CE21E87"/>
                  </w:txbxContent>
                </v:textbox>
              </v:rect>
            </w:pict>
          </mc:Fallback>
        </mc:AlternateContent>
      </w:r>
      <w:r>
        <w:rPr>
          <w:rFonts w:hint="eastAsia"/>
          <w:color w:val="000000"/>
        </w:rPr>
        <mc:AlternateContent>
          <mc:Choice Requires="wps">
            <w:drawing>
              <wp:anchor distT="0" distB="0" distL="114300" distR="114300" simplePos="0" relativeHeight="251660288" behindDoc="0" locked="0" layoutInCell="1" allowOverlap="1">
                <wp:simplePos x="0" y="0"/>
                <wp:positionH relativeFrom="column">
                  <wp:posOffset>914400</wp:posOffset>
                </wp:positionH>
                <wp:positionV relativeFrom="paragraph">
                  <wp:posOffset>108585</wp:posOffset>
                </wp:positionV>
                <wp:extent cx="229235" cy="113030"/>
                <wp:effectExtent l="0" t="0" r="0" b="0"/>
                <wp:wrapNone/>
                <wp:docPr id="60" name="_x0000_s1224"/>
                <wp:cNvGraphicFramePr/>
                <a:graphic xmlns:a="http://schemas.openxmlformats.org/drawingml/2006/main">
                  <a:graphicData uri="http://schemas.microsoft.com/office/word/2010/wordprocessingShape">
                    <wps:wsp>
                      <wps:cNvSpPr/>
                      <wps:spPr bwMode="auto">
                        <a:xfrm>
                          <a:off x="0" y="0"/>
                          <a:ext cx="229235" cy="113030"/>
                        </a:xfrm>
                        <a:custGeom>
                          <a:avLst/>
                          <a:gdLst>
                            <a:gd name="gd0" fmla="val 65536"/>
                            <a:gd name="gd1" fmla="val 0"/>
                            <a:gd name="gd2" fmla="val 156"/>
                            <a:gd name="gd3" fmla="val 180"/>
                            <a:gd name="gd4" fmla="val 0"/>
                            <a:gd name="gd5" fmla="val 180"/>
                            <a:gd name="gd6" fmla="val 156"/>
                            <a:gd name="gd7" fmla="val 360"/>
                            <a:gd name="gd8" fmla="val 0"/>
                          </a:gdLst>
                          <a:ahLst/>
                          <a:cxnLst/>
                          <a:rect l="0" t="0" r="r" b="b"/>
                          <a:pathLst>
                            <a:path w="360" h="156" extrusionOk="0">
                              <a:moveTo>
                                <a:pt x="gd1" y="gd2"/>
                              </a:moveTo>
                              <a:cubicBezTo>
                                <a:pt x="75" y="78"/>
                                <a:pt x="150" y="0"/>
                                <a:pt x="180" y="0"/>
                              </a:cubicBezTo>
                              <a:cubicBezTo>
                                <a:pt x="210" y="0"/>
                                <a:pt x="150" y="156"/>
                                <a:pt x="180" y="156"/>
                              </a:cubicBezTo>
                              <a:cubicBezTo>
                                <a:pt x="210" y="156"/>
                                <a:pt x="330" y="26"/>
                                <a:pt x="360" y="0"/>
                              </a:cubicBezTo>
                            </a:path>
                          </a:pathLst>
                        </a:custGeom>
                        <a:noFill/>
                        <a:ln>
                          <a:solidFill>
                            <a:srgbClr val="000000"/>
                          </a:solidFill>
                          <a:tailEnd type="triangle"/>
                        </a:ln>
                      </wps:spPr>
                      <wps:bodyPr rot="0">
                        <a:noAutofit/>
                      </wps:bodyPr>
                    </wps:wsp>
                  </a:graphicData>
                </a:graphic>
              </wp:anchor>
            </w:drawing>
          </mc:Choice>
          <mc:Fallback>
            <w:pict>
              <v:shape id="_x0000_s1224" o:spid="_x0000_s1026" o:spt="100" style="position:absolute;left:0pt;margin-left:72pt;margin-top:8.55pt;height:8.9pt;width:18.05pt;z-index:251660288;mso-width-relative:page;mso-height-relative:page;" filled="f" stroked="t" coordsize="360,156" o:gfxdata="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DpmJ09cAAAAJAQAADwAAAAAAAAABACAAAAAiAAAAZHJz&#10;L2Rvd25yZXYueG1sUEsBAhQAFAAAAAgAh07iQJ716+OwAgAAlAYAAA4AAAAAAAAAAQAgAAAAJgEA&#10;AGRycy9lMm9Eb2MueG1sUEsFBgAAAAAGAAYAWQEAAEgGAAAAAA==&#10;" path="m0,156c75,78,150,0,180,0c210,0,150,156,180,156c210,156,330,26,360,0e">
                <v:fill on="f" focussize="0,0"/>
                <v:stroke color="#000000" joinstyle="round" endarrow="block"/>
                <v:imagedata o:title=""/>
                <o:lock v:ext="edit" aspectratio="f"/>
              </v:shape>
            </w:pict>
          </mc:Fallback>
        </mc:AlternateContent>
      </w:r>
      <w:r>
        <w:rPr>
          <w:rFonts w:hint="eastAsia"/>
          <w:color w:val="000000"/>
        </w:rPr>
        <mc:AlternateContent>
          <mc:Choice Requires="wps">
            <w:drawing>
              <wp:anchor distT="0" distB="0" distL="114300" distR="114300" simplePos="0" relativeHeight="251660288" behindDoc="0" locked="0" layoutInCell="1" allowOverlap="1">
                <wp:simplePos x="0" y="0"/>
                <wp:positionH relativeFrom="column">
                  <wp:posOffset>114300</wp:posOffset>
                </wp:positionH>
                <wp:positionV relativeFrom="paragraph">
                  <wp:posOffset>207645</wp:posOffset>
                </wp:positionV>
                <wp:extent cx="561340" cy="308610"/>
                <wp:effectExtent l="0" t="0" r="0" b="0"/>
                <wp:wrapNone/>
                <wp:docPr id="61" name="_x0000_s1200"/>
                <wp:cNvGraphicFramePr/>
                <a:graphic xmlns:a="http://schemas.openxmlformats.org/drawingml/2006/main">
                  <a:graphicData uri="http://schemas.microsoft.com/office/word/2010/wordprocessingShape">
                    <wps:wsp>
                      <wps:cNvSpPr/>
                      <wps:spPr bwMode="auto">
                        <a:xfrm>
                          <a:off x="0" y="0"/>
                          <a:ext cx="561340" cy="308610"/>
                        </a:xfrm>
                        <a:prstGeom prst="rect">
                          <a:avLst/>
                        </a:prstGeom>
                        <a:solidFill>
                          <a:srgbClr val="FFFFFF"/>
                        </a:solidFill>
                        <a:ln>
                          <a:solidFill>
                            <a:srgbClr val="FFFFFF"/>
                          </a:solidFill>
                        </a:ln>
                      </wps:spPr>
                      <wps:txbx>
                        <w:txbxContent>
                          <w:p w14:paraId="0CF65736">
                            <w:pPr>
                              <w:pStyle w:val="293"/>
                            </w:pPr>
                            <w:r>
                              <w:rPr>
                                <w:rFonts w:hint="eastAsia"/>
                              </w:rPr>
                              <w:t>69</w:t>
                            </w:r>
                          </w:p>
                          <w:p w14:paraId="1E65ABFE"/>
                        </w:txbxContent>
                      </wps:txbx>
                      <wps:bodyPr wrap="square" upright="1"/>
                    </wps:wsp>
                  </a:graphicData>
                </a:graphic>
              </wp:anchor>
            </w:drawing>
          </mc:Choice>
          <mc:Fallback>
            <w:pict>
              <v:rect id="_x0000_s1200" o:spid="_x0000_s1026" o:spt="1" style="position:absolute;left:0pt;margin-left:9pt;margin-top:16.35pt;height:24.3pt;width:44.2pt;z-index:251660288;mso-width-relative:page;mso-height-relative:page;" fillcolor="#FFFFFF" filled="t" stroked="t" coordsize="21600,21600" o:gfxdata="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DuvHwHWAAAACAEAAA8AAAAAAAAAAQAgAAAAIgAAAGRycy9kb3ducmV2Lnht&#10;bFBLAQIUABQAAAAIAIdO4kCl7KoGwgEAALMDAAAOAAAAAAAAAAEAIAAAACUBAABkcnMvZTJvRG9j&#10;LnhtbFBLBQYAAAAABgAGAFkBAABZBQAAAAA=&#10;">
                <v:fill on="t" focussize="0,0"/>
                <v:stroke color="#FFFFFF" joinstyle="round"/>
                <v:imagedata o:title=""/>
                <o:lock v:ext="edit" aspectratio="f"/>
                <v:textbox>
                  <w:txbxContent>
                    <w:p w14:paraId="0CF65736">
                      <w:pPr>
                        <w:pStyle w:val="293"/>
                      </w:pPr>
                      <w:r>
                        <w:rPr>
                          <w:rFonts w:hint="eastAsia"/>
                        </w:rPr>
                        <w:t>69</w:t>
                      </w:r>
                    </w:p>
                    <w:p w14:paraId="1E65ABFE"/>
                  </w:txbxContent>
                </v:textbox>
              </v:rect>
            </w:pict>
          </mc:Fallback>
        </mc:AlternateContent>
      </w:r>
    </w:p>
    <w:p w14:paraId="3A357488">
      <w:pPr>
        <w:spacing w:before="48" w:after="48"/>
        <w:rPr>
          <w:rFonts w:hint="eastAsia"/>
          <w:color w:val="000000"/>
        </w:rPr>
      </w:pPr>
      <w:r>
        <w:rPr>
          <w:rFonts w:hint="eastAsia"/>
          <w:color w:val="000000"/>
        </w:rPr>
        <mc:AlternateContent>
          <mc:Choice Requires="wps">
            <w:drawing>
              <wp:anchor distT="0" distB="0" distL="114300" distR="114300" simplePos="0" relativeHeight="251660288" behindDoc="0" locked="0" layoutInCell="1" allowOverlap="1">
                <wp:simplePos x="0" y="0"/>
                <wp:positionH relativeFrom="column">
                  <wp:posOffset>685800</wp:posOffset>
                </wp:positionH>
                <wp:positionV relativeFrom="paragraph">
                  <wp:posOffset>78105</wp:posOffset>
                </wp:positionV>
                <wp:extent cx="1143000" cy="337185"/>
                <wp:effectExtent l="0" t="0" r="0" b="0"/>
                <wp:wrapNone/>
                <wp:docPr id="62" name="_x0000_s1242"/>
                <wp:cNvGraphicFramePr/>
                <a:graphic xmlns:a="http://schemas.openxmlformats.org/drawingml/2006/main">
                  <a:graphicData uri="http://schemas.microsoft.com/office/word/2010/wordprocessingShape">
                    <wps:wsp>
                      <wps:cNvSpPr/>
                      <wps:spPr bwMode="auto">
                        <a:xfrm>
                          <a:off x="0" y="0"/>
                          <a:ext cx="1143000" cy="337185"/>
                        </a:xfrm>
                        <a:prstGeom prst="rect">
                          <a:avLst/>
                        </a:prstGeom>
                        <a:solidFill>
                          <a:srgbClr val="FFFFFF"/>
                        </a:solidFill>
                        <a:ln>
                          <a:solidFill>
                            <a:srgbClr val="000000"/>
                          </a:solidFill>
                        </a:ln>
                      </wps:spPr>
                      <wps:txbx>
                        <w:txbxContent>
                          <w:p w14:paraId="1E1CC19A">
                            <w:pPr>
                              <w:pStyle w:val="293"/>
                            </w:pPr>
                            <w:r>
                              <w:rPr>
                                <w:rFonts w:hint="eastAsia"/>
                              </w:rPr>
                              <w:t>住院部 用 水</w:t>
                            </w:r>
                          </w:p>
                          <w:p w14:paraId="1C83E480"/>
                        </w:txbxContent>
                      </wps:txbx>
                      <wps:bodyPr wrap="square" upright="1"/>
                    </wps:wsp>
                  </a:graphicData>
                </a:graphic>
              </wp:anchor>
            </w:drawing>
          </mc:Choice>
          <mc:Fallback>
            <w:pict>
              <v:rect id="_x0000_s1242" o:spid="_x0000_s1026" o:spt="1" style="position:absolute;left:0pt;margin-left:54pt;margin-top:6.15pt;height:26.55pt;width:90pt;z-index:251660288;mso-width-relative:page;mso-height-relative:page;" fillcolor="#FFFFFF" filled="t" stroked="t" coordsize="21600,21600" o:gfxdata="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">
                <v:fill on="t" focussize="0,0"/>
                <v:stroke color="#000000" joinstyle="round"/>
                <v:imagedata o:title=""/>
                <o:lock v:ext="edit" aspectratio="f"/>
                <v:textbox>
                  <w:txbxContent>
                    <w:p w14:paraId="1E1CC19A">
                      <w:pPr>
                        <w:pStyle w:val="293"/>
                      </w:pPr>
                      <w:r>
                        <w:rPr>
                          <w:rFonts w:hint="eastAsia"/>
                        </w:rPr>
                        <w:t>住院部 用 水</w:t>
                      </w:r>
                    </w:p>
                    <w:p w14:paraId="1C83E480"/>
                  </w:txbxContent>
                </v:textbox>
              </v:rect>
            </w:pict>
          </mc:Fallback>
        </mc:AlternateContent>
      </w:r>
    </w:p>
    <w:p w14:paraId="277230CA">
      <w:pPr>
        <w:spacing w:before="48" w:after="48"/>
        <w:rPr>
          <w:rFonts w:hint="eastAsia"/>
          <w:color w:val="000000"/>
        </w:rPr>
      </w:pPr>
      <w:r>
        <w:rPr>
          <w:rFonts w:hint="eastAsia"/>
          <w:color w:val="000000"/>
        </w:rPr>
        <mc:AlternateContent>
          <mc:Choice Requires="wps">
            <w:drawing>
              <wp:anchor distT="0" distB="0" distL="114300" distR="114300" simplePos="0" relativeHeight="251660288" behindDoc="0" locked="0" layoutInCell="1" allowOverlap="1">
                <wp:simplePos x="0" y="0"/>
                <wp:positionH relativeFrom="column">
                  <wp:posOffset>2400300</wp:posOffset>
                </wp:positionH>
                <wp:positionV relativeFrom="paragraph">
                  <wp:posOffset>144780</wp:posOffset>
                </wp:positionV>
                <wp:extent cx="571500" cy="267970"/>
                <wp:effectExtent l="0" t="0" r="0" b="0"/>
                <wp:wrapNone/>
                <wp:docPr id="63" name="_x0000_s1203"/>
                <wp:cNvGraphicFramePr/>
                <a:graphic xmlns:a="http://schemas.openxmlformats.org/drawingml/2006/main">
                  <a:graphicData uri="http://schemas.microsoft.com/office/word/2010/wordprocessingShape">
                    <wps:wsp>
                      <wps:cNvSpPr/>
                      <wps:spPr bwMode="auto">
                        <a:xfrm>
                          <a:off x="0" y="0"/>
                          <a:ext cx="571500" cy="267970"/>
                        </a:xfrm>
                        <a:prstGeom prst="rect">
                          <a:avLst/>
                        </a:prstGeom>
                        <a:solidFill>
                          <a:srgbClr val="FFFFFF"/>
                        </a:solidFill>
                        <a:ln>
                          <a:solidFill>
                            <a:srgbClr val="FFFFFF"/>
                          </a:solidFill>
                        </a:ln>
                      </wps:spPr>
                      <wps:txbx>
                        <w:txbxContent>
                          <w:p w14:paraId="0215FA67">
                            <w:pPr>
                              <w:pStyle w:val="293"/>
                              <w:jc w:val="both"/>
                            </w:pPr>
                            <w:r>
                              <w:rPr>
                                <w:rFonts w:hint="eastAsia"/>
                              </w:rPr>
                              <w:t>67.01</w:t>
                            </w:r>
                          </w:p>
                          <w:p w14:paraId="4D447991"/>
                        </w:txbxContent>
                      </wps:txbx>
                      <wps:bodyPr wrap="square" upright="1"/>
                    </wps:wsp>
                  </a:graphicData>
                </a:graphic>
              </wp:anchor>
            </w:drawing>
          </mc:Choice>
          <mc:Fallback>
            <w:pict>
              <v:rect id="_x0000_s1203" o:spid="_x0000_s1026" o:spt="1" style="position:absolute;left:0pt;margin-left:189pt;margin-top:11.4pt;height:21.1pt;width:45pt;z-index:251660288;mso-width-relative:page;mso-height-relative:page;" fillcolor="#FFFFFF" filled="t" stroked="t" coordsize="21600,21600" o:gfxdata="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Jx+uLvXAAAACQEAAA8AAAAAAAAAAQAgAAAAIgAAAGRycy9kb3ducmV2&#10;LnhtbFBLAQIUABQAAAAIAIdO4kBcsaPTxAEAALMDAAAOAAAAAAAAAAEAIAAAACYBAABkcnMvZTJv&#10;RG9jLnhtbFBLBQYAAAAABgAGAFkBAABcBQAAAAA=&#10;">
                <v:fill on="t" focussize="0,0"/>
                <v:stroke color="#FFFFFF" joinstyle="round"/>
                <v:imagedata o:title=""/>
                <o:lock v:ext="edit" aspectratio="f"/>
                <v:textbox>
                  <w:txbxContent>
                    <w:p w14:paraId="0215FA67">
                      <w:pPr>
                        <w:pStyle w:val="293"/>
                        <w:jc w:val="both"/>
                      </w:pPr>
                      <w:r>
                        <w:rPr>
                          <w:rFonts w:hint="eastAsia"/>
                        </w:rPr>
                        <w:t>67.01</w:t>
                      </w:r>
                    </w:p>
                    <w:p w14:paraId="4D447991"/>
                  </w:txbxContent>
                </v:textbox>
              </v:rect>
            </w:pict>
          </mc:Fallback>
        </mc:AlternateContent>
      </w:r>
      <w:r>
        <w:rPr>
          <w:rFonts w:hint="eastAsia"/>
          <w:color w:val="000000"/>
        </w:rPr>
        <mc:AlternateContent>
          <mc:Choice Requires="wps">
            <w:drawing>
              <wp:anchor distT="0" distB="0" distL="114300" distR="114300" simplePos="0" relativeHeight="251660288" behindDoc="0" locked="0" layoutInCell="1" allowOverlap="1">
                <wp:simplePos x="0" y="0"/>
                <wp:positionH relativeFrom="column">
                  <wp:posOffset>1828800</wp:posOffset>
                </wp:positionH>
                <wp:positionV relativeFrom="paragraph">
                  <wp:posOffset>45720</wp:posOffset>
                </wp:positionV>
                <wp:extent cx="571500" cy="3175"/>
                <wp:effectExtent l="0" t="0" r="0" b="0"/>
                <wp:wrapNone/>
                <wp:docPr id="64" name="_x0000_s1228"/>
                <wp:cNvGraphicFramePr/>
                <a:graphic xmlns:a="http://schemas.openxmlformats.org/drawingml/2006/main">
                  <a:graphicData uri="http://schemas.microsoft.com/office/word/2010/wordprocessingShape">
                    <wps:wsp>
                      <wps:cNvCnPr/>
                      <wps:spPr bwMode="auto">
                        <a:xfrm>
                          <a:off x="0" y="0"/>
                          <a:ext cx="571500" cy="3175"/>
                        </a:xfrm>
                        <a:prstGeom prst="line">
                          <a:avLst/>
                        </a:prstGeom>
                        <a:solidFill>
                          <a:srgbClr val="FFFFFF"/>
                        </a:solidFill>
                        <a:ln w="19050">
                          <a:solidFill>
                            <a:srgbClr val="000000"/>
                          </a:solidFill>
                          <a:prstDash val="lgDash"/>
                          <a:tailEnd type="triangle"/>
                        </a:ln>
                      </wps:spPr>
                      <wps:bodyPr rot="0">
                        <a:noAutofit/>
                      </wps:bodyPr>
                    </wps:wsp>
                  </a:graphicData>
                </a:graphic>
              </wp:anchor>
            </w:drawing>
          </mc:Choice>
          <mc:Fallback>
            <w:pict>
              <v:line id="_x0000_s1228" o:spid="_x0000_s1026" o:spt="20" style="position:absolute;left:0pt;margin-left:144pt;margin-top:3.6pt;height:0.25pt;width:45pt;z-index:251660288;mso-width-relative:page;mso-height-relative:page;" fillcolor="#FFFFFF" filled="t" stroked="t" coordsize="21600,21600" o:gfxdata="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FJjqkLVAAAA&#10;BwEAAA8AAAAAAAAAAQAgAAAAIgAAAGRycy9kb3ducmV2LnhtbFBLAQIUABQAAAAIAIdO4kDsxAX1&#10;5wEAAO4DAAAOAAAAAAAAAAEAIAAAACQBAABkcnMvZTJvRG9jLnhtbFBLBQYAAAAABgAGAFkBAAB9&#10;BQAAAAA=&#10;">
                <v:fill on="t" focussize="0,0"/>
                <v:stroke weight="1.5pt" color="#000000" joinstyle="round" dashstyle="longDash" endarrow="block"/>
                <v:imagedata o:title=""/>
                <o:lock v:ext="edit" aspectratio="f"/>
              </v:line>
            </w:pict>
          </mc:Fallback>
        </mc:AlternateContent>
      </w:r>
      <w:r>
        <w:rPr>
          <w:rFonts w:hint="eastAsia"/>
          <w:color w:val="000000"/>
        </w:rPr>
        <mc:AlternateContent>
          <mc:Choice Requires="wps">
            <w:drawing>
              <wp:anchor distT="0" distB="0" distL="114300" distR="114300" simplePos="0" relativeHeight="251660288" behindDoc="0" locked="0" layoutInCell="1" allowOverlap="1">
                <wp:simplePos x="0" y="0"/>
                <wp:positionH relativeFrom="column">
                  <wp:posOffset>114300</wp:posOffset>
                </wp:positionH>
                <wp:positionV relativeFrom="paragraph">
                  <wp:posOffset>47625</wp:posOffset>
                </wp:positionV>
                <wp:extent cx="586740" cy="635"/>
                <wp:effectExtent l="0" t="0" r="0" b="0"/>
                <wp:wrapNone/>
                <wp:docPr id="65" name="_x0000_s1223"/>
                <wp:cNvGraphicFramePr/>
                <a:graphic xmlns:a="http://schemas.openxmlformats.org/drawingml/2006/main">
                  <a:graphicData uri="http://schemas.microsoft.com/office/word/2010/wordprocessingShape">
                    <wps:wsp>
                      <wps:cNvCnPr/>
                      <wps:spPr bwMode="auto">
                        <a:xfrm>
                          <a:off x="0" y="0"/>
                          <a:ext cx="586740" cy="635"/>
                        </a:xfrm>
                        <a:prstGeom prst="line">
                          <a:avLst/>
                        </a:prstGeom>
                        <a:solidFill>
                          <a:srgbClr val="FFFFFF"/>
                        </a:solidFill>
                        <a:ln w="28575">
                          <a:solidFill>
                            <a:srgbClr val="000000"/>
                          </a:solidFill>
                          <a:tailEnd type="triangle"/>
                        </a:ln>
                      </wps:spPr>
                      <wps:bodyPr rot="0">
                        <a:noAutofit/>
                      </wps:bodyPr>
                    </wps:wsp>
                  </a:graphicData>
                </a:graphic>
              </wp:anchor>
            </w:drawing>
          </mc:Choice>
          <mc:Fallback>
            <w:pict>
              <v:line id="_x0000_s1223" o:spid="_x0000_s1026" o:spt="20" style="position:absolute;left:0pt;margin-left:9pt;margin-top:3.75pt;height:0.05pt;width:46.2pt;z-index:251660288;mso-width-relative:page;mso-height-relative:page;" fillcolor="#FFFFFF" filled="t" stroked="t" coordsize="21600,21600" o:gfxdata="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Cg3TYs0gAAAAYBAAAPAAAAAAAAAAEA&#10;IAAAACIAAABkcnMvZG93bnJldi54bWxQSwECFAAUAAAACACHTuJAXmg/RNwBAADTAwAADgAAAAAA&#10;AAABACAAAAAhAQAAZHJzL2Uyb0RvYy54bWxQSwUGAAAAAAYABgBZAQAAbwUAAAAA&#10;">
                <v:fill on="t" focussize="0,0"/>
                <v:stroke weight="2.25pt" color="#000000" joinstyle="round" endarrow="block"/>
                <v:imagedata o:title=""/>
                <o:lock v:ext="edit" aspectratio="f"/>
              </v:line>
            </w:pict>
          </mc:Fallback>
        </mc:AlternateContent>
      </w:r>
    </w:p>
    <w:p w14:paraId="5BA291CD">
      <w:pPr>
        <w:spacing w:before="48" w:after="48"/>
        <w:rPr>
          <w:rFonts w:hint="eastAsia"/>
          <w:color w:val="000000"/>
        </w:rPr>
      </w:pPr>
      <w:r>
        <w:rPr>
          <w:rFonts w:hint="eastAsia" w:ascii="宋体" w:hAnsi="宋体"/>
          <w:color w:val="000000"/>
        </w:rPr>
        <mc:AlternateContent>
          <mc:Choice Requires="wps">
            <w:drawing>
              <wp:anchor distT="0" distB="0" distL="114300" distR="114300" simplePos="0" relativeHeight="251660288" behindDoc="0" locked="0" layoutInCell="1" allowOverlap="1">
                <wp:simplePos x="0" y="0"/>
                <wp:positionH relativeFrom="column">
                  <wp:posOffset>1028700</wp:posOffset>
                </wp:positionH>
                <wp:positionV relativeFrom="paragraph">
                  <wp:posOffset>15240</wp:posOffset>
                </wp:positionV>
                <wp:extent cx="323850" cy="297180"/>
                <wp:effectExtent l="0" t="0" r="0" b="0"/>
                <wp:wrapNone/>
                <wp:docPr id="66" name="_x0000_s1198"/>
                <wp:cNvGraphicFramePr/>
                <a:graphic xmlns:a="http://schemas.openxmlformats.org/drawingml/2006/main">
                  <a:graphicData uri="http://schemas.microsoft.com/office/word/2010/wordprocessingShape">
                    <wps:wsp>
                      <wps:cNvSpPr/>
                      <wps:spPr bwMode="auto">
                        <a:xfrm>
                          <a:off x="0" y="0"/>
                          <a:ext cx="323850" cy="297180"/>
                        </a:xfrm>
                        <a:prstGeom prst="rect">
                          <a:avLst/>
                        </a:prstGeom>
                        <a:solidFill>
                          <a:srgbClr val="FFFFFF"/>
                        </a:solidFill>
                        <a:ln>
                          <a:solidFill>
                            <a:srgbClr val="FFFFFF"/>
                          </a:solidFill>
                        </a:ln>
                      </wps:spPr>
                      <wps:txbx>
                        <w:txbxContent>
                          <w:p w14:paraId="279DCC8B">
                            <w:pPr>
                              <w:pStyle w:val="287"/>
                            </w:pPr>
                            <w:r>
                              <w:rPr>
                                <w:rFonts w:hint="eastAsia"/>
                              </w:rPr>
                              <w:t>8</w:t>
                            </w:r>
                          </w:p>
                          <w:p w14:paraId="516406C5"/>
                        </w:txbxContent>
                      </wps:txbx>
                      <wps:bodyPr wrap="square" upright="1"/>
                    </wps:wsp>
                  </a:graphicData>
                </a:graphic>
              </wp:anchor>
            </w:drawing>
          </mc:Choice>
          <mc:Fallback>
            <w:pict>
              <v:rect id="_x0000_s1198" o:spid="_x0000_s1026" o:spt="1" style="position:absolute;left:0pt;margin-left:81pt;margin-top:1.2pt;height:23.4pt;width:25.5pt;z-index:251660288;mso-width-relative:page;mso-height-relative:page;" fillcolor="#FFFFFF" filled="t" stroked="t" coordsize="21600,21600" o:gfxdata="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AXF3y/1QAAAAgBAAAPAAAAAAAAAAEAIAAAACIAAABkcnMvZG93bnJldi54&#10;bWxQSwECFAAUAAAACACHTuJATyqjFcQBAACzAwAADgAAAAAAAAABACAAAAAkAQAAZHJzL2Uyb0Rv&#10;Yy54bWxQSwUGAAAAAAYABgBZAQAAWgUAAAAA&#10;">
                <v:fill on="t" focussize="0,0"/>
                <v:stroke color="#FFFFFF" joinstyle="round"/>
                <v:imagedata o:title=""/>
                <o:lock v:ext="edit" aspectratio="f"/>
                <v:textbox>
                  <w:txbxContent>
                    <w:p w14:paraId="279DCC8B">
                      <w:pPr>
                        <w:pStyle w:val="287"/>
                      </w:pPr>
                      <w:r>
                        <w:rPr>
                          <w:rFonts w:hint="eastAsia"/>
                        </w:rPr>
                        <w:t>8</w:t>
                      </w:r>
                    </w:p>
                    <w:p w14:paraId="516406C5"/>
                  </w:txbxContent>
                </v:textbox>
              </v:rect>
            </w:pict>
          </mc:Fallback>
        </mc:AlternateContent>
      </w:r>
      <w:r>
        <w:rPr>
          <w:rFonts w:hint="eastAsia"/>
          <w:color w:val="000000"/>
        </w:rPr>
        <mc:AlternateContent>
          <mc:Choice Requires="wps">
            <w:drawing>
              <wp:anchor distT="0" distB="0" distL="114300" distR="114300" simplePos="0" relativeHeight="251660288" behindDoc="0" locked="0" layoutInCell="1" allowOverlap="1">
                <wp:simplePos x="0" y="0"/>
                <wp:positionH relativeFrom="column">
                  <wp:posOffset>2400300</wp:posOffset>
                </wp:positionH>
                <wp:positionV relativeFrom="paragraph">
                  <wp:posOffset>210820</wp:posOffset>
                </wp:positionV>
                <wp:extent cx="571500" cy="0"/>
                <wp:effectExtent l="0" t="0" r="0" b="0"/>
                <wp:wrapNone/>
                <wp:docPr id="67" name="_x0000_s1229"/>
                <wp:cNvGraphicFramePr/>
                <a:graphic xmlns:a="http://schemas.openxmlformats.org/drawingml/2006/main">
                  <a:graphicData uri="http://schemas.microsoft.com/office/word/2010/wordprocessingShape">
                    <wps:wsp>
                      <wps:cNvCnPr/>
                      <wps:spPr bwMode="auto">
                        <a:xfrm>
                          <a:off x="0" y="0"/>
                          <a:ext cx="571500" cy="0"/>
                        </a:xfrm>
                        <a:prstGeom prst="line">
                          <a:avLst/>
                        </a:prstGeom>
                        <a:solidFill>
                          <a:srgbClr val="FFFFFF"/>
                        </a:solidFill>
                        <a:ln w="19050">
                          <a:solidFill>
                            <a:srgbClr val="000000"/>
                          </a:solidFill>
                          <a:prstDash val="lgDash"/>
                          <a:tailEnd type="triangle"/>
                        </a:ln>
                      </wps:spPr>
                      <wps:bodyPr rot="0">
                        <a:noAutofit/>
                      </wps:bodyPr>
                    </wps:wsp>
                  </a:graphicData>
                </a:graphic>
              </wp:anchor>
            </w:drawing>
          </mc:Choice>
          <mc:Fallback>
            <w:pict>
              <v:line id="_x0000_s1229" o:spid="_x0000_s1026" o:spt="20" style="position:absolute;left:0pt;margin-left:189pt;margin-top:16.6pt;height:0pt;width:45pt;z-index:251660288;mso-width-relative:page;mso-height-relative:page;" fillcolor="#FFFFFF" filled="t" stroked="t" coordsize="21600,21600" o:gfxdata="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BPrxjw1wAAAAkB&#10;AAAPAAAAAAAAAAEAIAAAACIAAABkcnMvZG93bnJldi54bWxQSwECFAAUAAAACACHTuJAI8ZUj+MB&#10;AADrAwAADgAAAAAAAAABACAAAAAmAQAAZHJzL2Uyb0RvYy54bWxQSwUGAAAAAAYABgBZAQAAewUA&#10;AAAA&#10;">
                <v:fill on="t" focussize="0,0"/>
                <v:stroke weight="1.5pt" color="#000000" joinstyle="round" dashstyle="longDash" endarrow="block"/>
                <v:imagedata o:title=""/>
                <o:lock v:ext="edit" aspectratio="f"/>
              </v:line>
            </w:pict>
          </mc:Fallback>
        </mc:AlternateContent>
      </w:r>
      <w:r>
        <w:rPr>
          <w:rFonts w:hint="eastAsia"/>
          <w:color w:val="000000"/>
        </w:rPr>
        <mc:AlternateContent>
          <mc:Choice Requires="wps">
            <w:drawing>
              <wp:anchor distT="0" distB="0" distL="114300" distR="114300" simplePos="0" relativeHeight="251660288" behindDoc="0" locked="0" layoutInCell="1" allowOverlap="1">
                <wp:simplePos x="0" y="0"/>
                <wp:positionH relativeFrom="column">
                  <wp:posOffset>2971800</wp:posOffset>
                </wp:positionH>
                <wp:positionV relativeFrom="paragraph">
                  <wp:posOffset>114300</wp:posOffset>
                </wp:positionV>
                <wp:extent cx="685800" cy="495300"/>
                <wp:effectExtent l="0" t="0" r="0" b="0"/>
                <wp:wrapNone/>
                <wp:docPr id="68" name="_x0000_s1249"/>
                <wp:cNvGraphicFramePr/>
                <a:graphic xmlns:a="http://schemas.openxmlformats.org/drawingml/2006/main">
                  <a:graphicData uri="http://schemas.microsoft.com/office/word/2010/wordprocessingShape">
                    <wps:wsp>
                      <wps:cNvSpPr/>
                      <wps:spPr bwMode="auto">
                        <a:xfrm>
                          <a:off x="0" y="0"/>
                          <a:ext cx="685800" cy="495300"/>
                        </a:xfrm>
                        <a:prstGeom prst="rect">
                          <a:avLst/>
                        </a:prstGeom>
                        <a:solidFill>
                          <a:srgbClr val="FFFFFF"/>
                        </a:solidFill>
                        <a:ln>
                          <a:solidFill>
                            <a:srgbClr val="000000"/>
                          </a:solidFill>
                        </a:ln>
                      </wps:spPr>
                      <wps:txbx>
                        <w:txbxContent>
                          <w:p w14:paraId="25B6F2ED">
                            <w:pPr>
                              <w:pStyle w:val="293"/>
                            </w:pPr>
                            <w:r>
                              <w:rPr>
                                <w:rFonts w:hint="eastAsia"/>
                              </w:rPr>
                              <w:t>化粪池</w:t>
                            </w:r>
                          </w:p>
                          <w:p w14:paraId="340A5556"/>
                        </w:txbxContent>
                      </wps:txbx>
                      <wps:bodyPr wrap="square" upright="1"/>
                    </wps:wsp>
                  </a:graphicData>
                </a:graphic>
              </wp:anchor>
            </w:drawing>
          </mc:Choice>
          <mc:Fallback>
            <w:pict>
              <v:rect id="_x0000_s1249" o:spid="_x0000_s1026" o:spt="1" style="position:absolute;left:0pt;margin-left:234pt;margin-top:9pt;height:39pt;width:54pt;z-index:251660288;mso-width-relative:page;mso-height-relative:page;" fillcolor="#FFFFFF" filled="t" stroked="t" coordsize="21600,21600" o:gfxdata="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Bhc4+S1QAAAAkBAAAPAAAAAAAAAAEAIAAAACIAAABkcnMvZG93bnJl&#10;di54bWxQSwECFAAUAAAACACHTuJAImFh1scBAACzAwAADgAAAAAAAAABACAAAAAkAQAAZHJzL2Uy&#10;b0RvYy54bWxQSwUGAAAAAAYABgBZAQAAXQUAAAAA&#10;">
                <v:fill on="t" focussize="0,0"/>
                <v:stroke color="#000000" joinstyle="round"/>
                <v:imagedata o:title=""/>
                <o:lock v:ext="edit" aspectratio="f"/>
                <v:textbox>
                  <w:txbxContent>
                    <w:p w14:paraId="25B6F2ED">
                      <w:pPr>
                        <w:pStyle w:val="293"/>
                      </w:pPr>
                      <w:r>
                        <w:rPr>
                          <w:rFonts w:hint="eastAsia"/>
                        </w:rPr>
                        <w:t>化粪池</w:t>
                      </w:r>
                    </w:p>
                    <w:p w14:paraId="340A5556"/>
                  </w:txbxContent>
                </v:textbox>
              </v:rect>
            </w:pict>
          </mc:Fallback>
        </mc:AlternateContent>
      </w:r>
      <w:r>
        <w:rPr>
          <w:rFonts w:hint="eastAsia"/>
          <w:color w:val="000000"/>
        </w:rPr>
        <mc:AlternateContent>
          <mc:Choice Requires="wps">
            <w:drawing>
              <wp:anchor distT="0" distB="0" distL="114300" distR="114300" simplePos="0" relativeHeight="251660288" behindDoc="0" locked="0" layoutInCell="1" allowOverlap="1">
                <wp:simplePos x="0" y="0"/>
                <wp:positionH relativeFrom="column">
                  <wp:posOffset>3543300</wp:posOffset>
                </wp:positionH>
                <wp:positionV relativeFrom="paragraph">
                  <wp:posOffset>15240</wp:posOffset>
                </wp:positionV>
                <wp:extent cx="685800" cy="267970"/>
                <wp:effectExtent l="0" t="0" r="0" b="0"/>
                <wp:wrapNone/>
                <wp:docPr id="69" name="_x0000_s1255"/>
                <wp:cNvGraphicFramePr/>
                <a:graphic xmlns:a="http://schemas.openxmlformats.org/drawingml/2006/main">
                  <a:graphicData uri="http://schemas.microsoft.com/office/word/2010/wordprocessingShape">
                    <wps:wsp>
                      <wps:cNvSpPr/>
                      <wps:spPr bwMode="auto">
                        <a:xfrm>
                          <a:off x="0" y="0"/>
                          <a:ext cx="685800" cy="267970"/>
                        </a:xfrm>
                        <a:prstGeom prst="rect">
                          <a:avLst/>
                        </a:prstGeom>
                        <a:solidFill>
                          <a:srgbClr val="FFFFFF">
                            <a:alpha val="0"/>
                          </a:srgbClr>
                        </a:solidFill>
                        <a:ln>
                          <a:solidFill>
                            <a:srgbClr val="FFFFFF"/>
                          </a:solidFill>
                        </a:ln>
                      </wps:spPr>
                      <wps:txbx>
                        <w:txbxContent>
                          <w:p w14:paraId="6C789D04">
                            <w:pPr>
                              <w:pStyle w:val="293"/>
                            </w:pPr>
                            <w:r>
                              <w:rPr>
                                <w:rFonts w:hint="eastAsia"/>
                              </w:rPr>
                              <w:t>102.053</w:t>
                            </w:r>
                          </w:p>
                          <w:p w14:paraId="6A88D6BF"/>
                        </w:txbxContent>
                      </wps:txbx>
                      <wps:bodyPr wrap="square" upright="1"/>
                    </wps:wsp>
                  </a:graphicData>
                </a:graphic>
              </wp:anchor>
            </w:drawing>
          </mc:Choice>
          <mc:Fallback>
            <w:pict>
              <v:rect id="_x0000_s1255" o:spid="_x0000_s1026" o:spt="1" style="position:absolute;left:0pt;margin-left:279pt;margin-top:1.2pt;height:21.1pt;width:54pt;z-index:251660288;mso-width-relative:page;mso-height-relative:page;" fillcolor="#FFFFFF" filled="t" stroked="t" coordsize="21600,21600" o:gfxdata="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HJxoOXUAAAACAEAAA8AAAAAAAAAAQAgAAAAIgAAAGRy&#10;cy9kb3ducmV2LnhtbFBLAQIUABQAAAAIAIdO4kDIfc4x0AEAANADAAAOAAAAAAAAAAEAIAAAACMB&#10;AABkcnMvZTJvRG9jLnhtbFBLBQYAAAAABgAGAFkBAABlBQAAAAA=&#10;">
                <v:fill on="t" opacity="0f" focussize="0,0"/>
                <v:stroke color="#FFFFFF" joinstyle="round"/>
                <v:imagedata o:title=""/>
                <o:lock v:ext="edit" aspectratio="f"/>
                <v:textbox>
                  <w:txbxContent>
                    <w:p w14:paraId="6C789D04">
                      <w:pPr>
                        <w:pStyle w:val="293"/>
                      </w:pPr>
                      <w:r>
                        <w:rPr>
                          <w:rFonts w:hint="eastAsia"/>
                        </w:rPr>
                        <w:t>102.053</w:t>
                      </w:r>
                    </w:p>
                    <w:p w14:paraId="6A88D6BF"/>
                  </w:txbxContent>
                </v:textbox>
              </v:rect>
            </w:pict>
          </mc:Fallback>
        </mc:AlternateContent>
      </w:r>
      <w:r>
        <w:rPr>
          <w:rFonts w:hint="eastAsia"/>
          <w:color w:val="000000"/>
        </w:rPr>
        <mc:AlternateContent>
          <mc:Choice Requires="wps">
            <w:drawing>
              <wp:anchor distT="0" distB="0" distL="114300" distR="114300" simplePos="0" relativeHeight="251660288" behindDoc="0" locked="0" layoutInCell="1" allowOverlap="1">
                <wp:simplePos x="0" y="0"/>
                <wp:positionH relativeFrom="column">
                  <wp:posOffset>914400</wp:posOffset>
                </wp:positionH>
                <wp:positionV relativeFrom="paragraph">
                  <wp:posOffset>213360</wp:posOffset>
                </wp:positionV>
                <wp:extent cx="229235" cy="114300"/>
                <wp:effectExtent l="0" t="0" r="0" b="0"/>
                <wp:wrapNone/>
                <wp:docPr id="70" name="_x0000_s1226"/>
                <wp:cNvGraphicFramePr/>
                <a:graphic xmlns:a="http://schemas.openxmlformats.org/drawingml/2006/main">
                  <a:graphicData uri="http://schemas.microsoft.com/office/word/2010/wordprocessingShape">
                    <wps:wsp>
                      <wps:cNvSpPr/>
                      <wps:spPr bwMode="auto">
                        <a:xfrm>
                          <a:off x="0" y="0"/>
                          <a:ext cx="229235" cy="114300"/>
                        </a:xfrm>
                        <a:custGeom>
                          <a:avLst/>
                          <a:gdLst>
                            <a:gd name="gd0" fmla="val 65536"/>
                            <a:gd name="gd1" fmla="val 0"/>
                            <a:gd name="gd2" fmla="val 156"/>
                            <a:gd name="gd3" fmla="val 180"/>
                            <a:gd name="gd4" fmla="val 0"/>
                            <a:gd name="gd5" fmla="val 180"/>
                            <a:gd name="gd6" fmla="val 156"/>
                            <a:gd name="gd7" fmla="val 360"/>
                            <a:gd name="gd8" fmla="val 0"/>
                          </a:gdLst>
                          <a:ahLst/>
                          <a:cxnLst/>
                          <a:rect l="0" t="0" r="r" b="b"/>
                          <a:pathLst>
                            <a:path w="360" h="156" extrusionOk="0">
                              <a:moveTo>
                                <a:pt x="gd1" y="gd2"/>
                              </a:moveTo>
                              <a:cubicBezTo>
                                <a:pt x="75" y="78"/>
                                <a:pt x="150" y="0"/>
                                <a:pt x="180" y="0"/>
                              </a:cubicBezTo>
                              <a:cubicBezTo>
                                <a:pt x="210" y="0"/>
                                <a:pt x="150" y="156"/>
                                <a:pt x="180" y="156"/>
                              </a:cubicBezTo>
                              <a:cubicBezTo>
                                <a:pt x="210" y="156"/>
                                <a:pt x="330" y="26"/>
                                <a:pt x="360" y="0"/>
                              </a:cubicBezTo>
                            </a:path>
                          </a:pathLst>
                        </a:custGeom>
                        <a:noFill/>
                        <a:ln>
                          <a:solidFill>
                            <a:srgbClr val="000000"/>
                          </a:solidFill>
                          <a:tailEnd type="triangle"/>
                        </a:ln>
                      </wps:spPr>
                      <wps:bodyPr rot="0">
                        <a:noAutofit/>
                      </wps:bodyPr>
                    </wps:wsp>
                  </a:graphicData>
                </a:graphic>
              </wp:anchor>
            </w:drawing>
          </mc:Choice>
          <mc:Fallback>
            <w:pict>
              <v:shape id="_x0000_s1226" o:spid="_x0000_s1026" o:spt="100" style="position:absolute;left:0pt;margin-left:72pt;margin-top:16.8pt;height:9pt;width:18.05pt;z-index:251660288;mso-width-relative:page;mso-height-relative:page;" filled="f" stroked="t" coordsize="360,156" o:gfxdata="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" path="m0,156c75,78,150,0,180,0c210,0,150,156,180,156c210,156,330,26,360,0e">
                <v:fill on="f" focussize="0,0"/>
                <v:stroke color="#000000" joinstyle="round" endarrow="block"/>
                <v:imagedata o:title=""/>
                <o:lock v:ext="edit" aspectratio="f"/>
              </v:shape>
            </w:pict>
          </mc:Fallback>
        </mc:AlternateContent>
      </w:r>
    </w:p>
    <w:p w14:paraId="4F965E10">
      <w:pPr>
        <w:spacing w:before="48" w:after="48"/>
        <w:rPr>
          <w:rFonts w:hint="eastAsia"/>
          <w:color w:val="000000"/>
        </w:rPr>
      </w:pPr>
      <w:r>
        <w:rPr>
          <w:rFonts w:hint="eastAsia"/>
          <w:color w:val="000000"/>
        </w:rPr>
        <mc:AlternateContent>
          <mc:Choice Requires="wps">
            <w:drawing>
              <wp:anchor distT="0" distB="0" distL="114300" distR="114300" simplePos="0" relativeHeight="251660288" behindDoc="0" locked="0" layoutInCell="1" allowOverlap="1">
                <wp:simplePos x="0" y="0"/>
                <wp:positionH relativeFrom="column">
                  <wp:posOffset>85725</wp:posOffset>
                </wp:positionH>
                <wp:positionV relativeFrom="paragraph">
                  <wp:posOffset>96520</wp:posOffset>
                </wp:positionV>
                <wp:extent cx="489585" cy="322580"/>
                <wp:effectExtent l="0" t="0" r="0" b="0"/>
                <wp:wrapNone/>
                <wp:docPr id="71" name="_x0000_s1202"/>
                <wp:cNvGraphicFramePr/>
                <a:graphic xmlns:a="http://schemas.openxmlformats.org/drawingml/2006/main">
                  <a:graphicData uri="http://schemas.microsoft.com/office/word/2010/wordprocessingShape">
                    <wps:wsp>
                      <wps:cNvSpPr/>
                      <wps:spPr bwMode="auto">
                        <a:xfrm flipV="1">
                          <a:off x="0" y="0"/>
                          <a:ext cx="489585" cy="322579"/>
                        </a:xfrm>
                        <a:prstGeom prst="rect">
                          <a:avLst/>
                        </a:prstGeom>
                        <a:solidFill>
                          <a:srgbClr val="FFFFFF"/>
                        </a:solidFill>
                        <a:ln>
                          <a:solidFill>
                            <a:srgbClr val="FFFFFF"/>
                          </a:solidFill>
                        </a:ln>
                      </wps:spPr>
                      <wps:txbx>
                        <w:txbxContent>
                          <w:p w14:paraId="683FACDA">
                            <w:pPr>
                              <w:pStyle w:val="293"/>
                            </w:pPr>
                            <w:r>
                              <w:rPr>
                                <w:rFonts w:hint="eastAsia"/>
                              </w:rPr>
                              <w:t>40</w:t>
                            </w:r>
                          </w:p>
                          <w:p w14:paraId="175C6987"/>
                        </w:txbxContent>
                      </wps:txbx>
                      <wps:bodyPr wrap="square" upright="1"/>
                    </wps:wsp>
                  </a:graphicData>
                </a:graphic>
              </wp:anchor>
            </w:drawing>
          </mc:Choice>
          <mc:Fallback>
            <w:pict>
              <v:rect id="_x0000_s1202" o:spid="_x0000_s1026" o:spt="1" style="position:absolute;left:0pt;flip:y;margin-left:6.75pt;margin-top:7.6pt;height:25.4pt;width:38.55pt;z-index:251660288;mso-width-relative:page;mso-height-relative:page;" fillcolor="#FFFFFF" filled="t" stroked="t" coordsize="21600,21600" o:gfxdata="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I5yf5rUAAAABwEAAA8AAAAAAAAAAQAgAAAAIgAAAGRycy9kb3du&#10;cmV2LnhtbFBLAQIUABQAAAAIAIdO4kCroTVQygEAAL0DAAAOAAAAAAAAAAEAIAAAACMBAABkcnMv&#10;ZTJvRG9jLnhtbFBLBQYAAAAABgAGAFkBAABfBQAAAAA=&#10;">
                <v:fill on="t" focussize="0,0"/>
                <v:stroke color="#FFFFFF" joinstyle="round"/>
                <v:imagedata o:title=""/>
                <o:lock v:ext="edit" aspectratio="f"/>
                <v:textbox>
                  <w:txbxContent>
                    <w:p w14:paraId="683FACDA">
                      <w:pPr>
                        <w:pStyle w:val="293"/>
                      </w:pPr>
                      <w:r>
                        <w:rPr>
                          <w:rFonts w:hint="eastAsia"/>
                        </w:rPr>
                        <w:t>40</w:t>
                      </w:r>
                    </w:p>
                    <w:p w14:paraId="175C6987"/>
                  </w:txbxContent>
                </v:textbox>
              </v:rect>
            </w:pict>
          </mc:Fallback>
        </mc:AlternateContent>
      </w:r>
      <w:r>
        <w:rPr>
          <w:rFonts w:hint="eastAsia"/>
          <w:color w:val="000000"/>
        </w:rPr>
        <mc:AlternateContent>
          <mc:Choice Requires="wps">
            <w:drawing>
              <wp:anchor distT="0" distB="0" distL="114300" distR="114300" simplePos="0" relativeHeight="251660288" behindDoc="0" locked="0" layoutInCell="1" allowOverlap="1">
                <wp:simplePos x="0" y="0"/>
                <wp:positionH relativeFrom="column">
                  <wp:posOffset>1257300</wp:posOffset>
                </wp:positionH>
                <wp:positionV relativeFrom="paragraph">
                  <wp:posOffset>132080</wp:posOffset>
                </wp:positionV>
                <wp:extent cx="571500" cy="270510"/>
                <wp:effectExtent l="0" t="0" r="0" b="0"/>
                <wp:wrapNone/>
                <wp:docPr id="72" name="_x0000_s1256"/>
                <wp:cNvGraphicFramePr/>
                <a:graphic xmlns:a="http://schemas.openxmlformats.org/drawingml/2006/main">
                  <a:graphicData uri="http://schemas.microsoft.com/office/word/2010/wordprocessingShape">
                    <wps:wsp>
                      <wps:cNvSpPr/>
                      <wps:spPr bwMode="auto">
                        <a:xfrm>
                          <a:off x="0" y="0"/>
                          <a:ext cx="571500" cy="270510"/>
                        </a:xfrm>
                        <a:prstGeom prst="rect">
                          <a:avLst/>
                        </a:prstGeom>
                        <a:solidFill>
                          <a:srgbClr val="FFFFFF">
                            <a:alpha val="0"/>
                          </a:srgbClr>
                        </a:solidFill>
                        <a:ln>
                          <a:noFill/>
                        </a:ln>
                      </wps:spPr>
                      <wps:txbx>
                        <w:txbxContent>
                          <w:p w14:paraId="0F6C83EE">
                            <w:pPr>
                              <w:pStyle w:val="293"/>
                            </w:pPr>
                            <w:r>
                              <w:rPr>
                                <w:rFonts w:hint="eastAsia"/>
                              </w:rPr>
                              <w:t>32</w:t>
                            </w:r>
                          </w:p>
                          <w:p w14:paraId="505DB50A"/>
                        </w:txbxContent>
                      </wps:txbx>
                      <wps:bodyPr wrap="square" upright="1"/>
                    </wps:wsp>
                  </a:graphicData>
                </a:graphic>
              </wp:anchor>
            </w:drawing>
          </mc:Choice>
          <mc:Fallback>
            <w:pict>
              <v:rect id="_x0000_s1256" o:spid="_x0000_s1026" o:spt="1" style="position:absolute;left:0pt;margin-left:99pt;margin-top:10.4pt;height:21.3pt;width:45pt;z-index:251660288;mso-width-relative:page;mso-height-relative:page;" fillcolor="#FFFFFF" filled="t" stroked="f" coordsize="21600,21600" o:gfxdata="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F2/ml/XAAAACQEAAA8AAAAAAAAAAQAgAAAAIgAAAGRy&#10;cy9kb3ducmV2LnhtbFBLAQIUABQAAAAIAIdO4kCgzMYRzQEAAKcDAAAOAAAAAAAAAAEAIAAAACYB&#10;AABkcnMvZTJvRG9jLnhtbFBLBQYAAAAABgAGAFkBAABlBQAAAAA=&#10;">
                <v:fill on="t" opacity="0f" focussize="0,0"/>
                <v:stroke on="f"/>
                <v:imagedata o:title=""/>
                <o:lock v:ext="edit" aspectratio="f"/>
                <v:textbox>
                  <w:txbxContent>
                    <w:p w14:paraId="0F6C83EE">
                      <w:pPr>
                        <w:pStyle w:val="293"/>
                      </w:pPr>
                      <w:r>
                        <w:rPr>
                          <w:rFonts w:hint="eastAsia"/>
                        </w:rPr>
                        <w:t>32</w:t>
                      </w:r>
                    </w:p>
                    <w:p w14:paraId="505DB50A"/>
                  </w:txbxContent>
                </v:textbox>
              </v:rect>
            </w:pict>
          </mc:Fallback>
        </mc:AlternateContent>
      </w:r>
      <w:r>
        <w:rPr>
          <w:rFonts w:hint="eastAsia"/>
          <w:color w:val="000000"/>
        </w:rPr>
        <mc:AlternateContent>
          <mc:Choice Requires="wps">
            <w:drawing>
              <wp:anchor distT="0" distB="0" distL="114300" distR="114300" simplePos="0" relativeHeight="251660288" behindDoc="0" locked="0" layoutInCell="1" allowOverlap="1">
                <wp:simplePos x="0" y="0"/>
                <wp:positionH relativeFrom="column">
                  <wp:posOffset>2362200</wp:posOffset>
                </wp:positionH>
                <wp:positionV relativeFrom="paragraph">
                  <wp:posOffset>102870</wp:posOffset>
                </wp:positionV>
                <wp:extent cx="571500" cy="270510"/>
                <wp:effectExtent l="0" t="0" r="0" b="0"/>
                <wp:wrapNone/>
                <wp:docPr id="73" name="_x0000_s1254"/>
                <wp:cNvGraphicFramePr/>
                <a:graphic xmlns:a="http://schemas.openxmlformats.org/drawingml/2006/main">
                  <a:graphicData uri="http://schemas.microsoft.com/office/word/2010/wordprocessingShape">
                    <wps:wsp>
                      <wps:cNvSpPr/>
                      <wps:spPr bwMode="auto">
                        <a:xfrm>
                          <a:off x="0" y="0"/>
                          <a:ext cx="571500" cy="270510"/>
                        </a:xfrm>
                        <a:prstGeom prst="rect">
                          <a:avLst/>
                        </a:prstGeom>
                        <a:solidFill>
                          <a:srgbClr val="FFFFFF">
                            <a:alpha val="0"/>
                          </a:srgbClr>
                        </a:solidFill>
                        <a:ln>
                          <a:noFill/>
                        </a:ln>
                      </wps:spPr>
                      <wps:txbx>
                        <w:txbxContent>
                          <w:p w14:paraId="3720A2EC">
                            <w:pPr>
                              <w:pStyle w:val="293"/>
                            </w:pPr>
                            <w:r>
                              <w:rPr>
                                <w:rFonts w:hint="eastAsia"/>
                              </w:rPr>
                              <w:t>32</w:t>
                            </w:r>
                          </w:p>
                          <w:p w14:paraId="1C2F0394"/>
                        </w:txbxContent>
                      </wps:txbx>
                      <wps:bodyPr wrap="square" upright="1"/>
                    </wps:wsp>
                  </a:graphicData>
                </a:graphic>
              </wp:anchor>
            </w:drawing>
          </mc:Choice>
          <mc:Fallback>
            <w:pict>
              <v:rect id="_x0000_s1254" o:spid="_x0000_s1026" o:spt="1" style="position:absolute;left:0pt;margin-left:186pt;margin-top:8.1pt;height:21.3pt;width:45pt;z-index:251660288;mso-width-relative:page;mso-height-relative:page;" fillcolor="#FFFFFF" filled="t" stroked="f" coordsize="21600,21600" o:gfxdata="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HwU999gAAAAJAQAADwAAAAAAAAABACAAAAAiAAAA&#10;ZHJzL2Rvd25yZXYueG1sUEsBAhQAFAAAAAgAh07iQI9G9PvOAQAApwMAAA4AAAAAAAAAAQAgAAAA&#10;JwEAAGRycy9lMm9Eb2MueG1sUEsFBgAAAAAGAAYAWQEAAGcFAAAAAA==&#10;">
                <v:fill on="t" opacity="0f" focussize="0,0"/>
                <v:stroke on="f"/>
                <v:imagedata o:title=""/>
                <o:lock v:ext="edit" aspectratio="f"/>
                <v:textbox>
                  <w:txbxContent>
                    <w:p w14:paraId="3720A2EC">
                      <w:pPr>
                        <w:pStyle w:val="293"/>
                      </w:pPr>
                      <w:r>
                        <w:rPr>
                          <w:rFonts w:hint="eastAsia"/>
                        </w:rPr>
                        <w:t>32</w:t>
                      </w:r>
                    </w:p>
                    <w:p w14:paraId="1C2F0394"/>
                  </w:txbxContent>
                </v:textbox>
              </v:rect>
            </w:pict>
          </mc:Fallback>
        </mc:AlternateContent>
      </w:r>
      <w:r>
        <w:rPr>
          <w:rFonts w:hint="eastAsia"/>
          <w:color w:val="000000"/>
        </w:rPr>
        <mc:AlternateContent>
          <mc:Choice Requires="wps">
            <w:drawing>
              <wp:anchor distT="0" distB="0" distL="114300" distR="114300" simplePos="0" relativeHeight="251660288" behindDoc="0" locked="0" layoutInCell="1" allowOverlap="1">
                <wp:simplePos x="0" y="0"/>
                <wp:positionH relativeFrom="column">
                  <wp:posOffset>4114800</wp:posOffset>
                </wp:positionH>
                <wp:positionV relativeFrom="paragraph">
                  <wp:posOffset>83820</wp:posOffset>
                </wp:positionV>
                <wp:extent cx="0" cy="594360"/>
                <wp:effectExtent l="0" t="0" r="0" b="0"/>
                <wp:wrapNone/>
                <wp:docPr id="74" name="_x0000_s1199"/>
                <wp:cNvGraphicFramePr/>
                <a:graphic xmlns:a="http://schemas.openxmlformats.org/drawingml/2006/main">
                  <a:graphicData uri="http://schemas.microsoft.com/office/word/2010/wordprocessingShape">
                    <wps:wsp>
                      <wps:cNvCnPr/>
                      <wps:spPr bwMode="auto">
                        <a:xfrm>
                          <a:off x="0" y="0"/>
                          <a:ext cx="0" cy="594360"/>
                        </a:xfrm>
                        <a:prstGeom prst="line">
                          <a:avLst/>
                        </a:prstGeom>
                        <a:solidFill>
                          <a:srgbClr val="FFFFFF"/>
                        </a:solidFill>
                        <a:ln w="19050">
                          <a:solidFill>
                            <a:srgbClr val="000000"/>
                          </a:solidFill>
                          <a:prstDash val="lgDash"/>
                          <a:tailEnd type="triangle"/>
                        </a:ln>
                      </wps:spPr>
                      <wps:bodyPr rot="0">
                        <a:noAutofit/>
                      </wps:bodyPr>
                    </wps:wsp>
                  </a:graphicData>
                </a:graphic>
              </wp:anchor>
            </w:drawing>
          </mc:Choice>
          <mc:Fallback>
            <w:pict>
              <v:line id="_x0000_s1199" o:spid="_x0000_s1026" o:spt="20" style="position:absolute;left:0pt;margin-left:324pt;margin-top:6.6pt;height:46.8pt;width:0pt;z-index:251660288;mso-width-relative:page;mso-height-relative:page;" fillcolor="#FFFFFF" filled="t" stroked="t" coordsize="21600,21600" o:gfxdata="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BwSS9k1gAAAAoB&#10;AAAPAAAAAAAAAAEAIAAAACIAAABkcnMvZG93bnJldi54bWxQSwECFAAUAAAACACHTuJARurvS+QB&#10;AADrAwAADgAAAAAAAAABACAAAAAlAQAAZHJzL2Uyb0RvYy54bWxQSwUGAAAAAAYABgBZAQAAewUA&#10;AAAA&#10;">
                <v:fill on="t" focussize="0,0"/>
                <v:stroke weight="1.5pt" color="#000000" joinstyle="round" dashstyle="longDash" endarrow="block"/>
                <v:imagedata o:title=""/>
                <o:lock v:ext="edit" aspectratio="f"/>
              </v:line>
            </w:pict>
          </mc:Fallback>
        </mc:AlternateContent>
      </w:r>
      <w:r>
        <w:rPr>
          <w:rFonts w:hint="eastAsia" w:ascii="宋体" w:hAnsi="宋体"/>
          <w:color w:val="000000"/>
        </w:rPr>
        <mc:AlternateContent>
          <mc:Choice Requires="wps">
            <w:drawing>
              <wp:anchor distT="0" distB="0" distL="114300" distR="114300" simplePos="0" relativeHeight="251660288" behindDoc="0" locked="0" layoutInCell="1" allowOverlap="1">
                <wp:simplePos x="0" y="0"/>
                <wp:positionH relativeFrom="column">
                  <wp:posOffset>3657600</wp:posOffset>
                </wp:positionH>
                <wp:positionV relativeFrom="paragraph">
                  <wp:posOffset>83820</wp:posOffset>
                </wp:positionV>
                <wp:extent cx="457200" cy="0"/>
                <wp:effectExtent l="0" t="0" r="0" b="0"/>
                <wp:wrapNone/>
                <wp:docPr id="75" name="_x0000_s1240"/>
                <wp:cNvGraphicFramePr/>
                <a:graphic xmlns:a="http://schemas.openxmlformats.org/drawingml/2006/main">
                  <a:graphicData uri="http://schemas.microsoft.com/office/word/2010/wordprocessingShape">
                    <wps:wsp>
                      <wps:cNvCnPr/>
                      <wps:spPr bwMode="auto">
                        <a:xfrm>
                          <a:off x="0" y="0"/>
                          <a:ext cx="457200" cy="0"/>
                        </a:xfrm>
                        <a:prstGeom prst="line">
                          <a:avLst/>
                        </a:prstGeom>
                        <a:solidFill>
                          <a:srgbClr val="FFFFFF"/>
                        </a:solidFill>
                        <a:ln w="19050">
                          <a:solidFill>
                            <a:srgbClr val="000000"/>
                          </a:solidFill>
                          <a:prstDash val="lgDash"/>
                          <a:tailEnd type="triangle"/>
                        </a:ln>
                      </wps:spPr>
                      <wps:bodyPr rot="0">
                        <a:noAutofit/>
                      </wps:bodyPr>
                    </wps:wsp>
                  </a:graphicData>
                </a:graphic>
              </wp:anchor>
            </w:drawing>
          </mc:Choice>
          <mc:Fallback>
            <w:pict>
              <v:line id="_x0000_s1240" o:spid="_x0000_s1026" o:spt="20" style="position:absolute;left:0pt;margin-left:288pt;margin-top:6.6pt;height:0pt;width:36pt;z-index:251660288;mso-width-relative:page;mso-height-relative:page;" fillcolor="#FFFFFF" filled="t" stroked="t" coordsize="21600,21600" o:gfxdata="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fbZlpdYAAAAJAQAA&#10;DwAAAAAAAAABACAAAAAiAAAAZHJzL2Rvd25yZXYueG1sUEsBAhQAFAAAAAgAh07iQGWZyrriAQAA&#10;6wMAAA4AAAAAAAAAAQAgAAAAJQEAAGRycy9lMm9Eb2MueG1sUEsFBgAAAAAGAAYAWQEAAHkFAAAA&#10;AA==&#10;">
                <v:fill on="t" focussize="0,0"/>
                <v:stroke weight="1.5pt" color="#000000" joinstyle="round" dashstyle="longDash" endarrow="block"/>
                <v:imagedata o:title=""/>
                <o:lock v:ext="edit" aspectratio="f"/>
              </v:line>
            </w:pict>
          </mc:Fallback>
        </mc:AlternateContent>
      </w:r>
      <w:r>
        <w:rPr>
          <w:rFonts w:hint="eastAsia"/>
          <w:color w:val="000000"/>
        </w:rPr>
        <mc:AlternateContent>
          <mc:Choice Requires="wps">
            <w:drawing>
              <wp:anchor distT="0" distB="0" distL="114300" distR="114300" simplePos="0" relativeHeight="251660288" behindDoc="0" locked="0" layoutInCell="1" allowOverlap="1">
                <wp:simplePos x="0" y="0"/>
                <wp:positionH relativeFrom="column">
                  <wp:posOffset>571500</wp:posOffset>
                </wp:positionH>
                <wp:positionV relativeFrom="paragraph">
                  <wp:posOffset>182880</wp:posOffset>
                </wp:positionV>
                <wp:extent cx="800100" cy="337185"/>
                <wp:effectExtent l="0" t="0" r="0" b="0"/>
                <wp:wrapNone/>
                <wp:docPr id="76" name="_x0000_s1247"/>
                <wp:cNvGraphicFramePr/>
                <a:graphic xmlns:a="http://schemas.openxmlformats.org/drawingml/2006/main">
                  <a:graphicData uri="http://schemas.microsoft.com/office/word/2010/wordprocessingShape">
                    <wps:wsp>
                      <wps:cNvSpPr/>
                      <wps:spPr bwMode="auto">
                        <a:xfrm>
                          <a:off x="0" y="0"/>
                          <a:ext cx="800100" cy="337185"/>
                        </a:xfrm>
                        <a:prstGeom prst="rect">
                          <a:avLst/>
                        </a:prstGeom>
                        <a:solidFill>
                          <a:srgbClr val="FFFFFF"/>
                        </a:solidFill>
                        <a:ln>
                          <a:solidFill>
                            <a:srgbClr val="000000"/>
                          </a:solidFill>
                        </a:ln>
                      </wps:spPr>
                      <wps:txbx>
                        <w:txbxContent>
                          <w:p w14:paraId="173CED60">
                            <w:pPr>
                              <w:pStyle w:val="293"/>
                            </w:pPr>
                            <w:r>
                              <w:rPr>
                                <w:rFonts w:hint="eastAsia"/>
                              </w:rPr>
                              <w:t>食堂用水</w:t>
                            </w:r>
                          </w:p>
                          <w:p w14:paraId="0198BD8F"/>
                        </w:txbxContent>
                      </wps:txbx>
                      <wps:bodyPr wrap="square" upright="1"/>
                    </wps:wsp>
                  </a:graphicData>
                </a:graphic>
              </wp:anchor>
            </w:drawing>
          </mc:Choice>
          <mc:Fallback>
            <w:pict>
              <v:rect id="_x0000_s1247" o:spid="_x0000_s1026" o:spt="1" style="position:absolute;left:0pt;margin-left:45pt;margin-top:14.4pt;height:26.55pt;width:63pt;z-index:251660288;mso-width-relative:page;mso-height-relative:page;" fillcolor="#FFFFFF" filled="t" stroked="t" coordsize="21600,21600" o:gfxdata="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H4Y4fLWAAAACAEAAA8AAAAAAAAAAQAgAAAAIgAAAGRycy9kb3du&#10;cmV2LnhtbFBLAQIUABQAAAAIAIdO4kA/NNwqyAEAALMDAAAOAAAAAAAAAAEAIAAAACUBAABkcnMv&#10;ZTJvRG9jLnhtbFBLBQYAAAAABgAGAFkBAABfBQAAAAA=&#10;">
                <v:fill on="t" focussize="0,0"/>
                <v:stroke color="#000000" joinstyle="round"/>
                <v:imagedata o:title=""/>
                <o:lock v:ext="edit" aspectratio="f"/>
                <v:textbox>
                  <w:txbxContent>
                    <w:p w14:paraId="173CED60">
                      <w:pPr>
                        <w:pStyle w:val="293"/>
                      </w:pPr>
                      <w:r>
                        <w:rPr>
                          <w:rFonts w:hint="eastAsia"/>
                        </w:rPr>
                        <w:t>食堂用水</w:t>
                      </w:r>
                    </w:p>
                    <w:p w14:paraId="0198BD8F"/>
                  </w:txbxContent>
                </v:textbox>
              </v:rect>
            </w:pict>
          </mc:Fallback>
        </mc:AlternateContent>
      </w:r>
    </w:p>
    <w:p w14:paraId="3D1783D1">
      <w:pPr>
        <w:spacing w:before="48" w:after="48"/>
        <w:rPr>
          <w:rFonts w:hint="eastAsia"/>
          <w:color w:val="000000"/>
        </w:rPr>
      </w:pPr>
      <w:r>
        <w:rPr>
          <w:rFonts w:hint="eastAsia"/>
          <w:color w:val="000000"/>
        </w:rPr>
        <mc:AlternateContent>
          <mc:Choice Requires="wps">
            <w:drawing>
              <wp:anchor distT="0" distB="0" distL="114300" distR="114300" simplePos="0" relativeHeight="251660288" behindDoc="0" locked="0" layoutInCell="1" allowOverlap="1">
                <wp:simplePos x="0" y="0"/>
                <wp:positionH relativeFrom="column">
                  <wp:posOffset>114300</wp:posOffset>
                </wp:positionH>
                <wp:positionV relativeFrom="paragraph">
                  <wp:posOffset>177165</wp:posOffset>
                </wp:positionV>
                <wp:extent cx="457200" cy="1905"/>
                <wp:effectExtent l="0" t="0" r="0" b="0"/>
                <wp:wrapNone/>
                <wp:docPr id="77" name="_x0000_s1220"/>
                <wp:cNvGraphicFramePr/>
                <a:graphic xmlns:a="http://schemas.openxmlformats.org/drawingml/2006/main">
                  <a:graphicData uri="http://schemas.microsoft.com/office/word/2010/wordprocessingShape">
                    <wps:wsp>
                      <wps:cNvCnPr/>
                      <wps:spPr bwMode="auto">
                        <a:xfrm flipV="1">
                          <a:off x="0" y="0"/>
                          <a:ext cx="457200" cy="1905"/>
                        </a:xfrm>
                        <a:prstGeom prst="line">
                          <a:avLst/>
                        </a:prstGeom>
                        <a:solidFill>
                          <a:srgbClr val="FFFFFF"/>
                        </a:solidFill>
                        <a:ln w="28575">
                          <a:solidFill>
                            <a:srgbClr val="000000"/>
                          </a:solidFill>
                          <a:tailEnd type="triangle"/>
                        </a:ln>
                      </wps:spPr>
                      <wps:bodyPr rot="0">
                        <a:noAutofit/>
                      </wps:bodyPr>
                    </wps:wsp>
                  </a:graphicData>
                </a:graphic>
              </wp:anchor>
            </w:drawing>
          </mc:Choice>
          <mc:Fallback>
            <w:pict>
              <v:line id="_x0000_s1220" o:spid="_x0000_s1026" o:spt="20" style="position:absolute;left:0pt;flip:y;margin-left:9pt;margin-top:13.95pt;height:0.15pt;width:36pt;z-index:251660288;mso-width-relative:page;mso-height-relative:page;" fillcolor="#FFFFFF" filled="t" stroked="t" coordsize="21600,21600" o:gfxdata="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pZP3jdUAAAAHAQAA&#10;DwAAAAAAAAABACAAAAAiAAAAZHJzL2Rvd25yZXYueG1sUEsBAhQAFAAAAAgAh07iQCzJye7jAQAA&#10;3gMAAA4AAAAAAAAAAQAgAAAAJAEAAGRycy9lMm9Eb2MueG1sUEsFBgAAAAAGAAYAWQEAAHkFAAAA&#10;AA==&#10;">
                <v:fill on="t" focussize="0,0"/>
                <v:stroke weight="2.25pt" color="#000000" joinstyle="round" endarrow="block"/>
                <v:imagedata o:title=""/>
                <o:lock v:ext="edit" aspectratio="f"/>
              </v:line>
            </w:pict>
          </mc:Fallback>
        </mc:AlternateContent>
      </w:r>
      <w:r>
        <w:rPr>
          <w:rFonts w:hint="eastAsia"/>
          <w:color w:val="000000"/>
        </w:rPr>
        <mc:AlternateContent>
          <mc:Choice Requires="wps">
            <w:drawing>
              <wp:anchor distT="0" distB="0" distL="114300" distR="114300" simplePos="0" relativeHeight="251660288" behindDoc="0" locked="0" layoutInCell="1" allowOverlap="1">
                <wp:simplePos x="0" y="0"/>
                <wp:positionH relativeFrom="column">
                  <wp:posOffset>2295525</wp:posOffset>
                </wp:positionH>
                <wp:positionV relativeFrom="paragraph">
                  <wp:posOffset>158115</wp:posOffset>
                </wp:positionV>
                <wp:extent cx="695325" cy="9525"/>
                <wp:effectExtent l="0" t="0" r="0" b="0"/>
                <wp:wrapNone/>
                <wp:docPr id="78" name="_x0000_s1252"/>
                <wp:cNvGraphicFramePr/>
                <a:graphic xmlns:a="http://schemas.openxmlformats.org/drawingml/2006/main">
                  <a:graphicData uri="http://schemas.microsoft.com/office/word/2010/wordprocessingShape">
                    <wps:wsp>
                      <wps:cNvCnPr/>
                      <wps:spPr bwMode="auto">
                        <a:xfrm>
                          <a:off x="0" y="0"/>
                          <a:ext cx="695325" cy="9525"/>
                        </a:xfrm>
                        <a:prstGeom prst="line">
                          <a:avLst/>
                        </a:prstGeom>
                        <a:solidFill>
                          <a:srgbClr val="FFFFFF"/>
                        </a:solidFill>
                        <a:ln w="19050">
                          <a:solidFill>
                            <a:srgbClr val="000000"/>
                          </a:solidFill>
                          <a:prstDash val="dash"/>
                          <a:tailEnd type="triangle"/>
                        </a:ln>
                      </wps:spPr>
                      <wps:bodyPr rot="0">
                        <a:noAutofit/>
                      </wps:bodyPr>
                    </wps:wsp>
                  </a:graphicData>
                </a:graphic>
              </wp:anchor>
            </w:drawing>
          </mc:Choice>
          <mc:Fallback>
            <w:pict>
              <v:line id="_x0000_s1252" o:spid="_x0000_s1026" o:spt="20" style="position:absolute;left:0pt;margin-left:180.75pt;margin-top:12.45pt;height:0.75pt;width:54.75pt;z-index:251660288;mso-width-relative:page;mso-height-relative:page;" fillcolor="#FFFFFF" filled="t" stroked="t" coordsize="21600,21600" o:gfxdata="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BfVuzt&#10;2QAAAAkBAAAPAAAAAAAAAAEAIAAAACIAAABkcnMvZG93bnJldi54bWxQSwECFAAUAAAACACHTuJA&#10;gYoIOucBAADsAwAADgAAAAAAAAABACAAAAAoAQAAZHJzL2Uyb0RvYy54bWxQSwUGAAAAAAYABgBZ&#10;AQAAgQUAAAAA&#10;">
                <v:fill on="t" focussize="0,0"/>
                <v:stroke weight="1.5pt" color="#000000" joinstyle="round" dashstyle="dash" endarrow="block"/>
                <v:imagedata o:title=""/>
                <o:lock v:ext="edit" aspectratio="f"/>
              </v:line>
            </w:pict>
          </mc:Fallback>
        </mc:AlternateContent>
      </w:r>
      <w:r>
        <w:rPr>
          <w:rFonts w:hint="eastAsia"/>
          <w:color w:val="000000"/>
        </w:rPr>
        <mc:AlternateContent>
          <mc:Choice Requires="wps">
            <w:drawing>
              <wp:anchor distT="0" distB="0" distL="114300" distR="114300" simplePos="0" relativeHeight="251660288" behindDoc="0" locked="0" layoutInCell="1" allowOverlap="1">
                <wp:simplePos x="0" y="0"/>
                <wp:positionH relativeFrom="column">
                  <wp:posOffset>1714500</wp:posOffset>
                </wp:positionH>
                <wp:positionV relativeFrom="paragraph">
                  <wp:posOffset>-635</wp:posOffset>
                </wp:positionV>
                <wp:extent cx="586740" cy="336550"/>
                <wp:effectExtent l="0" t="0" r="0" b="0"/>
                <wp:wrapNone/>
                <wp:docPr id="79" name="_x0000_s1248"/>
                <wp:cNvGraphicFramePr/>
                <a:graphic xmlns:a="http://schemas.openxmlformats.org/drawingml/2006/main">
                  <a:graphicData uri="http://schemas.microsoft.com/office/word/2010/wordprocessingShape">
                    <wps:wsp>
                      <wps:cNvSpPr/>
                      <wps:spPr bwMode="auto">
                        <a:xfrm>
                          <a:off x="0" y="0"/>
                          <a:ext cx="586740" cy="336550"/>
                        </a:xfrm>
                        <a:prstGeom prst="rect">
                          <a:avLst/>
                        </a:prstGeom>
                        <a:solidFill>
                          <a:srgbClr val="FFFFFF"/>
                        </a:solidFill>
                        <a:ln>
                          <a:solidFill>
                            <a:srgbClr val="000000"/>
                          </a:solidFill>
                        </a:ln>
                      </wps:spPr>
                      <wps:txbx>
                        <w:txbxContent>
                          <w:p w14:paraId="559A5507">
                            <w:pPr>
                              <w:pStyle w:val="293"/>
                            </w:pPr>
                            <w:r>
                              <w:rPr>
                                <w:rFonts w:hint="eastAsia"/>
                              </w:rPr>
                              <w:t>隔油池</w:t>
                            </w:r>
                          </w:p>
                          <w:p w14:paraId="648E3DCA"/>
                        </w:txbxContent>
                      </wps:txbx>
                      <wps:bodyPr wrap="square" upright="1"/>
                    </wps:wsp>
                  </a:graphicData>
                </a:graphic>
              </wp:anchor>
            </w:drawing>
          </mc:Choice>
          <mc:Fallback>
            <w:pict>
              <v:rect id="_x0000_s1248" o:spid="_x0000_s1026" o:spt="1" style="position:absolute;left:0pt;margin-left:135pt;margin-top:-0.05pt;height:26.5pt;width:46.2pt;z-index:251660288;mso-width-relative:page;mso-height-relative:page;" fillcolor="#FFFFFF" filled="t" stroked="t" coordsize="21600,21600" o:gfxdata="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&#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">
                <v:fill on="t" focussize="0,0"/>
                <v:stroke color="#000000" joinstyle="round"/>
                <v:imagedata o:title=""/>
                <o:lock v:ext="edit" aspectratio="f"/>
                <v:textbox>
                  <w:txbxContent>
                    <w:p w14:paraId="559A5507">
                      <w:pPr>
                        <w:pStyle w:val="293"/>
                      </w:pPr>
                      <w:r>
                        <w:rPr>
                          <w:rFonts w:hint="eastAsia"/>
                        </w:rPr>
                        <w:t>隔油池</w:t>
                      </w:r>
                    </w:p>
                    <w:p w14:paraId="648E3DCA"/>
                  </w:txbxContent>
                </v:textbox>
              </v:rect>
            </w:pict>
          </mc:Fallback>
        </mc:AlternateContent>
      </w:r>
    </w:p>
    <w:p w14:paraId="7E30BF40">
      <w:pPr>
        <w:spacing w:before="48" w:after="48"/>
        <w:rPr>
          <w:rFonts w:hint="eastAsia"/>
          <w:color w:val="000000"/>
        </w:rPr>
      </w:pPr>
      <w:r>
        <w:rPr>
          <w:rFonts w:hint="eastAsia"/>
          <w:color w:val="000000"/>
        </w:rPr>
        <mc:AlternateContent>
          <mc:Choice Requires="wps">
            <w:drawing>
              <wp:anchor distT="0" distB="0" distL="114300" distR="114300" simplePos="0" relativeHeight="251660288" behindDoc="0" locked="0" layoutInCell="1" allowOverlap="1">
                <wp:simplePos x="0" y="0"/>
                <wp:positionH relativeFrom="column">
                  <wp:posOffset>4343400</wp:posOffset>
                </wp:positionH>
                <wp:positionV relativeFrom="paragraph">
                  <wp:posOffset>121920</wp:posOffset>
                </wp:positionV>
                <wp:extent cx="695325" cy="267970"/>
                <wp:effectExtent l="0" t="0" r="0" b="0"/>
                <wp:wrapNone/>
                <wp:docPr id="80" name="_x0000_s1231"/>
                <wp:cNvGraphicFramePr/>
                <a:graphic xmlns:a="http://schemas.openxmlformats.org/drawingml/2006/main">
                  <a:graphicData uri="http://schemas.microsoft.com/office/word/2010/wordprocessingShape">
                    <wps:wsp>
                      <wps:cNvSpPr/>
                      <wps:spPr bwMode="auto">
                        <a:xfrm>
                          <a:off x="0" y="0"/>
                          <a:ext cx="695325" cy="267970"/>
                        </a:xfrm>
                        <a:prstGeom prst="rect">
                          <a:avLst/>
                        </a:prstGeom>
                        <a:solidFill>
                          <a:srgbClr val="FFFFFF">
                            <a:alpha val="0"/>
                          </a:srgbClr>
                        </a:solidFill>
                        <a:ln>
                          <a:solidFill>
                            <a:srgbClr val="FFFFFF"/>
                          </a:solidFill>
                        </a:ln>
                      </wps:spPr>
                      <wps:txbx>
                        <w:txbxContent>
                          <w:p w14:paraId="1D9556D7">
                            <w:pPr>
                              <w:pStyle w:val="293"/>
                            </w:pPr>
                            <w:r>
                              <w:rPr>
                                <w:rFonts w:hint="eastAsia"/>
                              </w:rPr>
                              <w:t>102.553</w:t>
                            </w:r>
                          </w:p>
                          <w:p w14:paraId="54820166"/>
                        </w:txbxContent>
                      </wps:txbx>
                      <wps:bodyPr wrap="square" upright="1"/>
                    </wps:wsp>
                  </a:graphicData>
                </a:graphic>
              </wp:anchor>
            </w:drawing>
          </mc:Choice>
          <mc:Fallback>
            <w:pict>
              <v:rect id="_x0000_s1231" o:spid="_x0000_s1026" o:spt="1" style="position:absolute;left:0pt;margin-left:342pt;margin-top:9.6pt;height:21.1pt;width:54.75pt;z-index:251660288;mso-width-relative:page;mso-height-relative:page;" fillcolor="#FFFFFF" filled="t" stroked="t" coordsize="21600,21600" o:gfxdata="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L2x+VXUAAAACQEAAA8AAAAAAAAAAQAgAAAAIgAAAGRy&#10;cy9kb3ducmV2LnhtbFBLAQIUABQAAAAIAIdO4kCXPYy00AEAANADAAAOAAAAAAAAAAEAIAAAACMB&#10;AABkcnMvZTJvRG9jLnhtbFBLBQYAAAAABgAGAFkBAABlBQAAAAA=&#10;">
                <v:fill on="t" opacity="0f" focussize="0,0"/>
                <v:stroke color="#FFFFFF" joinstyle="round"/>
                <v:imagedata o:title=""/>
                <o:lock v:ext="edit" aspectratio="f"/>
                <v:textbox>
                  <w:txbxContent>
                    <w:p w14:paraId="1D9556D7">
                      <w:pPr>
                        <w:pStyle w:val="293"/>
                      </w:pPr>
                      <w:r>
                        <w:rPr>
                          <w:rFonts w:hint="eastAsia"/>
                        </w:rPr>
                        <w:t>102.553</w:t>
                      </w:r>
                    </w:p>
                    <w:p w14:paraId="54820166"/>
                  </w:txbxContent>
                </v:textbox>
              </v:rect>
            </w:pict>
          </mc:Fallback>
        </mc:AlternateContent>
      </w:r>
      <w:r>
        <w:rPr>
          <w:rFonts w:hint="eastAsia"/>
          <w:color w:val="000000"/>
        </w:rPr>
        <mc:AlternateContent>
          <mc:Choice Requires="wps">
            <w:drawing>
              <wp:anchor distT="0" distB="0" distL="114300" distR="114300" simplePos="0" relativeHeight="251660288" behindDoc="0" locked="0" layoutInCell="1" allowOverlap="1">
                <wp:simplePos x="0" y="0"/>
                <wp:positionH relativeFrom="column">
                  <wp:posOffset>3314700</wp:posOffset>
                </wp:positionH>
                <wp:positionV relativeFrom="paragraph">
                  <wp:posOffset>73660</wp:posOffset>
                </wp:positionV>
                <wp:extent cx="0" cy="1927860"/>
                <wp:effectExtent l="0" t="0" r="0" b="0"/>
                <wp:wrapNone/>
                <wp:docPr id="81" name="_x0000_s1257"/>
                <wp:cNvGraphicFramePr/>
                <a:graphic xmlns:a="http://schemas.openxmlformats.org/drawingml/2006/main">
                  <a:graphicData uri="http://schemas.microsoft.com/office/word/2010/wordprocessingShape">
                    <wps:wsp>
                      <wps:cNvCnPr/>
                      <wps:spPr bwMode="auto">
                        <a:xfrm flipV="1">
                          <a:off x="0" y="0"/>
                          <a:ext cx="0" cy="1927860"/>
                        </a:xfrm>
                        <a:prstGeom prst="line">
                          <a:avLst/>
                        </a:prstGeom>
                        <a:solidFill>
                          <a:srgbClr val="FFFFFF"/>
                        </a:solidFill>
                        <a:ln w="19050">
                          <a:solidFill>
                            <a:srgbClr val="000000"/>
                          </a:solidFill>
                          <a:prstDash val="dash"/>
                          <a:tailEnd type="triangle"/>
                        </a:ln>
                      </wps:spPr>
                      <wps:bodyPr rot="0">
                        <a:noAutofit/>
                      </wps:bodyPr>
                    </wps:wsp>
                  </a:graphicData>
                </a:graphic>
              </wp:anchor>
            </w:drawing>
          </mc:Choice>
          <mc:Fallback>
            <w:pict>
              <v:line id="_x0000_s1257" o:spid="_x0000_s1026" o:spt="20" style="position:absolute;left:0pt;flip:y;margin-left:261pt;margin-top:5.8pt;height:151.8pt;width:0pt;z-index:251660288;mso-width-relative:page;mso-height-relative:page;" fillcolor="#FFFFFF" filled="t" stroked="t" coordsize="21600,21600" o:gfxdata="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CJQD&#10;O9YAAAAKAQAADwAAAAAAAAABACAAAAAiAAAAZHJzL2Rvd25yZXYueG1sUEsBAhQAFAAAAAgAh07i&#10;QMOgAn3rAQAA9AMAAA4AAAAAAAAAAQAgAAAAJQEAAGRycy9lMm9Eb2MueG1sUEsFBgAAAAAGAAYA&#10;WQEAAIIFAAAAAA==&#10;">
                <v:fill on="t" focussize="0,0"/>
                <v:stroke weight="1.5pt" color="#000000" joinstyle="round" dashstyle="dash" endarrow="block"/>
                <v:imagedata o:title=""/>
                <o:lock v:ext="edit" aspectratio="f"/>
              </v:line>
            </w:pict>
          </mc:Fallback>
        </mc:AlternateContent>
      </w:r>
      <w:r>
        <w:rPr>
          <w:rFonts w:hint="eastAsia"/>
          <w:color w:val="000000"/>
        </w:rPr>
        <mc:AlternateContent>
          <mc:Choice Requires="wps">
            <w:drawing>
              <wp:anchor distT="0" distB="0" distL="114300" distR="114300" simplePos="0" relativeHeight="251660288" behindDoc="0" locked="0" layoutInCell="1" allowOverlap="1">
                <wp:simplePos x="0" y="0"/>
                <wp:positionH relativeFrom="column">
                  <wp:posOffset>1371600</wp:posOffset>
                </wp:positionH>
                <wp:positionV relativeFrom="paragraph">
                  <wp:posOffset>19685</wp:posOffset>
                </wp:positionV>
                <wp:extent cx="342900" cy="0"/>
                <wp:effectExtent l="0" t="0" r="0" b="0"/>
                <wp:wrapNone/>
                <wp:docPr id="82" name="_x0000_s1253"/>
                <wp:cNvGraphicFramePr/>
                <a:graphic xmlns:a="http://schemas.openxmlformats.org/drawingml/2006/main">
                  <a:graphicData uri="http://schemas.microsoft.com/office/word/2010/wordprocessingShape">
                    <wps:wsp>
                      <wps:cNvCnPr/>
                      <wps:spPr bwMode="auto">
                        <a:xfrm>
                          <a:off x="0" y="0"/>
                          <a:ext cx="342900" cy="0"/>
                        </a:xfrm>
                        <a:prstGeom prst="line">
                          <a:avLst/>
                        </a:prstGeom>
                        <a:solidFill>
                          <a:srgbClr val="FFFFFF"/>
                        </a:solidFill>
                        <a:ln w="19050">
                          <a:solidFill>
                            <a:srgbClr val="000000"/>
                          </a:solidFill>
                          <a:prstDash val="dash"/>
                          <a:tailEnd type="triangle"/>
                        </a:ln>
                      </wps:spPr>
                      <wps:bodyPr rot="0">
                        <a:noAutofit/>
                      </wps:bodyPr>
                    </wps:wsp>
                  </a:graphicData>
                </a:graphic>
              </wp:anchor>
            </w:drawing>
          </mc:Choice>
          <mc:Fallback>
            <w:pict>
              <v:line id="_x0000_s1253" o:spid="_x0000_s1026" o:spt="20" style="position:absolute;left:0pt;margin-left:108pt;margin-top:1.55pt;height:0pt;width:27pt;z-index:251660288;mso-width-relative:page;mso-height-relative:page;" fillcolor="#FFFFFF" filled="t" stroked="t" coordsize="21600,21600" o:gfxdata="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bA0+g9UAAAAHAQAA&#10;DwAAAAAAAAABACAAAAAiAAAAZHJzL2Rvd25yZXYueG1sUEsBAhQAFAAAAAgAh07iQMWUOr7jAQAA&#10;6QMAAA4AAAAAAAAAAQAgAAAAJAEAAGRycy9lMm9Eb2MueG1sUEsFBgAAAAAGAAYAWQEAAHkFAAAA&#10;AA==&#10;">
                <v:fill on="t" focussize="0,0"/>
                <v:stroke weight="1.5pt" color="#000000" joinstyle="round" dashstyle="dash" endarrow="block"/>
                <v:imagedata o:title=""/>
                <o:lock v:ext="edit" aspectratio="f"/>
              </v:line>
            </w:pict>
          </mc:Fallback>
        </mc:AlternateContent>
      </w:r>
      <w:r>
        <w:rPr>
          <w:rFonts w:hint="eastAsia"/>
          <w:color w:val="000000"/>
        </w:rPr>
        <mc:AlternateContent>
          <mc:Choice Requires="wps">
            <w:drawing>
              <wp:anchor distT="0" distB="0" distL="114300" distR="114300" simplePos="0" relativeHeight="251660288" behindDoc="0" locked="0" layoutInCell="1" allowOverlap="1">
                <wp:simplePos x="0" y="0"/>
                <wp:positionH relativeFrom="column">
                  <wp:posOffset>1028700</wp:posOffset>
                </wp:positionH>
                <wp:positionV relativeFrom="paragraph">
                  <wp:posOffset>121920</wp:posOffset>
                </wp:positionV>
                <wp:extent cx="571500" cy="297180"/>
                <wp:effectExtent l="0" t="0" r="0" b="0"/>
                <wp:wrapNone/>
                <wp:docPr id="83" name="_x0000_s1258"/>
                <wp:cNvGraphicFramePr/>
                <a:graphic xmlns:a="http://schemas.openxmlformats.org/drawingml/2006/main">
                  <a:graphicData uri="http://schemas.microsoft.com/office/word/2010/wordprocessingShape">
                    <wps:wsp>
                      <wps:cNvSpPr/>
                      <wps:spPr bwMode="auto">
                        <a:xfrm>
                          <a:off x="0" y="0"/>
                          <a:ext cx="571500" cy="297180"/>
                        </a:xfrm>
                        <a:prstGeom prst="rect">
                          <a:avLst/>
                        </a:prstGeom>
                        <a:solidFill>
                          <a:srgbClr val="FFFFFF"/>
                        </a:solidFill>
                        <a:ln>
                          <a:solidFill>
                            <a:srgbClr val="FFFFFF"/>
                          </a:solidFill>
                        </a:ln>
                      </wps:spPr>
                      <wps:txbx>
                        <w:txbxContent>
                          <w:p w14:paraId="54BFB7F2">
                            <w:pPr>
                              <w:pStyle w:val="287"/>
                            </w:pPr>
                            <w:r>
                              <w:rPr>
                                <w:rFonts w:hint="eastAsia"/>
                              </w:rPr>
                              <w:t>0.009</w:t>
                            </w:r>
                          </w:p>
                          <w:p w14:paraId="373BFE91"/>
                        </w:txbxContent>
                      </wps:txbx>
                      <wps:bodyPr wrap="square" upright="1"/>
                    </wps:wsp>
                  </a:graphicData>
                </a:graphic>
              </wp:anchor>
            </w:drawing>
          </mc:Choice>
          <mc:Fallback>
            <w:pict>
              <v:rect id="_x0000_s1258" o:spid="_x0000_s1026" o:spt="1" style="position:absolute;left:0pt;margin-left:81pt;margin-top:9.6pt;height:23.4pt;width:45pt;z-index:251660288;mso-width-relative:page;mso-height-relative:page;" fillcolor="#FFFFFF" filled="t" stroked="t" coordsize="21600,21600" o:gfxdata="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DBgBR1QAAAAkBAAAPAAAAAAAAAAEAIAAAACIAAABkcnMvZG93bnJldi54&#10;bWxQSwECFAAUAAAACACHTuJA1KckhMQBAACzAwAADgAAAAAAAAABACAAAAAkAQAAZHJzL2Uyb0Rv&#10;Yy54bWxQSwUGAAAAAAYABgBZAQAAWgUAAAAA&#10;">
                <v:fill on="t" focussize="0,0"/>
                <v:stroke color="#FFFFFF" joinstyle="round"/>
                <v:imagedata o:title=""/>
                <o:lock v:ext="edit" aspectratio="f"/>
                <v:textbox>
                  <w:txbxContent>
                    <w:p w14:paraId="54BFB7F2">
                      <w:pPr>
                        <w:pStyle w:val="287"/>
                      </w:pPr>
                      <w:r>
                        <w:rPr>
                          <w:rFonts w:hint="eastAsia"/>
                        </w:rPr>
                        <w:t>0.009</w:t>
                      </w:r>
                    </w:p>
                    <w:p w14:paraId="373BFE91"/>
                  </w:txbxContent>
                </v:textbox>
              </v:rect>
            </w:pict>
          </mc:Fallback>
        </mc:AlternateContent>
      </w:r>
      <w:r>
        <w:rPr>
          <w:rFonts w:hint="eastAsia"/>
          <w:color w:val="000000"/>
        </w:rPr>
        <mc:AlternateContent>
          <mc:Choice Requires="wps">
            <w:drawing>
              <wp:anchor distT="0" distB="0" distL="114300" distR="114300" simplePos="0" relativeHeight="251660288" behindDoc="0" locked="0" layoutInCell="1" allowOverlap="1">
                <wp:simplePos x="0" y="0"/>
                <wp:positionH relativeFrom="column">
                  <wp:posOffset>3886200</wp:posOffset>
                </wp:positionH>
                <wp:positionV relativeFrom="paragraph">
                  <wp:posOffset>220980</wp:posOffset>
                </wp:positionV>
                <wp:extent cx="571500" cy="495300"/>
                <wp:effectExtent l="0" t="0" r="0" b="0"/>
                <wp:wrapNone/>
                <wp:docPr id="84" name="_x0000_s1241"/>
                <wp:cNvGraphicFramePr/>
                <a:graphic xmlns:a="http://schemas.openxmlformats.org/drawingml/2006/main">
                  <a:graphicData uri="http://schemas.microsoft.com/office/word/2010/wordprocessingShape">
                    <wps:wsp>
                      <wps:cNvSpPr/>
                      <wps:spPr bwMode="auto">
                        <a:xfrm>
                          <a:off x="0" y="0"/>
                          <a:ext cx="571500" cy="495300"/>
                        </a:xfrm>
                        <a:prstGeom prst="rect">
                          <a:avLst/>
                        </a:prstGeom>
                        <a:solidFill>
                          <a:srgbClr val="FFFFFF"/>
                        </a:solidFill>
                        <a:ln>
                          <a:solidFill>
                            <a:srgbClr val="000000"/>
                          </a:solidFill>
                        </a:ln>
                      </wps:spPr>
                      <wps:txbx>
                        <w:txbxContent>
                          <w:p w14:paraId="764301E3">
                            <w:pPr>
                              <w:pStyle w:val="293"/>
                              <w:rPr>
                                <w:rFonts w:hint="eastAsia"/>
                              </w:rPr>
                            </w:pPr>
                            <w:r>
                              <w:rPr>
                                <w:rFonts w:hint="eastAsia"/>
                              </w:rPr>
                              <w:t>污水处</w:t>
                            </w:r>
                          </w:p>
                          <w:p w14:paraId="6F8D9F4B">
                            <w:pPr>
                              <w:pStyle w:val="293"/>
                            </w:pPr>
                            <w:r>
                              <w:rPr>
                                <w:rFonts w:hint="eastAsia"/>
                              </w:rPr>
                              <w:t>理站</w:t>
                            </w:r>
                          </w:p>
                          <w:p w14:paraId="6BC22489"/>
                        </w:txbxContent>
                      </wps:txbx>
                      <wps:bodyPr wrap="square" upright="1"/>
                    </wps:wsp>
                  </a:graphicData>
                </a:graphic>
              </wp:anchor>
            </w:drawing>
          </mc:Choice>
          <mc:Fallback>
            <w:pict>
              <v:rect id="_x0000_s1241" o:spid="_x0000_s1026" o:spt="1" style="position:absolute;left:0pt;margin-left:306pt;margin-top:17.4pt;height:39pt;width:45pt;z-index:251660288;mso-width-relative:page;mso-height-relative:page;" fillcolor="#FFFFFF" filled="t" stroked="t" coordsize="21600,21600" o:gfxdata="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CpIFWrXAAAACgEAAA8AAAAAAAAAAQAgAAAAIgAAAGRycy9kb3du&#10;cmV2LnhtbFBLAQIUABQAAAAIAIdO4kAINmfNxwEAALMDAAAOAAAAAAAAAAEAIAAAACYBAABkcnMv&#10;ZTJvRG9jLnhtbFBLBQYAAAAABgAGAFkBAABfBQAAAAA=&#10;">
                <v:fill on="t" focussize="0,0"/>
                <v:stroke color="#000000" joinstyle="round"/>
                <v:imagedata o:title=""/>
                <o:lock v:ext="edit" aspectratio="f"/>
                <v:textbox>
                  <w:txbxContent>
                    <w:p w14:paraId="764301E3">
                      <w:pPr>
                        <w:pStyle w:val="293"/>
                        <w:rPr>
                          <w:rFonts w:hint="eastAsia"/>
                        </w:rPr>
                      </w:pPr>
                      <w:r>
                        <w:rPr>
                          <w:rFonts w:hint="eastAsia"/>
                        </w:rPr>
                        <w:t>污水处</w:t>
                      </w:r>
                    </w:p>
                    <w:p w14:paraId="6F8D9F4B">
                      <w:pPr>
                        <w:pStyle w:val="293"/>
                      </w:pPr>
                      <w:r>
                        <w:rPr>
                          <w:rFonts w:hint="eastAsia"/>
                        </w:rPr>
                        <w:t>理站</w:t>
                      </w:r>
                    </w:p>
                    <w:p w14:paraId="6BC22489"/>
                  </w:txbxContent>
                </v:textbox>
              </v:rect>
            </w:pict>
          </mc:Fallback>
        </mc:AlternateContent>
      </w:r>
      <w:r>
        <w:rPr>
          <w:rFonts w:hint="eastAsia"/>
          <w:color w:val="000000"/>
        </w:rPr>
        <mc:AlternateContent>
          <mc:Choice Requires="wps">
            <w:drawing>
              <wp:anchor distT="0" distB="0" distL="114300" distR="114300" simplePos="0" relativeHeight="251660288" behindDoc="0" locked="0" layoutInCell="1" allowOverlap="1">
                <wp:simplePos x="0" y="0"/>
                <wp:positionH relativeFrom="column">
                  <wp:posOffset>4686300</wp:posOffset>
                </wp:positionH>
                <wp:positionV relativeFrom="paragraph">
                  <wp:posOffset>198120</wp:posOffset>
                </wp:positionV>
                <wp:extent cx="635" cy="0"/>
                <wp:effectExtent l="0" t="0" r="0" b="0"/>
                <wp:wrapNone/>
                <wp:docPr id="85" name="_x0000_s1209"/>
                <wp:cNvGraphicFramePr/>
                <a:graphic xmlns:a="http://schemas.openxmlformats.org/drawingml/2006/main">
                  <a:graphicData uri="http://schemas.microsoft.com/office/word/2010/wordprocessingShape">
                    <wps:wsp>
                      <wps:cNvCnPr/>
                      <wps:spPr bwMode="auto">
                        <a:xfrm>
                          <a:off x="0" y="0"/>
                          <a:ext cx="635" cy="0"/>
                        </a:xfrm>
                        <a:prstGeom prst="line">
                          <a:avLst/>
                        </a:prstGeom>
                        <a:solidFill>
                          <a:srgbClr val="FFFFFF"/>
                        </a:solidFill>
                        <a:ln>
                          <a:solidFill>
                            <a:srgbClr val="000000"/>
                          </a:solidFill>
                        </a:ln>
                      </wps:spPr>
                      <wps:bodyPr rot="0">
                        <a:noAutofit/>
                      </wps:bodyPr>
                    </wps:wsp>
                  </a:graphicData>
                </a:graphic>
              </wp:anchor>
            </w:drawing>
          </mc:Choice>
          <mc:Fallback>
            <w:pict>
              <v:line id="_x0000_s1209" o:spid="_x0000_s1026" o:spt="20" style="position:absolute;left:0pt;margin-left:369pt;margin-top:15.6pt;height:0pt;width:0.05pt;z-index:251660288;mso-width-relative:page;mso-height-relative:page;" fillcolor="#FFFFFF" filled="t" stroked="t" coordsize="21600,21600" o:gfxdata="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Cha8E21QAAAAkBAAAPAAAAAAAAAAEAIAAAACIAAABkcnMvZG93bnJldi54bWxQSwECFAAU&#10;AAAACACHTuJAEtIcB7sBAACoAwAADgAAAAAAAAABACAAAAAkAQAAZHJzL2Uyb0RvYy54bWxQSwUG&#10;AAAAAAYABgBZAQAAUQUAAAAA&#10;">
                <v:fill on="t" focussize="0,0"/>
                <v:stroke color="#000000" joinstyle="round"/>
                <v:imagedata o:title=""/>
                <o:lock v:ext="edit" aspectratio="f"/>
              </v:line>
            </w:pict>
          </mc:Fallback>
        </mc:AlternateContent>
      </w:r>
      <w:r>
        <w:rPr>
          <w:rFonts w:hint="eastAsia"/>
          <w:color w:val="000000"/>
        </w:rPr>
        <w:tab/>
      </w:r>
    </w:p>
    <w:p w14:paraId="2FDE48EF">
      <w:pPr>
        <w:pStyle w:val="221"/>
        <w:spacing w:after="0" w:line="360" w:lineRule="auto"/>
        <w:ind w:left="0"/>
        <w:jc w:val="left"/>
        <w:rPr>
          <w:rFonts w:hint="eastAsia" w:ascii="宋体" w:hAnsi="宋体"/>
          <w:color w:val="000000"/>
        </w:rPr>
      </w:pPr>
      <w:r>
        <w:rPr>
          <w:rFonts w:hint="eastAsia"/>
          <w:color w:val="000000"/>
        </w:rPr>
        <mc:AlternateContent>
          <mc:Choice Requires="wps">
            <w:drawing>
              <wp:anchor distT="0" distB="0" distL="114300" distR="114300" simplePos="0" relativeHeight="251660288" behindDoc="0" locked="0" layoutInCell="1" allowOverlap="1">
                <wp:simplePos x="0" y="0"/>
                <wp:positionH relativeFrom="column">
                  <wp:posOffset>2733675</wp:posOffset>
                </wp:positionH>
                <wp:positionV relativeFrom="paragraph">
                  <wp:posOffset>133350</wp:posOffset>
                </wp:positionV>
                <wp:extent cx="571500" cy="267970"/>
                <wp:effectExtent l="0" t="0" r="0" b="0"/>
                <wp:wrapNone/>
                <wp:docPr id="86" name="_x0000_s1261"/>
                <wp:cNvGraphicFramePr/>
                <a:graphic xmlns:a="http://schemas.openxmlformats.org/drawingml/2006/main">
                  <a:graphicData uri="http://schemas.microsoft.com/office/word/2010/wordprocessingShape">
                    <wps:wsp>
                      <wps:cNvSpPr/>
                      <wps:spPr bwMode="auto">
                        <a:xfrm>
                          <a:off x="0" y="0"/>
                          <a:ext cx="571500" cy="267970"/>
                        </a:xfrm>
                        <a:prstGeom prst="rect">
                          <a:avLst/>
                        </a:prstGeom>
                        <a:solidFill>
                          <a:srgbClr val="FFFFFF">
                            <a:alpha val="0"/>
                          </a:srgbClr>
                        </a:solidFill>
                        <a:ln>
                          <a:solidFill>
                            <a:srgbClr val="FFFFFF"/>
                          </a:solidFill>
                        </a:ln>
                      </wps:spPr>
                      <wps:txbx>
                        <w:txbxContent>
                          <w:p w14:paraId="5742109B">
                            <w:pPr>
                              <w:pStyle w:val="293"/>
                            </w:pPr>
                            <w:r>
                              <w:rPr>
                                <w:rFonts w:hint="eastAsia"/>
                              </w:rPr>
                              <w:t>0.081</w:t>
                            </w:r>
                          </w:p>
                          <w:p w14:paraId="6EB557CA"/>
                        </w:txbxContent>
                      </wps:txbx>
                      <wps:bodyPr wrap="square" upright="1"/>
                    </wps:wsp>
                  </a:graphicData>
                </a:graphic>
              </wp:anchor>
            </w:drawing>
          </mc:Choice>
          <mc:Fallback>
            <w:pict>
              <v:rect id="_x0000_s1261" o:spid="_x0000_s1026" o:spt="1" style="position:absolute;left:0pt;margin-left:215.25pt;margin-top:10.5pt;height:21.1pt;width:45pt;z-index:251660288;mso-width-relative:page;mso-height-relative:page;" fillcolor="#FFFFFF" filled="t" stroked="t" coordsize="21600,21600" o:gfxdata="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&#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">
                <v:fill on="t" opacity="0f" focussize="0,0"/>
                <v:stroke color="#FFFFFF" joinstyle="round"/>
                <v:imagedata o:title=""/>
                <o:lock v:ext="edit" aspectratio="f"/>
                <v:textbox>
                  <w:txbxContent>
                    <w:p w14:paraId="5742109B">
                      <w:pPr>
                        <w:pStyle w:val="293"/>
                      </w:pPr>
                      <w:r>
                        <w:rPr>
                          <w:rFonts w:hint="eastAsia"/>
                        </w:rPr>
                        <w:t>0.081</w:t>
                      </w:r>
                    </w:p>
                    <w:p w14:paraId="6EB557CA"/>
                  </w:txbxContent>
                </v:textbox>
              </v:rect>
            </w:pict>
          </mc:Fallback>
        </mc:AlternateContent>
      </w:r>
      <w:r>
        <w:rPr>
          <w:rFonts w:hint="eastAsia"/>
          <w:color w:val="000000"/>
        </w:rPr>
        <mc:AlternateContent>
          <mc:Choice Requires="wps">
            <w:drawing>
              <wp:anchor distT="0" distB="0" distL="114300" distR="114300" simplePos="0" relativeHeight="251660288" behindDoc="0" locked="0" layoutInCell="1" allowOverlap="1">
                <wp:simplePos x="0" y="0"/>
                <wp:positionH relativeFrom="column">
                  <wp:posOffset>914400</wp:posOffset>
                </wp:positionH>
                <wp:positionV relativeFrom="paragraph">
                  <wp:posOffset>91440</wp:posOffset>
                </wp:positionV>
                <wp:extent cx="229235" cy="114300"/>
                <wp:effectExtent l="0" t="0" r="0" b="0"/>
                <wp:wrapNone/>
                <wp:docPr id="87" name="_x0000_s1259"/>
                <wp:cNvGraphicFramePr/>
                <a:graphic xmlns:a="http://schemas.openxmlformats.org/drawingml/2006/main">
                  <a:graphicData uri="http://schemas.microsoft.com/office/word/2010/wordprocessingShape">
                    <wps:wsp>
                      <wps:cNvSpPr/>
                      <wps:spPr bwMode="auto">
                        <a:xfrm>
                          <a:off x="0" y="0"/>
                          <a:ext cx="229235" cy="114300"/>
                        </a:xfrm>
                        <a:custGeom>
                          <a:avLst/>
                          <a:gdLst>
                            <a:gd name="gd0" fmla="val 65536"/>
                            <a:gd name="gd1" fmla="val 0"/>
                            <a:gd name="gd2" fmla="val 156"/>
                            <a:gd name="gd3" fmla="val 180"/>
                            <a:gd name="gd4" fmla="val 0"/>
                            <a:gd name="gd5" fmla="val 180"/>
                            <a:gd name="gd6" fmla="val 156"/>
                            <a:gd name="gd7" fmla="val 360"/>
                            <a:gd name="gd8" fmla="val 0"/>
                          </a:gdLst>
                          <a:ahLst/>
                          <a:cxnLst/>
                          <a:rect l="0" t="0" r="r" b="b"/>
                          <a:pathLst>
                            <a:path w="360" h="156" extrusionOk="0">
                              <a:moveTo>
                                <a:pt x="gd1" y="gd2"/>
                              </a:moveTo>
                              <a:cubicBezTo>
                                <a:pt x="75" y="78"/>
                                <a:pt x="150" y="0"/>
                                <a:pt x="180" y="0"/>
                              </a:cubicBezTo>
                              <a:cubicBezTo>
                                <a:pt x="210" y="0"/>
                                <a:pt x="150" y="156"/>
                                <a:pt x="180" y="156"/>
                              </a:cubicBezTo>
                              <a:cubicBezTo>
                                <a:pt x="210" y="156"/>
                                <a:pt x="330" y="26"/>
                                <a:pt x="360" y="0"/>
                              </a:cubicBezTo>
                            </a:path>
                          </a:pathLst>
                        </a:custGeom>
                        <a:noFill/>
                        <a:ln>
                          <a:solidFill>
                            <a:srgbClr val="000000"/>
                          </a:solidFill>
                          <a:tailEnd type="triangle"/>
                        </a:ln>
                      </wps:spPr>
                      <wps:bodyPr rot="0">
                        <a:noAutofit/>
                      </wps:bodyPr>
                    </wps:wsp>
                  </a:graphicData>
                </a:graphic>
              </wp:anchor>
            </w:drawing>
          </mc:Choice>
          <mc:Fallback>
            <w:pict>
              <v:shape id="_x0000_s1259" o:spid="_x0000_s1026" o:spt="100" style="position:absolute;left:0pt;margin-left:72pt;margin-top:7.2pt;height:9pt;width:18.05pt;z-index:251660288;mso-width-relative:page;mso-height-relative:page;" filled="f" stroked="t" coordsize="360,156" o:gfxdata="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" path="m0,156c75,78,150,0,180,0c210,0,150,156,180,156c210,156,330,26,360,0e">
                <v:fill on="f" focussize="0,0"/>
                <v:stroke color="#000000" joinstyle="round" endarrow="block"/>
                <v:imagedata o:title=""/>
                <o:lock v:ext="edit" aspectratio="f"/>
              </v:shape>
            </w:pict>
          </mc:Fallback>
        </mc:AlternateContent>
      </w:r>
      <w:r>
        <w:rPr>
          <w:rFonts w:hint="eastAsia"/>
          <w:color w:val="000000"/>
        </w:rPr>
        <mc:AlternateContent>
          <mc:Choice Requires="wps">
            <w:drawing>
              <wp:anchor distT="0" distB="0" distL="114300" distR="114300" simplePos="0" relativeHeight="251660288" behindDoc="0" locked="0" layoutInCell="1" allowOverlap="1">
                <wp:simplePos x="0" y="0"/>
                <wp:positionH relativeFrom="column">
                  <wp:posOffset>1485900</wp:posOffset>
                </wp:positionH>
                <wp:positionV relativeFrom="paragraph">
                  <wp:posOffset>91440</wp:posOffset>
                </wp:positionV>
                <wp:extent cx="571500" cy="267970"/>
                <wp:effectExtent l="0" t="0" r="0" b="0"/>
                <wp:wrapNone/>
                <wp:docPr id="88" name="_x0000_s1239"/>
                <wp:cNvGraphicFramePr/>
                <a:graphic xmlns:a="http://schemas.openxmlformats.org/drawingml/2006/main">
                  <a:graphicData uri="http://schemas.microsoft.com/office/word/2010/wordprocessingShape">
                    <wps:wsp>
                      <wps:cNvSpPr/>
                      <wps:spPr bwMode="auto">
                        <a:xfrm>
                          <a:off x="0" y="0"/>
                          <a:ext cx="571500" cy="267970"/>
                        </a:xfrm>
                        <a:prstGeom prst="rect">
                          <a:avLst/>
                        </a:prstGeom>
                        <a:solidFill>
                          <a:srgbClr val="FFFFFF">
                            <a:alpha val="0"/>
                          </a:srgbClr>
                        </a:solidFill>
                        <a:ln>
                          <a:solidFill>
                            <a:srgbClr val="FFFFFF"/>
                          </a:solidFill>
                        </a:ln>
                      </wps:spPr>
                      <wps:txbx>
                        <w:txbxContent>
                          <w:p w14:paraId="4C073659">
                            <w:pPr>
                              <w:pStyle w:val="293"/>
                            </w:pPr>
                            <w:r>
                              <w:rPr>
                                <w:rFonts w:hint="eastAsia"/>
                              </w:rPr>
                              <w:t>0.081</w:t>
                            </w:r>
                          </w:p>
                          <w:p w14:paraId="7BB1EC4E"/>
                        </w:txbxContent>
                      </wps:txbx>
                      <wps:bodyPr wrap="square" upright="1"/>
                    </wps:wsp>
                  </a:graphicData>
                </a:graphic>
              </wp:anchor>
            </w:drawing>
          </mc:Choice>
          <mc:Fallback>
            <w:pict>
              <v:rect id="_x0000_s1239" o:spid="_x0000_s1026" o:spt="1" style="position:absolute;left:0pt;margin-left:117pt;margin-top:7.2pt;height:21.1pt;width:45pt;z-index:251660288;mso-width-relative:page;mso-height-relative:page;" fillcolor="#FFFFFF" filled="t" stroked="t" coordsize="21600,21600" o:gfxdata="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N1+IAfUAAAACQEAAA8AAAAAAAAAAQAgAAAAIgAAAGRy&#10;cy9kb3ducmV2LnhtbFBLAQIUABQAAAAIAIdO4kB7ltor0AEAANADAAAOAAAAAAAAAAEAIAAAACMB&#10;AABkcnMvZTJvRG9jLnhtbFBLBQYAAAAABgAGAFkBAABlBQAAAAA=&#10;">
                <v:fill on="t" opacity="0f" focussize="0,0"/>
                <v:stroke color="#FFFFFF" joinstyle="round"/>
                <v:imagedata o:title=""/>
                <o:lock v:ext="edit" aspectratio="f"/>
                <v:textbox>
                  <w:txbxContent>
                    <w:p w14:paraId="4C073659">
                      <w:pPr>
                        <w:pStyle w:val="293"/>
                      </w:pPr>
                      <w:r>
                        <w:rPr>
                          <w:rFonts w:hint="eastAsia"/>
                        </w:rPr>
                        <w:t>0.081</w:t>
                      </w:r>
                    </w:p>
                    <w:p w14:paraId="7BB1EC4E"/>
                  </w:txbxContent>
                </v:textbox>
              </v:rect>
            </w:pict>
          </mc:Fallback>
        </mc:AlternateContent>
      </w:r>
      <w:r>
        <w:rPr>
          <w:rFonts w:hint="eastAsia"/>
          <w:color w:val="000000"/>
        </w:rPr>
        <mc:AlternateContent>
          <mc:Choice Requires="wps">
            <w:drawing>
              <wp:anchor distT="0" distB="0" distL="114300" distR="114300" simplePos="0" relativeHeight="251660288" behindDoc="0" locked="0" layoutInCell="1" allowOverlap="1">
                <wp:simplePos x="0" y="0"/>
                <wp:positionH relativeFrom="column">
                  <wp:posOffset>114300</wp:posOffset>
                </wp:positionH>
                <wp:positionV relativeFrom="paragraph">
                  <wp:posOffset>91440</wp:posOffset>
                </wp:positionV>
                <wp:extent cx="489585" cy="422275"/>
                <wp:effectExtent l="0" t="0" r="0" b="0"/>
                <wp:wrapNone/>
                <wp:docPr id="89" name="_x0000_s1206"/>
                <wp:cNvGraphicFramePr/>
                <a:graphic xmlns:a="http://schemas.openxmlformats.org/drawingml/2006/main">
                  <a:graphicData uri="http://schemas.microsoft.com/office/word/2010/wordprocessingShape">
                    <wps:wsp>
                      <wps:cNvSpPr/>
                      <wps:spPr bwMode="auto">
                        <a:xfrm>
                          <a:off x="0" y="0"/>
                          <a:ext cx="489585" cy="422275"/>
                        </a:xfrm>
                        <a:prstGeom prst="rect">
                          <a:avLst/>
                        </a:prstGeom>
                        <a:solidFill>
                          <a:srgbClr val="FFFFFF"/>
                        </a:solidFill>
                        <a:ln>
                          <a:solidFill>
                            <a:srgbClr val="FFFFFF"/>
                          </a:solidFill>
                        </a:ln>
                      </wps:spPr>
                      <wps:txbx>
                        <w:txbxContent>
                          <w:p w14:paraId="316EEFBD">
                            <w:pPr>
                              <w:spacing w:before="48" w:after="48"/>
                              <w:rPr>
                                <w:szCs w:val="21"/>
                              </w:rPr>
                            </w:pPr>
                            <w:r>
                              <w:rPr>
                                <w:rFonts w:hint="eastAsia" w:cs="宋体"/>
                                <w:szCs w:val="21"/>
                              </w:rPr>
                              <w:t>0.09</w:t>
                            </w:r>
                          </w:p>
                          <w:p w14:paraId="4B6C05C8"/>
                        </w:txbxContent>
                      </wps:txbx>
                      <wps:bodyPr wrap="square" upright="1"/>
                    </wps:wsp>
                  </a:graphicData>
                </a:graphic>
              </wp:anchor>
            </w:drawing>
          </mc:Choice>
          <mc:Fallback>
            <w:pict>
              <v:rect id="_x0000_s1206" o:spid="_x0000_s1026" o:spt="1" style="position:absolute;left:0pt;margin-left:9pt;margin-top:7.2pt;height:33.25pt;width:38.55pt;z-index:251660288;mso-width-relative:page;mso-height-relative:page;" fillcolor="#FFFFFF" filled="t" stroked="t" coordsize="21600,21600" o:gfxdata="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KC90xtUAAAAHAQAADwAAAAAAAAABACAAAAAiAAAAZHJzL2Rvd25yZXYueG1s&#10;UEsBAhQAFAAAAAgAh07iQK1chc3CAQAAswMAAA4AAAAAAAAAAQAgAAAAJAEAAGRycy9lMm9Eb2Mu&#10;eG1sUEsFBgAAAAAGAAYAWQEAAFgFAAAAAA==&#10;">
                <v:fill on="t" focussize="0,0"/>
                <v:stroke color="#FFFFFF" joinstyle="round"/>
                <v:imagedata o:title=""/>
                <o:lock v:ext="edit" aspectratio="f"/>
                <v:textbox>
                  <w:txbxContent>
                    <w:p w14:paraId="316EEFBD">
                      <w:pPr>
                        <w:spacing w:before="48" w:after="48"/>
                        <w:rPr>
                          <w:szCs w:val="21"/>
                        </w:rPr>
                      </w:pPr>
                      <w:r>
                        <w:rPr>
                          <w:rFonts w:hint="eastAsia" w:cs="宋体"/>
                          <w:szCs w:val="21"/>
                        </w:rPr>
                        <w:t>0.09</w:t>
                      </w:r>
                    </w:p>
                    <w:p w14:paraId="4B6C05C8"/>
                  </w:txbxContent>
                </v:textbox>
              </v:rect>
            </w:pict>
          </mc:Fallback>
        </mc:AlternateContent>
      </w:r>
      <w:r>
        <w:rPr>
          <w:rFonts w:hint="eastAsia"/>
          <w:color w:val="000000"/>
        </w:rPr>
        <mc:AlternateContent>
          <mc:Choice Requires="wps">
            <w:drawing>
              <wp:anchor distT="0" distB="0" distL="114300" distR="114300" simplePos="0" relativeHeight="251660288" behindDoc="0" locked="0" layoutInCell="1" allowOverlap="1">
                <wp:simplePos x="0" y="0"/>
                <wp:positionH relativeFrom="column">
                  <wp:posOffset>1943100</wp:posOffset>
                </wp:positionH>
                <wp:positionV relativeFrom="paragraph">
                  <wp:posOffset>190500</wp:posOffset>
                </wp:positionV>
                <wp:extent cx="800100" cy="297180"/>
                <wp:effectExtent l="0" t="0" r="0" b="0"/>
                <wp:wrapNone/>
                <wp:docPr id="90" name="_x0000_s1273"/>
                <wp:cNvGraphicFramePr/>
                <a:graphic xmlns:a="http://schemas.openxmlformats.org/drawingml/2006/main">
                  <a:graphicData uri="http://schemas.microsoft.com/office/word/2010/wordprocessingShape">
                    <wps:wsp>
                      <wps:cNvSpPr/>
                      <wps:spPr bwMode="auto">
                        <a:xfrm>
                          <a:off x="0" y="0"/>
                          <a:ext cx="800100" cy="297180"/>
                        </a:xfrm>
                        <a:prstGeom prst="rect">
                          <a:avLst/>
                        </a:prstGeom>
                        <a:solidFill>
                          <a:srgbClr val="FFFFFF"/>
                        </a:solidFill>
                        <a:ln>
                          <a:solidFill>
                            <a:srgbClr val="000000"/>
                          </a:solidFill>
                        </a:ln>
                      </wps:spPr>
                      <wps:txbx>
                        <w:txbxContent>
                          <w:p w14:paraId="395B8B5E">
                            <w:pPr>
                              <w:pStyle w:val="293"/>
                            </w:pPr>
                            <w:r>
                              <w:rPr>
                                <w:rFonts w:hint="eastAsia"/>
                              </w:rPr>
                              <w:t>单独容器</w:t>
                            </w:r>
                          </w:p>
                          <w:p w14:paraId="36DBCFD5"/>
                        </w:txbxContent>
                      </wps:txbx>
                      <wps:bodyPr wrap="square" upright="1"/>
                    </wps:wsp>
                  </a:graphicData>
                </a:graphic>
              </wp:anchor>
            </w:drawing>
          </mc:Choice>
          <mc:Fallback>
            <w:pict>
              <v:rect id="_x0000_s1273" o:spid="_x0000_s1026" o:spt="1" style="position:absolute;left:0pt;margin-left:153pt;margin-top:15pt;height:23.4pt;width:63pt;z-index:251660288;mso-width-relative:page;mso-height-relative:page;" fillcolor="#FFFFFF" filled="t" stroked="t" coordsize="21600,21600" o:gfxdata="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N6CVETWAAAACQEAAA8AAAAAAAAAAQAgAAAAIgAAAGRycy9kb3du&#10;cmV2LnhtbFBLAQIUABQAAAAIAIdO4kBZaG/ayAEAALMDAAAOAAAAAAAAAAEAIAAAACUBAABkcnMv&#10;ZTJvRG9jLnhtbFBLBQYAAAAABgAGAFkBAABfBQAAAAA=&#10;">
                <v:fill on="t" focussize="0,0"/>
                <v:stroke color="#000000" joinstyle="round"/>
                <v:imagedata o:title=""/>
                <o:lock v:ext="edit" aspectratio="f"/>
                <v:textbox>
                  <w:txbxContent>
                    <w:p w14:paraId="395B8B5E">
                      <w:pPr>
                        <w:pStyle w:val="293"/>
                      </w:pPr>
                      <w:r>
                        <w:rPr>
                          <w:rFonts w:hint="eastAsia"/>
                        </w:rPr>
                        <w:t>单独容器</w:t>
                      </w:r>
                    </w:p>
                    <w:p w14:paraId="36DBCFD5"/>
                  </w:txbxContent>
                </v:textbox>
              </v:rect>
            </w:pict>
          </mc:Fallback>
        </mc:AlternateContent>
      </w:r>
      <w:r>
        <w:rPr>
          <w:rFonts w:hint="eastAsia"/>
          <w:color w:val="000000"/>
        </w:rPr>
        <mc:AlternateContent>
          <mc:Choice Requires="wps">
            <w:drawing>
              <wp:anchor distT="0" distB="0" distL="114300" distR="114300" simplePos="0" relativeHeight="251660288" behindDoc="0" locked="0" layoutInCell="1" allowOverlap="1">
                <wp:simplePos x="0" y="0"/>
                <wp:positionH relativeFrom="column">
                  <wp:posOffset>1371600</wp:posOffset>
                </wp:positionH>
                <wp:positionV relativeFrom="paragraph">
                  <wp:posOffset>190500</wp:posOffset>
                </wp:positionV>
                <wp:extent cx="800100" cy="296545"/>
                <wp:effectExtent l="0" t="0" r="0" b="0"/>
                <wp:wrapNone/>
                <wp:docPr id="91" name="_x0000_s1238"/>
                <wp:cNvGraphicFramePr/>
                <a:graphic xmlns:a="http://schemas.openxmlformats.org/drawingml/2006/main">
                  <a:graphicData uri="http://schemas.microsoft.com/office/word/2010/wordprocessingShape">
                    <wps:wsp>
                      <wps:cNvSpPr/>
                      <wps:spPr bwMode="auto">
                        <a:xfrm>
                          <a:off x="0" y="0"/>
                          <a:ext cx="800100" cy="296545"/>
                        </a:xfrm>
                        <a:prstGeom prst="rect">
                          <a:avLst/>
                        </a:prstGeom>
                        <a:solidFill>
                          <a:srgbClr val="FFFFFF"/>
                        </a:solidFill>
                        <a:ln>
                          <a:solidFill>
                            <a:srgbClr val="FFFFFF"/>
                          </a:solidFill>
                        </a:ln>
                      </wps:spPr>
                      <wps:txbx>
                        <w:txbxContent>
                          <w:p w14:paraId="3A7FBDA2">
                            <w:pPr>
                              <w:pStyle w:val="293"/>
                            </w:pPr>
                            <w:r>
                              <w:rPr>
                                <w:rFonts w:hint="eastAsia"/>
                              </w:rPr>
                              <w:t>→→→</w:t>
                            </w:r>
                          </w:p>
                          <w:p w14:paraId="267C1EEA"/>
                        </w:txbxContent>
                      </wps:txbx>
                      <wps:bodyPr wrap="square" upright="1"/>
                    </wps:wsp>
                  </a:graphicData>
                </a:graphic>
              </wp:anchor>
            </w:drawing>
          </mc:Choice>
          <mc:Fallback>
            <w:pict>
              <v:rect id="_x0000_s1238" o:spid="_x0000_s1026" o:spt="1" style="position:absolute;left:0pt;margin-left:108pt;margin-top:15pt;height:23.35pt;width:63pt;z-index:251660288;mso-width-relative:page;mso-height-relative:page;" fillcolor="#FFFFFF" filled="t" stroked="t" coordsize="21600,21600" o:gfxdata="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FGuaErXAAAACQEAAA8AAAAAAAAAAQAgAAAAIgAAAGRycy9kb3ducmV2Lnht&#10;bFBLAQIUABQAAAAIAIdO4kAGMqiuwQEAALMDAAAOAAAAAAAAAAEAIAAAACYBAABkcnMvZTJvRG9j&#10;LnhtbFBLBQYAAAAABgAGAFkBAABZBQAAAAA=&#10;">
                <v:fill on="t" focussize="0,0"/>
                <v:stroke color="#FFFFFF" joinstyle="round"/>
                <v:imagedata o:title=""/>
                <o:lock v:ext="edit" aspectratio="f"/>
                <v:textbox>
                  <w:txbxContent>
                    <w:p w14:paraId="3A7FBDA2">
                      <w:pPr>
                        <w:pStyle w:val="293"/>
                      </w:pPr>
                      <w:r>
                        <w:rPr>
                          <w:rFonts w:hint="eastAsia"/>
                        </w:rPr>
                        <w:t>→→→</w:t>
                      </w:r>
                    </w:p>
                    <w:p w14:paraId="267C1EEA"/>
                  </w:txbxContent>
                </v:textbox>
              </v:rect>
            </w:pict>
          </mc:Fallback>
        </mc:AlternateContent>
      </w:r>
      <w:r>
        <w:rPr>
          <w:rFonts w:hint="eastAsia"/>
          <w:color w:val="000000"/>
        </w:rPr>
        <mc:AlternateContent>
          <mc:Choice Requires="wps">
            <w:drawing>
              <wp:anchor distT="0" distB="0" distL="114300" distR="114300" simplePos="0" relativeHeight="251660288" behindDoc="0" locked="0" layoutInCell="1" allowOverlap="1">
                <wp:simplePos x="0" y="0"/>
                <wp:positionH relativeFrom="column">
                  <wp:posOffset>685800</wp:posOffset>
                </wp:positionH>
                <wp:positionV relativeFrom="paragraph">
                  <wp:posOffset>190500</wp:posOffset>
                </wp:positionV>
                <wp:extent cx="914400" cy="297180"/>
                <wp:effectExtent l="0" t="0" r="0" b="0"/>
                <wp:wrapNone/>
                <wp:docPr id="92" name="_x0000_s1260"/>
                <wp:cNvGraphicFramePr/>
                <a:graphic xmlns:a="http://schemas.openxmlformats.org/drawingml/2006/main">
                  <a:graphicData uri="http://schemas.microsoft.com/office/word/2010/wordprocessingShape">
                    <wps:wsp>
                      <wps:cNvSpPr/>
                      <wps:spPr bwMode="auto">
                        <a:xfrm>
                          <a:off x="0" y="0"/>
                          <a:ext cx="914400" cy="297180"/>
                        </a:xfrm>
                        <a:prstGeom prst="rect">
                          <a:avLst/>
                        </a:prstGeom>
                        <a:solidFill>
                          <a:srgbClr val="FFFFFF"/>
                        </a:solidFill>
                        <a:ln>
                          <a:solidFill>
                            <a:srgbClr val="000000"/>
                          </a:solidFill>
                        </a:ln>
                      </wps:spPr>
                      <wps:txbx>
                        <w:txbxContent>
                          <w:p w14:paraId="735E34E7">
                            <w:pPr>
                              <w:pStyle w:val="293"/>
                              <w:jc w:val="both"/>
                            </w:pPr>
                            <w:r>
                              <w:rPr>
                                <w:rFonts w:hint="eastAsia"/>
                              </w:rPr>
                              <w:t>检验科用水</w:t>
                            </w:r>
                          </w:p>
                          <w:p w14:paraId="604B66BF"/>
                        </w:txbxContent>
                      </wps:txbx>
                      <wps:bodyPr wrap="square" upright="1"/>
                    </wps:wsp>
                  </a:graphicData>
                </a:graphic>
              </wp:anchor>
            </w:drawing>
          </mc:Choice>
          <mc:Fallback>
            <w:pict>
              <v:rect id="_x0000_s1260" o:spid="_x0000_s1026" o:spt="1" style="position:absolute;left:0pt;margin-left:54pt;margin-top:15pt;height:23.4pt;width:72pt;z-index:251660288;mso-width-relative:page;mso-height-relative:page;" fillcolor="#FFFFFF" filled="t" stroked="t" coordsize="21600,21600" o:gfxdata="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">
                <v:fill on="t" focussize="0,0"/>
                <v:stroke color="#000000" joinstyle="round"/>
                <v:imagedata o:title=""/>
                <o:lock v:ext="edit" aspectratio="f"/>
                <v:textbox>
                  <w:txbxContent>
                    <w:p w14:paraId="735E34E7">
                      <w:pPr>
                        <w:pStyle w:val="293"/>
                        <w:jc w:val="both"/>
                      </w:pPr>
                      <w:r>
                        <w:rPr>
                          <w:rFonts w:hint="eastAsia"/>
                        </w:rPr>
                        <w:t>检验科用水</w:t>
                      </w:r>
                    </w:p>
                    <w:p w14:paraId="604B66BF"/>
                  </w:txbxContent>
                </v:textbox>
              </v:rect>
            </w:pict>
          </mc:Fallback>
        </mc:AlternateContent>
      </w:r>
      <w:r>
        <w:rPr>
          <w:rFonts w:hint="eastAsia" w:ascii="宋体" w:hAnsi="宋体"/>
          <w:color w:val="000000"/>
        </w:rPr>
        <mc:AlternateContent>
          <mc:Choice Requires="wps">
            <w:drawing>
              <wp:anchor distT="0" distB="0" distL="114300" distR="114300" simplePos="0" relativeHeight="251660288" behindDoc="0" locked="0" layoutInCell="1" allowOverlap="1">
                <wp:simplePos x="0" y="0"/>
                <wp:positionH relativeFrom="column">
                  <wp:posOffset>4457700</wp:posOffset>
                </wp:positionH>
                <wp:positionV relativeFrom="paragraph">
                  <wp:posOffset>190500</wp:posOffset>
                </wp:positionV>
                <wp:extent cx="571500" cy="0"/>
                <wp:effectExtent l="0" t="0" r="0" b="0"/>
                <wp:wrapNone/>
                <wp:docPr id="93" name="_x0000_s1250"/>
                <wp:cNvGraphicFramePr/>
                <a:graphic xmlns:a="http://schemas.openxmlformats.org/drawingml/2006/main">
                  <a:graphicData uri="http://schemas.microsoft.com/office/word/2010/wordprocessingShape">
                    <wps:wsp>
                      <wps:cNvCnPr/>
                      <wps:spPr bwMode="auto">
                        <a:xfrm>
                          <a:off x="0" y="0"/>
                          <a:ext cx="571500" cy="0"/>
                        </a:xfrm>
                        <a:prstGeom prst="line">
                          <a:avLst/>
                        </a:prstGeom>
                        <a:solidFill>
                          <a:srgbClr val="FFFFFF"/>
                        </a:solidFill>
                        <a:ln w="19050">
                          <a:solidFill>
                            <a:srgbClr val="000000"/>
                          </a:solidFill>
                          <a:prstDash val="lgDash"/>
                          <a:tailEnd type="triangle"/>
                        </a:ln>
                      </wps:spPr>
                      <wps:bodyPr rot="0">
                        <a:noAutofit/>
                      </wps:bodyPr>
                    </wps:wsp>
                  </a:graphicData>
                </a:graphic>
              </wp:anchor>
            </w:drawing>
          </mc:Choice>
          <mc:Fallback>
            <w:pict>
              <v:line id="_x0000_s1250" o:spid="_x0000_s1026" o:spt="20" style="position:absolute;left:0pt;margin-left:351pt;margin-top:15pt;height:0pt;width:45pt;z-index:251660288;mso-width-relative:page;mso-height-relative:page;" fillcolor="#FFFFFF" filled="t" stroked="t" coordsize="21600,21600" o:gfxdata="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uWcIzNcAAAAJAQAADwAA&#10;AAAAAAABACAAAAAiAAAAZHJzL2Rvd25yZXYueG1sUEsBAhQAFAAAAAgAh07iQGolTE7eAQAA6wMA&#10;AA4AAAAAAAAAAQAgAAAAJgEAAGRycy9lMm9Eb2MueG1sUEsFBgAAAAAGAAYAWQEAAHYFAAAAAA==&#10;">
                <v:fill on="t" focussize="0,0"/>
                <v:stroke weight="1.5pt" color="#000000" joinstyle="round" dashstyle="longDash" endarrow="block"/>
                <v:imagedata o:title=""/>
                <o:lock v:ext="edit" aspectratio="f"/>
              </v:line>
            </w:pict>
          </mc:Fallback>
        </mc:AlternateContent>
      </w:r>
    </w:p>
    <w:p w14:paraId="3FC1C9A2">
      <w:pPr>
        <w:pStyle w:val="221"/>
        <w:spacing w:after="0" w:line="360" w:lineRule="auto"/>
        <w:ind w:left="0"/>
        <w:jc w:val="left"/>
        <w:rPr>
          <w:rFonts w:hint="eastAsia" w:ascii="宋体" w:hAnsi="宋体"/>
          <w:color w:val="000000"/>
        </w:rPr>
      </w:pPr>
      <w:r>
        <w:rPr>
          <w:rFonts w:hint="eastAsia"/>
          <w:color w:val="000000"/>
        </w:rPr>
        <mc:AlternateContent>
          <mc:Choice Requires="wps">
            <w:drawing>
              <wp:anchor distT="0" distB="0" distL="114300" distR="114300" simplePos="0" relativeHeight="251660288" behindDoc="0" locked="0" layoutInCell="1" allowOverlap="1">
                <wp:simplePos x="0" y="0"/>
                <wp:positionH relativeFrom="column">
                  <wp:posOffset>4114800</wp:posOffset>
                </wp:positionH>
                <wp:positionV relativeFrom="paragraph">
                  <wp:posOffset>190500</wp:posOffset>
                </wp:positionV>
                <wp:extent cx="0" cy="594360"/>
                <wp:effectExtent l="0" t="0" r="0" b="0"/>
                <wp:wrapNone/>
                <wp:docPr id="94" name="_x0000_s1272"/>
                <wp:cNvGraphicFramePr/>
                <a:graphic xmlns:a="http://schemas.openxmlformats.org/drawingml/2006/main">
                  <a:graphicData uri="http://schemas.microsoft.com/office/word/2010/wordprocessingShape">
                    <wps:wsp>
                      <wps:cNvCnPr/>
                      <wps:spPr bwMode="auto">
                        <a:xfrm flipH="1" flipV="1">
                          <a:off x="0" y="0"/>
                          <a:ext cx="0" cy="594360"/>
                        </a:xfrm>
                        <a:prstGeom prst="line">
                          <a:avLst/>
                        </a:prstGeom>
                        <a:solidFill>
                          <a:srgbClr val="FFFFFF"/>
                        </a:solidFill>
                        <a:ln w="28575">
                          <a:solidFill>
                            <a:srgbClr val="000000"/>
                          </a:solidFill>
                          <a:prstDash val="sysDot"/>
                          <a:tailEnd type="triangle"/>
                        </a:ln>
                      </wps:spPr>
                      <wps:bodyPr rot="0">
                        <a:noAutofit/>
                      </wps:bodyPr>
                    </wps:wsp>
                  </a:graphicData>
                </a:graphic>
              </wp:anchor>
            </w:drawing>
          </mc:Choice>
          <mc:Fallback>
            <w:pict>
              <v:line id="_x0000_s1272" o:spid="_x0000_s1026" o:spt="20" style="position:absolute;left:0pt;flip:x y;margin-left:324pt;margin-top:15pt;height:46.8pt;width:0pt;z-index:251660288;mso-width-relative:page;mso-height-relative:page;" fillcolor="#FFFFFF" filled="t" stroked="t" coordsize="21600,21600" o:gfxdata="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A3Zie62AAAAAoBAAAPAAAAAAAAAAEAIAAAACIAAABkcnMvZG93bnJldi54bWxQSwEC&#10;FAAUAAAACACHTuJAjNRKP/QBAAD/AwAADgAAAAAAAAABACAAAAAnAQAAZHJzL2Uyb0RvYy54bWxQ&#10;SwUGAAAAAAYABgBZAQAAjQUAAAAA&#10;">
                <v:fill on="t" focussize="0,0"/>
                <v:stroke weight="2.25pt" color="#000000" joinstyle="round" dashstyle="1 1" endarrow="block"/>
                <v:imagedata o:title=""/>
                <o:lock v:ext="edit" aspectratio="f"/>
              </v:line>
            </w:pict>
          </mc:Fallback>
        </mc:AlternateContent>
      </w:r>
      <w:r>
        <w:rPr>
          <w:rFonts w:hint="eastAsia"/>
          <w:color w:val="000000"/>
        </w:rPr>
        <mc:AlternateContent>
          <mc:Choice Requires="wps">
            <w:drawing>
              <wp:anchor distT="0" distB="0" distL="114300" distR="114300" simplePos="0" relativeHeight="251660288" behindDoc="0" locked="0" layoutInCell="1" allowOverlap="1">
                <wp:simplePos x="0" y="0"/>
                <wp:positionH relativeFrom="column">
                  <wp:posOffset>114300</wp:posOffset>
                </wp:positionH>
                <wp:positionV relativeFrom="paragraph">
                  <wp:posOffset>91440</wp:posOffset>
                </wp:positionV>
                <wp:extent cx="586740" cy="635"/>
                <wp:effectExtent l="0" t="0" r="0" b="0"/>
                <wp:wrapNone/>
                <wp:docPr id="95" name="_x0000_s1232"/>
                <wp:cNvGraphicFramePr/>
                <a:graphic xmlns:a="http://schemas.openxmlformats.org/drawingml/2006/main">
                  <a:graphicData uri="http://schemas.microsoft.com/office/word/2010/wordprocessingShape">
                    <wps:wsp>
                      <wps:cNvCnPr/>
                      <wps:spPr bwMode="auto">
                        <a:xfrm>
                          <a:off x="0" y="0"/>
                          <a:ext cx="586740" cy="635"/>
                        </a:xfrm>
                        <a:prstGeom prst="line">
                          <a:avLst/>
                        </a:prstGeom>
                        <a:solidFill>
                          <a:srgbClr val="FFFFFF"/>
                        </a:solidFill>
                        <a:ln w="28575">
                          <a:solidFill>
                            <a:srgbClr val="000000"/>
                          </a:solidFill>
                          <a:tailEnd type="triangle"/>
                        </a:ln>
                      </wps:spPr>
                      <wps:bodyPr rot="0">
                        <a:noAutofit/>
                      </wps:bodyPr>
                    </wps:wsp>
                  </a:graphicData>
                </a:graphic>
              </wp:anchor>
            </w:drawing>
          </mc:Choice>
          <mc:Fallback>
            <w:pict>
              <v:line id="_x0000_s1232" o:spid="_x0000_s1026" o:spt="20" style="position:absolute;left:0pt;margin-left:9pt;margin-top:7.2pt;height:0.05pt;width:46.2pt;z-index:251660288;mso-width-relative:page;mso-height-relative:page;" fillcolor="#FFFFFF" filled="t" stroked="t" coordsize="21600,21600" o:gfxdata="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nim4ydIAAAAIAQAADwAAAAAAAAAB&#10;ACAAAAAiAAAAZHJzL2Rvd25yZXYueG1sUEsBAhQAFAAAAAgAh07iQMzRhSLdAQAA0wMAAA4AAAAA&#10;AAAAAQAgAAAAIQEAAGRycy9lMm9Eb2MueG1sUEsFBgAAAAAGAAYAWQEAAHAFAAAAAA==&#10;">
                <v:fill on="t" focussize="0,0"/>
                <v:stroke weight="2.25pt" color="#000000" joinstyle="round" endarrow="block"/>
                <v:imagedata o:title=""/>
                <o:lock v:ext="edit" aspectratio="f"/>
              </v:line>
            </w:pict>
          </mc:Fallback>
        </mc:AlternateContent>
      </w:r>
      <w:r>
        <w:rPr>
          <w:rFonts w:hint="eastAsia"/>
          <w:color w:val="000000"/>
        </w:rPr>
        <mc:AlternateContent>
          <mc:Choice Requires="wps">
            <w:drawing>
              <wp:anchor distT="0" distB="0" distL="114300" distR="114300" simplePos="0" relativeHeight="251660288" behindDoc="0" locked="0" layoutInCell="1" allowOverlap="1">
                <wp:simplePos x="0" y="0"/>
                <wp:positionH relativeFrom="column">
                  <wp:posOffset>2743200</wp:posOffset>
                </wp:positionH>
                <wp:positionV relativeFrom="paragraph">
                  <wp:posOffset>91440</wp:posOffset>
                </wp:positionV>
                <wp:extent cx="571500" cy="0"/>
                <wp:effectExtent l="0" t="0" r="0" b="0"/>
                <wp:wrapNone/>
                <wp:docPr id="96" name="_x0000_s1251"/>
                <wp:cNvGraphicFramePr/>
                <a:graphic xmlns:a="http://schemas.openxmlformats.org/drawingml/2006/main">
                  <a:graphicData uri="http://schemas.microsoft.com/office/word/2010/wordprocessingShape">
                    <wps:wsp>
                      <wps:cNvCnPr/>
                      <wps:spPr bwMode="auto">
                        <a:xfrm flipV="1">
                          <a:off x="0" y="0"/>
                          <a:ext cx="571500" cy="0"/>
                        </a:xfrm>
                        <a:prstGeom prst="line">
                          <a:avLst/>
                        </a:prstGeom>
                        <a:solidFill>
                          <a:srgbClr val="FFFFFF"/>
                        </a:solidFill>
                        <a:ln w="19050">
                          <a:solidFill>
                            <a:srgbClr val="000000"/>
                          </a:solidFill>
                          <a:prstDash val="dash"/>
                          <a:tailEnd type="triangle"/>
                        </a:ln>
                      </wps:spPr>
                      <wps:bodyPr rot="0">
                        <a:noAutofit/>
                      </wps:bodyPr>
                    </wps:wsp>
                  </a:graphicData>
                </a:graphic>
              </wp:anchor>
            </w:drawing>
          </mc:Choice>
          <mc:Fallback>
            <w:pict>
              <v:line id="_x0000_s1251" o:spid="_x0000_s1026" o:spt="20" style="position:absolute;left:0pt;flip:y;margin-left:216pt;margin-top:7.2pt;height:0pt;width:45pt;z-index:251660288;mso-width-relative:page;mso-height-relative:page;" fillcolor="#FFFFFF" filled="t" stroked="t" coordsize="21600,21600" o:gfxdata="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HNx+pHU&#10;AAAACQEAAA8AAAAAAAAAAQAgAAAAIgAAAGRycy9kb3ducmV2LnhtbFBLAQIUABQAAAAIAIdO4kBu&#10;Va+z6wEAAPMDAAAOAAAAAAAAAAEAIAAAACMBAABkcnMvZTJvRG9jLnhtbFBLBQYAAAAABgAGAFkB&#10;AACABQAAAAA=&#10;">
                <v:fill on="t" focussize="0,0"/>
                <v:stroke weight="1.5pt" color="#000000" joinstyle="round" dashstyle="dash" endarrow="block"/>
                <v:imagedata o:title=""/>
                <o:lock v:ext="edit" aspectratio="f"/>
              </v:line>
            </w:pict>
          </mc:Fallback>
        </mc:AlternateContent>
      </w:r>
    </w:p>
    <w:p w14:paraId="256886B5">
      <w:pPr>
        <w:pStyle w:val="221"/>
        <w:spacing w:after="0" w:line="360" w:lineRule="auto"/>
        <w:ind w:left="0"/>
        <w:jc w:val="left"/>
        <w:rPr>
          <w:rFonts w:hint="eastAsia" w:ascii="宋体" w:hAnsi="宋体"/>
          <w:color w:val="000000"/>
        </w:rPr>
      </w:pPr>
      <w:r>
        <w:rPr>
          <w:rFonts w:hint="eastAsia"/>
          <w:color w:val="000000"/>
        </w:rPr>
        <mc:AlternateContent>
          <mc:Choice Requires="wps">
            <w:drawing>
              <wp:anchor distT="0" distB="0" distL="114300" distR="114300" simplePos="0" relativeHeight="251660288" behindDoc="0" locked="0" layoutInCell="1" allowOverlap="1">
                <wp:simplePos x="0" y="0"/>
                <wp:positionH relativeFrom="column">
                  <wp:posOffset>904875</wp:posOffset>
                </wp:positionH>
                <wp:positionV relativeFrom="paragraph">
                  <wp:posOffset>123825</wp:posOffset>
                </wp:positionV>
                <wp:extent cx="571500" cy="297180"/>
                <wp:effectExtent l="0" t="0" r="0" b="0"/>
                <wp:wrapNone/>
                <wp:docPr id="97" name="_x0000_s1277"/>
                <wp:cNvGraphicFramePr/>
                <a:graphic xmlns:a="http://schemas.openxmlformats.org/drawingml/2006/main">
                  <a:graphicData uri="http://schemas.microsoft.com/office/word/2010/wordprocessingShape">
                    <wps:wsp>
                      <wps:cNvSpPr/>
                      <wps:spPr bwMode="auto">
                        <a:xfrm>
                          <a:off x="0" y="0"/>
                          <a:ext cx="571500" cy="297180"/>
                        </a:xfrm>
                        <a:prstGeom prst="rect">
                          <a:avLst/>
                        </a:prstGeom>
                        <a:solidFill>
                          <a:srgbClr val="FFFFFF"/>
                        </a:solidFill>
                        <a:ln>
                          <a:solidFill>
                            <a:srgbClr val="FFFFFF"/>
                          </a:solidFill>
                        </a:ln>
                      </wps:spPr>
                      <wps:txbx>
                        <w:txbxContent>
                          <w:p w14:paraId="0A3D8F2A">
                            <w:pPr>
                              <w:pStyle w:val="287"/>
                            </w:pPr>
                            <w:r>
                              <w:rPr>
                                <w:rFonts w:hint="eastAsia"/>
                              </w:rPr>
                              <w:t>0.012</w:t>
                            </w:r>
                          </w:p>
                          <w:p w14:paraId="3B7C934B"/>
                        </w:txbxContent>
                      </wps:txbx>
                      <wps:bodyPr wrap="square" upright="1"/>
                    </wps:wsp>
                  </a:graphicData>
                </a:graphic>
              </wp:anchor>
            </w:drawing>
          </mc:Choice>
          <mc:Fallback>
            <w:pict>
              <v:rect id="_x0000_s1277" o:spid="_x0000_s1026" o:spt="1" style="position:absolute;left:0pt;margin-left:71.25pt;margin-top:9.75pt;height:23.4pt;width:45pt;z-index:251660288;mso-width-relative:page;mso-height-relative:page;" fillcolor="#FFFFFF" filled="t" stroked="t" coordsize="21600,21600" o:gfxdata="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BS7VFN1gAAAAkBAAAPAAAAAAAAAAEAIAAAACIAAABkcnMvZG93bnJldi54&#10;bWxQSwECFAAUAAAACACHTuJAtACGUsMBAACzAwAADgAAAAAAAAABACAAAAAlAQAAZHJzL2Uyb0Rv&#10;Yy54bWxQSwUGAAAAAAYABgBZAQAAWgUAAAAA&#10;">
                <v:fill on="t" focussize="0,0"/>
                <v:stroke color="#FFFFFF" joinstyle="round"/>
                <v:imagedata o:title=""/>
                <o:lock v:ext="edit" aspectratio="f"/>
                <v:textbox>
                  <w:txbxContent>
                    <w:p w14:paraId="0A3D8F2A">
                      <w:pPr>
                        <w:pStyle w:val="287"/>
                      </w:pPr>
                      <w:r>
                        <w:rPr>
                          <w:rFonts w:hint="eastAsia"/>
                        </w:rPr>
                        <w:t>0.012</w:t>
                      </w:r>
                    </w:p>
                    <w:p w14:paraId="3B7C934B"/>
                  </w:txbxContent>
                </v:textbox>
              </v:rect>
            </w:pict>
          </mc:Fallback>
        </mc:AlternateContent>
      </w:r>
      <w:r>
        <w:rPr>
          <w:rFonts w:hint="eastAsia"/>
          <w:color w:val="000000"/>
        </w:rPr>
        <mc:AlternateContent>
          <mc:Choice Requires="wps">
            <w:drawing>
              <wp:anchor distT="0" distB="0" distL="114300" distR="114300" simplePos="0" relativeHeight="251660288" behindDoc="0" locked="0" layoutInCell="1" allowOverlap="1">
                <wp:simplePos x="0" y="0"/>
                <wp:positionH relativeFrom="column">
                  <wp:posOffset>4000500</wp:posOffset>
                </wp:positionH>
                <wp:positionV relativeFrom="paragraph">
                  <wp:posOffset>91440</wp:posOffset>
                </wp:positionV>
                <wp:extent cx="489585" cy="322580"/>
                <wp:effectExtent l="0" t="0" r="0" b="0"/>
                <wp:wrapNone/>
                <wp:docPr id="98" name="_x0000_s1271"/>
                <wp:cNvGraphicFramePr/>
                <a:graphic xmlns:a="http://schemas.openxmlformats.org/drawingml/2006/main">
                  <a:graphicData uri="http://schemas.microsoft.com/office/word/2010/wordprocessingShape">
                    <wps:wsp>
                      <wps:cNvSpPr/>
                      <wps:spPr bwMode="auto">
                        <a:xfrm flipV="1">
                          <a:off x="0" y="0"/>
                          <a:ext cx="489585" cy="322579"/>
                        </a:xfrm>
                        <a:prstGeom prst="rect">
                          <a:avLst/>
                        </a:prstGeom>
                        <a:solidFill>
                          <a:srgbClr val="FFFFFF"/>
                        </a:solidFill>
                        <a:ln>
                          <a:solidFill>
                            <a:srgbClr val="FFFFFF"/>
                          </a:solidFill>
                        </a:ln>
                      </wps:spPr>
                      <wps:txbx>
                        <w:txbxContent>
                          <w:p w14:paraId="77BCEEC5">
                            <w:pPr>
                              <w:pStyle w:val="293"/>
                            </w:pPr>
                            <w:r>
                              <w:rPr>
                                <w:rFonts w:hint="eastAsia"/>
                              </w:rPr>
                              <w:t>0.5</w:t>
                            </w:r>
                          </w:p>
                          <w:p w14:paraId="6539E9CB"/>
                        </w:txbxContent>
                      </wps:txbx>
                      <wps:bodyPr wrap="square" upright="1"/>
                    </wps:wsp>
                  </a:graphicData>
                </a:graphic>
              </wp:anchor>
            </w:drawing>
          </mc:Choice>
          <mc:Fallback>
            <w:pict>
              <v:rect id="_x0000_s1271" o:spid="_x0000_s1026" o:spt="1" style="position:absolute;left:0pt;flip:y;margin-left:315pt;margin-top:7.2pt;height:25.4pt;width:38.55pt;z-index:251660288;mso-width-relative:page;mso-height-relative:page;" fillcolor="#FFFFFF" filled="t" stroked="t" coordsize="21600,21600" o:gfxdata="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">
                <v:fill on="t" focussize="0,0"/>
                <v:stroke color="#FFFFFF" joinstyle="round"/>
                <v:imagedata o:title=""/>
                <o:lock v:ext="edit" aspectratio="f"/>
                <v:textbox>
                  <w:txbxContent>
                    <w:p w14:paraId="77BCEEC5">
                      <w:pPr>
                        <w:pStyle w:val="293"/>
                      </w:pPr>
                      <w:r>
                        <w:rPr>
                          <w:rFonts w:hint="eastAsia"/>
                        </w:rPr>
                        <w:t>0.5</w:t>
                      </w:r>
                    </w:p>
                    <w:p w14:paraId="6539E9CB"/>
                  </w:txbxContent>
                </v:textbox>
              </v:rect>
            </w:pict>
          </mc:Fallback>
        </mc:AlternateContent>
      </w:r>
    </w:p>
    <w:p w14:paraId="725C7951">
      <w:pPr>
        <w:pStyle w:val="221"/>
        <w:spacing w:after="0" w:line="360" w:lineRule="auto"/>
        <w:ind w:left="0"/>
        <w:jc w:val="left"/>
        <w:rPr>
          <w:rFonts w:hint="eastAsia" w:ascii="宋体" w:hAnsi="宋体"/>
          <w:color w:val="000000"/>
        </w:rPr>
      </w:pPr>
      <w:r>
        <w:rPr>
          <w:rFonts w:hint="eastAsia"/>
          <w:color w:val="000000"/>
        </w:rPr>
        <mc:AlternateContent>
          <mc:Choice Requires="wps">
            <w:drawing>
              <wp:anchor distT="0" distB="0" distL="114300" distR="114300" simplePos="0" relativeHeight="251660288" behindDoc="0" locked="0" layoutInCell="1" allowOverlap="1">
                <wp:simplePos x="0" y="0"/>
                <wp:positionH relativeFrom="column">
                  <wp:posOffset>104775</wp:posOffset>
                </wp:positionH>
                <wp:positionV relativeFrom="paragraph">
                  <wp:posOffset>193675</wp:posOffset>
                </wp:positionV>
                <wp:extent cx="571500" cy="267970"/>
                <wp:effectExtent l="0" t="0" r="0" b="0"/>
                <wp:wrapNone/>
                <wp:docPr id="99" name="_x0000_s1281"/>
                <wp:cNvGraphicFramePr/>
                <a:graphic xmlns:a="http://schemas.openxmlformats.org/drawingml/2006/main">
                  <a:graphicData uri="http://schemas.microsoft.com/office/word/2010/wordprocessingShape">
                    <wps:wsp>
                      <wps:cNvSpPr/>
                      <wps:spPr bwMode="auto">
                        <a:xfrm>
                          <a:off x="0" y="0"/>
                          <a:ext cx="571500" cy="267970"/>
                        </a:xfrm>
                        <a:prstGeom prst="rect">
                          <a:avLst/>
                        </a:prstGeom>
                        <a:solidFill>
                          <a:srgbClr val="FFFFFF">
                            <a:alpha val="0"/>
                          </a:srgbClr>
                        </a:solidFill>
                        <a:ln>
                          <a:solidFill>
                            <a:srgbClr val="FFFFFF"/>
                          </a:solidFill>
                        </a:ln>
                      </wps:spPr>
                      <wps:txbx>
                        <w:txbxContent>
                          <w:p w14:paraId="2DDCB04B">
                            <w:pPr>
                              <w:pStyle w:val="293"/>
                            </w:pPr>
                            <w:r>
                              <w:rPr>
                                <w:rFonts w:hint="eastAsia"/>
                              </w:rPr>
                              <w:t>0.02</w:t>
                            </w:r>
                          </w:p>
                          <w:p w14:paraId="1A69B65A"/>
                        </w:txbxContent>
                      </wps:txbx>
                      <wps:bodyPr wrap="square" upright="1"/>
                    </wps:wsp>
                  </a:graphicData>
                </a:graphic>
              </wp:anchor>
            </w:drawing>
          </mc:Choice>
          <mc:Fallback>
            <w:pict>
              <v:rect id="_x0000_s1281" o:spid="_x0000_s1026" o:spt="1" style="position:absolute;left:0pt;margin-left:8.25pt;margin-top:15.25pt;height:21.1pt;width:45pt;z-index:251660288;mso-width-relative:page;mso-height-relative:page;" fillcolor="#FFFFFF" filled="t" stroked="t" coordsize="21600,21600" o:gfxdata="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">
                <v:fill on="t" opacity="0f" focussize="0,0"/>
                <v:stroke color="#FFFFFF" joinstyle="round"/>
                <v:imagedata o:title=""/>
                <o:lock v:ext="edit" aspectratio="f"/>
                <v:textbox>
                  <w:txbxContent>
                    <w:p w14:paraId="2DDCB04B">
                      <w:pPr>
                        <w:pStyle w:val="293"/>
                      </w:pPr>
                      <w:r>
                        <w:rPr>
                          <w:rFonts w:hint="eastAsia"/>
                        </w:rPr>
                        <w:t>0.02</w:t>
                      </w:r>
                    </w:p>
                    <w:p w14:paraId="1A69B65A"/>
                  </w:txbxContent>
                </v:textbox>
              </v:rect>
            </w:pict>
          </mc:Fallback>
        </mc:AlternateContent>
      </w:r>
      <w:r>
        <w:rPr>
          <w:rFonts w:hint="eastAsia"/>
          <w:color w:val="000000"/>
        </w:rPr>
        <mc:AlternateContent>
          <mc:Choice Requires="wps">
            <w:drawing>
              <wp:anchor distT="0" distB="0" distL="114300" distR="114300" simplePos="0" relativeHeight="251660288" behindDoc="0" locked="0" layoutInCell="1" allowOverlap="1">
                <wp:simplePos x="0" y="0"/>
                <wp:positionH relativeFrom="column">
                  <wp:posOffset>2828925</wp:posOffset>
                </wp:positionH>
                <wp:positionV relativeFrom="paragraph">
                  <wp:posOffset>117475</wp:posOffset>
                </wp:positionV>
                <wp:extent cx="571500" cy="267970"/>
                <wp:effectExtent l="0" t="0" r="0" b="0"/>
                <wp:wrapNone/>
                <wp:docPr id="100" name="_x0000_s1283"/>
                <wp:cNvGraphicFramePr/>
                <a:graphic xmlns:a="http://schemas.openxmlformats.org/drawingml/2006/main">
                  <a:graphicData uri="http://schemas.microsoft.com/office/word/2010/wordprocessingShape">
                    <wps:wsp>
                      <wps:cNvSpPr/>
                      <wps:spPr bwMode="auto">
                        <a:xfrm>
                          <a:off x="0" y="0"/>
                          <a:ext cx="571500" cy="267970"/>
                        </a:xfrm>
                        <a:prstGeom prst="rect">
                          <a:avLst/>
                        </a:prstGeom>
                        <a:solidFill>
                          <a:srgbClr val="FFFFFF">
                            <a:alpha val="0"/>
                          </a:srgbClr>
                        </a:solidFill>
                        <a:ln>
                          <a:solidFill>
                            <a:srgbClr val="FFFFFF"/>
                          </a:solidFill>
                        </a:ln>
                      </wps:spPr>
                      <wps:txbx>
                        <w:txbxContent>
                          <w:p w14:paraId="3FCE34C8">
                            <w:pPr>
                              <w:pStyle w:val="293"/>
                            </w:pPr>
                            <w:r>
                              <w:rPr>
                                <w:rFonts w:hint="eastAsia"/>
                              </w:rPr>
                              <w:t>0.018</w:t>
                            </w:r>
                          </w:p>
                          <w:p w14:paraId="2581C34B"/>
                        </w:txbxContent>
                      </wps:txbx>
                      <wps:bodyPr wrap="square" upright="1"/>
                    </wps:wsp>
                  </a:graphicData>
                </a:graphic>
              </wp:anchor>
            </w:drawing>
          </mc:Choice>
          <mc:Fallback>
            <w:pict>
              <v:rect id="_x0000_s1283" o:spid="_x0000_s1026" o:spt="1" style="position:absolute;left:0pt;margin-left:222.75pt;margin-top:9.25pt;height:21.1pt;width:45pt;z-index:251660288;mso-width-relative:page;mso-height-relative:page;" fillcolor="#FFFFFF" filled="t" stroked="t" coordsize="21600,21600" o:gfxdata="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OvYM8XUAAAACQEAAA8AAAAAAAAAAQAgAAAAIgAAAGRy&#10;cy9kb3ducmV2LnhtbFBLAQIUABQAAAAIAIdO4kA8mUD40AEAANEDAAAOAAAAAAAAAAEAIAAAACMB&#10;AABkcnMvZTJvRG9jLnhtbFBLBQYAAAAABgAGAFkBAABlBQAAAAA=&#10;">
                <v:fill on="t" opacity="0f" focussize="0,0"/>
                <v:stroke color="#FFFFFF" joinstyle="round"/>
                <v:imagedata o:title=""/>
                <o:lock v:ext="edit" aspectratio="f"/>
                <v:textbox>
                  <w:txbxContent>
                    <w:p w14:paraId="3FCE34C8">
                      <w:pPr>
                        <w:pStyle w:val="293"/>
                      </w:pPr>
                      <w:r>
                        <w:rPr>
                          <w:rFonts w:hint="eastAsia"/>
                        </w:rPr>
                        <w:t>0.018</w:t>
                      </w:r>
                    </w:p>
                    <w:p w14:paraId="2581C34B"/>
                  </w:txbxContent>
                </v:textbox>
              </v:rect>
            </w:pict>
          </mc:Fallback>
        </mc:AlternateContent>
      </w:r>
      <w:r>
        <w:rPr>
          <w:rFonts w:hint="eastAsia"/>
          <w:color w:val="000000"/>
        </w:rPr>
        <mc:AlternateContent>
          <mc:Choice Requires="wps">
            <w:drawing>
              <wp:anchor distT="0" distB="0" distL="114300" distR="114300" simplePos="0" relativeHeight="251660288" behindDoc="0" locked="0" layoutInCell="1" allowOverlap="1">
                <wp:simplePos x="0" y="0"/>
                <wp:positionH relativeFrom="column">
                  <wp:posOffset>1524000</wp:posOffset>
                </wp:positionH>
                <wp:positionV relativeFrom="paragraph">
                  <wp:posOffset>146050</wp:posOffset>
                </wp:positionV>
                <wp:extent cx="571500" cy="267970"/>
                <wp:effectExtent l="0" t="0" r="0" b="0"/>
                <wp:wrapNone/>
                <wp:docPr id="101" name="_x0000_s1282"/>
                <wp:cNvGraphicFramePr/>
                <a:graphic xmlns:a="http://schemas.openxmlformats.org/drawingml/2006/main">
                  <a:graphicData uri="http://schemas.microsoft.com/office/word/2010/wordprocessingShape">
                    <wps:wsp>
                      <wps:cNvSpPr/>
                      <wps:spPr bwMode="auto">
                        <a:xfrm>
                          <a:off x="0" y="0"/>
                          <a:ext cx="571500" cy="267970"/>
                        </a:xfrm>
                        <a:prstGeom prst="rect">
                          <a:avLst/>
                        </a:prstGeom>
                        <a:solidFill>
                          <a:srgbClr val="FFFFFF">
                            <a:alpha val="0"/>
                          </a:srgbClr>
                        </a:solidFill>
                        <a:ln>
                          <a:solidFill>
                            <a:srgbClr val="FFFFFF"/>
                          </a:solidFill>
                        </a:ln>
                      </wps:spPr>
                      <wps:txbx>
                        <w:txbxContent>
                          <w:p w14:paraId="44E73B67">
                            <w:pPr>
                              <w:pStyle w:val="293"/>
                            </w:pPr>
                            <w:r>
                              <w:rPr>
                                <w:rFonts w:hint="eastAsia"/>
                              </w:rPr>
                              <w:t>0.018</w:t>
                            </w:r>
                          </w:p>
                          <w:p w14:paraId="03FF0B9D"/>
                        </w:txbxContent>
                      </wps:txbx>
                      <wps:bodyPr wrap="square" upright="1"/>
                    </wps:wsp>
                  </a:graphicData>
                </a:graphic>
              </wp:anchor>
            </w:drawing>
          </mc:Choice>
          <mc:Fallback>
            <w:pict>
              <v:rect id="_x0000_s1282" o:spid="_x0000_s1026" o:spt="1" style="position:absolute;left:0pt;margin-left:120pt;margin-top:11.5pt;height:21.1pt;width:45pt;z-index:251660288;mso-width-relative:page;mso-height-relative:page;" fillcolor="#FFFFFF" filled="t" stroked="t" coordsize="21600,21600" o:gfxdata="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&#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">
                <v:fill on="t" opacity="0f" focussize="0,0"/>
                <v:stroke color="#FFFFFF" joinstyle="round"/>
                <v:imagedata o:title=""/>
                <o:lock v:ext="edit" aspectratio="f"/>
                <v:textbox>
                  <w:txbxContent>
                    <w:p w14:paraId="44E73B67">
                      <w:pPr>
                        <w:pStyle w:val="293"/>
                      </w:pPr>
                      <w:r>
                        <w:rPr>
                          <w:rFonts w:hint="eastAsia"/>
                        </w:rPr>
                        <w:t>0.018</w:t>
                      </w:r>
                    </w:p>
                    <w:p w14:paraId="03FF0B9D"/>
                  </w:txbxContent>
                </v:textbox>
              </v:rect>
            </w:pict>
          </mc:Fallback>
        </mc:AlternateContent>
      </w:r>
      <w:r>
        <w:rPr>
          <w:rFonts w:hint="eastAsia"/>
          <w:color w:val="000000"/>
        </w:rPr>
        <mc:AlternateContent>
          <mc:Choice Requires="wps">
            <w:drawing>
              <wp:anchor distT="0" distB="0" distL="114300" distR="114300" simplePos="0" relativeHeight="251660288" behindDoc="0" locked="0" layoutInCell="1" allowOverlap="1">
                <wp:simplePos x="0" y="0"/>
                <wp:positionH relativeFrom="column">
                  <wp:posOffset>2105025</wp:posOffset>
                </wp:positionH>
                <wp:positionV relativeFrom="paragraph">
                  <wp:posOffset>88900</wp:posOffset>
                </wp:positionV>
                <wp:extent cx="800100" cy="573405"/>
                <wp:effectExtent l="0" t="0" r="0" b="0"/>
                <wp:wrapNone/>
                <wp:docPr id="102" name="_x0000_s1279"/>
                <wp:cNvGraphicFramePr/>
                <a:graphic xmlns:a="http://schemas.openxmlformats.org/drawingml/2006/main">
                  <a:graphicData uri="http://schemas.microsoft.com/office/word/2010/wordprocessingShape">
                    <wps:wsp>
                      <wps:cNvSpPr/>
                      <wps:spPr bwMode="auto">
                        <a:xfrm>
                          <a:off x="0" y="0"/>
                          <a:ext cx="800100" cy="573405"/>
                        </a:xfrm>
                        <a:prstGeom prst="rect">
                          <a:avLst/>
                        </a:prstGeom>
                        <a:solidFill>
                          <a:srgbClr val="FFFFFF"/>
                        </a:solidFill>
                        <a:ln>
                          <a:solidFill>
                            <a:srgbClr val="000000"/>
                          </a:solidFill>
                        </a:ln>
                      </wps:spPr>
                      <wps:txbx>
                        <w:txbxContent>
                          <w:p w14:paraId="2CA94A07">
                            <w:pPr>
                              <w:pStyle w:val="293"/>
                            </w:pPr>
                            <w:r>
                              <w:rPr>
                                <w:rFonts w:hint="eastAsia"/>
                              </w:rPr>
                              <w:t>单独容器（消毒））</w:t>
                            </w:r>
                          </w:p>
                          <w:p w14:paraId="4AD8FFF2"/>
                        </w:txbxContent>
                      </wps:txbx>
                      <wps:bodyPr wrap="square" upright="1"/>
                    </wps:wsp>
                  </a:graphicData>
                </a:graphic>
              </wp:anchor>
            </w:drawing>
          </mc:Choice>
          <mc:Fallback>
            <w:pict>
              <v:rect id="_x0000_s1279" o:spid="_x0000_s1026" o:spt="1" style="position:absolute;left:0pt;margin-left:165.75pt;margin-top:7pt;height:45.15pt;width:63pt;z-index:251660288;mso-width-relative:page;mso-height-relative:page;" fillcolor="#FFFFFF" filled="t" stroked="t" coordsize="21600,21600" o:gfxdata="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">
                <v:fill on="t" focussize="0,0"/>
                <v:stroke color="#000000" joinstyle="round"/>
                <v:imagedata o:title=""/>
                <o:lock v:ext="edit" aspectratio="f"/>
                <v:textbox>
                  <w:txbxContent>
                    <w:p w14:paraId="2CA94A07">
                      <w:pPr>
                        <w:pStyle w:val="293"/>
                      </w:pPr>
                      <w:r>
                        <w:rPr>
                          <w:rFonts w:hint="eastAsia"/>
                        </w:rPr>
                        <w:t>单独容器（消毒））</w:t>
                      </w:r>
                    </w:p>
                    <w:p w14:paraId="4AD8FFF2"/>
                  </w:txbxContent>
                </v:textbox>
              </v:rect>
            </w:pict>
          </mc:Fallback>
        </mc:AlternateContent>
      </w:r>
      <w:r>
        <w:rPr>
          <w:rFonts w:hint="eastAsia"/>
          <w:color w:val="000000"/>
        </w:rPr>
        <mc:AlternateContent>
          <mc:Choice Requires="wps">
            <w:drawing>
              <wp:anchor distT="0" distB="0" distL="114300" distR="114300" simplePos="0" relativeHeight="251660288" behindDoc="0" locked="0" layoutInCell="1" allowOverlap="1">
                <wp:simplePos x="0" y="0"/>
                <wp:positionH relativeFrom="column">
                  <wp:posOffset>876300</wp:posOffset>
                </wp:positionH>
                <wp:positionV relativeFrom="paragraph">
                  <wp:posOffset>114300</wp:posOffset>
                </wp:positionV>
                <wp:extent cx="229235" cy="114300"/>
                <wp:effectExtent l="0" t="0" r="0" b="0"/>
                <wp:wrapNone/>
                <wp:docPr id="103" name="_x0000_s1276"/>
                <wp:cNvGraphicFramePr/>
                <a:graphic xmlns:a="http://schemas.openxmlformats.org/drawingml/2006/main">
                  <a:graphicData uri="http://schemas.microsoft.com/office/word/2010/wordprocessingShape">
                    <wps:wsp>
                      <wps:cNvSpPr/>
                      <wps:spPr bwMode="auto">
                        <a:xfrm>
                          <a:off x="0" y="0"/>
                          <a:ext cx="229235" cy="114300"/>
                        </a:xfrm>
                        <a:custGeom>
                          <a:avLst/>
                          <a:gdLst>
                            <a:gd name="gd0" fmla="val 65536"/>
                            <a:gd name="gd1" fmla="val 0"/>
                            <a:gd name="gd2" fmla="val 156"/>
                            <a:gd name="gd3" fmla="val 180"/>
                            <a:gd name="gd4" fmla="val 0"/>
                            <a:gd name="gd5" fmla="val 180"/>
                            <a:gd name="gd6" fmla="val 156"/>
                            <a:gd name="gd7" fmla="val 360"/>
                            <a:gd name="gd8" fmla="val 0"/>
                          </a:gdLst>
                          <a:ahLst/>
                          <a:cxnLst/>
                          <a:rect l="0" t="0" r="r" b="b"/>
                          <a:pathLst>
                            <a:path w="360" h="156" extrusionOk="0">
                              <a:moveTo>
                                <a:pt x="gd1" y="gd2"/>
                              </a:moveTo>
                              <a:cubicBezTo>
                                <a:pt x="75" y="78"/>
                                <a:pt x="150" y="0"/>
                                <a:pt x="180" y="0"/>
                              </a:cubicBezTo>
                              <a:cubicBezTo>
                                <a:pt x="210" y="0"/>
                                <a:pt x="150" y="156"/>
                                <a:pt x="180" y="156"/>
                              </a:cubicBezTo>
                              <a:cubicBezTo>
                                <a:pt x="210" y="156"/>
                                <a:pt x="330" y="26"/>
                                <a:pt x="360" y="0"/>
                              </a:cubicBezTo>
                            </a:path>
                          </a:pathLst>
                        </a:custGeom>
                        <a:noFill/>
                        <a:ln>
                          <a:solidFill>
                            <a:srgbClr val="000000"/>
                          </a:solidFill>
                          <a:tailEnd type="triangle"/>
                        </a:ln>
                      </wps:spPr>
                      <wps:bodyPr rot="0">
                        <a:noAutofit/>
                      </wps:bodyPr>
                    </wps:wsp>
                  </a:graphicData>
                </a:graphic>
              </wp:anchor>
            </w:drawing>
          </mc:Choice>
          <mc:Fallback>
            <w:pict>
              <v:shape id="_x0000_s1276" o:spid="_x0000_s1026" o:spt="100" style="position:absolute;left:0pt;margin-left:69pt;margin-top:9pt;height:9pt;width:18.05pt;z-index:251660288;mso-width-relative:page;mso-height-relative:page;" filled="f" stroked="t" coordsize="360,156" o:gfxdata="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" path="m0,156c75,78,150,0,180,0c210,0,150,156,180,156c210,156,330,26,360,0e">
                <v:fill on="f" focussize="0,0"/>
                <v:stroke color="#000000" joinstyle="round" endarrow="block"/>
                <v:imagedata o:title=""/>
                <o:lock v:ext="edit" aspectratio="f"/>
              </v:shape>
            </w:pict>
          </mc:Fallback>
        </mc:AlternateContent>
      </w:r>
      <w:r>
        <w:rPr>
          <w:rFonts w:hint="eastAsia"/>
          <w:color w:val="000000"/>
        </w:rPr>
        <mc:AlternateContent>
          <mc:Choice Requires="wps">
            <w:drawing>
              <wp:anchor distT="0" distB="0" distL="114300" distR="114300" simplePos="0" relativeHeight="251660288" behindDoc="0" locked="0" layoutInCell="1" allowOverlap="1">
                <wp:simplePos x="0" y="0"/>
                <wp:positionH relativeFrom="column">
                  <wp:posOffset>3657600</wp:posOffset>
                </wp:positionH>
                <wp:positionV relativeFrom="paragraph">
                  <wp:posOffset>190500</wp:posOffset>
                </wp:positionV>
                <wp:extent cx="1130300" cy="336550"/>
                <wp:effectExtent l="0" t="0" r="0" b="0"/>
                <wp:wrapNone/>
                <wp:docPr id="104" name="_x0000_s1270"/>
                <wp:cNvGraphicFramePr/>
                <a:graphic xmlns:a="http://schemas.openxmlformats.org/drawingml/2006/main">
                  <a:graphicData uri="http://schemas.microsoft.com/office/word/2010/wordprocessingShape">
                    <wps:wsp>
                      <wps:cNvSpPr/>
                      <wps:spPr bwMode="auto">
                        <a:xfrm>
                          <a:off x="0" y="0"/>
                          <a:ext cx="1130300" cy="336550"/>
                        </a:xfrm>
                        <a:prstGeom prst="rect">
                          <a:avLst/>
                        </a:prstGeom>
                        <a:solidFill>
                          <a:srgbClr val="FFFFFF"/>
                        </a:solidFill>
                        <a:ln>
                          <a:solidFill>
                            <a:srgbClr val="000000"/>
                          </a:solidFill>
                        </a:ln>
                      </wps:spPr>
                      <wps:txbx>
                        <w:txbxContent>
                          <w:p w14:paraId="0368E60A">
                            <w:pPr>
                              <w:pStyle w:val="293"/>
                            </w:pPr>
                            <w:r>
                              <w:rPr>
                                <w:rFonts w:hint="eastAsia"/>
                              </w:rPr>
                              <w:t>污泥干化脱水</w:t>
                            </w:r>
                          </w:p>
                          <w:p w14:paraId="71E8D0B1"/>
                        </w:txbxContent>
                      </wps:txbx>
                      <wps:bodyPr wrap="square" upright="1"/>
                    </wps:wsp>
                  </a:graphicData>
                </a:graphic>
              </wp:anchor>
            </w:drawing>
          </mc:Choice>
          <mc:Fallback>
            <w:pict>
              <v:rect id="_x0000_s1270" o:spid="_x0000_s1026" o:spt="1" style="position:absolute;left:0pt;margin-left:288pt;margin-top:15pt;height:26.5pt;width:89pt;z-index:251660288;mso-width-relative:page;mso-height-relative:page;" fillcolor="#FFFFFF" filled="t" stroked="t" coordsize="21600,21600" o:gfxdata="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">
                <v:fill on="t" focussize="0,0"/>
                <v:stroke color="#000000" joinstyle="round"/>
                <v:imagedata o:title=""/>
                <o:lock v:ext="edit" aspectratio="f"/>
                <v:textbox>
                  <w:txbxContent>
                    <w:p w14:paraId="0368E60A">
                      <w:pPr>
                        <w:pStyle w:val="293"/>
                      </w:pPr>
                      <w:r>
                        <w:rPr>
                          <w:rFonts w:hint="eastAsia"/>
                        </w:rPr>
                        <w:t>污泥干化脱水</w:t>
                      </w:r>
                    </w:p>
                    <w:p w14:paraId="71E8D0B1"/>
                  </w:txbxContent>
                </v:textbox>
              </v:rect>
            </w:pict>
          </mc:Fallback>
        </mc:AlternateContent>
      </w:r>
    </w:p>
    <w:p w14:paraId="1C903FB2">
      <w:pPr>
        <w:pStyle w:val="221"/>
        <w:spacing w:after="0" w:line="360" w:lineRule="auto"/>
        <w:ind w:left="0"/>
        <w:jc w:val="left"/>
        <w:rPr>
          <w:rFonts w:hint="eastAsia" w:ascii="宋体" w:hAnsi="宋体"/>
          <w:color w:val="000000"/>
        </w:rPr>
      </w:pPr>
      <w:r>
        <w:rPr>
          <w:rFonts w:hint="eastAsia"/>
          <w:color w:val="000000"/>
        </w:rPr>
        <mc:AlternateContent>
          <mc:Choice Requires="wps">
            <w:drawing>
              <wp:anchor distT="0" distB="0" distL="114300" distR="114300" simplePos="0" relativeHeight="251660288" behindDoc="0" locked="0" layoutInCell="1" allowOverlap="1">
                <wp:simplePos x="0" y="0"/>
                <wp:positionH relativeFrom="column">
                  <wp:posOffset>2914650</wp:posOffset>
                </wp:positionH>
                <wp:positionV relativeFrom="paragraph">
                  <wp:posOffset>99695</wp:posOffset>
                </wp:positionV>
                <wp:extent cx="414655" cy="20320"/>
                <wp:effectExtent l="0" t="0" r="0" b="0"/>
                <wp:wrapNone/>
                <wp:docPr id="105" name="_x0000_s1280"/>
                <wp:cNvGraphicFramePr/>
                <a:graphic xmlns:a="http://schemas.openxmlformats.org/drawingml/2006/main">
                  <a:graphicData uri="http://schemas.microsoft.com/office/word/2010/wordprocessingShape">
                    <wps:wsp>
                      <wps:cNvCnPr/>
                      <wps:spPr bwMode="auto">
                        <a:xfrm>
                          <a:off x="0" y="0"/>
                          <a:ext cx="414655" cy="20320"/>
                        </a:xfrm>
                        <a:prstGeom prst="line">
                          <a:avLst/>
                        </a:prstGeom>
                        <a:solidFill>
                          <a:srgbClr val="FFFFFF"/>
                        </a:solidFill>
                        <a:ln w="19050">
                          <a:solidFill>
                            <a:srgbClr val="000000"/>
                          </a:solidFill>
                          <a:prstDash val="lgDash"/>
                          <a:tailEnd type="triangle"/>
                        </a:ln>
                      </wps:spPr>
                      <wps:bodyPr rot="0">
                        <a:noAutofit/>
                      </wps:bodyPr>
                    </wps:wsp>
                  </a:graphicData>
                </a:graphic>
              </wp:anchor>
            </w:drawing>
          </mc:Choice>
          <mc:Fallback>
            <w:pict>
              <v:line id="_x0000_s1280" o:spid="_x0000_s1026" o:spt="20" style="position:absolute;left:0pt;margin-left:229.5pt;margin-top:7.85pt;height:1.6pt;width:32.65pt;z-index:251660288;mso-width-relative:page;mso-height-relative:page;" fillcolor="#FFFFFF" filled="t" stroked="t" coordsize="21600,21600" o:gfxdata="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tzgi&#10;H9kAAAAJAQAADwAAAAAAAAABACAAAAAiAAAAZHJzL2Rvd25yZXYueG1sUEsBAhQAFAAAAAgAh07i&#10;QDfDnT3oAQAA8AMAAA4AAAAAAAAAAQAgAAAAKAEAAGRycy9lMm9Eb2MueG1sUEsFBgAAAAAGAAYA&#10;WQEAAIIFAAAAAA==&#10;">
                <v:fill on="t" focussize="0,0"/>
                <v:stroke weight="1.5pt" color="#000000" joinstyle="round" dashstyle="longDash" endarrow="block"/>
                <v:imagedata o:title=""/>
                <o:lock v:ext="edit" aspectratio="f"/>
              </v:line>
            </w:pict>
          </mc:Fallback>
        </mc:AlternateContent>
      </w:r>
      <w:r>
        <w:rPr>
          <w:rFonts w:hint="eastAsia"/>
          <w:color w:val="000000"/>
        </w:rPr>
        <mc:AlternateContent>
          <mc:Choice Requires="wps">
            <w:drawing>
              <wp:anchor distT="0" distB="0" distL="114300" distR="114300" simplePos="0" relativeHeight="251660288" behindDoc="0" locked="0" layoutInCell="1" allowOverlap="1">
                <wp:simplePos x="0" y="0"/>
                <wp:positionH relativeFrom="column">
                  <wp:posOffset>1590675</wp:posOffset>
                </wp:positionH>
                <wp:positionV relativeFrom="paragraph">
                  <wp:posOffset>118745</wp:posOffset>
                </wp:positionV>
                <wp:extent cx="528955" cy="1270"/>
                <wp:effectExtent l="0" t="0" r="0" b="0"/>
                <wp:wrapNone/>
                <wp:docPr id="106" name="_x0000_s1278"/>
                <wp:cNvGraphicFramePr/>
                <a:graphic xmlns:a="http://schemas.openxmlformats.org/drawingml/2006/main">
                  <a:graphicData uri="http://schemas.microsoft.com/office/word/2010/wordprocessingShape">
                    <wps:wsp>
                      <wps:cNvCnPr/>
                      <wps:spPr bwMode="auto">
                        <a:xfrm>
                          <a:off x="0" y="0"/>
                          <a:ext cx="528955" cy="1270"/>
                        </a:xfrm>
                        <a:prstGeom prst="line">
                          <a:avLst/>
                        </a:prstGeom>
                        <a:solidFill>
                          <a:srgbClr val="FFFFFF"/>
                        </a:solidFill>
                        <a:ln w="19050">
                          <a:solidFill>
                            <a:srgbClr val="000000"/>
                          </a:solidFill>
                          <a:prstDash val="lgDash"/>
                          <a:tailEnd type="triangle"/>
                        </a:ln>
                      </wps:spPr>
                      <wps:bodyPr rot="0">
                        <a:noAutofit/>
                      </wps:bodyPr>
                    </wps:wsp>
                  </a:graphicData>
                </a:graphic>
              </wp:anchor>
            </w:drawing>
          </mc:Choice>
          <mc:Fallback>
            <w:pict>
              <v:line id="_x0000_s1278" o:spid="_x0000_s1026" o:spt="20" style="position:absolute;left:0pt;margin-left:125.25pt;margin-top:9.35pt;height:0.1pt;width:41.65pt;z-index:251660288;mso-width-relative:page;mso-height-relative:page;" fillcolor="#FFFFFF" filled="t" stroked="t" coordsize="21600,21600" o:gfxdata="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HnS4iPY&#10;AAAACQEAAA8AAAAAAAAAAQAgAAAAIgAAAGRycy9kb3ducmV2LnhtbFBLAQIUABQAAAAIAIdO4kBK&#10;RluW5wEAAO8DAAAOAAAAAAAAAAEAIAAAACcBAABkcnMvZTJvRG9jLnhtbFBLBQYAAAAABgAGAFkB&#10;AACABQAAAAA=&#10;">
                <v:fill on="t" focussize="0,0"/>
                <v:stroke weight="1.5pt" color="#000000" joinstyle="round" dashstyle="longDash" endarrow="block"/>
                <v:imagedata o:title=""/>
                <o:lock v:ext="edit" aspectratio="f"/>
              </v:line>
            </w:pict>
          </mc:Fallback>
        </mc:AlternateContent>
      </w:r>
      <w:r>
        <w:rPr>
          <w:rFonts w:hint="eastAsia"/>
          <w:color w:val="000000"/>
          <w:sz w:val="24"/>
        </w:rPr>
        <mc:AlternateContent>
          <mc:Choice Requires="wps">
            <w:drawing>
              <wp:anchor distT="0" distB="0" distL="114300" distR="114300" simplePos="0" relativeHeight="251660288" behindDoc="0" locked="0" layoutInCell="1" allowOverlap="1">
                <wp:simplePos x="0" y="0"/>
                <wp:positionH relativeFrom="column">
                  <wp:posOffset>676275</wp:posOffset>
                </wp:positionH>
                <wp:positionV relativeFrom="paragraph">
                  <wp:posOffset>1270</wp:posOffset>
                </wp:positionV>
                <wp:extent cx="914400" cy="297180"/>
                <wp:effectExtent l="0" t="0" r="0" b="0"/>
                <wp:wrapNone/>
                <wp:docPr id="107" name="_x0000_s1275"/>
                <wp:cNvGraphicFramePr/>
                <a:graphic xmlns:a="http://schemas.openxmlformats.org/drawingml/2006/main">
                  <a:graphicData uri="http://schemas.microsoft.com/office/word/2010/wordprocessingShape">
                    <wps:wsp>
                      <wps:cNvSpPr/>
                      <wps:spPr bwMode="auto">
                        <a:xfrm>
                          <a:off x="0" y="0"/>
                          <a:ext cx="914400" cy="297180"/>
                        </a:xfrm>
                        <a:prstGeom prst="rect">
                          <a:avLst/>
                        </a:prstGeom>
                        <a:solidFill>
                          <a:srgbClr val="FFFFFF"/>
                        </a:solidFill>
                        <a:ln>
                          <a:solidFill>
                            <a:srgbClr val="000000"/>
                          </a:solidFill>
                        </a:ln>
                      </wps:spPr>
                      <wps:txbx>
                        <w:txbxContent>
                          <w:p w14:paraId="5FC90539">
                            <w:pPr>
                              <w:pStyle w:val="293"/>
                              <w:jc w:val="both"/>
                            </w:pPr>
                            <w:r>
                              <w:rPr>
                                <w:rFonts w:hint="eastAsia"/>
                              </w:rPr>
                              <w:t>口腔科用水</w:t>
                            </w:r>
                          </w:p>
                          <w:p w14:paraId="4584FF81"/>
                        </w:txbxContent>
                      </wps:txbx>
                      <wps:bodyPr wrap="square" upright="1"/>
                    </wps:wsp>
                  </a:graphicData>
                </a:graphic>
              </wp:anchor>
            </w:drawing>
          </mc:Choice>
          <mc:Fallback>
            <w:pict>
              <v:rect id="_x0000_s1275" o:spid="_x0000_s1026" o:spt="1" style="position:absolute;left:0pt;margin-left:53.25pt;margin-top:0.1pt;height:23.4pt;width:72pt;z-index:251660288;mso-width-relative:page;mso-height-relative:page;" fillcolor="#FFFFFF" filled="t" stroked="t" coordsize="21600,21600" o:gfxdata="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7uMno9MAAAAHAQAADwAAAAAAAAABACAAAAAiAAAAZHJzL2Rvd25y&#10;ZXYueG1sUEsBAhQAFAAAAAgAh07iQM9JEVDKAQAAtAMAAA4AAAAAAAAAAQAgAAAAIgEAAGRycy9l&#10;Mm9Eb2MueG1sUEsFBgAAAAAGAAYAWQEAAF4FAAAAAA==&#10;">
                <v:fill on="t" focussize="0,0"/>
                <v:stroke color="#000000" joinstyle="round"/>
                <v:imagedata o:title=""/>
                <o:lock v:ext="edit" aspectratio="f"/>
                <v:textbox>
                  <w:txbxContent>
                    <w:p w14:paraId="5FC90539">
                      <w:pPr>
                        <w:pStyle w:val="293"/>
                        <w:jc w:val="both"/>
                      </w:pPr>
                      <w:r>
                        <w:rPr>
                          <w:rFonts w:hint="eastAsia"/>
                        </w:rPr>
                        <w:t>口腔科用水</w:t>
                      </w:r>
                    </w:p>
                    <w:p w14:paraId="4584FF81"/>
                  </w:txbxContent>
                </v:textbox>
              </v:rect>
            </w:pict>
          </mc:Fallback>
        </mc:AlternateContent>
      </w:r>
      <w:r>
        <w:rPr>
          <w:rFonts w:hint="eastAsia"/>
          <w:color w:val="000000"/>
        </w:rPr>
        <mc:AlternateContent>
          <mc:Choice Requires="wps">
            <w:drawing>
              <wp:anchor distT="0" distB="0" distL="114300" distR="114300" simplePos="0" relativeHeight="251660288" behindDoc="0" locked="0" layoutInCell="1" allowOverlap="1">
                <wp:simplePos x="0" y="0"/>
                <wp:positionH relativeFrom="column">
                  <wp:posOffset>95250</wp:posOffset>
                </wp:positionH>
                <wp:positionV relativeFrom="paragraph">
                  <wp:posOffset>177165</wp:posOffset>
                </wp:positionV>
                <wp:extent cx="586740" cy="635"/>
                <wp:effectExtent l="0" t="0" r="0" b="0"/>
                <wp:wrapNone/>
                <wp:docPr id="108" name="_x0000_s1274"/>
                <wp:cNvGraphicFramePr/>
                <a:graphic xmlns:a="http://schemas.openxmlformats.org/drawingml/2006/main">
                  <a:graphicData uri="http://schemas.microsoft.com/office/word/2010/wordprocessingShape">
                    <wps:wsp>
                      <wps:cNvCnPr/>
                      <wps:spPr bwMode="auto">
                        <a:xfrm>
                          <a:off x="0" y="0"/>
                          <a:ext cx="586740" cy="635"/>
                        </a:xfrm>
                        <a:prstGeom prst="line">
                          <a:avLst/>
                        </a:prstGeom>
                        <a:solidFill>
                          <a:srgbClr val="FFFFFF"/>
                        </a:solidFill>
                        <a:ln w="28575">
                          <a:solidFill>
                            <a:srgbClr val="000000"/>
                          </a:solidFill>
                          <a:tailEnd type="triangle"/>
                        </a:ln>
                      </wps:spPr>
                      <wps:bodyPr rot="0">
                        <a:noAutofit/>
                      </wps:bodyPr>
                    </wps:wsp>
                  </a:graphicData>
                </a:graphic>
              </wp:anchor>
            </w:drawing>
          </mc:Choice>
          <mc:Fallback>
            <w:pict>
              <v:line id="_x0000_s1274" o:spid="_x0000_s1026" o:spt="20" style="position:absolute;left:0pt;margin-left:7.5pt;margin-top:13.95pt;height:0.05pt;width:46.2pt;z-index:251660288;mso-width-relative:page;mso-height-relative:page;" fillcolor="#FFFFFF" filled="t" stroked="t" coordsize="21600,21600" o:gfxdata="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Bo4aau1QAAAAgBAAAPAAAAAAAA&#10;AAEAIAAAACIAAABkcnMvZG93bnJldi54bWxQSwECFAAUAAAACACHTuJA6rMIcNwBAADUAwAADgAA&#10;AAAAAAABACAAAAAkAQAAZHJzL2Uyb0RvYy54bWxQSwUGAAAAAAYABgBZAQAAcgUAAAAA&#10;">
                <v:fill on="t" focussize="0,0"/>
                <v:stroke weight="2.25pt" color="#000000" joinstyle="round" endarrow="block"/>
                <v:imagedata o:title=""/>
                <o:lock v:ext="edit" aspectratio="f"/>
              </v:line>
            </w:pict>
          </mc:Fallback>
        </mc:AlternateContent>
      </w:r>
    </w:p>
    <w:p w14:paraId="383458FD">
      <w:pPr>
        <w:pStyle w:val="221"/>
        <w:spacing w:after="0" w:line="360" w:lineRule="auto"/>
        <w:ind w:left="0"/>
        <w:jc w:val="left"/>
        <w:rPr>
          <w:rFonts w:hint="eastAsia" w:ascii="宋体" w:hAnsi="宋体"/>
          <w:color w:val="000000"/>
        </w:rPr>
      </w:pPr>
      <w:r>
        <w:rPr>
          <w:rFonts w:hint="eastAsia" w:ascii="宋体" w:hAnsi="宋体"/>
          <w:color w:val="000000"/>
        </w:rPr>
        <mc:AlternateContent>
          <mc:Choice Requires="wps">
            <w:drawing>
              <wp:anchor distT="0" distB="0" distL="114300" distR="114300" simplePos="0" relativeHeight="251660288" behindDoc="0" locked="0" layoutInCell="1" allowOverlap="1">
                <wp:simplePos x="0" y="0"/>
                <wp:positionH relativeFrom="column">
                  <wp:posOffset>2276475</wp:posOffset>
                </wp:positionH>
                <wp:positionV relativeFrom="paragraph">
                  <wp:posOffset>248920</wp:posOffset>
                </wp:positionV>
                <wp:extent cx="571500" cy="422275"/>
                <wp:effectExtent l="0" t="0" r="0" b="0"/>
                <wp:wrapNone/>
                <wp:docPr id="109" name="_x0000_s1266"/>
                <wp:cNvGraphicFramePr/>
                <a:graphic xmlns:a="http://schemas.openxmlformats.org/drawingml/2006/main">
                  <a:graphicData uri="http://schemas.microsoft.com/office/word/2010/wordprocessingShape">
                    <wps:wsp>
                      <wps:cNvSpPr/>
                      <wps:spPr bwMode="auto">
                        <a:xfrm>
                          <a:off x="0" y="0"/>
                          <a:ext cx="571500" cy="422275"/>
                        </a:xfrm>
                        <a:prstGeom prst="rect">
                          <a:avLst/>
                        </a:prstGeom>
                        <a:solidFill>
                          <a:srgbClr val="FFFFFF"/>
                        </a:solidFill>
                        <a:ln>
                          <a:solidFill>
                            <a:srgbClr val="FFFFFF"/>
                          </a:solidFill>
                        </a:ln>
                      </wps:spPr>
                      <wps:txbx>
                        <w:txbxContent>
                          <w:p w14:paraId="7C120CCE">
                            <w:pPr>
                              <w:spacing w:before="48" w:after="48"/>
                              <w:rPr>
                                <w:szCs w:val="21"/>
                              </w:rPr>
                            </w:pPr>
                            <w:r>
                              <w:rPr>
                                <w:rFonts w:hint="eastAsia" w:cs="宋体"/>
                                <w:szCs w:val="21"/>
                              </w:rPr>
                              <w:t>2.944</w:t>
                            </w:r>
                          </w:p>
                          <w:p w14:paraId="225E5C14"/>
                        </w:txbxContent>
                      </wps:txbx>
                      <wps:bodyPr wrap="square" upright="1"/>
                    </wps:wsp>
                  </a:graphicData>
                </a:graphic>
              </wp:anchor>
            </w:drawing>
          </mc:Choice>
          <mc:Fallback>
            <w:pict>
              <v:rect id="_x0000_s1266" o:spid="_x0000_s1026" o:spt="1" style="position:absolute;left:0pt;margin-left:179.25pt;margin-top:19.6pt;height:33.25pt;width:45pt;z-index:251660288;mso-width-relative:page;mso-height-relative:page;" fillcolor="#FFFFFF" filled="t" stroked="t" coordsize="21600,21600" o:gfxdata="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PdZKDfWAAAACgEAAA8AAAAAAAAAAQAgAAAAIgAAAGRycy9kb3ducmV2Lnht&#10;bFBLAQIUABQAAAAIAIdO4kAL1AFTwgEAALQDAAAOAAAAAAAAAAEAIAAAACUBAABkcnMvZTJvRG9j&#10;LnhtbFBLBQYAAAAABgAGAFkBAABZBQAAAAA=&#10;">
                <v:fill on="t" focussize="0,0"/>
                <v:stroke color="#FFFFFF" joinstyle="round"/>
                <v:imagedata o:title=""/>
                <o:lock v:ext="edit" aspectratio="f"/>
                <v:textbox>
                  <w:txbxContent>
                    <w:p w14:paraId="7C120CCE">
                      <w:pPr>
                        <w:spacing w:before="48" w:after="48"/>
                        <w:rPr>
                          <w:szCs w:val="21"/>
                        </w:rPr>
                      </w:pPr>
                      <w:r>
                        <w:rPr>
                          <w:rFonts w:hint="eastAsia" w:cs="宋体"/>
                          <w:szCs w:val="21"/>
                        </w:rPr>
                        <w:t>2.944</w:t>
                      </w:r>
                    </w:p>
                    <w:p w14:paraId="225E5C14"/>
                  </w:txbxContent>
                </v:textbox>
              </v:rect>
            </w:pict>
          </mc:Fallback>
        </mc:AlternateContent>
      </w:r>
      <w:r>
        <w:rPr>
          <w:rFonts w:hint="eastAsia"/>
          <w:color w:val="000000"/>
        </w:rPr>
        <mc:AlternateContent>
          <mc:Choice Requires="wps">
            <w:drawing>
              <wp:anchor distT="0" distB="0" distL="114300" distR="114300" simplePos="0" relativeHeight="251660288" behindDoc="0" locked="0" layoutInCell="1" allowOverlap="1">
                <wp:simplePos x="0" y="0"/>
                <wp:positionH relativeFrom="column">
                  <wp:posOffset>981075</wp:posOffset>
                </wp:positionH>
                <wp:positionV relativeFrom="paragraph">
                  <wp:posOffset>12700</wp:posOffset>
                </wp:positionV>
                <wp:extent cx="571500" cy="297180"/>
                <wp:effectExtent l="0" t="0" r="0" b="0"/>
                <wp:wrapNone/>
                <wp:docPr id="110" name="_x0000_s1269"/>
                <wp:cNvGraphicFramePr/>
                <a:graphic xmlns:a="http://schemas.openxmlformats.org/drawingml/2006/main">
                  <a:graphicData uri="http://schemas.microsoft.com/office/word/2010/wordprocessingShape">
                    <wps:wsp>
                      <wps:cNvSpPr/>
                      <wps:spPr bwMode="auto">
                        <a:xfrm>
                          <a:off x="0" y="0"/>
                          <a:ext cx="571500" cy="297180"/>
                        </a:xfrm>
                        <a:prstGeom prst="rect">
                          <a:avLst/>
                        </a:prstGeom>
                        <a:solidFill>
                          <a:srgbClr val="FFFFFF"/>
                        </a:solidFill>
                        <a:ln>
                          <a:solidFill>
                            <a:srgbClr val="FFFFFF"/>
                          </a:solidFill>
                        </a:ln>
                      </wps:spPr>
                      <wps:txbx>
                        <w:txbxContent>
                          <w:p w14:paraId="435367D8">
                            <w:pPr>
                              <w:pStyle w:val="287"/>
                            </w:pPr>
                            <w:r>
                              <w:rPr>
                                <w:rFonts w:hint="eastAsia"/>
                              </w:rPr>
                              <w:t>0.736</w:t>
                            </w:r>
                          </w:p>
                          <w:p w14:paraId="5D8E21D2"/>
                        </w:txbxContent>
                      </wps:txbx>
                      <wps:bodyPr wrap="square" upright="1"/>
                    </wps:wsp>
                  </a:graphicData>
                </a:graphic>
              </wp:anchor>
            </w:drawing>
          </mc:Choice>
          <mc:Fallback>
            <w:pict>
              <v:rect id="_x0000_s1269" o:spid="_x0000_s1026" o:spt="1" style="position:absolute;left:0pt;margin-left:77.25pt;margin-top:1pt;height:23.4pt;width:45pt;z-index:251660288;mso-width-relative:page;mso-height-relative:page;" fillcolor="#FFFFFF" filled="t" stroked="t" coordsize="21600,21600" o:gfxdata="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Cfk+Xj0wAAAAgBAAAPAAAAAAAAAAEAIAAAACIAAABkcnMvZG93bnJldi54bWxQ&#10;SwECFAAUAAAACACHTuJArKAoHMMBAAC0AwAADgAAAAAAAAABACAAAAAiAQAAZHJzL2Uyb0RvYy54&#10;bWxQSwUGAAAAAAYABgBZAQAAVwUAAAAA&#10;">
                <v:fill on="t" focussize="0,0"/>
                <v:stroke color="#FFFFFF" joinstyle="round"/>
                <v:imagedata o:title=""/>
                <o:lock v:ext="edit" aspectratio="f"/>
                <v:textbox>
                  <w:txbxContent>
                    <w:p w14:paraId="435367D8">
                      <w:pPr>
                        <w:pStyle w:val="287"/>
                      </w:pPr>
                      <w:r>
                        <w:rPr>
                          <w:rFonts w:hint="eastAsia"/>
                        </w:rPr>
                        <w:t>0.736</w:t>
                      </w:r>
                    </w:p>
                    <w:p w14:paraId="5D8E21D2"/>
                  </w:txbxContent>
                </v:textbox>
              </v:rect>
            </w:pict>
          </mc:Fallback>
        </mc:AlternateContent>
      </w:r>
    </w:p>
    <w:p w14:paraId="05CDA329">
      <w:pPr>
        <w:pStyle w:val="221"/>
        <w:spacing w:after="0" w:line="360" w:lineRule="auto"/>
        <w:ind w:left="-3" w:hanging="96"/>
        <w:jc w:val="center"/>
        <w:rPr>
          <w:rFonts w:hint="eastAsia"/>
          <w:color w:val="000000"/>
        </w:rPr>
      </w:pPr>
      <w:r>
        <w:rPr>
          <w:rFonts w:hint="eastAsia" w:ascii="宋体" w:hAnsi="宋体"/>
          <w:color w:val="000000"/>
        </w:rPr>
        <mc:AlternateContent>
          <mc:Choice Requires="wps">
            <w:drawing>
              <wp:anchor distT="0" distB="0" distL="114300" distR="114300" simplePos="0" relativeHeight="251660288" behindDoc="0" locked="0" layoutInCell="1" allowOverlap="1">
                <wp:simplePos x="0" y="0"/>
                <wp:positionH relativeFrom="column">
                  <wp:posOffset>114300</wp:posOffset>
                </wp:positionH>
                <wp:positionV relativeFrom="paragraph">
                  <wp:posOffset>36830</wp:posOffset>
                </wp:positionV>
                <wp:extent cx="489585" cy="422275"/>
                <wp:effectExtent l="0" t="0" r="0" b="0"/>
                <wp:wrapNone/>
                <wp:docPr id="111" name="_x0000_s1263"/>
                <wp:cNvGraphicFramePr/>
                <a:graphic xmlns:a="http://schemas.openxmlformats.org/drawingml/2006/main">
                  <a:graphicData uri="http://schemas.microsoft.com/office/word/2010/wordprocessingShape">
                    <wps:wsp>
                      <wps:cNvSpPr/>
                      <wps:spPr bwMode="auto">
                        <a:xfrm>
                          <a:off x="0" y="0"/>
                          <a:ext cx="489585" cy="422275"/>
                        </a:xfrm>
                        <a:prstGeom prst="rect">
                          <a:avLst/>
                        </a:prstGeom>
                        <a:solidFill>
                          <a:srgbClr val="FFFFFF"/>
                        </a:solidFill>
                        <a:ln>
                          <a:solidFill>
                            <a:srgbClr val="FFFFFF"/>
                          </a:solidFill>
                        </a:ln>
                      </wps:spPr>
                      <wps:txbx>
                        <w:txbxContent>
                          <w:p w14:paraId="6059D9C1">
                            <w:pPr>
                              <w:spacing w:before="48" w:after="48"/>
                              <w:rPr>
                                <w:szCs w:val="21"/>
                              </w:rPr>
                            </w:pPr>
                            <w:r>
                              <w:rPr>
                                <w:rFonts w:hint="eastAsia" w:cs="宋体"/>
                                <w:szCs w:val="21"/>
                              </w:rPr>
                              <w:t>3.68</w:t>
                            </w:r>
                          </w:p>
                          <w:p w14:paraId="679874A9"/>
                        </w:txbxContent>
                      </wps:txbx>
                      <wps:bodyPr wrap="square" upright="1"/>
                    </wps:wsp>
                  </a:graphicData>
                </a:graphic>
              </wp:anchor>
            </w:drawing>
          </mc:Choice>
          <mc:Fallback>
            <w:pict>
              <v:rect id="_x0000_s1263" o:spid="_x0000_s1026" o:spt="1" style="position:absolute;left:0pt;margin-left:9pt;margin-top:2.9pt;height:33.25pt;width:38.55pt;z-index:251660288;mso-width-relative:page;mso-height-relative:page;" fillcolor="#FFFFFF" filled="t" stroked="t" coordsize="21600,21600" o:gfxdata="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AeOwmdQAAAAGAQAADwAAAAAAAAABACAAAAAiAAAAZHJzL2Rvd25yZXYueG1s&#10;UEsBAhQAFAAAAAgAh07iQMQP7X/DAQAAtAMAAA4AAAAAAAAAAQAgAAAAIwEAAGRycy9lMm9Eb2Mu&#10;eG1sUEsFBgAAAAAGAAYAWQEAAFgFAAAAAA==&#10;">
                <v:fill on="t" focussize="0,0"/>
                <v:stroke color="#FFFFFF" joinstyle="round"/>
                <v:imagedata o:title=""/>
                <o:lock v:ext="edit" aspectratio="f"/>
                <v:textbox>
                  <w:txbxContent>
                    <w:p w14:paraId="6059D9C1">
                      <w:pPr>
                        <w:spacing w:before="48" w:after="48"/>
                        <w:rPr>
                          <w:szCs w:val="21"/>
                        </w:rPr>
                      </w:pPr>
                      <w:r>
                        <w:rPr>
                          <w:rFonts w:hint="eastAsia" w:cs="宋体"/>
                          <w:szCs w:val="21"/>
                        </w:rPr>
                        <w:t>3.68</w:t>
                      </w:r>
                    </w:p>
                    <w:p w14:paraId="679874A9"/>
                  </w:txbxContent>
                </v:textbox>
              </v:rect>
            </w:pict>
          </mc:Fallback>
        </mc:AlternateContent>
      </w:r>
      <w:r>
        <w:rPr>
          <w:rFonts w:hint="eastAsia" w:ascii="宋体" w:hAnsi="宋体"/>
          <w:color w:val="000000"/>
        </w:rPr>
        <mc:AlternateContent>
          <mc:Choice Requires="wps">
            <w:drawing>
              <wp:anchor distT="0" distB="0" distL="114300" distR="114300" simplePos="0" relativeHeight="251660288" behindDoc="0" locked="0" layoutInCell="1" allowOverlap="1">
                <wp:simplePos x="0" y="0"/>
                <wp:positionH relativeFrom="column">
                  <wp:posOffset>990600</wp:posOffset>
                </wp:positionH>
                <wp:positionV relativeFrom="paragraph">
                  <wp:posOffset>12065</wp:posOffset>
                </wp:positionV>
                <wp:extent cx="229235" cy="114300"/>
                <wp:effectExtent l="0" t="0" r="0" b="0"/>
                <wp:wrapNone/>
                <wp:docPr id="112" name="_x0000_s1268"/>
                <wp:cNvGraphicFramePr/>
                <a:graphic xmlns:a="http://schemas.openxmlformats.org/drawingml/2006/main">
                  <a:graphicData uri="http://schemas.microsoft.com/office/word/2010/wordprocessingShape">
                    <wps:wsp>
                      <wps:cNvSpPr/>
                      <wps:spPr bwMode="auto">
                        <a:xfrm>
                          <a:off x="0" y="0"/>
                          <a:ext cx="229235" cy="114300"/>
                        </a:xfrm>
                        <a:custGeom>
                          <a:avLst/>
                          <a:gdLst>
                            <a:gd name="gd0" fmla="val 65536"/>
                            <a:gd name="gd1" fmla="val 0"/>
                            <a:gd name="gd2" fmla="val 156"/>
                            <a:gd name="gd3" fmla="val 180"/>
                            <a:gd name="gd4" fmla="val 0"/>
                            <a:gd name="gd5" fmla="val 180"/>
                            <a:gd name="gd6" fmla="val 156"/>
                            <a:gd name="gd7" fmla="val 360"/>
                            <a:gd name="gd8" fmla="val 0"/>
                          </a:gdLst>
                          <a:ahLst/>
                          <a:cxnLst/>
                          <a:rect l="0" t="0" r="r" b="b"/>
                          <a:pathLst>
                            <a:path w="360" h="156" extrusionOk="0">
                              <a:moveTo>
                                <a:pt x="gd1" y="gd2"/>
                              </a:moveTo>
                              <a:cubicBezTo>
                                <a:pt x="75" y="78"/>
                                <a:pt x="150" y="0"/>
                                <a:pt x="180" y="0"/>
                              </a:cubicBezTo>
                              <a:cubicBezTo>
                                <a:pt x="210" y="0"/>
                                <a:pt x="150" y="156"/>
                                <a:pt x="180" y="156"/>
                              </a:cubicBezTo>
                              <a:cubicBezTo>
                                <a:pt x="210" y="156"/>
                                <a:pt x="330" y="26"/>
                                <a:pt x="360" y="0"/>
                              </a:cubicBezTo>
                            </a:path>
                          </a:pathLst>
                        </a:custGeom>
                        <a:noFill/>
                        <a:ln>
                          <a:solidFill>
                            <a:srgbClr val="000000"/>
                          </a:solidFill>
                          <a:tailEnd type="triangle"/>
                        </a:ln>
                      </wps:spPr>
                      <wps:bodyPr rot="0">
                        <a:noAutofit/>
                      </wps:bodyPr>
                    </wps:wsp>
                  </a:graphicData>
                </a:graphic>
              </wp:anchor>
            </w:drawing>
          </mc:Choice>
          <mc:Fallback>
            <w:pict>
              <v:shape id="_x0000_s1268" o:spid="_x0000_s1026" o:spt="100" style="position:absolute;left:0pt;margin-left:78pt;margin-top:0.95pt;height:9pt;width:18.05pt;z-index:251660288;mso-width-relative:page;mso-height-relative:page;" filled="f" stroked="t" coordsize="360,156" o:gfxdata="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" path="m0,156c75,78,150,0,180,0c210,0,150,156,180,156c210,156,330,26,360,0e">
                <v:fill on="f" focussize="0,0"/>
                <v:stroke color="#000000" joinstyle="round" endarrow="block"/>
                <v:imagedata o:title=""/>
                <o:lock v:ext="edit" aspectratio="f"/>
              </v:shape>
            </w:pict>
          </mc:Fallback>
        </mc:AlternateContent>
      </w:r>
      <w:r>
        <w:rPr>
          <w:rFonts w:hint="eastAsia" w:ascii="宋体" w:hAnsi="宋体"/>
          <w:color w:val="000000"/>
        </w:rPr>
        <mc:AlternateContent>
          <mc:Choice Requires="wps">
            <w:drawing>
              <wp:anchor distT="0" distB="0" distL="114300" distR="114300" simplePos="0" relativeHeight="251660288" behindDoc="0" locked="0" layoutInCell="1" allowOverlap="1">
                <wp:simplePos x="0" y="0"/>
                <wp:positionH relativeFrom="column">
                  <wp:posOffset>695325</wp:posOffset>
                </wp:positionH>
                <wp:positionV relativeFrom="paragraph">
                  <wp:posOffset>130175</wp:posOffset>
                </wp:positionV>
                <wp:extent cx="914400" cy="297180"/>
                <wp:effectExtent l="0" t="0" r="0" b="0"/>
                <wp:wrapNone/>
                <wp:docPr id="113" name="_x0000_s1262"/>
                <wp:cNvGraphicFramePr/>
                <a:graphic xmlns:a="http://schemas.openxmlformats.org/drawingml/2006/main">
                  <a:graphicData uri="http://schemas.microsoft.com/office/word/2010/wordprocessingShape">
                    <wps:wsp>
                      <wps:cNvSpPr/>
                      <wps:spPr bwMode="auto">
                        <a:xfrm>
                          <a:off x="0" y="0"/>
                          <a:ext cx="914400" cy="297180"/>
                        </a:xfrm>
                        <a:prstGeom prst="rect">
                          <a:avLst/>
                        </a:prstGeom>
                        <a:solidFill>
                          <a:srgbClr val="FFFFFF"/>
                        </a:solidFill>
                        <a:ln>
                          <a:solidFill>
                            <a:srgbClr val="000000"/>
                          </a:solidFill>
                        </a:ln>
                      </wps:spPr>
                      <wps:txbx>
                        <w:txbxContent>
                          <w:p w14:paraId="6C0A2EF6">
                            <w:pPr>
                              <w:pStyle w:val="293"/>
                              <w:jc w:val="both"/>
                            </w:pPr>
                            <w:r>
                              <w:rPr>
                                <w:rFonts w:hint="eastAsia"/>
                              </w:rPr>
                              <w:t>洗浆房用水</w:t>
                            </w:r>
                          </w:p>
                          <w:p w14:paraId="2EAE2BBC"/>
                        </w:txbxContent>
                      </wps:txbx>
                      <wps:bodyPr wrap="square" upright="1"/>
                    </wps:wsp>
                  </a:graphicData>
                </a:graphic>
              </wp:anchor>
            </w:drawing>
          </mc:Choice>
          <mc:Fallback>
            <w:pict>
              <v:rect id="_x0000_s1262" o:spid="_x0000_s1026" o:spt="1" style="position:absolute;left:0pt;margin-left:54.75pt;margin-top:10.25pt;height:23.4pt;width:72pt;z-index:251660288;mso-width-relative:page;mso-height-relative:page;" fillcolor="#FFFFFF" filled="t" stroked="t" coordsize="21600,21600" o:gfxdata="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">
                <v:fill on="t" focussize="0,0"/>
                <v:stroke color="#000000" joinstyle="round"/>
                <v:imagedata o:title=""/>
                <o:lock v:ext="edit" aspectratio="f"/>
                <v:textbox>
                  <w:txbxContent>
                    <w:p w14:paraId="6C0A2EF6">
                      <w:pPr>
                        <w:pStyle w:val="293"/>
                        <w:jc w:val="both"/>
                      </w:pPr>
                      <w:r>
                        <w:rPr>
                          <w:rFonts w:hint="eastAsia"/>
                        </w:rPr>
                        <w:t>洗浆房用水</w:t>
                      </w:r>
                    </w:p>
                    <w:p w14:paraId="2EAE2BBC"/>
                  </w:txbxContent>
                </v:textbox>
              </v:rect>
            </w:pict>
          </mc:Fallback>
        </mc:AlternateContent>
      </w:r>
    </w:p>
    <w:p w14:paraId="4C28C0E3">
      <w:pPr>
        <w:pStyle w:val="221"/>
        <w:spacing w:after="0" w:line="360" w:lineRule="auto"/>
        <w:ind w:left="-3" w:hanging="96"/>
        <w:jc w:val="center"/>
        <w:rPr>
          <w:rFonts w:hint="eastAsia"/>
          <w:color w:val="000000"/>
        </w:rPr>
      </w:pPr>
      <w:r>
        <w:rPr>
          <w:rFonts w:hint="eastAsia" w:ascii="宋体" w:hAnsi="宋体"/>
          <w:color w:val="000000"/>
        </w:rPr>
        <mc:AlternateContent>
          <mc:Choice Requires="wps">
            <w:drawing>
              <wp:anchor distT="0" distB="0" distL="114300" distR="114300" simplePos="0" relativeHeight="251660288" behindDoc="0" locked="0" layoutInCell="1" allowOverlap="1">
                <wp:simplePos x="0" y="0"/>
                <wp:positionH relativeFrom="column">
                  <wp:posOffset>1600200</wp:posOffset>
                </wp:positionH>
                <wp:positionV relativeFrom="paragraph">
                  <wp:posOffset>28575</wp:posOffset>
                </wp:positionV>
                <wp:extent cx="1714500" cy="0"/>
                <wp:effectExtent l="0" t="0" r="0" b="0"/>
                <wp:wrapNone/>
                <wp:docPr id="114" name="_x0000_s1267"/>
                <wp:cNvGraphicFramePr/>
                <a:graphic xmlns:a="http://schemas.openxmlformats.org/drawingml/2006/main">
                  <a:graphicData uri="http://schemas.microsoft.com/office/word/2010/wordprocessingShape">
                    <wps:wsp>
                      <wps:cNvCnPr/>
                      <wps:spPr bwMode="auto">
                        <a:xfrm flipV="1">
                          <a:off x="0" y="0"/>
                          <a:ext cx="1714500" cy="0"/>
                        </a:xfrm>
                        <a:prstGeom prst="line">
                          <a:avLst/>
                        </a:prstGeom>
                        <a:solidFill>
                          <a:srgbClr val="FFFFFF"/>
                        </a:solidFill>
                        <a:ln w="19050">
                          <a:solidFill>
                            <a:srgbClr val="000000"/>
                          </a:solidFill>
                          <a:prstDash val="dash"/>
                          <a:tailEnd type="triangle"/>
                        </a:ln>
                      </wps:spPr>
                      <wps:bodyPr rot="0">
                        <a:noAutofit/>
                      </wps:bodyPr>
                    </wps:wsp>
                  </a:graphicData>
                </a:graphic>
              </wp:anchor>
            </w:drawing>
          </mc:Choice>
          <mc:Fallback>
            <w:pict>
              <v:line id="_x0000_s1267" o:spid="_x0000_s1026" o:spt="20" style="position:absolute;left:0pt;flip:y;margin-left:126pt;margin-top:2.25pt;height:0pt;width:135pt;z-index:251660288;mso-width-relative:page;mso-height-relative:page;" fillcolor="#FFFFFF" filled="t" stroked="t" coordsize="21600,21600" o:gfxdata="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an62wtMA&#10;AAAHAQAADwAAAAAAAAABACAAAAAiAAAAZHJzL2Rvd25yZXYueG1sUEsBAhQAFAAAAAgAh07iQFgu&#10;B8nrAQAA9QMAAA4AAAAAAAAAAQAgAAAAIgEAAGRycy9lMm9Eb2MueG1sUEsFBgAAAAAGAAYAWQEA&#10;AH8FAAAAAA==&#10;">
                <v:fill on="t" focussize="0,0"/>
                <v:stroke weight="1.5pt" color="#000000" joinstyle="round" dashstyle="dash" endarrow="block"/>
                <v:imagedata o:title=""/>
                <o:lock v:ext="edit" aspectratio="f"/>
              </v:line>
            </w:pict>
          </mc:Fallback>
        </mc:AlternateContent>
      </w:r>
      <w:r>
        <w:rPr>
          <w:rFonts w:hint="eastAsia" w:ascii="宋体" w:hAnsi="宋体"/>
          <w:color w:val="000000"/>
        </w:rPr>
        <mc:AlternateContent>
          <mc:Choice Requires="wps">
            <w:drawing>
              <wp:anchor distT="0" distB="0" distL="114300" distR="114300" simplePos="0" relativeHeight="251660288" behindDoc="0" locked="0" layoutInCell="1" allowOverlap="1">
                <wp:simplePos x="0" y="0"/>
                <wp:positionH relativeFrom="column">
                  <wp:posOffset>114300</wp:posOffset>
                </wp:positionH>
                <wp:positionV relativeFrom="paragraph">
                  <wp:posOffset>85725</wp:posOffset>
                </wp:positionV>
                <wp:extent cx="586740" cy="635"/>
                <wp:effectExtent l="0" t="0" r="0" b="0"/>
                <wp:wrapNone/>
                <wp:docPr id="115" name="_x0000_s1264"/>
                <wp:cNvGraphicFramePr/>
                <a:graphic xmlns:a="http://schemas.openxmlformats.org/drawingml/2006/main">
                  <a:graphicData uri="http://schemas.microsoft.com/office/word/2010/wordprocessingShape">
                    <wps:wsp>
                      <wps:cNvCnPr/>
                      <wps:spPr bwMode="auto">
                        <a:xfrm>
                          <a:off x="0" y="0"/>
                          <a:ext cx="586740" cy="635"/>
                        </a:xfrm>
                        <a:prstGeom prst="line">
                          <a:avLst/>
                        </a:prstGeom>
                        <a:solidFill>
                          <a:srgbClr val="FFFFFF"/>
                        </a:solidFill>
                        <a:ln w="28575">
                          <a:solidFill>
                            <a:srgbClr val="000000"/>
                          </a:solidFill>
                          <a:tailEnd type="triangle"/>
                        </a:ln>
                      </wps:spPr>
                      <wps:bodyPr rot="0">
                        <a:noAutofit/>
                      </wps:bodyPr>
                    </wps:wsp>
                  </a:graphicData>
                </a:graphic>
              </wp:anchor>
            </w:drawing>
          </mc:Choice>
          <mc:Fallback>
            <w:pict>
              <v:line id="_x0000_s1264" o:spid="_x0000_s1026" o:spt="20" style="position:absolute;left:0pt;margin-left:9pt;margin-top:6.75pt;height:0.05pt;width:46.2pt;z-index:251660288;mso-width-relative:page;mso-height-relative:page;" fillcolor="#FFFFFF" filled="t" stroked="t" coordsize="21600,21600" o:gfxdata="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DutOgq1AAAAAgBAAAPAAAAAAAA&#10;AAEAIAAAACIAAABkcnMvZG93bnJldi54bWxQSwECFAAUAAAACACHTuJA/YvrS90BAADUAwAADgAA&#10;AAAAAAABACAAAAAjAQAAZHJzL2Uyb0RvYy54bWxQSwUGAAAAAAYABgBZAQAAcgUAAAAA&#10;">
                <v:fill on="t" focussize="0,0"/>
                <v:stroke weight="2.25pt" color="#000000" joinstyle="round" endarrow="block"/>
                <v:imagedata o:title=""/>
                <o:lock v:ext="edit" aspectratio="f"/>
              </v:line>
            </w:pict>
          </mc:Fallback>
        </mc:AlternateContent>
      </w:r>
    </w:p>
    <w:p w14:paraId="3FBC2A45">
      <w:pPr>
        <w:pStyle w:val="221"/>
        <w:spacing w:after="0" w:line="360" w:lineRule="auto"/>
        <w:ind w:left="-3" w:hanging="96"/>
        <w:jc w:val="center"/>
        <w:rPr>
          <w:rFonts w:hint="eastAsia"/>
          <w:color w:val="000000"/>
        </w:rPr>
      </w:pPr>
      <w:r>
        <w:rPr>
          <w:rFonts w:hint="eastAsia"/>
          <w:color w:val="000000"/>
        </w:rPr>
        <mc:AlternateContent>
          <mc:Choice Requires="wps">
            <w:drawing>
              <wp:anchor distT="0" distB="0" distL="114300" distR="114300" simplePos="0" relativeHeight="251660288" behindDoc="0" locked="0" layoutInCell="1" allowOverlap="1">
                <wp:simplePos x="0" y="0"/>
                <wp:positionH relativeFrom="column">
                  <wp:posOffset>1123950</wp:posOffset>
                </wp:positionH>
                <wp:positionV relativeFrom="paragraph">
                  <wp:posOffset>80645</wp:posOffset>
                </wp:positionV>
                <wp:extent cx="942975" cy="297180"/>
                <wp:effectExtent l="0" t="0" r="0" b="0"/>
                <wp:wrapNone/>
                <wp:docPr id="116" name="_x0000_s1244"/>
                <wp:cNvGraphicFramePr/>
                <a:graphic xmlns:a="http://schemas.openxmlformats.org/drawingml/2006/main">
                  <a:graphicData uri="http://schemas.microsoft.com/office/word/2010/wordprocessingShape">
                    <wps:wsp>
                      <wps:cNvSpPr/>
                      <wps:spPr bwMode="auto">
                        <a:xfrm>
                          <a:off x="0" y="0"/>
                          <a:ext cx="942975" cy="297180"/>
                        </a:xfrm>
                        <a:prstGeom prst="rect">
                          <a:avLst/>
                        </a:prstGeom>
                        <a:solidFill>
                          <a:srgbClr val="FFFFFF"/>
                        </a:solidFill>
                        <a:ln>
                          <a:solidFill>
                            <a:srgbClr val="FFFFFF"/>
                          </a:solidFill>
                        </a:ln>
                      </wps:spPr>
                      <wps:txbx>
                        <w:txbxContent>
                          <w:p w14:paraId="150D7F9D">
                            <w:pPr>
                              <w:pStyle w:val="293"/>
                            </w:pPr>
                            <w:r>
                              <w:rPr>
                                <w:rFonts w:hint="eastAsia"/>
                              </w:rPr>
                              <w:t>下渗、蒸发</w:t>
                            </w:r>
                          </w:p>
                          <w:p w14:paraId="564F6383"/>
                        </w:txbxContent>
                      </wps:txbx>
                      <wps:bodyPr wrap="square" upright="1"/>
                    </wps:wsp>
                  </a:graphicData>
                </a:graphic>
              </wp:anchor>
            </w:drawing>
          </mc:Choice>
          <mc:Fallback>
            <w:pict>
              <v:rect id="_x0000_s1244" o:spid="_x0000_s1026" o:spt="1" style="position:absolute;left:0pt;margin-left:88.5pt;margin-top:6.35pt;height:23.4pt;width:74.25pt;z-index:251660288;mso-width-relative:page;mso-height-relative:page;" fillcolor="#FFFFFF" filled="t" stroked="t" coordsize="21600,21600" o:gfxdata="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GkWurnXAAAACQEAAA8AAAAAAAAAAQAgAAAAIgAAAGRycy9kb3ducmV2&#10;LnhtbFBLAQIUABQAAAAIAIdO4kCsQs7fxAEAALQDAAAOAAAAAAAAAAEAIAAAACYBAABkcnMvZTJv&#10;RG9jLnhtbFBLBQYAAAAABgAGAFkBAABcBQAAAAA=&#10;">
                <v:fill on="t" focussize="0,0"/>
                <v:stroke color="#FFFFFF" joinstyle="round"/>
                <v:imagedata o:title=""/>
                <o:lock v:ext="edit" aspectratio="f"/>
                <v:textbox>
                  <w:txbxContent>
                    <w:p w14:paraId="150D7F9D">
                      <w:pPr>
                        <w:pStyle w:val="293"/>
                      </w:pPr>
                      <w:r>
                        <w:rPr>
                          <w:rFonts w:hint="eastAsia"/>
                        </w:rPr>
                        <w:t>下渗、蒸发</w:t>
                      </w:r>
                    </w:p>
                    <w:p w14:paraId="564F6383"/>
                  </w:txbxContent>
                </v:textbox>
              </v:rect>
            </w:pict>
          </mc:Fallback>
        </mc:AlternateContent>
      </w:r>
    </w:p>
    <w:p w14:paraId="442E77AC">
      <w:pPr>
        <w:pStyle w:val="221"/>
        <w:spacing w:after="0" w:line="360" w:lineRule="auto"/>
        <w:ind w:left="-3" w:hanging="96"/>
        <w:jc w:val="center"/>
        <w:rPr>
          <w:rFonts w:hint="eastAsia"/>
          <w:color w:val="000000"/>
        </w:rPr>
      </w:pPr>
      <w:r>
        <w:rPr>
          <w:rFonts w:hint="eastAsia"/>
          <w:color w:val="000000"/>
        </w:rPr>
        <mc:AlternateContent>
          <mc:Choice Requires="wps">
            <w:drawing>
              <wp:anchor distT="0" distB="0" distL="114300" distR="114300" simplePos="0" relativeHeight="251660288" behindDoc="0" locked="0" layoutInCell="1" allowOverlap="1">
                <wp:simplePos x="0" y="0"/>
                <wp:positionH relativeFrom="column">
                  <wp:posOffset>114300</wp:posOffset>
                </wp:positionH>
                <wp:positionV relativeFrom="paragraph">
                  <wp:posOffset>91440</wp:posOffset>
                </wp:positionV>
                <wp:extent cx="571500" cy="267970"/>
                <wp:effectExtent l="0" t="0" r="0" b="0"/>
                <wp:wrapNone/>
                <wp:docPr id="117" name="_x0000_s1235"/>
                <wp:cNvGraphicFramePr/>
                <a:graphic xmlns:a="http://schemas.openxmlformats.org/drawingml/2006/main">
                  <a:graphicData uri="http://schemas.microsoft.com/office/word/2010/wordprocessingShape">
                    <wps:wsp>
                      <wps:cNvSpPr/>
                      <wps:spPr bwMode="auto">
                        <a:xfrm>
                          <a:off x="0" y="0"/>
                          <a:ext cx="571500" cy="267970"/>
                        </a:xfrm>
                        <a:prstGeom prst="rect">
                          <a:avLst/>
                        </a:prstGeom>
                        <a:solidFill>
                          <a:srgbClr val="FFFFFF">
                            <a:alpha val="0"/>
                          </a:srgbClr>
                        </a:solidFill>
                        <a:ln>
                          <a:solidFill>
                            <a:srgbClr val="FFFFFF"/>
                          </a:solidFill>
                        </a:ln>
                      </wps:spPr>
                      <wps:txbx>
                        <w:txbxContent>
                          <w:p w14:paraId="6F755F20">
                            <w:pPr>
                              <w:pStyle w:val="293"/>
                            </w:pPr>
                            <w:r>
                              <w:rPr>
                                <w:rFonts w:hint="eastAsia"/>
                              </w:rPr>
                              <w:t>22.87</w:t>
                            </w:r>
                          </w:p>
                          <w:p w14:paraId="07359AD3"/>
                        </w:txbxContent>
                      </wps:txbx>
                      <wps:bodyPr wrap="square" upright="1"/>
                    </wps:wsp>
                  </a:graphicData>
                </a:graphic>
              </wp:anchor>
            </w:drawing>
          </mc:Choice>
          <mc:Fallback>
            <w:pict>
              <v:rect id="_x0000_s1235" o:spid="_x0000_s1026" o:spt="1" style="position:absolute;left:0pt;margin-left:9pt;margin-top:7.2pt;height:21.1pt;width:45pt;z-index:251660288;mso-width-relative:page;mso-height-relative:page;" fillcolor="#FFFFFF" filled="t" stroked="t" coordsize="21600,21600" o:gfxdata="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">
                <v:fill on="t" opacity="0f" focussize="0,0"/>
                <v:stroke color="#FFFFFF" joinstyle="round"/>
                <v:imagedata o:title=""/>
                <o:lock v:ext="edit" aspectratio="f"/>
                <v:textbox>
                  <w:txbxContent>
                    <w:p w14:paraId="6F755F20">
                      <w:pPr>
                        <w:pStyle w:val="293"/>
                      </w:pPr>
                      <w:r>
                        <w:rPr>
                          <w:rFonts w:hint="eastAsia"/>
                        </w:rPr>
                        <w:t>22.87</w:t>
                      </w:r>
                    </w:p>
                    <w:p w14:paraId="07359AD3"/>
                  </w:txbxContent>
                </v:textbox>
              </v:rect>
            </w:pict>
          </mc:Fallback>
        </mc:AlternateContent>
      </w:r>
      <w:r>
        <w:rPr>
          <w:rFonts w:hint="eastAsia"/>
          <w:color w:val="000000"/>
        </w:rPr>
        <mc:AlternateContent>
          <mc:Choice Requires="wps">
            <w:drawing>
              <wp:anchor distT="0" distB="0" distL="114300" distR="114300" simplePos="0" relativeHeight="251660288" behindDoc="0" locked="0" layoutInCell="1" allowOverlap="1">
                <wp:simplePos x="0" y="0"/>
                <wp:positionH relativeFrom="column">
                  <wp:posOffset>1143000</wp:posOffset>
                </wp:positionH>
                <wp:positionV relativeFrom="paragraph">
                  <wp:posOffset>91440</wp:posOffset>
                </wp:positionV>
                <wp:extent cx="229235" cy="114300"/>
                <wp:effectExtent l="0" t="0" r="0" b="0"/>
                <wp:wrapNone/>
                <wp:docPr id="118" name="_x0000_s1245"/>
                <wp:cNvGraphicFramePr/>
                <a:graphic xmlns:a="http://schemas.openxmlformats.org/drawingml/2006/main">
                  <a:graphicData uri="http://schemas.microsoft.com/office/word/2010/wordprocessingShape">
                    <wps:wsp>
                      <wps:cNvSpPr/>
                      <wps:spPr bwMode="auto">
                        <a:xfrm>
                          <a:off x="0" y="0"/>
                          <a:ext cx="229235" cy="114300"/>
                        </a:xfrm>
                        <a:custGeom>
                          <a:avLst/>
                          <a:gdLst>
                            <a:gd name="gd0" fmla="val 65536"/>
                            <a:gd name="gd1" fmla="val 0"/>
                            <a:gd name="gd2" fmla="val 156"/>
                            <a:gd name="gd3" fmla="val 180"/>
                            <a:gd name="gd4" fmla="val 0"/>
                            <a:gd name="gd5" fmla="val 180"/>
                            <a:gd name="gd6" fmla="val 156"/>
                            <a:gd name="gd7" fmla="val 360"/>
                            <a:gd name="gd8" fmla="val 0"/>
                          </a:gdLst>
                          <a:ahLst/>
                          <a:cxnLst/>
                          <a:rect l="0" t="0" r="r" b="b"/>
                          <a:pathLst>
                            <a:path w="360" h="156" extrusionOk="0">
                              <a:moveTo>
                                <a:pt x="gd1" y="gd2"/>
                              </a:moveTo>
                              <a:cubicBezTo>
                                <a:pt x="75" y="78"/>
                                <a:pt x="150" y="0"/>
                                <a:pt x="180" y="0"/>
                              </a:cubicBezTo>
                              <a:cubicBezTo>
                                <a:pt x="210" y="0"/>
                                <a:pt x="150" y="156"/>
                                <a:pt x="180" y="156"/>
                              </a:cubicBezTo>
                              <a:cubicBezTo>
                                <a:pt x="210" y="156"/>
                                <a:pt x="330" y="26"/>
                                <a:pt x="360" y="0"/>
                              </a:cubicBezTo>
                            </a:path>
                          </a:pathLst>
                        </a:custGeom>
                        <a:noFill/>
                        <a:ln>
                          <a:solidFill>
                            <a:srgbClr val="000000"/>
                          </a:solidFill>
                          <a:tailEnd type="triangle"/>
                        </a:ln>
                      </wps:spPr>
                      <wps:bodyPr rot="0">
                        <a:noAutofit/>
                      </wps:bodyPr>
                    </wps:wsp>
                  </a:graphicData>
                </a:graphic>
              </wp:anchor>
            </w:drawing>
          </mc:Choice>
          <mc:Fallback>
            <w:pict>
              <v:shape id="_x0000_s1245" o:spid="_x0000_s1026" o:spt="100" style="position:absolute;left:0pt;margin-left:90pt;margin-top:7.2pt;height:9pt;width:18.05pt;z-index:251660288;mso-width-relative:page;mso-height-relative:page;" filled="f" stroked="t" coordsize="360,156" o:gfxdata="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" path="m0,156c75,78,150,0,180,0c210,0,150,156,180,156c210,156,330,26,360,0e">
                <v:fill on="f" focussize="0,0"/>
                <v:stroke color="#000000" joinstyle="round" endarrow="block"/>
                <v:imagedata o:title=""/>
                <o:lock v:ext="edit" aspectratio="f"/>
              </v:shape>
            </w:pict>
          </mc:Fallback>
        </mc:AlternateContent>
      </w:r>
      <w:r>
        <w:rPr>
          <w:rFonts w:hint="eastAsia"/>
          <w:color w:val="000000"/>
        </w:rPr>
        <mc:AlternateContent>
          <mc:Choice Requires="wps">
            <w:drawing>
              <wp:anchor distT="0" distB="0" distL="114300" distR="114300" simplePos="0" relativeHeight="251660288" behindDoc="0" locked="0" layoutInCell="1" allowOverlap="1">
                <wp:simplePos x="0" y="0"/>
                <wp:positionH relativeFrom="column">
                  <wp:posOffset>685800</wp:posOffset>
                </wp:positionH>
                <wp:positionV relativeFrom="paragraph">
                  <wp:posOffset>190500</wp:posOffset>
                </wp:positionV>
                <wp:extent cx="1600200" cy="495300"/>
                <wp:effectExtent l="0" t="0" r="0" b="0"/>
                <wp:wrapNone/>
                <wp:docPr id="119" name="_x0000_s1246"/>
                <wp:cNvGraphicFramePr/>
                <a:graphic xmlns:a="http://schemas.openxmlformats.org/drawingml/2006/main">
                  <a:graphicData uri="http://schemas.microsoft.com/office/word/2010/wordprocessingShape">
                    <wps:wsp>
                      <wps:cNvSpPr/>
                      <wps:spPr bwMode="auto">
                        <a:xfrm>
                          <a:off x="0" y="0"/>
                          <a:ext cx="1600200" cy="495300"/>
                        </a:xfrm>
                        <a:prstGeom prst="rect">
                          <a:avLst/>
                        </a:prstGeom>
                        <a:solidFill>
                          <a:srgbClr val="FFFFFF"/>
                        </a:solidFill>
                        <a:ln>
                          <a:solidFill>
                            <a:srgbClr val="000000"/>
                          </a:solidFill>
                        </a:ln>
                      </wps:spPr>
                      <wps:txbx>
                        <w:txbxContent>
                          <w:p w14:paraId="495843F3">
                            <w:pPr>
                              <w:pStyle w:val="293"/>
                              <w:rPr>
                                <w:rFonts w:hint="eastAsia"/>
                              </w:rPr>
                            </w:pPr>
                            <w:r>
                              <w:rPr>
                                <w:rFonts w:hint="eastAsia"/>
                              </w:rPr>
                              <w:t>绿 化用 水（非雨天 22.87m</w:t>
                            </w:r>
                            <w:r>
                              <w:rPr>
                                <w:rFonts w:hint="eastAsia"/>
                                <w:vertAlign w:val="superscript"/>
                              </w:rPr>
                              <w:t>3</w:t>
                            </w:r>
                            <w:r>
                              <w:rPr>
                                <w:rFonts w:hint="eastAsia"/>
                              </w:rPr>
                              <w:t>/d、雨天0m</w:t>
                            </w:r>
                            <w:r>
                              <w:rPr>
                                <w:rFonts w:hint="eastAsia"/>
                                <w:vertAlign w:val="superscript"/>
                              </w:rPr>
                              <w:t>3</w:t>
                            </w:r>
                            <w:r>
                              <w:rPr>
                                <w:rFonts w:hint="eastAsia"/>
                              </w:rPr>
                              <w:t>/d）</w:t>
                            </w:r>
                          </w:p>
                          <w:p w14:paraId="00D6EB15">
                            <w:pPr>
                              <w:pStyle w:val="293"/>
                            </w:pPr>
                          </w:p>
                          <w:p w14:paraId="514A79CF"/>
                        </w:txbxContent>
                      </wps:txbx>
                      <wps:bodyPr wrap="square" upright="1"/>
                    </wps:wsp>
                  </a:graphicData>
                </a:graphic>
              </wp:anchor>
            </w:drawing>
          </mc:Choice>
          <mc:Fallback>
            <w:pict>
              <v:rect id="_x0000_s1246" o:spid="_x0000_s1026" o:spt="1" style="position:absolute;left:0pt;margin-left:54pt;margin-top:15pt;height:39pt;width:126pt;z-index:251660288;mso-width-relative:page;mso-height-relative:page;" fillcolor="#FFFFFF" filled="t" stroked="t" coordsize="21600,21600" o:gfxdata="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BLF+421AAAAAoBAAAPAAAAAAAAAAEAIAAAACIAAABkcnMvZG93bnJl&#10;di54bWxQSwECFAAUAAAACACHTuJA5uaZBsgBAAC1AwAADgAAAAAAAAABACAAAAAjAQAAZHJzL2Uy&#10;b0RvYy54bWxQSwUGAAAAAAYABgBZAQAAXQUAAAAA&#10;">
                <v:fill on="t" focussize="0,0"/>
                <v:stroke color="#000000" joinstyle="round"/>
                <v:imagedata o:title=""/>
                <o:lock v:ext="edit" aspectratio="f"/>
                <v:textbox>
                  <w:txbxContent>
                    <w:p w14:paraId="495843F3">
                      <w:pPr>
                        <w:pStyle w:val="293"/>
                        <w:rPr>
                          <w:rFonts w:hint="eastAsia"/>
                        </w:rPr>
                      </w:pPr>
                      <w:r>
                        <w:rPr>
                          <w:rFonts w:hint="eastAsia"/>
                        </w:rPr>
                        <w:t>绿 化用 水（非雨天 22.87m</w:t>
                      </w:r>
                      <w:r>
                        <w:rPr>
                          <w:rFonts w:hint="eastAsia"/>
                          <w:vertAlign w:val="superscript"/>
                        </w:rPr>
                        <w:t>3</w:t>
                      </w:r>
                      <w:r>
                        <w:rPr>
                          <w:rFonts w:hint="eastAsia"/>
                        </w:rPr>
                        <w:t>/d、雨天0m</w:t>
                      </w:r>
                      <w:r>
                        <w:rPr>
                          <w:rFonts w:hint="eastAsia"/>
                          <w:vertAlign w:val="superscript"/>
                        </w:rPr>
                        <w:t>3</w:t>
                      </w:r>
                      <w:r>
                        <w:rPr>
                          <w:rFonts w:hint="eastAsia"/>
                        </w:rPr>
                        <w:t>/d）</w:t>
                      </w:r>
                    </w:p>
                    <w:p w14:paraId="00D6EB15">
                      <w:pPr>
                        <w:pStyle w:val="293"/>
                      </w:pPr>
                    </w:p>
                    <w:p w14:paraId="514A79CF"/>
                  </w:txbxContent>
                </v:textbox>
              </v:rect>
            </w:pict>
          </mc:Fallback>
        </mc:AlternateContent>
      </w:r>
    </w:p>
    <w:p w14:paraId="527A76BC">
      <w:pPr>
        <w:pStyle w:val="221"/>
        <w:spacing w:after="0" w:line="360" w:lineRule="auto"/>
        <w:ind w:left="-3" w:hanging="96"/>
        <w:jc w:val="center"/>
        <w:rPr>
          <w:rFonts w:hint="eastAsia"/>
          <w:color w:val="000000"/>
        </w:rPr>
      </w:pPr>
      <w:r>
        <w:rPr>
          <w:rFonts w:hint="eastAsia"/>
          <w:color w:val="000000"/>
        </w:rPr>
        <mc:AlternateContent>
          <mc:Choice Requires="wps">
            <w:drawing>
              <wp:anchor distT="0" distB="0" distL="114300" distR="114300" simplePos="0" relativeHeight="251660288" behindDoc="0" locked="0" layoutInCell="1" allowOverlap="1">
                <wp:simplePos x="0" y="0"/>
                <wp:positionH relativeFrom="column">
                  <wp:posOffset>114300</wp:posOffset>
                </wp:positionH>
                <wp:positionV relativeFrom="paragraph">
                  <wp:posOffset>91440</wp:posOffset>
                </wp:positionV>
                <wp:extent cx="586740" cy="635"/>
                <wp:effectExtent l="0" t="0" r="0" b="0"/>
                <wp:wrapNone/>
                <wp:docPr id="120" name="_x0000_s1234"/>
                <wp:cNvGraphicFramePr/>
                <a:graphic xmlns:a="http://schemas.openxmlformats.org/drawingml/2006/main">
                  <a:graphicData uri="http://schemas.microsoft.com/office/word/2010/wordprocessingShape">
                    <wps:wsp>
                      <wps:cNvCnPr/>
                      <wps:spPr bwMode="auto">
                        <a:xfrm>
                          <a:off x="0" y="0"/>
                          <a:ext cx="586740" cy="635"/>
                        </a:xfrm>
                        <a:prstGeom prst="line">
                          <a:avLst/>
                        </a:prstGeom>
                        <a:solidFill>
                          <a:srgbClr val="FFFFFF"/>
                        </a:solidFill>
                        <a:ln w="28575">
                          <a:solidFill>
                            <a:srgbClr val="000000"/>
                          </a:solidFill>
                          <a:tailEnd type="triangle"/>
                        </a:ln>
                      </wps:spPr>
                      <wps:bodyPr rot="0">
                        <a:noAutofit/>
                      </wps:bodyPr>
                    </wps:wsp>
                  </a:graphicData>
                </a:graphic>
              </wp:anchor>
            </w:drawing>
          </mc:Choice>
          <mc:Fallback>
            <w:pict>
              <v:line id="_x0000_s1234" o:spid="_x0000_s1026" o:spt="20" style="position:absolute;left:0pt;margin-left:9pt;margin-top:7.2pt;height:0.05pt;width:46.2pt;z-index:251660288;mso-width-relative:page;mso-height-relative:page;" fillcolor="#FFFFFF" filled="t" stroked="t" coordsize="21600,21600" o:gfxdata="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CeKbjJ0gAAAAgBAAAPAAAAAAAAAAEA&#10;IAAAACIAAABkcnMvZG93bnJldi54bWxQSwECFAAUAAAACACHTuJAtF37odwBAADUAwAADgAAAAAA&#10;AAABACAAAAAhAQAAZHJzL2Uyb0RvYy54bWxQSwUGAAAAAAYABgBZAQAAbwUAAAAA&#10;">
                <v:fill on="t" focussize="0,0"/>
                <v:stroke weight="2.25pt" color="#000000" joinstyle="round" endarrow="block"/>
                <v:imagedata o:title=""/>
                <o:lock v:ext="edit" aspectratio="f"/>
              </v:line>
            </w:pict>
          </mc:Fallback>
        </mc:AlternateContent>
      </w:r>
    </w:p>
    <w:p w14:paraId="20603C8E">
      <w:pPr>
        <w:pStyle w:val="221"/>
        <w:spacing w:after="0" w:line="360" w:lineRule="auto"/>
        <w:ind w:left="-3" w:hanging="96"/>
        <w:jc w:val="center"/>
        <w:rPr>
          <w:rFonts w:hint="eastAsia"/>
          <w:color w:val="000000"/>
        </w:rPr>
      </w:pPr>
    </w:p>
    <w:p w14:paraId="5C558700">
      <w:pPr>
        <w:pStyle w:val="221"/>
        <w:spacing w:after="0" w:line="360" w:lineRule="auto"/>
        <w:ind w:left="-3" w:hanging="96"/>
        <w:jc w:val="center"/>
        <w:rPr>
          <w:rFonts w:hint="eastAsia"/>
          <w:color w:val="000000"/>
        </w:rPr>
      </w:pPr>
    </w:p>
    <w:p w14:paraId="50E10CAB">
      <w:pPr>
        <w:pStyle w:val="221"/>
        <w:spacing w:after="0" w:line="360" w:lineRule="auto"/>
        <w:ind w:left="0" w:firstLine="0"/>
        <w:rPr>
          <w:rFonts w:hint="eastAsia"/>
          <w:color w:val="000000"/>
        </w:rPr>
      </w:pPr>
      <w:r>
        <w:rPr>
          <w:rFonts w:hint="eastAsia"/>
          <w:color w:val="000000"/>
        </w:rPr>
        <mc:AlternateContent>
          <mc:Choice Requires="wps">
            <w:drawing>
              <wp:anchor distT="0" distB="0" distL="114300" distR="114300" simplePos="0" relativeHeight="251660288" behindDoc="0" locked="0" layoutInCell="1" allowOverlap="1">
                <wp:simplePos x="0" y="0"/>
                <wp:positionH relativeFrom="column">
                  <wp:posOffset>361950</wp:posOffset>
                </wp:positionH>
                <wp:positionV relativeFrom="paragraph">
                  <wp:posOffset>62865</wp:posOffset>
                </wp:positionV>
                <wp:extent cx="914400" cy="520700"/>
                <wp:effectExtent l="0" t="0" r="0" b="0"/>
                <wp:wrapNone/>
                <wp:docPr id="121" name="_x0000_s1205"/>
                <wp:cNvGraphicFramePr/>
                <a:graphic xmlns:a="http://schemas.openxmlformats.org/drawingml/2006/main">
                  <a:graphicData uri="http://schemas.microsoft.com/office/word/2010/wordprocessingShape">
                    <wps:wsp>
                      <wps:cNvSpPr/>
                      <wps:spPr bwMode="auto">
                        <a:xfrm>
                          <a:off x="0" y="0"/>
                          <a:ext cx="914400" cy="520700"/>
                        </a:xfrm>
                        <a:prstGeom prst="rect">
                          <a:avLst/>
                        </a:prstGeom>
                        <a:solidFill>
                          <a:srgbClr val="FFFFFF"/>
                        </a:solidFill>
                        <a:ln>
                          <a:solidFill>
                            <a:srgbClr val="FFFFFF"/>
                          </a:solidFill>
                        </a:ln>
                      </wps:spPr>
                      <wps:txbx>
                        <w:txbxContent>
                          <w:p w14:paraId="68F0D440">
                            <w:pPr>
                              <w:spacing w:before="48" w:after="48"/>
                              <w:rPr>
                                <w:rFonts w:hint="eastAsia" w:cs="宋体"/>
                                <w:sz w:val="18"/>
                                <w:szCs w:val="21"/>
                              </w:rPr>
                            </w:pPr>
                            <w:r>
                              <w:rPr>
                                <w:rFonts w:hint="eastAsia" w:cs="宋体"/>
                                <w:sz w:val="18"/>
                                <w:szCs w:val="21"/>
                              </w:rPr>
                              <w:t>非雨天145.49</w:t>
                            </w:r>
                          </w:p>
                          <w:p w14:paraId="04144D94">
                            <w:pPr>
                              <w:spacing w:before="48" w:after="48"/>
                            </w:pPr>
                            <w:r>
                              <w:rPr>
                                <w:rFonts w:hint="eastAsia" w:cs="宋体"/>
                                <w:sz w:val="18"/>
                                <w:szCs w:val="21"/>
                              </w:rPr>
                              <w:t>雨天122.62</w:t>
                            </w:r>
                          </w:p>
                          <w:p w14:paraId="1678808B"/>
                        </w:txbxContent>
                      </wps:txbx>
                      <wps:bodyPr wrap="square" upright="1"/>
                    </wps:wsp>
                  </a:graphicData>
                </a:graphic>
              </wp:anchor>
            </w:drawing>
          </mc:Choice>
          <mc:Fallback>
            <w:pict>
              <v:rect id="_x0000_s1205" o:spid="_x0000_s1026" o:spt="1" style="position:absolute;left:0pt;margin-left:28.5pt;margin-top:4.95pt;height:41pt;width:72pt;z-index:251660288;mso-width-relative:page;mso-height-relative:page;" fillcolor="#FFFFFF" filled="t" stroked="t" coordsize="21600,21600" o:gfxdata="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H397Z9MAAAAHAQAADwAAAAAAAAABACAAAAAiAAAAZHJzL2Rvd25yZXYueG1sUEsB&#10;AhQAFAAAAAgAh07iQOs6vHbBAQAAtAMAAA4AAAAAAAAAAQAgAAAAIgEAAGRycy9lMm9Eb2MueG1s&#10;UEsFBgAAAAAGAAYAWQEAAFUFAAAAAA==&#10;">
                <v:fill on="t" focussize="0,0"/>
                <v:stroke color="#FFFFFF" joinstyle="round"/>
                <v:imagedata o:title=""/>
                <o:lock v:ext="edit" aspectratio="f"/>
                <v:textbox>
                  <w:txbxContent>
                    <w:p w14:paraId="68F0D440">
                      <w:pPr>
                        <w:spacing w:before="48" w:after="48"/>
                        <w:rPr>
                          <w:rFonts w:hint="eastAsia" w:cs="宋体"/>
                          <w:sz w:val="18"/>
                          <w:szCs w:val="21"/>
                        </w:rPr>
                      </w:pPr>
                      <w:r>
                        <w:rPr>
                          <w:rFonts w:hint="eastAsia" w:cs="宋体"/>
                          <w:sz w:val="18"/>
                          <w:szCs w:val="21"/>
                        </w:rPr>
                        <w:t>非雨天145.49</w:t>
                      </w:r>
                    </w:p>
                    <w:p w14:paraId="04144D94">
                      <w:pPr>
                        <w:spacing w:before="48" w:after="48"/>
                      </w:pPr>
                      <w:r>
                        <w:rPr>
                          <w:rFonts w:hint="eastAsia" w:cs="宋体"/>
                          <w:sz w:val="18"/>
                          <w:szCs w:val="21"/>
                        </w:rPr>
                        <w:t>雨天122.62</w:t>
                      </w:r>
                    </w:p>
                    <w:p w14:paraId="1678808B"/>
                  </w:txbxContent>
                </v:textbox>
              </v:rect>
            </w:pict>
          </mc:Fallback>
        </mc:AlternateContent>
      </w:r>
      <w:r>
        <w:rPr>
          <w:rFonts w:hint="eastAsia"/>
          <w:color w:val="000000"/>
        </w:rPr>
        <mc:AlternateContent>
          <mc:Choice Requires="wps">
            <w:drawing>
              <wp:anchor distT="0" distB="0" distL="114300" distR="114300" simplePos="0" relativeHeight="251660288" behindDoc="0" locked="0" layoutInCell="1" allowOverlap="1">
                <wp:simplePos x="0" y="0"/>
                <wp:positionH relativeFrom="column">
                  <wp:posOffset>1371600</wp:posOffset>
                </wp:positionH>
                <wp:positionV relativeFrom="paragraph">
                  <wp:posOffset>91440</wp:posOffset>
                </wp:positionV>
                <wp:extent cx="800100" cy="297180"/>
                <wp:effectExtent l="0" t="0" r="0" b="0"/>
                <wp:wrapNone/>
                <wp:docPr id="122" name="_x0000_s1218"/>
                <wp:cNvGraphicFramePr/>
                <a:graphic xmlns:a="http://schemas.openxmlformats.org/drawingml/2006/main">
                  <a:graphicData uri="http://schemas.microsoft.com/office/word/2010/wordprocessingShape">
                    <wps:wsp>
                      <wps:cNvSpPr/>
                      <wps:spPr bwMode="auto">
                        <a:xfrm>
                          <a:off x="0" y="0"/>
                          <a:ext cx="800100" cy="297180"/>
                        </a:xfrm>
                        <a:prstGeom prst="rect">
                          <a:avLst/>
                        </a:prstGeom>
                        <a:solidFill>
                          <a:srgbClr val="FFFFFF"/>
                        </a:solidFill>
                        <a:ln>
                          <a:solidFill>
                            <a:srgbClr val="FFFFFF"/>
                          </a:solidFill>
                        </a:ln>
                      </wps:spPr>
                      <wps:txbx>
                        <w:txbxContent>
                          <w:p w14:paraId="05EACDB8">
                            <w:pPr>
                              <w:pStyle w:val="293"/>
                            </w:pPr>
                            <w:r>
                              <w:rPr>
                                <w:rFonts w:hint="eastAsia"/>
                              </w:rPr>
                              <w:t>市政自来水</w:t>
                            </w:r>
                          </w:p>
                          <w:p w14:paraId="191EFC2F"/>
                        </w:txbxContent>
                      </wps:txbx>
                      <wps:bodyPr wrap="square" upright="1"/>
                    </wps:wsp>
                  </a:graphicData>
                </a:graphic>
              </wp:anchor>
            </w:drawing>
          </mc:Choice>
          <mc:Fallback>
            <w:pict>
              <v:rect id="_x0000_s1218" o:spid="_x0000_s1026" o:spt="1" style="position:absolute;left:0pt;margin-left:108pt;margin-top:7.2pt;height:23.4pt;width:63pt;z-index:251660288;mso-width-relative:page;mso-height-relative:page;" fillcolor="#FFFFFF" filled="t" stroked="t" coordsize="21600,21600" o:gfxdata="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S/UfnNYAAAAJAQAADwAAAAAAAAABACAAAAAiAAAAZHJzL2Rvd25yZXYueG1s&#10;UEsBAhQAFAAAAAgAh07iQD2WiUvBAQAAtAMAAA4AAAAAAAAAAQAgAAAAJQEAAGRycy9lMm9Eb2Mu&#10;eG1sUEsFBgAAAAAGAAYAWQEAAFgFAAAAAA==&#10;">
                <v:fill on="t" focussize="0,0"/>
                <v:stroke color="#FFFFFF" joinstyle="round"/>
                <v:imagedata o:title=""/>
                <o:lock v:ext="edit" aspectratio="f"/>
                <v:textbox>
                  <w:txbxContent>
                    <w:p w14:paraId="05EACDB8">
                      <w:pPr>
                        <w:pStyle w:val="293"/>
                      </w:pPr>
                      <w:r>
                        <w:rPr>
                          <w:rFonts w:hint="eastAsia"/>
                        </w:rPr>
                        <w:t>市政自来水</w:t>
                      </w:r>
                    </w:p>
                    <w:p w14:paraId="191EFC2F"/>
                  </w:txbxContent>
                </v:textbox>
              </v:rect>
            </w:pict>
          </mc:Fallback>
        </mc:AlternateContent>
      </w:r>
      <w:r>
        <w:rPr>
          <w:rFonts w:hint="eastAsia"/>
          <w:color w:val="000000"/>
        </w:rPr>
        <mc:AlternateContent>
          <mc:Choice Requires="wps">
            <w:drawing>
              <wp:anchor distT="0" distB="0" distL="114300" distR="114300" simplePos="0" relativeHeight="251660288" behindDoc="0" locked="0" layoutInCell="1" allowOverlap="1">
                <wp:simplePos x="0" y="0"/>
                <wp:positionH relativeFrom="column">
                  <wp:posOffset>114300</wp:posOffset>
                </wp:positionH>
                <wp:positionV relativeFrom="paragraph">
                  <wp:posOffset>289560</wp:posOffset>
                </wp:positionV>
                <wp:extent cx="1228090" cy="0"/>
                <wp:effectExtent l="0" t="0" r="0" b="0"/>
                <wp:wrapNone/>
                <wp:docPr id="123" name="_x0000_s1219"/>
                <wp:cNvGraphicFramePr/>
                <a:graphic xmlns:a="http://schemas.openxmlformats.org/drawingml/2006/main">
                  <a:graphicData uri="http://schemas.microsoft.com/office/word/2010/wordprocessingShape">
                    <wps:wsp>
                      <wps:cNvCnPr/>
                      <wps:spPr bwMode="auto">
                        <a:xfrm flipH="1">
                          <a:off x="0" y="0"/>
                          <a:ext cx="1228090" cy="0"/>
                        </a:xfrm>
                        <a:prstGeom prst="line">
                          <a:avLst/>
                        </a:prstGeom>
                        <a:noFill/>
                        <a:ln w="28575">
                          <a:solidFill>
                            <a:srgbClr val="000000"/>
                          </a:solidFill>
                          <a:tailEnd type="triangle"/>
                        </a:ln>
                      </wps:spPr>
                      <wps:bodyPr rot="0">
                        <a:noAutofit/>
                      </wps:bodyPr>
                    </wps:wsp>
                  </a:graphicData>
                </a:graphic>
              </wp:anchor>
            </w:drawing>
          </mc:Choice>
          <mc:Fallback>
            <w:pict>
              <v:line id="_x0000_s1219" o:spid="_x0000_s1026" o:spt="20" style="position:absolute;left:0pt;flip:x;margin-left:9pt;margin-top:22.8pt;height:0pt;width:96.7pt;z-index:251660288;mso-width-relative:page;mso-height-relative:page;" filled="f" stroked="t" coordsize="21600,21600" o:gfxdata="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HDOwj7XAAAACAEAAA8AAAAAAAAA&#10;AQAgAAAAIgAAAGRycy9kb3ducmV2LnhtbFBLAQIUABQAAAAIAIdO4kBC9O+x2QEAALQDAAAOAAAA&#10;AAAAAAEAIAAAACYBAABkcnMvZTJvRG9jLnhtbFBLBQYAAAAABgAGAFkBAABxBQAAAAA=&#10;">
                <v:fill on="f" focussize="0,0"/>
                <v:stroke weight="2.25pt" color="#000000" joinstyle="round" endarrow="block"/>
                <v:imagedata o:title=""/>
                <o:lock v:ext="edit" aspectratio="f"/>
              </v:line>
            </w:pict>
          </mc:Fallback>
        </mc:AlternateContent>
      </w:r>
    </w:p>
    <w:p w14:paraId="207DC236">
      <w:pPr>
        <w:pStyle w:val="221"/>
        <w:spacing w:after="0" w:line="360" w:lineRule="auto"/>
        <w:ind w:left="0" w:firstLine="0"/>
        <w:rPr>
          <w:rFonts w:hint="eastAsia"/>
          <w:color w:val="000000"/>
        </w:rPr>
      </w:pPr>
    </w:p>
    <w:p w14:paraId="65ABBA19">
      <w:pPr>
        <w:pStyle w:val="221"/>
        <w:spacing w:after="0" w:line="360" w:lineRule="auto"/>
        <w:ind w:left="0" w:firstLine="0"/>
        <w:rPr>
          <w:rFonts w:hint="eastAsia"/>
          <w:color w:val="000000"/>
        </w:rPr>
      </w:pPr>
      <w:r>
        <w:rPr>
          <w:rFonts w:hint="eastAsia"/>
          <w:color w:val="000000"/>
        </w:rPr>
        <mc:AlternateContent>
          <mc:Choice Requires="wps">
            <w:drawing>
              <wp:anchor distT="0" distB="0" distL="114300" distR="114300" simplePos="0" relativeHeight="251660288" behindDoc="0" locked="0" layoutInCell="1" allowOverlap="1">
                <wp:simplePos x="0" y="0"/>
                <wp:positionH relativeFrom="column">
                  <wp:posOffset>3467100</wp:posOffset>
                </wp:positionH>
                <wp:positionV relativeFrom="paragraph">
                  <wp:posOffset>104775</wp:posOffset>
                </wp:positionV>
                <wp:extent cx="669290" cy="296545"/>
                <wp:effectExtent l="0" t="0" r="0" b="0"/>
                <wp:wrapNone/>
                <wp:docPr id="124" name="_x0000_s1236"/>
                <wp:cNvGraphicFramePr/>
                <a:graphic xmlns:a="http://schemas.openxmlformats.org/drawingml/2006/main">
                  <a:graphicData uri="http://schemas.microsoft.com/office/word/2010/wordprocessingShape">
                    <wps:wsp>
                      <wps:cNvSpPr/>
                      <wps:spPr bwMode="auto">
                        <a:xfrm>
                          <a:off x="0" y="0"/>
                          <a:ext cx="669290" cy="296545"/>
                        </a:xfrm>
                        <a:prstGeom prst="rect">
                          <a:avLst/>
                        </a:prstGeom>
                        <a:solidFill>
                          <a:srgbClr val="FFFFFF"/>
                        </a:solidFill>
                        <a:ln>
                          <a:solidFill>
                            <a:srgbClr val="FFFFFF"/>
                          </a:solidFill>
                        </a:ln>
                      </wps:spPr>
                      <wps:txbx>
                        <w:txbxContent>
                          <w:p w14:paraId="5B784D71">
                            <w:pPr>
                              <w:pStyle w:val="293"/>
                            </w:pPr>
                            <w:r>
                              <w:rPr>
                                <w:rFonts w:hint="eastAsia"/>
                              </w:rPr>
                              <w:t>→→→</w:t>
                            </w:r>
                          </w:p>
                          <w:p w14:paraId="52F25473"/>
                        </w:txbxContent>
                      </wps:txbx>
                      <wps:bodyPr wrap="square" upright="1"/>
                    </wps:wsp>
                  </a:graphicData>
                </a:graphic>
              </wp:anchor>
            </w:drawing>
          </mc:Choice>
          <mc:Fallback>
            <w:pict>
              <v:rect id="_x0000_s1236" o:spid="_x0000_s1026" o:spt="1" style="position:absolute;left:0pt;margin-left:273pt;margin-top:8.25pt;height:23.35pt;width:52.7pt;z-index:251660288;mso-width-relative:page;mso-height-relative:page;" fillcolor="#FFFFFF" filled="t" stroked="t" coordsize="21600,21600" o:gfxdata="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CnYMtK1gAAAAkBAAAPAAAAAAAAAAEAIAAAACIAAABkcnMvZG93bnJldi54&#10;bWxQSwECFAAUAAAACACHTuJA8g8WW8MBAAC0AwAADgAAAAAAAAABACAAAAAlAQAAZHJzL2Uyb0Rv&#10;Yy54bWxQSwUGAAAAAAYABgBZAQAAWgUAAAAA&#10;">
                <v:fill on="t" focussize="0,0"/>
                <v:stroke color="#FFFFFF" joinstyle="round"/>
                <v:imagedata o:title=""/>
                <o:lock v:ext="edit" aspectratio="f"/>
                <v:textbox>
                  <w:txbxContent>
                    <w:p w14:paraId="5B784D71">
                      <w:pPr>
                        <w:pStyle w:val="293"/>
                      </w:pPr>
                      <w:r>
                        <w:rPr>
                          <w:rFonts w:hint="eastAsia"/>
                        </w:rPr>
                        <w:t>→→→</w:t>
                      </w:r>
                    </w:p>
                    <w:p w14:paraId="52F25473"/>
                  </w:txbxContent>
                </v:textbox>
              </v:rect>
            </w:pict>
          </mc:Fallback>
        </mc:AlternateContent>
      </w:r>
      <w:r>
        <w:rPr>
          <w:rFonts w:hint="eastAsia"/>
          <w:color w:val="000000"/>
        </w:rPr>
        <mc:AlternateContent>
          <mc:Choice Requires="wps">
            <w:drawing>
              <wp:anchor distT="0" distB="0" distL="114300" distR="114300" simplePos="0" relativeHeight="251660288" behindDoc="0" locked="0" layoutInCell="1" allowOverlap="1">
                <wp:simplePos x="0" y="0"/>
                <wp:positionH relativeFrom="column">
                  <wp:posOffset>2743200</wp:posOffset>
                </wp:positionH>
                <wp:positionV relativeFrom="paragraph">
                  <wp:posOffset>289560</wp:posOffset>
                </wp:positionV>
                <wp:extent cx="528955" cy="1270"/>
                <wp:effectExtent l="0" t="0" r="0" b="0"/>
                <wp:wrapNone/>
                <wp:docPr id="125" name="_x0000_s1211"/>
                <wp:cNvGraphicFramePr/>
                <a:graphic xmlns:a="http://schemas.openxmlformats.org/drawingml/2006/main">
                  <a:graphicData uri="http://schemas.microsoft.com/office/word/2010/wordprocessingShape">
                    <wps:wsp>
                      <wps:cNvCnPr/>
                      <wps:spPr bwMode="auto">
                        <a:xfrm>
                          <a:off x="0" y="0"/>
                          <a:ext cx="528955" cy="1270"/>
                        </a:xfrm>
                        <a:prstGeom prst="line">
                          <a:avLst/>
                        </a:prstGeom>
                        <a:solidFill>
                          <a:srgbClr val="FFFFFF"/>
                        </a:solidFill>
                        <a:ln w="19050">
                          <a:solidFill>
                            <a:srgbClr val="000000"/>
                          </a:solidFill>
                          <a:prstDash val="lgDash"/>
                          <a:tailEnd type="triangle"/>
                        </a:ln>
                      </wps:spPr>
                      <wps:bodyPr rot="0">
                        <a:noAutofit/>
                      </wps:bodyPr>
                    </wps:wsp>
                  </a:graphicData>
                </a:graphic>
              </wp:anchor>
            </w:drawing>
          </mc:Choice>
          <mc:Fallback>
            <w:pict>
              <v:line id="_x0000_s1211" o:spid="_x0000_s1026" o:spt="20" style="position:absolute;left:0pt;margin-left:216pt;margin-top:22.8pt;height:0.1pt;width:41.65pt;z-index:251660288;mso-width-relative:page;mso-height-relative:page;" fillcolor="#FFFFFF" filled="t" stroked="t" coordsize="21600,21600" o:gfxdata="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AzC67s&#10;2AAAAAkBAAAPAAAAAAAAAAEAIAAAACIAAABkcnMvZG93bnJldi54bWxQSwECFAAUAAAACACHTuJA&#10;y/iymOgBAADvAwAADgAAAAAAAAABACAAAAAnAQAAZHJzL2Uyb0RvYy54bWxQSwUGAAAAAAYABgBZ&#10;AQAAgQUAAAAA&#10;">
                <v:fill on="t" focussize="0,0"/>
                <v:stroke weight="1.5pt" color="#000000" joinstyle="round" dashstyle="longDash" endarrow="block"/>
                <v:imagedata o:title=""/>
                <o:lock v:ext="edit" aspectratio="f"/>
              </v:line>
            </w:pict>
          </mc:Fallback>
        </mc:AlternateContent>
      </w:r>
      <w:r>
        <w:rPr>
          <w:rFonts w:hint="eastAsia"/>
          <w:color w:val="000000"/>
        </w:rPr>
        <mc:AlternateContent>
          <mc:Choice Requires="wps">
            <w:drawing>
              <wp:anchor distT="0" distB="0" distL="114300" distR="114300" simplePos="0" relativeHeight="251660288" behindDoc="0" locked="0" layoutInCell="1" allowOverlap="1">
                <wp:simplePos x="0" y="0"/>
                <wp:positionH relativeFrom="column">
                  <wp:posOffset>1828800</wp:posOffset>
                </wp:positionH>
                <wp:positionV relativeFrom="paragraph">
                  <wp:posOffset>289560</wp:posOffset>
                </wp:positionV>
                <wp:extent cx="493395" cy="2540"/>
                <wp:effectExtent l="0" t="0" r="0" b="0"/>
                <wp:wrapNone/>
                <wp:docPr id="126" name="_x0000_s1212"/>
                <wp:cNvGraphicFramePr/>
                <a:graphic xmlns:a="http://schemas.openxmlformats.org/drawingml/2006/main">
                  <a:graphicData uri="http://schemas.microsoft.com/office/word/2010/wordprocessingShape">
                    <wps:wsp>
                      <wps:cNvCnPr/>
                      <wps:spPr bwMode="auto">
                        <a:xfrm>
                          <a:off x="0" y="0"/>
                          <a:ext cx="493395" cy="2540"/>
                        </a:xfrm>
                        <a:prstGeom prst="line">
                          <a:avLst/>
                        </a:prstGeom>
                        <a:solidFill>
                          <a:srgbClr val="FFFFFF"/>
                        </a:solidFill>
                        <a:ln w="19050">
                          <a:solidFill>
                            <a:srgbClr val="000000"/>
                          </a:solidFill>
                          <a:prstDash val="dash"/>
                          <a:tailEnd type="triangle"/>
                        </a:ln>
                      </wps:spPr>
                      <wps:bodyPr rot="0">
                        <a:noAutofit/>
                      </wps:bodyPr>
                    </wps:wsp>
                  </a:graphicData>
                </a:graphic>
              </wp:anchor>
            </w:drawing>
          </mc:Choice>
          <mc:Fallback>
            <w:pict>
              <v:line id="_x0000_s1212" o:spid="_x0000_s1026" o:spt="20" style="position:absolute;left:0pt;margin-left:144pt;margin-top:22.8pt;height:0.2pt;width:38.85pt;z-index:251660288;mso-width-relative:page;mso-height-relative:page;" fillcolor="#FFFFFF" filled="t" stroked="t" coordsize="21600,21600" o:gfxdata="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FY9&#10;RQDZAAAACQEAAA8AAAAAAAAAAQAgAAAAIgAAAGRycy9kb3ducmV2LnhtbFBLAQIUABQAAAAIAIdO&#10;4kCJU0KN6QEAAO0DAAAOAAAAAAAAAAEAIAAAACgBAABkcnMvZTJvRG9jLnhtbFBLBQYAAAAABgAG&#10;AFkBAACDBQAAAAA=&#10;">
                <v:fill on="t" focussize="0,0"/>
                <v:stroke weight="1.5pt" color="#000000" joinstyle="round" dashstyle="dash" endarrow="block"/>
                <v:imagedata o:title=""/>
                <o:lock v:ext="edit" aspectratio="f"/>
              </v:line>
            </w:pict>
          </mc:Fallback>
        </mc:AlternateContent>
      </w:r>
      <w:r>
        <w:rPr>
          <w:rFonts w:hint="eastAsia"/>
          <w:color w:val="000000"/>
        </w:rPr>
        <mc:AlternateContent>
          <mc:Choice Requires="wps">
            <w:drawing>
              <wp:anchor distT="0" distB="0" distL="114300" distR="114300" simplePos="0" relativeHeight="251660288" behindDoc="0" locked="0" layoutInCell="1" allowOverlap="1">
                <wp:simplePos x="0" y="0"/>
                <wp:positionH relativeFrom="column">
                  <wp:posOffset>914400</wp:posOffset>
                </wp:positionH>
                <wp:positionV relativeFrom="paragraph">
                  <wp:posOffset>289560</wp:posOffset>
                </wp:positionV>
                <wp:extent cx="459105" cy="635"/>
                <wp:effectExtent l="0" t="0" r="0" b="0"/>
                <wp:wrapNone/>
                <wp:docPr id="127" name="_x0000_s1210"/>
                <wp:cNvGraphicFramePr/>
                <a:graphic xmlns:a="http://schemas.openxmlformats.org/drawingml/2006/main">
                  <a:graphicData uri="http://schemas.microsoft.com/office/word/2010/wordprocessingShape">
                    <wps:wsp>
                      <wps:cNvCnPr/>
                      <wps:spPr bwMode="auto">
                        <a:xfrm>
                          <a:off x="0" y="0"/>
                          <a:ext cx="459104" cy="635"/>
                        </a:xfrm>
                        <a:prstGeom prst="line">
                          <a:avLst/>
                        </a:prstGeom>
                        <a:solidFill>
                          <a:srgbClr val="FFFFFF"/>
                        </a:solidFill>
                        <a:ln w="28575">
                          <a:solidFill>
                            <a:srgbClr val="000000"/>
                          </a:solidFill>
                          <a:tailEnd type="triangle"/>
                        </a:ln>
                      </wps:spPr>
                      <wps:bodyPr rot="0">
                        <a:noAutofit/>
                      </wps:bodyPr>
                    </wps:wsp>
                  </a:graphicData>
                </a:graphic>
              </wp:anchor>
            </w:drawing>
          </mc:Choice>
          <mc:Fallback>
            <w:pict>
              <v:line id="_x0000_s1210" o:spid="_x0000_s1026" o:spt="20" style="position:absolute;left:0pt;margin-left:72pt;margin-top:22.8pt;height:0.05pt;width:36.15pt;z-index:251660288;mso-width-relative:page;mso-height-relative:page;" fillcolor="#FFFFFF" filled="t" stroked="t" coordsize="21600,21600" o:gfxdata="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FqBbntYAAAAJAQAADwAAAAAA&#10;AAABACAAAAAiAAAAZHJzL2Rvd25yZXYueG1sUEsBAhQAFAAAAAgAh07iQKgU2XLcAQAA1AMAAA4A&#10;AAAAAAAAAQAgAAAAJQEAAGRycy9lMm9Eb2MueG1sUEsFBgAAAAAGAAYAWQEAAHMFAAAAAA==&#10;">
                <v:fill on="t" focussize="0,0"/>
                <v:stroke weight="2.25pt" color="#000000" joinstyle="round" endarrow="block"/>
                <v:imagedata o:title=""/>
                <o:lock v:ext="edit" aspectratio="f"/>
              </v:line>
            </w:pict>
          </mc:Fallback>
        </mc:AlternateContent>
      </w:r>
    </w:p>
    <w:p w14:paraId="0F780FB1">
      <w:pPr>
        <w:pStyle w:val="221"/>
        <w:spacing w:after="0" w:line="480" w:lineRule="auto"/>
        <w:ind w:left="-3" w:hanging="96"/>
        <w:jc w:val="center"/>
        <w:rPr>
          <w:rFonts w:hint="eastAsia"/>
          <w:color w:val="000000"/>
        </w:rPr>
      </w:pPr>
      <w:r>
        <w:rPr>
          <w:rFonts w:hint="eastAsia"/>
          <w:color w:val="000000"/>
        </w:rPr>
        <mc:AlternateContent>
          <mc:Choice Requires="wps">
            <w:drawing>
              <wp:anchor distT="0" distB="0" distL="114300" distR="114300" simplePos="0" relativeHeight="251660288" behindDoc="0" locked="0" layoutInCell="1" allowOverlap="1">
                <wp:simplePos x="0" y="0"/>
                <wp:positionH relativeFrom="column">
                  <wp:posOffset>3429000</wp:posOffset>
                </wp:positionH>
                <wp:positionV relativeFrom="paragraph">
                  <wp:posOffset>91440</wp:posOffset>
                </wp:positionV>
                <wp:extent cx="850265" cy="296545"/>
                <wp:effectExtent l="0" t="0" r="0" b="0"/>
                <wp:wrapNone/>
                <wp:docPr id="128" name="_x0000_s1237"/>
                <wp:cNvGraphicFramePr/>
                <a:graphic xmlns:a="http://schemas.openxmlformats.org/drawingml/2006/main">
                  <a:graphicData uri="http://schemas.microsoft.com/office/word/2010/wordprocessingShape">
                    <wps:wsp>
                      <wps:cNvSpPr/>
                      <wps:spPr bwMode="auto">
                        <a:xfrm>
                          <a:off x="0" y="0"/>
                          <a:ext cx="850265" cy="296545"/>
                        </a:xfrm>
                        <a:prstGeom prst="rect">
                          <a:avLst/>
                        </a:prstGeom>
                        <a:solidFill>
                          <a:srgbClr val="FFFFFF"/>
                        </a:solidFill>
                        <a:ln>
                          <a:solidFill>
                            <a:srgbClr val="FFFFFF"/>
                          </a:solidFill>
                        </a:ln>
                      </wps:spPr>
                      <wps:txbx>
                        <w:txbxContent>
                          <w:p w14:paraId="5FEBE578">
                            <w:pPr>
                              <w:pStyle w:val="293"/>
                            </w:pPr>
                            <w:r>
                              <w:rPr>
                                <w:rFonts w:hint="eastAsia"/>
                              </w:rPr>
                              <w:t>检验科废水</w:t>
                            </w:r>
                          </w:p>
                          <w:p w14:paraId="5E9D4E98"/>
                        </w:txbxContent>
                      </wps:txbx>
                      <wps:bodyPr wrap="square" upright="1"/>
                    </wps:wsp>
                  </a:graphicData>
                </a:graphic>
              </wp:anchor>
            </w:drawing>
          </mc:Choice>
          <mc:Fallback>
            <w:pict>
              <v:rect id="_x0000_s1237" o:spid="_x0000_s1026" o:spt="1" style="position:absolute;left:0pt;margin-left:270pt;margin-top:7.2pt;height:23.35pt;width:66.95pt;z-index:251660288;mso-width-relative:page;mso-height-relative:page;" fillcolor="#FFFFFF" filled="t" stroked="t" coordsize="21600,21600" o:gfxdata="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C+fw8b1gAAAAkBAAAPAAAAAAAAAAEAIAAAACIAAABkcnMvZG93bnJldi54&#10;bWxQSwECFAAUAAAACACHTuJAMAvqIcMBAAC0AwAADgAAAAAAAAABACAAAAAlAQAAZHJzL2Uyb0Rv&#10;Yy54bWxQSwUGAAAAAAYABgBZAQAAWgUAAAAA&#10;">
                <v:fill on="t" focussize="0,0"/>
                <v:stroke color="#FFFFFF" joinstyle="round"/>
                <v:imagedata o:title=""/>
                <o:lock v:ext="edit" aspectratio="f"/>
                <v:textbox>
                  <w:txbxContent>
                    <w:p w14:paraId="5FEBE578">
                      <w:pPr>
                        <w:pStyle w:val="293"/>
                      </w:pPr>
                      <w:r>
                        <w:rPr>
                          <w:rFonts w:hint="eastAsia"/>
                        </w:rPr>
                        <w:t>检验科废水</w:t>
                      </w:r>
                    </w:p>
                    <w:p w14:paraId="5E9D4E98"/>
                  </w:txbxContent>
                </v:textbox>
              </v:rect>
            </w:pict>
          </mc:Fallback>
        </mc:AlternateContent>
      </w:r>
      <w:r>
        <w:rPr>
          <w:rFonts w:hint="eastAsia"/>
          <w:color w:val="000000"/>
        </w:rPr>
        <mc:AlternateContent>
          <mc:Choice Requires="wps">
            <w:drawing>
              <wp:anchor distT="0" distB="0" distL="114300" distR="114300" simplePos="0" relativeHeight="251660288" behindDoc="0" locked="0" layoutInCell="1" allowOverlap="1">
                <wp:simplePos x="0" y="0"/>
                <wp:positionH relativeFrom="column">
                  <wp:posOffset>800100</wp:posOffset>
                </wp:positionH>
                <wp:positionV relativeFrom="paragraph">
                  <wp:posOffset>91440</wp:posOffset>
                </wp:positionV>
                <wp:extent cx="777240" cy="295275"/>
                <wp:effectExtent l="0" t="0" r="0" b="0"/>
                <wp:wrapNone/>
                <wp:docPr id="129" name="_x0000_s1213"/>
                <wp:cNvGraphicFramePr/>
                <a:graphic xmlns:a="http://schemas.openxmlformats.org/drawingml/2006/main">
                  <a:graphicData uri="http://schemas.microsoft.com/office/word/2010/wordprocessingShape">
                    <wps:wsp>
                      <wps:cNvSpPr/>
                      <wps:spPr bwMode="auto">
                        <a:xfrm>
                          <a:off x="0" y="0"/>
                          <a:ext cx="777240" cy="295274"/>
                        </a:xfrm>
                        <a:prstGeom prst="rect">
                          <a:avLst/>
                        </a:prstGeom>
                        <a:solidFill>
                          <a:srgbClr val="FFFFFF"/>
                        </a:solidFill>
                        <a:ln>
                          <a:solidFill>
                            <a:srgbClr val="FFFFFF"/>
                          </a:solidFill>
                        </a:ln>
                      </wps:spPr>
                      <wps:txbx>
                        <w:txbxContent>
                          <w:p w14:paraId="24B432DD">
                            <w:pPr>
                              <w:pStyle w:val="293"/>
                            </w:pPr>
                            <w:r>
                              <w:rPr>
                                <w:rFonts w:hint="eastAsia"/>
                              </w:rPr>
                              <w:t>市政自来水</w:t>
                            </w:r>
                          </w:p>
                          <w:p w14:paraId="1A0BB28E"/>
                        </w:txbxContent>
                      </wps:txbx>
                      <wps:bodyPr wrap="square" upright="1"/>
                    </wps:wsp>
                  </a:graphicData>
                </a:graphic>
              </wp:anchor>
            </w:drawing>
          </mc:Choice>
          <mc:Fallback>
            <w:pict>
              <v:rect id="_x0000_s1213" o:spid="_x0000_s1026" o:spt="1" style="position:absolute;left:0pt;margin-left:63pt;margin-top:7.2pt;height:23.25pt;width:61.2pt;z-index:251660288;mso-width-relative:page;mso-height-relative:page;" fillcolor="#FFFFFF" filled="t" stroked="t" coordsize="21600,21600" o:gfxdata="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Ckfrs71gAAAAkBAAAPAAAAAAAAAAEAIAAAACIAAABkcnMvZG93bnJldi54&#10;bWxQSwECFAAUAAAACACHTuJADYukSMMBAAC0AwAADgAAAAAAAAABACAAAAAlAQAAZHJzL2Uyb0Rv&#10;Yy54bWxQSwUGAAAAAAYABgBZAQAAWgUAAAAA&#10;">
                <v:fill on="t" focussize="0,0"/>
                <v:stroke color="#FFFFFF" joinstyle="round"/>
                <v:imagedata o:title=""/>
                <o:lock v:ext="edit" aspectratio="f"/>
                <v:textbox>
                  <w:txbxContent>
                    <w:p w14:paraId="24B432DD">
                      <w:pPr>
                        <w:pStyle w:val="293"/>
                      </w:pPr>
                      <w:r>
                        <w:rPr>
                          <w:rFonts w:hint="eastAsia"/>
                        </w:rPr>
                        <w:t>市政自来水</w:t>
                      </w:r>
                    </w:p>
                    <w:p w14:paraId="1A0BB28E"/>
                  </w:txbxContent>
                </v:textbox>
              </v:rect>
            </w:pict>
          </mc:Fallback>
        </mc:AlternateContent>
      </w:r>
      <w:r>
        <w:rPr>
          <w:rFonts w:hint="eastAsia"/>
          <w:color w:val="000000"/>
        </w:rPr>
        <mc:AlternateContent>
          <mc:Choice Requires="wps">
            <w:drawing>
              <wp:anchor distT="0" distB="0" distL="114300" distR="114300" simplePos="0" relativeHeight="251660288" behindDoc="0" locked="0" layoutInCell="1" allowOverlap="1">
                <wp:simplePos x="0" y="0"/>
                <wp:positionH relativeFrom="column">
                  <wp:posOffset>2743200</wp:posOffset>
                </wp:positionH>
                <wp:positionV relativeFrom="paragraph">
                  <wp:posOffset>91440</wp:posOffset>
                </wp:positionV>
                <wp:extent cx="685800" cy="296545"/>
                <wp:effectExtent l="0" t="0" r="0" b="0"/>
                <wp:wrapNone/>
                <wp:docPr id="130" name="_x0000_s1215"/>
                <wp:cNvGraphicFramePr/>
                <a:graphic xmlns:a="http://schemas.openxmlformats.org/drawingml/2006/main">
                  <a:graphicData uri="http://schemas.microsoft.com/office/word/2010/wordprocessingShape">
                    <wps:wsp>
                      <wps:cNvSpPr/>
                      <wps:spPr bwMode="auto">
                        <a:xfrm>
                          <a:off x="0" y="0"/>
                          <a:ext cx="685800" cy="296545"/>
                        </a:xfrm>
                        <a:prstGeom prst="rect">
                          <a:avLst/>
                        </a:prstGeom>
                        <a:solidFill>
                          <a:srgbClr val="FFFFFF"/>
                        </a:solidFill>
                        <a:ln>
                          <a:solidFill>
                            <a:srgbClr val="FFFFFF"/>
                          </a:solidFill>
                        </a:ln>
                      </wps:spPr>
                      <wps:txbx>
                        <w:txbxContent>
                          <w:p w14:paraId="5E0DCA61">
                            <w:r>
                              <w:rPr>
                                <w:rFonts w:hint="eastAsia"/>
                                <w:spacing w:val="-20"/>
                              </w:rPr>
                              <w:t>含菌废水</w:t>
                            </w:r>
                          </w:p>
                          <w:p w14:paraId="30DB8CD3"/>
                        </w:txbxContent>
                      </wps:txbx>
                      <wps:bodyPr wrap="square" upright="1"/>
                    </wps:wsp>
                  </a:graphicData>
                </a:graphic>
              </wp:anchor>
            </w:drawing>
          </mc:Choice>
          <mc:Fallback>
            <w:pict>
              <v:rect id="_x0000_s1215" o:spid="_x0000_s1026" o:spt="1" style="position:absolute;left:0pt;margin-left:216pt;margin-top:7.2pt;height:23.35pt;width:54pt;z-index:251660288;mso-width-relative:page;mso-height-relative:page;" fillcolor="#FFFFFF" filled="t" stroked="t" coordsize="21600,21600" o:gfxdata="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ImJfBdYAAAAJAQAADwAAAAAAAAABACAAAAAiAAAAZHJzL2Rvd25yZXYu&#10;eG1sUEsBAhQAFAAAAAgAh07iQBWD0HXEAQAAtAMAAA4AAAAAAAAAAQAgAAAAJQEAAGRycy9lMm9E&#10;b2MueG1sUEsFBgAAAAAGAAYAWQEAAFsFAAAAAA==&#10;">
                <v:fill on="t" focussize="0,0"/>
                <v:stroke color="#FFFFFF" joinstyle="round"/>
                <v:imagedata o:title=""/>
                <o:lock v:ext="edit" aspectratio="f"/>
                <v:textbox>
                  <w:txbxContent>
                    <w:p w14:paraId="5E0DCA61">
                      <w:r>
                        <w:rPr>
                          <w:rFonts w:hint="eastAsia"/>
                          <w:spacing w:val="-20"/>
                        </w:rPr>
                        <w:t>含菌废水</w:t>
                      </w:r>
                    </w:p>
                    <w:p w14:paraId="30DB8CD3"/>
                  </w:txbxContent>
                </v:textbox>
              </v:rect>
            </w:pict>
          </mc:Fallback>
        </mc:AlternateContent>
      </w:r>
      <w:r>
        <w:rPr>
          <w:rFonts w:hint="eastAsia"/>
          <w:color w:val="000000"/>
        </w:rPr>
        <mc:AlternateContent>
          <mc:Choice Requires="wps">
            <w:drawing>
              <wp:anchor distT="0" distB="0" distL="114300" distR="114300" simplePos="0" relativeHeight="251660288" behindDoc="0" locked="0" layoutInCell="1" allowOverlap="1">
                <wp:simplePos x="0" y="0"/>
                <wp:positionH relativeFrom="column">
                  <wp:posOffset>1714500</wp:posOffset>
                </wp:positionH>
                <wp:positionV relativeFrom="paragraph">
                  <wp:posOffset>91440</wp:posOffset>
                </wp:positionV>
                <wp:extent cx="834390" cy="296545"/>
                <wp:effectExtent l="0" t="0" r="0" b="0"/>
                <wp:wrapNone/>
                <wp:docPr id="131" name="_x0000_s1214"/>
                <wp:cNvGraphicFramePr/>
                <a:graphic xmlns:a="http://schemas.openxmlformats.org/drawingml/2006/main">
                  <a:graphicData uri="http://schemas.microsoft.com/office/word/2010/wordprocessingShape">
                    <wps:wsp>
                      <wps:cNvSpPr/>
                      <wps:spPr bwMode="auto">
                        <a:xfrm>
                          <a:off x="0" y="0"/>
                          <a:ext cx="834390" cy="296545"/>
                        </a:xfrm>
                        <a:prstGeom prst="rect">
                          <a:avLst/>
                        </a:prstGeom>
                        <a:solidFill>
                          <a:srgbClr val="FFFFFF"/>
                        </a:solidFill>
                        <a:ln>
                          <a:solidFill>
                            <a:srgbClr val="FFFFFF"/>
                          </a:solidFill>
                        </a:ln>
                      </wps:spPr>
                      <wps:txbx>
                        <w:txbxContent>
                          <w:p w14:paraId="3825BBC5">
                            <w:pPr>
                              <w:pStyle w:val="293"/>
                            </w:pPr>
                            <w:r>
                              <w:rPr>
                                <w:rFonts w:hint="eastAsia"/>
                              </w:rPr>
                              <w:t>生活污水</w:t>
                            </w:r>
                          </w:p>
                          <w:p w14:paraId="7DFEBF99"/>
                        </w:txbxContent>
                      </wps:txbx>
                      <wps:bodyPr wrap="square" upright="1"/>
                    </wps:wsp>
                  </a:graphicData>
                </a:graphic>
              </wp:anchor>
            </w:drawing>
          </mc:Choice>
          <mc:Fallback>
            <w:pict>
              <v:rect id="_x0000_s1214" o:spid="_x0000_s1026" o:spt="1" style="position:absolute;left:0pt;margin-left:135pt;margin-top:7.2pt;height:23.35pt;width:65.7pt;z-index:251660288;mso-width-relative:page;mso-height-relative:page;" fillcolor="#FFFFFF" filled="t" stroked="t" coordsize="21600,21600" o:gfxdata="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Bodsga1gAAAAkBAAAPAAAAAAAAAAEAIAAAACIAAABkcnMvZG93bnJldi54&#10;bWxQSwECFAAUAAAACACHTuJAZURod8MBAAC0AwAADgAAAAAAAAABACAAAAAlAQAAZHJzL2Uyb0Rv&#10;Yy54bWxQSwUGAAAAAAYABgBZAQAAWgUAAAAA&#10;">
                <v:fill on="t" focussize="0,0"/>
                <v:stroke color="#FFFFFF" joinstyle="round"/>
                <v:imagedata o:title=""/>
                <o:lock v:ext="edit" aspectratio="f"/>
                <v:textbox>
                  <w:txbxContent>
                    <w:p w14:paraId="3825BBC5">
                      <w:pPr>
                        <w:pStyle w:val="293"/>
                      </w:pPr>
                      <w:r>
                        <w:rPr>
                          <w:rFonts w:hint="eastAsia"/>
                        </w:rPr>
                        <w:t>生活污水</w:t>
                      </w:r>
                    </w:p>
                    <w:p w14:paraId="7DFEBF99"/>
                  </w:txbxContent>
                </v:textbox>
              </v:rect>
            </w:pict>
          </mc:Fallback>
        </mc:AlternateContent>
      </w:r>
    </w:p>
    <w:p w14:paraId="1644C515">
      <w:pPr>
        <w:pStyle w:val="311"/>
        <w:spacing w:line="460" w:lineRule="exact"/>
        <w:jc w:val="center"/>
        <w:rPr>
          <w:rFonts w:hint="eastAsia" w:ascii="宋体" w:hAnsi="宋体"/>
          <w:b/>
          <w:color w:val="000000"/>
          <w:sz w:val="24"/>
          <w:szCs w:val="24"/>
        </w:rPr>
      </w:pPr>
      <w:r>
        <w:rPr>
          <w:rFonts w:hint="eastAsia" w:ascii="宋体" w:hAnsi="宋体"/>
          <w:b/>
          <w:color w:val="000000"/>
          <w:sz w:val="24"/>
          <w:szCs w:val="24"/>
        </w:rPr>
        <w:t>图3-3  项目水平衡图   单位m</w:t>
      </w:r>
      <w:r>
        <w:rPr>
          <w:rFonts w:hint="eastAsia" w:ascii="宋体" w:hAnsi="宋体"/>
          <w:b/>
          <w:color w:val="000000"/>
          <w:sz w:val="24"/>
          <w:szCs w:val="24"/>
          <w:vertAlign w:val="superscript"/>
        </w:rPr>
        <w:t>3</w:t>
      </w:r>
      <w:r>
        <w:rPr>
          <w:rFonts w:hint="eastAsia" w:ascii="宋体" w:hAnsi="宋体"/>
          <w:b/>
          <w:color w:val="000000"/>
          <w:sz w:val="24"/>
          <w:szCs w:val="24"/>
        </w:rPr>
        <w:t>/d</w:t>
      </w:r>
    </w:p>
    <w:p w14:paraId="2DCF02BA">
      <w:pPr>
        <w:pStyle w:val="221"/>
        <w:spacing w:after="0" w:line="360" w:lineRule="auto"/>
        <w:ind w:left="0" w:firstLine="0"/>
        <w:rPr>
          <w:rFonts w:hint="eastAsia" w:ascii="宋体" w:hAnsi="宋体"/>
          <w:color w:val="000000"/>
          <w:sz w:val="24"/>
        </w:rPr>
      </w:pPr>
    </w:p>
    <w:p w14:paraId="2827D563">
      <w:pPr>
        <w:spacing w:line="360" w:lineRule="auto"/>
        <w:ind w:firstLine="480"/>
        <w:rPr>
          <w:rFonts w:hint="eastAsia" w:ascii="宋体" w:hAnsi="宋体"/>
          <w:color w:val="000000"/>
          <w:sz w:val="24"/>
        </w:rPr>
      </w:pPr>
      <w:r>
        <w:rPr>
          <w:rFonts w:hint="eastAsia" w:ascii="宋体" w:hAnsi="宋体"/>
          <w:color w:val="000000"/>
          <w:sz w:val="24"/>
        </w:rPr>
        <w:t>（9）、污水处理站处理工艺</w:t>
      </w:r>
    </w:p>
    <w:p w14:paraId="0364CA3B">
      <w:pPr>
        <w:pStyle w:val="311"/>
        <w:spacing w:line="460" w:lineRule="exact"/>
        <w:ind w:firstLine="480"/>
        <w:rPr>
          <w:rFonts w:ascii="宋体" w:hAnsi="宋体"/>
          <w:color w:val="000000"/>
          <w:sz w:val="24"/>
          <w:szCs w:val="24"/>
        </w:rPr>
      </w:pPr>
      <w:r>
        <w:rPr>
          <w:rFonts w:ascii="宋体" w:hAnsi="宋体"/>
          <w:color w:val="000000"/>
          <w:sz w:val="24"/>
          <w:szCs w:val="24"/>
        </w:rPr>
        <w:t>本项目</w:t>
      </w:r>
      <w:r>
        <w:rPr>
          <w:rFonts w:hint="eastAsia" w:ascii="宋体" w:hAnsi="宋体"/>
          <w:color w:val="000000"/>
          <w:sz w:val="24"/>
          <w:szCs w:val="24"/>
        </w:rPr>
        <w:t>应</w:t>
      </w:r>
      <w:r>
        <w:rPr>
          <w:rFonts w:ascii="宋体" w:hAnsi="宋体"/>
          <w:color w:val="000000"/>
          <w:sz w:val="24"/>
          <w:szCs w:val="24"/>
        </w:rPr>
        <w:t>配套建设污水处理设施，医院产生的</w:t>
      </w:r>
      <w:r>
        <w:rPr>
          <w:rFonts w:hint="eastAsia" w:ascii="宋体" w:hAnsi="宋体"/>
          <w:color w:val="000000"/>
          <w:sz w:val="24"/>
          <w:szCs w:val="24"/>
        </w:rPr>
        <w:t>废</w:t>
      </w:r>
      <w:r>
        <w:rPr>
          <w:rFonts w:ascii="宋体" w:hAnsi="宋体"/>
          <w:color w:val="000000"/>
          <w:sz w:val="24"/>
          <w:szCs w:val="24"/>
        </w:rPr>
        <w:t>水主要为生活</w:t>
      </w:r>
      <w:r>
        <w:rPr>
          <w:rFonts w:hint="eastAsia" w:ascii="宋体" w:hAnsi="宋体"/>
          <w:color w:val="000000"/>
          <w:sz w:val="24"/>
          <w:szCs w:val="24"/>
        </w:rPr>
        <w:t>污</w:t>
      </w:r>
      <w:r>
        <w:rPr>
          <w:rFonts w:ascii="宋体" w:hAnsi="宋体"/>
          <w:color w:val="000000"/>
          <w:sz w:val="24"/>
          <w:szCs w:val="24"/>
        </w:rPr>
        <w:t>水和医疗废水。</w:t>
      </w:r>
    </w:p>
    <w:p w14:paraId="123FEE04">
      <w:pPr>
        <w:pStyle w:val="311"/>
        <w:spacing w:line="460" w:lineRule="exact"/>
        <w:ind w:firstLine="480"/>
        <w:rPr>
          <w:rFonts w:hint="eastAsia" w:ascii="宋体" w:hAnsi="宋体"/>
          <w:color w:val="000000"/>
          <w:sz w:val="24"/>
          <w:szCs w:val="24"/>
        </w:rPr>
      </w:pPr>
      <w:r>
        <w:rPr>
          <w:rFonts w:ascii="宋体" w:hAnsi="宋体"/>
          <w:color w:val="000000"/>
          <w:sz w:val="24"/>
          <w:szCs w:val="24"/>
        </w:rPr>
        <w:t>按照《医院污水处理技术指南》，“医院污水处理所</w:t>
      </w:r>
      <w:r>
        <w:rPr>
          <w:rFonts w:hint="eastAsia" w:ascii="宋体" w:hAnsi="宋体"/>
          <w:color w:val="000000"/>
          <w:sz w:val="24"/>
          <w:szCs w:val="24"/>
        </w:rPr>
        <w:t>采</w:t>
      </w:r>
      <w:r>
        <w:rPr>
          <w:rFonts w:ascii="宋体" w:hAnsi="宋体"/>
          <w:color w:val="000000"/>
          <w:sz w:val="24"/>
          <w:szCs w:val="24"/>
        </w:rPr>
        <w:t>用工艺必须确保出水</w:t>
      </w:r>
      <w:r>
        <w:rPr>
          <w:rFonts w:hint="eastAsia" w:ascii="宋体" w:hAnsi="宋体"/>
          <w:color w:val="000000"/>
          <w:sz w:val="24"/>
          <w:szCs w:val="24"/>
        </w:rPr>
        <w:t>水质满足相关排放要求。</w:t>
      </w:r>
      <w:r>
        <w:rPr>
          <w:rFonts w:ascii="宋体" w:hAnsi="宋体"/>
          <w:color w:val="000000"/>
          <w:sz w:val="24"/>
          <w:szCs w:val="24"/>
        </w:rPr>
        <w:t>根据</w:t>
      </w:r>
      <w:r>
        <w:rPr>
          <w:rFonts w:hint="eastAsia" w:ascii="宋体" w:hAnsi="宋体"/>
          <w:color w:val="000000"/>
          <w:sz w:val="24"/>
          <w:szCs w:val="24"/>
        </w:rPr>
        <w:t>实际调查，</w:t>
      </w:r>
      <w:r>
        <w:rPr>
          <w:rFonts w:ascii="宋体" w:hAnsi="宋体"/>
          <w:color w:val="000000"/>
          <w:sz w:val="24"/>
          <w:szCs w:val="24"/>
        </w:rPr>
        <w:t>本项目</w:t>
      </w:r>
      <w:r>
        <w:rPr>
          <w:rFonts w:hint="eastAsia" w:ascii="宋体" w:hAnsi="宋体"/>
          <w:color w:val="000000"/>
          <w:sz w:val="24"/>
          <w:szCs w:val="24"/>
        </w:rPr>
        <w:t>周边已建有市政管网，项目污水能够进入污水处理厂</w:t>
      </w:r>
      <w:r>
        <w:rPr>
          <w:rFonts w:ascii="宋体" w:hAnsi="宋体"/>
          <w:color w:val="000000"/>
          <w:sz w:val="24"/>
          <w:szCs w:val="24"/>
        </w:rPr>
        <w:t>。</w:t>
      </w:r>
    </w:p>
    <w:p w14:paraId="481B3168">
      <w:pPr>
        <w:pStyle w:val="311"/>
        <w:spacing w:line="460" w:lineRule="exact"/>
        <w:ind w:firstLine="480"/>
        <w:jc w:val="both"/>
        <w:rPr>
          <w:rFonts w:hint="eastAsia" w:ascii="宋体" w:hAnsi="宋体"/>
          <w:color w:val="000000"/>
          <w:sz w:val="24"/>
          <w:szCs w:val="24"/>
        </w:rPr>
      </w:pPr>
      <w:r>
        <w:rPr>
          <w:rFonts w:hint="eastAsia" w:ascii="宋体" w:hAnsi="宋体"/>
          <w:color w:val="000000"/>
          <w:sz w:val="24"/>
          <w:szCs w:val="24"/>
        </w:rPr>
        <w:t>根据业主方提供资料，</w:t>
      </w:r>
      <w:r>
        <w:rPr>
          <w:rFonts w:hint="eastAsia"/>
          <w:color w:val="000000"/>
          <w:sz w:val="24"/>
        </w:rPr>
        <w:t>项目污水处理站建设位置位于项目地块的北侧，已</w:t>
      </w:r>
      <w:r>
        <w:rPr>
          <w:rFonts w:hint="eastAsia" w:ascii="宋体" w:hAnsi="宋体"/>
          <w:color w:val="000000"/>
          <w:sz w:val="24"/>
        </w:rPr>
        <w:t>委托了资质单位进行设计，环评要求业主污水处理设施与建设项目必须同时设计、同时施工、同时投入运行。</w:t>
      </w:r>
      <w:r>
        <w:rPr>
          <w:rFonts w:hint="eastAsia" w:ascii="宋体" w:hAnsi="宋体"/>
          <w:color w:val="000000"/>
          <w:sz w:val="24"/>
          <w:szCs w:val="24"/>
        </w:rPr>
        <w:t>本项目污水处理站所采用二级处理，污水处理站</w:t>
      </w:r>
      <w:r>
        <w:rPr>
          <w:rFonts w:ascii="宋体" w:hAnsi="宋体"/>
          <w:color w:val="000000"/>
          <w:sz w:val="24"/>
          <w:szCs w:val="24"/>
        </w:rPr>
        <w:t>采取格栅、调节池、初次沉淀池、</w:t>
      </w:r>
      <w:r>
        <w:rPr>
          <w:rFonts w:hint="eastAsia" w:ascii="宋体" w:hAnsi="宋体"/>
          <w:color w:val="000000"/>
          <w:sz w:val="24"/>
          <w:szCs w:val="24"/>
        </w:rPr>
        <w:t>生化处理、沉淀池、投氯（二氧化氯）、接触池等措施，水质标准达到《医疗机构水污染物排放标准》（GB18466-2005）中表2排放标准后，方可外排</w:t>
      </w:r>
      <w:r>
        <w:rPr>
          <w:rFonts w:ascii="宋体" w:hAnsi="宋体"/>
          <w:color w:val="000000"/>
          <w:sz w:val="24"/>
          <w:szCs w:val="24"/>
        </w:rPr>
        <w:t>。</w:t>
      </w:r>
      <w:r>
        <w:rPr>
          <w:rFonts w:hint="eastAsia" w:ascii="宋体" w:hAnsi="宋体"/>
          <w:color w:val="000000"/>
          <w:sz w:val="24"/>
          <w:szCs w:val="24"/>
        </w:rPr>
        <w:t>污水处理站投资约70万元。工艺流程图如下：</w:t>
      </w:r>
    </w:p>
    <w:p w14:paraId="7A5338CE">
      <w:pPr>
        <w:pStyle w:val="221"/>
        <w:spacing w:after="0" w:line="360" w:lineRule="auto"/>
        <w:ind w:left="0"/>
        <w:jc w:val="left"/>
        <w:rPr>
          <w:rFonts w:hint="eastAsia"/>
          <w:color w:val="000000"/>
        </w:rPr>
      </w:pPr>
      <w:r>
        <w:rPr>
          <w:rFonts w:hint="eastAsia"/>
          <w:color w:val="000000"/>
        </w:rPr>
        <mc:AlternateContent>
          <mc:Choice Requires="wpg">
            <w:drawing>
              <wp:anchor distT="0" distB="0" distL="114300" distR="114300" simplePos="0" relativeHeight="251660288" behindDoc="0" locked="0" layoutInCell="1" allowOverlap="1">
                <wp:simplePos x="0" y="0"/>
                <wp:positionH relativeFrom="column">
                  <wp:posOffset>114300</wp:posOffset>
                </wp:positionH>
                <wp:positionV relativeFrom="paragraph">
                  <wp:posOffset>92075</wp:posOffset>
                </wp:positionV>
                <wp:extent cx="5257800" cy="2377440"/>
                <wp:effectExtent l="0" t="0" r="0" b="0"/>
                <wp:wrapNone/>
                <wp:docPr id="132" name="_x0000_s1284"/>
                <wp:cNvGraphicFramePr/>
                <a:graphic xmlns:a="http://schemas.openxmlformats.org/drawingml/2006/main">
                  <a:graphicData uri="http://schemas.microsoft.com/office/word/2010/wordprocessingGroup">
                    <wpg:wgp>
                      <wpg:cNvGrpSpPr/>
                      <wpg:grpSpPr>
                        <a:xfrm>
                          <a:off x="0" y="0"/>
                          <a:ext cx="5257800" cy="2377440"/>
                          <a:chOff x="0" y="0"/>
                          <a:chExt cx="8280" cy="3744"/>
                        </a:xfrm>
                      </wpg:grpSpPr>
                      <wps:wsp>
                        <wps:cNvPr id="133" name="直接连接符 133"/>
                        <wps:cNvCnPr/>
                        <wps:spPr bwMode="auto">
                          <a:xfrm flipH="1">
                            <a:off x="4860" y="2652"/>
                            <a:ext cx="540" cy="156"/>
                          </a:xfrm>
                          <a:prstGeom prst="line">
                            <a:avLst/>
                          </a:prstGeom>
                          <a:noFill/>
                          <a:ln>
                            <a:solidFill>
                              <a:srgbClr val="000000"/>
                            </a:solidFill>
                            <a:tailEnd type="triangle"/>
                          </a:ln>
                        </wps:spPr>
                        <wps:bodyPr rot="0">
                          <a:noAutofit/>
                        </wps:bodyPr>
                      </wps:wsp>
                      <wpg:grpSp>
                        <wpg:cNvPr id="134" name="组合 134"/>
                        <wpg:cNvGrpSpPr/>
                        <wpg:grpSpPr>
                          <a:xfrm>
                            <a:off x="0" y="0"/>
                            <a:ext cx="8280" cy="3744"/>
                            <a:chOff x="0" y="0"/>
                            <a:chExt cx="8280" cy="3744"/>
                          </a:xfrm>
                        </wpg:grpSpPr>
                        <wps:wsp>
                          <wps:cNvPr id="135" name="矩形 135"/>
                          <wps:cNvSpPr/>
                          <wps:spPr bwMode="auto">
                            <a:xfrm>
                              <a:off x="0" y="6"/>
                              <a:ext cx="900" cy="2028"/>
                            </a:xfrm>
                            <a:prstGeom prst="rect">
                              <a:avLst/>
                            </a:prstGeom>
                            <a:solidFill>
                              <a:srgbClr val="FFFFFF"/>
                            </a:solidFill>
                            <a:ln>
                              <a:solidFill>
                                <a:srgbClr val="000000"/>
                              </a:solidFill>
                            </a:ln>
                          </wps:spPr>
                          <wps:txbx>
                            <w:txbxContent>
                              <w:p w14:paraId="5158CDCD">
                                <w:pPr>
                                  <w:pStyle w:val="216"/>
                                  <w:rPr>
                                    <w:rFonts w:hint="eastAsia"/>
                                  </w:rPr>
                                </w:pPr>
                                <w:r>
                                  <w:rPr>
                                    <w:rFonts w:hint="eastAsia"/>
                                    <w:sz w:val="21"/>
                                  </w:rPr>
                                  <w:t>污水相应处理</w:t>
                                </w:r>
                                <w:r>
                                  <w:rPr>
                                    <w:rFonts w:hint="eastAsia"/>
                                  </w:rPr>
                                  <w:t>后</w:t>
                                </w:r>
                              </w:p>
                              <w:p w14:paraId="09294EEA"/>
                            </w:txbxContent>
                          </wps:txbx>
                          <wps:bodyPr wrap="square" upright="1"/>
                        </wps:wsp>
                        <wps:wsp>
                          <wps:cNvPr id="136" name="矩形 136"/>
                          <wps:cNvSpPr/>
                          <wps:spPr bwMode="auto">
                            <a:xfrm>
                              <a:off x="1620" y="0"/>
                              <a:ext cx="540" cy="2028"/>
                            </a:xfrm>
                            <a:prstGeom prst="rect">
                              <a:avLst/>
                            </a:prstGeom>
                            <a:solidFill>
                              <a:srgbClr val="FFFFFF"/>
                            </a:solidFill>
                            <a:ln>
                              <a:solidFill>
                                <a:srgbClr val="000000"/>
                              </a:solidFill>
                            </a:ln>
                          </wps:spPr>
                          <wps:txbx>
                            <w:txbxContent>
                              <w:p w14:paraId="381908A6">
                                <w:pPr>
                                  <w:rPr>
                                    <w:rFonts w:hint="eastAsia"/>
                                  </w:rPr>
                                </w:pPr>
                                <w:r>
                                  <w:rPr>
                                    <w:rFonts w:hint="eastAsia"/>
                                  </w:rPr>
                                  <w:t>格</w:t>
                                </w:r>
                              </w:p>
                              <w:p w14:paraId="0A6C375B">
                                <w:pPr>
                                  <w:rPr>
                                    <w:rFonts w:hint="eastAsia"/>
                                  </w:rPr>
                                </w:pPr>
                              </w:p>
                              <w:p w14:paraId="133C1748">
                                <w:pPr>
                                  <w:rPr>
                                    <w:rFonts w:hint="eastAsia"/>
                                  </w:rPr>
                                </w:pPr>
                              </w:p>
                              <w:p w14:paraId="419D8EC1">
                                <w:pPr>
                                  <w:rPr>
                                    <w:rFonts w:hint="eastAsia"/>
                                  </w:rPr>
                                </w:pPr>
                              </w:p>
                              <w:p w14:paraId="16D3A9E4">
                                <w:pPr>
                                  <w:rPr>
                                    <w:rFonts w:hint="eastAsia"/>
                                  </w:rPr>
                                </w:pPr>
                              </w:p>
                              <w:p w14:paraId="7C91C197">
                                <w:pPr>
                                  <w:rPr>
                                    <w:rFonts w:hint="eastAsia"/>
                                  </w:rPr>
                                </w:pPr>
                                <w:r>
                                  <w:rPr>
                                    <w:rFonts w:hint="eastAsia"/>
                                  </w:rPr>
                                  <w:t>栅</w:t>
                                </w:r>
                              </w:p>
                              <w:p w14:paraId="67A6F457"/>
                            </w:txbxContent>
                          </wps:txbx>
                          <wps:bodyPr wrap="square" upright="1"/>
                        </wps:wsp>
                        <wps:wsp>
                          <wps:cNvPr id="137" name="矩形 137"/>
                          <wps:cNvSpPr/>
                          <wps:spPr bwMode="auto">
                            <a:xfrm>
                              <a:off x="2520" y="0"/>
                              <a:ext cx="540" cy="2028"/>
                            </a:xfrm>
                            <a:prstGeom prst="rect">
                              <a:avLst/>
                            </a:prstGeom>
                            <a:solidFill>
                              <a:srgbClr val="FFFFFF"/>
                            </a:solidFill>
                            <a:ln>
                              <a:solidFill>
                                <a:srgbClr val="000000"/>
                              </a:solidFill>
                            </a:ln>
                          </wps:spPr>
                          <wps:txbx>
                            <w:txbxContent>
                              <w:p w14:paraId="5A614A38">
                                <w:pPr>
                                  <w:rPr>
                                    <w:rFonts w:hint="eastAsia"/>
                                  </w:rPr>
                                </w:pPr>
                                <w:r>
                                  <w:rPr>
                                    <w:rFonts w:hint="eastAsia"/>
                                  </w:rPr>
                                  <w:t>调</w:t>
                                </w:r>
                              </w:p>
                              <w:p w14:paraId="7A9F2B2C">
                                <w:pPr>
                                  <w:rPr>
                                    <w:rFonts w:hint="eastAsia"/>
                                  </w:rPr>
                                </w:pPr>
                              </w:p>
                              <w:p w14:paraId="67A1C7DB">
                                <w:pPr>
                                  <w:rPr>
                                    <w:rFonts w:hint="eastAsia"/>
                                  </w:rPr>
                                </w:pPr>
                                <w:r>
                                  <w:rPr>
                                    <w:rFonts w:hint="eastAsia"/>
                                  </w:rPr>
                                  <w:t>节</w:t>
                                </w:r>
                              </w:p>
                              <w:p w14:paraId="311174E8">
                                <w:pPr>
                                  <w:rPr>
                                    <w:rFonts w:hint="eastAsia"/>
                                  </w:rPr>
                                </w:pPr>
                              </w:p>
                              <w:p w14:paraId="54436D02">
                                <w:pPr>
                                  <w:rPr>
                                    <w:rFonts w:hint="eastAsia"/>
                                    <w:sz w:val="28"/>
                                  </w:rPr>
                                </w:pPr>
                                <w:r>
                                  <w:rPr>
                                    <w:rFonts w:hint="eastAsia"/>
                                  </w:rPr>
                                  <w:t>池</w:t>
                                </w:r>
                              </w:p>
                              <w:p w14:paraId="35D167E8"/>
                            </w:txbxContent>
                          </wps:txbx>
                          <wps:bodyPr wrap="square" upright="1"/>
                        </wps:wsp>
                        <wps:wsp>
                          <wps:cNvPr id="138" name="矩形 138"/>
                          <wps:cNvSpPr/>
                          <wps:spPr bwMode="auto">
                            <a:xfrm>
                              <a:off x="4320" y="0"/>
                              <a:ext cx="540" cy="2028"/>
                            </a:xfrm>
                            <a:prstGeom prst="rect">
                              <a:avLst/>
                            </a:prstGeom>
                            <a:solidFill>
                              <a:srgbClr val="FFFFFF"/>
                            </a:solidFill>
                            <a:ln>
                              <a:solidFill>
                                <a:srgbClr val="000000"/>
                              </a:solidFill>
                            </a:ln>
                          </wps:spPr>
                          <wps:txbx>
                            <w:txbxContent>
                              <w:p w14:paraId="6A877855">
                                <w:pPr>
                                  <w:rPr>
                                    <w:rFonts w:hint="eastAsia"/>
                                    <w:sz w:val="18"/>
                                    <w:szCs w:val="18"/>
                                  </w:rPr>
                                </w:pPr>
                                <w:r>
                                  <w:rPr>
                                    <w:rFonts w:hint="eastAsia"/>
                                    <w:sz w:val="18"/>
                                    <w:szCs w:val="18"/>
                                  </w:rPr>
                                  <w:t>生化处理厌氧消毒</w:t>
                                </w:r>
                              </w:p>
                              <w:p w14:paraId="79A3B920">
                                <w:pPr>
                                  <w:rPr>
                                    <w:rFonts w:hint="eastAsia"/>
                                  </w:rPr>
                                </w:pPr>
                              </w:p>
                              <w:p w14:paraId="72C271E0">
                                <w:pPr>
                                  <w:rPr>
                                    <w:rFonts w:hint="eastAsia"/>
                                  </w:rPr>
                                </w:pPr>
                              </w:p>
                              <w:p w14:paraId="061B273C">
                                <w:pPr>
                                  <w:rPr>
                                    <w:rFonts w:hint="eastAsia"/>
                                  </w:rPr>
                                </w:pPr>
                              </w:p>
                              <w:p w14:paraId="78CF5BB2">
                                <w:pPr>
                                  <w:rPr>
                                    <w:rFonts w:hint="eastAsia"/>
                                  </w:rPr>
                                </w:pPr>
                              </w:p>
                              <w:p w14:paraId="6767B273">
                                <w:pPr>
                                  <w:rPr>
                                    <w:rFonts w:hint="eastAsia"/>
                                  </w:rPr>
                                </w:pPr>
                                <w:r>
                                  <w:rPr>
                                    <w:rFonts w:hint="eastAsia"/>
                                  </w:rPr>
                                  <w:t>毒</w:t>
                                </w:r>
                              </w:p>
                              <w:p w14:paraId="749AD319"/>
                            </w:txbxContent>
                          </wps:txbx>
                          <wps:bodyPr wrap="square" upright="1"/>
                        </wps:wsp>
                        <wps:wsp>
                          <wps:cNvPr id="139" name="矩形 139"/>
                          <wps:cNvSpPr/>
                          <wps:spPr bwMode="auto">
                            <a:xfrm>
                              <a:off x="3420" y="0"/>
                              <a:ext cx="540" cy="2028"/>
                            </a:xfrm>
                            <a:prstGeom prst="rect">
                              <a:avLst/>
                            </a:prstGeom>
                            <a:solidFill>
                              <a:srgbClr val="FFFFFF"/>
                            </a:solidFill>
                            <a:ln>
                              <a:solidFill>
                                <a:srgbClr val="000000"/>
                              </a:solidFill>
                            </a:ln>
                          </wps:spPr>
                          <wps:txbx>
                            <w:txbxContent>
                              <w:p w14:paraId="7FF2791D">
                                <w:pPr>
                                  <w:rPr>
                                    <w:rFonts w:hint="eastAsia"/>
                                  </w:rPr>
                                </w:pPr>
                                <w:r>
                                  <w:rPr>
                                    <w:rFonts w:hint="eastAsia"/>
                                  </w:rPr>
                                  <w:t>初</w:t>
                                </w:r>
                              </w:p>
                              <w:p w14:paraId="712DB7BB">
                                <w:pPr>
                                  <w:rPr>
                                    <w:rFonts w:hint="eastAsia"/>
                                  </w:rPr>
                                </w:pPr>
                                <w:r>
                                  <w:rPr>
                                    <w:rFonts w:hint="eastAsia"/>
                                  </w:rPr>
                                  <w:t>次</w:t>
                                </w:r>
                              </w:p>
                              <w:p w14:paraId="0A4BAC50">
                                <w:pPr>
                                  <w:rPr>
                                    <w:rFonts w:hint="eastAsia"/>
                                  </w:rPr>
                                </w:pPr>
                                <w:r>
                                  <w:rPr>
                                    <w:rFonts w:hint="eastAsia"/>
                                  </w:rPr>
                                  <w:t>沉</w:t>
                                </w:r>
                              </w:p>
                              <w:p w14:paraId="1390F424">
                                <w:pPr>
                                  <w:rPr>
                                    <w:rFonts w:hint="eastAsia"/>
                                  </w:rPr>
                                </w:pPr>
                                <w:r>
                                  <w:rPr>
                                    <w:rFonts w:hint="eastAsia"/>
                                  </w:rPr>
                                  <w:t>淀</w:t>
                                </w:r>
                              </w:p>
                              <w:p w14:paraId="0E92AAA0"/>
                            </w:txbxContent>
                          </wps:txbx>
                          <wps:bodyPr wrap="square" upright="1"/>
                        </wps:wsp>
                        <wps:wsp>
                          <wps:cNvPr id="140" name="矩形 140"/>
                          <wps:cNvSpPr/>
                          <wps:spPr bwMode="auto">
                            <a:xfrm>
                              <a:off x="6840" y="0"/>
                              <a:ext cx="540" cy="2028"/>
                            </a:xfrm>
                            <a:prstGeom prst="rect">
                              <a:avLst/>
                            </a:prstGeom>
                            <a:solidFill>
                              <a:srgbClr val="FFFFFF"/>
                            </a:solidFill>
                            <a:ln>
                              <a:solidFill>
                                <a:srgbClr val="000000"/>
                              </a:solidFill>
                            </a:ln>
                          </wps:spPr>
                          <wps:txbx>
                            <w:txbxContent>
                              <w:p w14:paraId="491EB169">
                                <w:pPr>
                                  <w:pStyle w:val="216"/>
                                  <w:rPr>
                                    <w:rFonts w:hint="eastAsia"/>
                                    <w:sz w:val="21"/>
                                  </w:rPr>
                                </w:pPr>
                                <w:r>
                                  <w:rPr>
                                    <w:rFonts w:hint="eastAsia"/>
                                    <w:sz w:val="21"/>
                                  </w:rPr>
                                  <w:t>接触池</w:t>
                                </w:r>
                              </w:p>
                              <w:p w14:paraId="2F402B43"/>
                            </w:txbxContent>
                          </wps:txbx>
                          <wps:bodyPr wrap="square" upright="1"/>
                        </wps:wsp>
                        <wps:wsp>
                          <wps:cNvPr id="141" name="矩形 141"/>
                          <wps:cNvSpPr/>
                          <wps:spPr bwMode="auto">
                            <a:xfrm>
                              <a:off x="5220" y="0"/>
                              <a:ext cx="540" cy="2028"/>
                            </a:xfrm>
                            <a:prstGeom prst="rect">
                              <a:avLst/>
                            </a:prstGeom>
                            <a:solidFill>
                              <a:srgbClr val="FFFFFF"/>
                            </a:solidFill>
                            <a:ln>
                              <a:solidFill>
                                <a:srgbClr val="000000"/>
                              </a:solidFill>
                            </a:ln>
                          </wps:spPr>
                          <wps:txbx>
                            <w:txbxContent>
                              <w:p w14:paraId="394F9A41">
                                <w:pPr>
                                  <w:rPr>
                                    <w:rFonts w:hint="eastAsia"/>
                                  </w:rPr>
                                </w:pPr>
                                <w:r>
                                  <w:rPr>
                                    <w:rFonts w:hint="eastAsia"/>
                                  </w:rPr>
                                  <w:t>二次沉淀池</w:t>
                                </w:r>
                              </w:p>
                              <w:p w14:paraId="56E3F529"/>
                            </w:txbxContent>
                          </wps:txbx>
                          <wps:bodyPr wrap="square" upright="1"/>
                        </wps:wsp>
                        <wps:wsp>
                          <wps:cNvPr id="142" name="矩形 142"/>
                          <wps:cNvSpPr/>
                          <wps:spPr bwMode="auto">
                            <a:xfrm>
                              <a:off x="7740" y="6"/>
                              <a:ext cx="540" cy="2028"/>
                            </a:xfrm>
                            <a:prstGeom prst="rect">
                              <a:avLst/>
                            </a:prstGeom>
                            <a:solidFill>
                              <a:srgbClr val="FFFFFF"/>
                            </a:solidFill>
                            <a:ln>
                              <a:solidFill>
                                <a:srgbClr val="000000"/>
                              </a:solidFill>
                            </a:ln>
                          </wps:spPr>
                          <wps:txbx>
                            <w:txbxContent>
                              <w:p w14:paraId="7F6D3F6B">
                                <w:pPr>
                                  <w:rPr>
                                    <w:rFonts w:hint="eastAsia"/>
                                  </w:rPr>
                                </w:pPr>
                                <w:r>
                                  <w:rPr>
                                    <w:rFonts w:hint="eastAsia"/>
                                  </w:rPr>
                                  <w:t>达标</w:t>
                                </w:r>
                              </w:p>
                              <w:p w14:paraId="751C991A">
                                <w:pPr>
                                  <w:rPr>
                                    <w:rFonts w:hint="eastAsia"/>
                                  </w:rPr>
                                </w:pPr>
                                <w:r>
                                  <w:rPr>
                                    <w:rFonts w:hint="eastAsia"/>
                                  </w:rPr>
                                  <w:t>排放</w:t>
                                </w:r>
                              </w:p>
                              <w:p w14:paraId="5117296C"/>
                            </w:txbxContent>
                          </wps:txbx>
                          <wps:bodyPr wrap="square" upright="1"/>
                        </wps:wsp>
                        <wps:wsp>
                          <wps:cNvPr id="143" name="直接连接符 143"/>
                          <wps:cNvCnPr/>
                          <wps:spPr bwMode="auto">
                            <a:xfrm flipV="1">
                              <a:off x="900" y="936"/>
                              <a:ext cx="720" cy="6"/>
                            </a:xfrm>
                            <a:prstGeom prst="line">
                              <a:avLst/>
                            </a:prstGeom>
                            <a:noFill/>
                            <a:ln>
                              <a:solidFill>
                                <a:srgbClr val="000000"/>
                              </a:solidFill>
                              <a:tailEnd type="triangle"/>
                            </a:ln>
                          </wps:spPr>
                          <wps:bodyPr rot="0">
                            <a:noAutofit/>
                          </wps:bodyPr>
                        </wps:wsp>
                        <wps:wsp>
                          <wps:cNvPr id="144" name="直接连接符 144"/>
                          <wps:cNvCnPr/>
                          <wps:spPr bwMode="auto">
                            <a:xfrm>
                              <a:off x="2160" y="936"/>
                              <a:ext cx="360" cy="0"/>
                            </a:xfrm>
                            <a:prstGeom prst="line">
                              <a:avLst/>
                            </a:prstGeom>
                            <a:noFill/>
                            <a:ln>
                              <a:solidFill>
                                <a:srgbClr val="000000"/>
                              </a:solidFill>
                              <a:tailEnd type="triangle"/>
                            </a:ln>
                          </wps:spPr>
                          <wps:bodyPr rot="0">
                            <a:noAutofit/>
                          </wps:bodyPr>
                        </wps:wsp>
                        <wps:wsp>
                          <wps:cNvPr id="145" name="直接连接符 145"/>
                          <wps:cNvCnPr/>
                          <wps:spPr bwMode="auto">
                            <a:xfrm>
                              <a:off x="3060" y="936"/>
                              <a:ext cx="360" cy="0"/>
                            </a:xfrm>
                            <a:prstGeom prst="line">
                              <a:avLst/>
                            </a:prstGeom>
                            <a:noFill/>
                            <a:ln>
                              <a:solidFill>
                                <a:srgbClr val="000000"/>
                              </a:solidFill>
                              <a:tailEnd type="triangle"/>
                            </a:ln>
                          </wps:spPr>
                          <wps:bodyPr rot="0">
                            <a:noAutofit/>
                          </wps:bodyPr>
                        </wps:wsp>
                        <wps:wsp>
                          <wps:cNvPr id="146" name="直接连接符 146"/>
                          <wps:cNvCnPr/>
                          <wps:spPr bwMode="auto">
                            <a:xfrm>
                              <a:off x="3960" y="936"/>
                              <a:ext cx="360" cy="0"/>
                            </a:xfrm>
                            <a:prstGeom prst="line">
                              <a:avLst/>
                            </a:prstGeom>
                            <a:noFill/>
                            <a:ln>
                              <a:solidFill>
                                <a:srgbClr val="000000"/>
                              </a:solidFill>
                              <a:tailEnd type="triangle"/>
                            </a:ln>
                          </wps:spPr>
                          <wps:bodyPr rot="0">
                            <a:noAutofit/>
                          </wps:bodyPr>
                        </wps:wsp>
                        <wps:wsp>
                          <wps:cNvPr id="147" name="直接连接符 147"/>
                          <wps:cNvCnPr/>
                          <wps:spPr bwMode="auto">
                            <a:xfrm>
                              <a:off x="4860" y="936"/>
                              <a:ext cx="360" cy="0"/>
                            </a:xfrm>
                            <a:prstGeom prst="line">
                              <a:avLst/>
                            </a:prstGeom>
                            <a:noFill/>
                            <a:ln>
                              <a:solidFill>
                                <a:srgbClr val="000000"/>
                              </a:solidFill>
                              <a:tailEnd type="triangle"/>
                            </a:ln>
                          </wps:spPr>
                          <wps:bodyPr rot="0">
                            <a:noAutofit/>
                          </wps:bodyPr>
                        </wps:wsp>
                        <wps:wsp>
                          <wps:cNvPr id="148" name="直接连接符 148"/>
                          <wps:cNvCnPr/>
                          <wps:spPr bwMode="auto">
                            <a:xfrm>
                              <a:off x="5760" y="936"/>
                              <a:ext cx="1080" cy="0"/>
                            </a:xfrm>
                            <a:prstGeom prst="line">
                              <a:avLst/>
                            </a:prstGeom>
                            <a:noFill/>
                            <a:ln>
                              <a:solidFill>
                                <a:srgbClr val="000000"/>
                              </a:solidFill>
                              <a:tailEnd type="triangle"/>
                            </a:ln>
                          </wps:spPr>
                          <wps:bodyPr rot="0">
                            <a:noAutofit/>
                          </wps:bodyPr>
                        </wps:wsp>
                        <wps:wsp>
                          <wps:cNvPr id="149" name="直接连接符 149"/>
                          <wps:cNvCnPr/>
                          <wps:spPr bwMode="auto">
                            <a:xfrm>
                              <a:off x="7380" y="936"/>
                              <a:ext cx="360" cy="0"/>
                            </a:xfrm>
                            <a:prstGeom prst="line">
                              <a:avLst/>
                            </a:prstGeom>
                            <a:noFill/>
                            <a:ln>
                              <a:solidFill>
                                <a:srgbClr val="000000"/>
                              </a:solidFill>
                              <a:tailEnd type="triangle"/>
                            </a:ln>
                          </wps:spPr>
                          <wps:bodyPr rot="0">
                            <a:noAutofit/>
                          </wps:bodyPr>
                        </wps:wsp>
                        <wps:wsp>
                          <wps:cNvPr id="150" name="矩形 150"/>
                          <wps:cNvSpPr/>
                          <wps:spPr bwMode="auto">
                            <a:xfrm>
                              <a:off x="3240" y="3276"/>
                              <a:ext cx="1800" cy="468"/>
                            </a:xfrm>
                            <a:prstGeom prst="rect">
                              <a:avLst/>
                            </a:prstGeom>
                            <a:solidFill>
                              <a:srgbClr val="FFFFFF"/>
                            </a:solidFill>
                            <a:ln>
                              <a:solidFill>
                                <a:srgbClr val="000000"/>
                              </a:solidFill>
                            </a:ln>
                          </wps:spPr>
                          <wps:txbx>
                            <w:txbxContent>
                              <w:p w14:paraId="0F0705CE">
                                <w:pPr>
                                  <w:jc w:val="center"/>
                                  <w:rPr>
                                    <w:rFonts w:hint="eastAsia"/>
                                  </w:rPr>
                                </w:pPr>
                                <w:r>
                                  <w:rPr>
                                    <w:rFonts w:hint="eastAsia"/>
                                  </w:rPr>
                                  <w:t>污泥处理</w:t>
                                </w:r>
                              </w:p>
                              <w:p w14:paraId="47CB4A54"/>
                            </w:txbxContent>
                          </wps:txbx>
                          <wps:bodyPr wrap="square" upright="1"/>
                        </wps:wsp>
                        <wps:wsp>
                          <wps:cNvPr id="151" name="直接连接符 151"/>
                          <wps:cNvCnPr/>
                          <wps:spPr bwMode="auto">
                            <a:xfrm>
                              <a:off x="2700" y="2028"/>
                              <a:ext cx="0" cy="1560"/>
                            </a:xfrm>
                            <a:prstGeom prst="line">
                              <a:avLst/>
                            </a:prstGeom>
                            <a:noFill/>
                            <a:ln>
                              <a:solidFill>
                                <a:srgbClr val="000000"/>
                              </a:solidFill>
                            </a:ln>
                          </wps:spPr>
                          <wps:bodyPr rot="0">
                            <a:noAutofit/>
                          </wps:bodyPr>
                        </wps:wsp>
                        <wps:wsp>
                          <wps:cNvPr id="152" name="直接连接符 152"/>
                          <wps:cNvCnPr/>
                          <wps:spPr bwMode="auto">
                            <a:xfrm>
                              <a:off x="2700" y="3588"/>
                              <a:ext cx="540" cy="0"/>
                            </a:xfrm>
                            <a:prstGeom prst="line">
                              <a:avLst/>
                            </a:prstGeom>
                            <a:noFill/>
                            <a:ln>
                              <a:solidFill>
                                <a:srgbClr val="000000"/>
                              </a:solidFill>
                              <a:tailEnd type="triangle"/>
                            </a:ln>
                          </wps:spPr>
                          <wps:bodyPr rot="0">
                            <a:noAutofit/>
                          </wps:bodyPr>
                        </wps:wsp>
                        <wps:wsp>
                          <wps:cNvPr id="153" name="直接连接符 153"/>
                          <wps:cNvCnPr/>
                          <wps:spPr bwMode="auto">
                            <a:xfrm>
                              <a:off x="3600" y="2028"/>
                              <a:ext cx="0" cy="1248"/>
                            </a:xfrm>
                            <a:prstGeom prst="line">
                              <a:avLst/>
                            </a:prstGeom>
                            <a:noFill/>
                            <a:ln>
                              <a:solidFill>
                                <a:srgbClr val="000000"/>
                              </a:solidFill>
                              <a:tailEnd type="triangle"/>
                            </a:ln>
                          </wps:spPr>
                          <wps:bodyPr rot="0">
                            <a:noAutofit/>
                          </wps:bodyPr>
                        </wps:wsp>
                        <wps:wsp>
                          <wps:cNvPr id="154" name="直接连接符 154"/>
                          <wps:cNvCnPr/>
                          <wps:spPr bwMode="auto">
                            <a:xfrm>
                              <a:off x="5400" y="2028"/>
                              <a:ext cx="0" cy="624"/>
                            </a:xfrm>
                            <a:prstGeom prst="line">
                              <a:avLst/>
                            </a:prstGeom>
                            <a:noFill/>
                            <a:ln>
                              <a:solidFill>
                                <a:srgbClr val="000000"/>
                              </a:solidFill>
                            </a:ln>
                          </wps:spPr>
                          <wps:bodyPr rot="0">
                            <a:noAutofit/>
                          </wps:bodyPr>
                        </wps:wsp>
                        <wps:wsp>
                          <wps:cNvPr id="155" name="直接连接符 155"/>
                          <wps:cNvCnPr/>
                          <wps:spPr bwMode="auto">
                            <a:xfrm>
                              <a:off x="4860" y="2808"/>
                              <a:ext cx="0" cy="468"/>
                            </a:xfrm>
                            <a:prstGeom prst="line">
                              <a:avLst/>
                            </a:prstGeom>
                            <a:noFill/>
                            <a:ln>
                              <a:solidFill>
                                <a:srgbClr val="000000"/>
                              </a:solidFill>
                            </a:ln>
                          </wps:spPr>
                          <wps:bodyPr rot="0">
                            <a:noAutofit/>
                          </wps:bodyPr>
                        </wps:wsp>
                        <wps:wsp>
                          <wps:cNvPr id="156" name="直接连接符 156"/>
                          <wps:cNvCnPr/>
                          <wps:spPr bwMode="auto">
                            <a:xfrm>
                              <a:off x="5040" y="3432"/>
                              <a:ext cx="900" cy="0"/>
                            </a:xfrm>
                            <a:prstGeom prst="line">
                              <a:avLst/>
                            </a:prstGeom>
                            <a:noFill/>
                            <a:ln>
                              <a:solidFill>
                                <a:srgbClr val="000000"/>
                              </a:solidFill>
                              <a:tailEnd type="triangle"/>
                            </a:ln>
                          </wps:spPr>
                          <wps:bodyPr rot="0">
                            <a:noAutofit/>
                          </wps:bodyPr>
                        </wps:wsp>
                      </wpg:grpSp>
                    </wpg:wgp>
                  </a:graphicData>
                </a:graphic>
              </wp:anchor>
            </w:drawing>
          </mc:Choice>
          <mc:Fallback>
            <w:pict>
              <v:group id="_x0000_s1284" o:spid="_x0000_s1026" o:spt="203" style="position:absolute;left:0pt;margin-left:9pt;margin-top:7.25pt;height:187.2pt;width:414pt;z-index:251660288;mso-width-relative:page;mso-height-relative:page;" coordsize="8280,3744" o:gfxdata="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">
                <o:lock v:ext="edit" aspectratio="f"/>
                <v:line id="_x0000_s1026" o:spid="_x0000_s1026" o:spt="20" style="position:absolute;left:4860;top:2652;flip:x;height:156;width:540;" filled="f" stroked="t" coordsize="21600,21600" o:gfxdata="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hvabM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group id="_x0000_s1026" o:spid="_x0000_s1026" o:spt="203" style="position:absolute;left:0;top:0;height:3744;width:8280;" coordsize="8280,3744" o:gfxdata="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A8zVFvvAAAANwAAAAPAAAAAAAAAAEAIAAAACIAAABkcnMvZG93bnJldi54bWxQ&#10;SwECFAAUAAAACACHTuJAMy8FnjsAAAA5AAAAFQAAAAAAAAABACAAAAALAQAAZHJzL2dyb3Vwc2hh&#10;cGV4bWwueG1sUEsFBgAAAAAGAAYAYAEAAMgDAAAAAA==&#10;">
                  <o:lock v:ext="edit" aspectratio="f"/>
                  <v:rect id="_x0000_s1026" o:spid="_x0000_s1026" o:spt="1" style="position:absolute;left:0;top:6;height:2028;width:900;" fillcolor="#FFFFFF" filled="t" stroked="t" coordsize="21600,21600" o:gfxdata="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XuoROrsAAADc&#10;AAAADwAAAAAAAAABACAAAAAiAAAAZHJzL2Rvd25yZXYueG1sUEsBAhQAFAAAAAgAh07iQDMvBZ47&#10;AAAAOQAAABAAAAAAAAAAAQAgAAAACgEAAGRycy9zaGFwZXhtbC54bWxQSwUGAAAAAAYABgBbAQAA&#10;tAMAAAAA&#10;">
                    <v:fill on="t" focussize="0,0"/>
                    <v:stroke color="#000000" joinstyle="round"/>
                    <v:imagedata o:title=""/>
                    <o:lock v:ext="edit" aspectratio="f"/>
                    <v:textbox>
                      <w:txbxContent>
                        <w:p w14:paraId="5158CDCD">
                          <w:pPr>
                            <w:pStyle w:val="216"/>
                            <w:rPr>
                              <w:rFonts w:hint="eastAsia"/>
                            </w:rPr>
                          </w:pPr>
                          <w:r>
                            <w:rPr>
                              <w:rFonts w:hint="eastAsia"/>
                              <w:sz w:val="21"/>
                            </w:rPr>
                            <w:t>污水相应处理</w:t>
                          </w:r>
                          <w:r>
                            <w:rPr>
                              <w:rFonts w:hint="eastAsia"/>
                            </w:rPr>
                            <w:t>后</w:t>
                          </w:r>
                        </w:p>
                        <w:p w14:paraId="09294EEA"/>
                      </w:txbxContent>
                    </v:textbox>
                  </v:rect>
                  <v:rect id="_x0000_s1026" o:spid="_x0000_s1026" o:spt="1" style="position:absolute;left:1620;top:0;height:2028;width:540;" fillcolor="#FFFFFF" filled="t" stroked="t" coordsize="21600,21600" o:gfxdata="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jiPTbsAAADc&#10;AAAADwAAAAAAAAABACAAAAAiAAAAZHJzL2Rvd25yZXYueG1sUEsBAhQAFAAAAAgAh07iQDMvBZ47&#10;AAAAOQAAABAAAAAAAAAAAQAgAAAACgEAAGRycy9zaGFwZXhtbC54bWxQSwUGAAAAAAYABgBbAQAA&#10;tAMAAAAA&#10;">
                    <v:fill on="t" focussize="0,0"/>
                    <v:stroke color="#000000" joinstyle="round"/>
                    <v:imagedata o:title=""/>
                    <o:lock v:ext="edit" aspectratio="f"/>
                    <v:textbox>
                      <w:txbxContent>
                        <w:p w14:paraId="381908A6">
                          <w:pPr>
                            <w:rPr>
                              <w:rFonts w:hint="eastAsia"/>
                            </w:rPr>
                          </w:pPr>
                          <w:r>
                            <w:rPr>
                              <w:rFonts w:hint="eastAsia"/>
                            </w:rPr>
                            <w:t>格</w:t>
                          </w:r>
                        </w:p>
                        <w:p w14:paraId="0A6C375B">
                          <w:pPr>
                            <w:rPr>
                              <w:rFonts w:hint="eastAsia"/>
                            </w:rPr>
                          </w:pPr>
                        </w:p>
                        <w:p w14:paraId="133C1748">
                          <w:pPr>
                            <w:rPr>
                              <w:rFonts w:hint="eastAsia"/>
                            </w:rPr>
                          </w:pPr>
                        </w:p>
                        <w:p w14:paraId="419D8EC1">
                          <w:pPr>
                            <w:rPr>
                              <w:rFonts w:hint="eastAsia"/>
                            </w:rPr>
                          </w:pPr>
                        </w:p>
                        <w:p w14:paraId="16D3A9E4">
                          <w:pPr>
                            <w:rPr>
                              <w:rFonts w:hint="eastAsia"/>
                            </w:rPr>
                          </w:pPr>
                        </w:p>
                        <w:p w14:paraId="7C91C197">
                          <w:pPr>
                            <w:rPr>
                              <w:rFonts w:hint="eastAsia"/>
                            </w:rPr>
                          </w:pPr>
                          <w:r>
                            <w:rPr>
                              <w:rFonts w:hint="eastAsia"/>
                            </w:rPr>
                            <w:t>栅</w:t>
                          </w:r>
                        </w:p>
                        <w:p w14:paraId="67A6F457"/>
                      </w:txbxContent>
                    </v:textbox>
                  </v:rect>
                  <v:rect id="_x0000_s1026" o:spid="_x0000_s1026" o:spt="1" style="position:absolute;left:2520;top:0;height:2028;width:540;" fillcolor="#FFFFFF" filled="t" stroked="t" coordsize="21600,21600" o:gfxdata="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wXQq1rsAAADc&#10;AAAADwAAAAAAAAABACAAAAAiAAAAZHJzL2Rvd25yZXYueG1sUEsBAhQAFAAAAAgAh07iQDMvBZ47&#10;AAAAOQAAABAAAAAAAAAAAQAgAAAACgEAAGRycy9zaGFwZXhtbC54bWxQSwUGAAAAAAYABgBbAQAA&#10;tAMAAAAA&#10;">
                    <v:fill on="t" focussize="0,0"/>
                    <v:stroke color="#000000" joinstyle="round"/>
                    <v:imagedata o:title=""/>
                    <o:lock v:ext="edit" aspectratio="f"/>
                    <v:textbox>
                      <w:txbxContent>
                        <w:p w14:paraId="5A614A38">
                          <w:pPr>
                            <w:rPr>
                              <w:rFonts w:hint="eastAsia"/>
                            </w:rPr>
                          </w:pPr>
                          <w:r>
                            <w:rPr>
                              <w:rFonts w:hint="eastAsia"/>
                            </w:rPr>
                            <w:t>调</w:t>
                          </w:r>
                        </w:p>
                        <w:p w14:paraId="7A9F2B2C">
                          <w:pPr>
                            <w:rPr>
                              <w:rFonts w:hint="eastAsia"/>
                            </w:rPr>
                          </w:pPr>
                        </w:p>
                        <w:p w14:paraId="67A1C7DB">
                          <w:pPr>
                            <w:rPr>
                              <w:rFonts w:hint="eastAsia"/>
                            </w:rPr>
                          </w:pPr>
                          <w:r>
                            <w:rPr>
                              <w:rFonts w:hint="eastAsia"/>
                            </w:rPr>
                            <w:t>节</w:t>
                          </w:r>
                        </w:p>
                        <w:p w14:paraId="311174E8">
                          <w:pPr>
                            <w:rPr>
                              <w:rFonts w:hint="eastAsia"/>
                            </w:rPr>
                          </w:pPr>
                        </w:p>
                        <w:p w14:paraId="54436D02">
                          <w:pPr>
                            <w:rPr>
                              <w:rFonts w:hint="eastAsia"/>
                              <w:sz w:val="28"/>
                            </w:rPr>
                          </w:pPr>
                          <w:r>
                            <w:rPr>
                              <w:rFonts w:hint="eastAsia"/>
                            </w:rPr>
                            <w:t>池</w:t>
                          </w:r>
                        </w:p>
                        <w:p w14:paraId="35D167E8"/>
                      </w:txbxContent>
                    </v:textbox>
                  </v:rect>
                  <v:rect id="_x0000_s1026" o:spid="_x0000_s1026" o:spt="1" style="position:absolute;left:4320;top:0;height:2028;width:540;" fillcolor="#FFFFFF" filled="t" stroked="t" coordsize="21600,21600" o:gfxdata="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w676kvQAA&#10;ANwAAAAPAAAAAAAAAAEAIAAAACIAAABkcnMvZG93bnJldi54bWxQSwECFAAUAAAACACHTuJAMy8F&#10;njsAAAA5AAAAEAAAAAAAAAABACAAAAAMAQAAZHJzL3NoYXBleG1sLnhtbFBLBQYAAAAABgAGAFsB&#10;AAC2AwAAAAA=&#10;">
                    <v:fill on="t" focussize="0,0"/>
                    <v:stroke color="#000000" joinstyle="round"/>
                    <v:imagedata o:title=""/>
                    <o:lock v:ext="edit" aspectratio="f"/>
                    <v:textbox>
                      <w:txbxContent>
                        <w:p w14:paraId="6A877855">
                          <w:pPr>
                            <w:rPr>
                              <w:rFonts w:hint="eastAsia"/>
                              <w:sz w:val="18"/>
                              <w:szCs w:val="18"/>
                            </w:rPr>
                          </w:pPr>
                          <w:r>
                            <w:rPr>
                              <w:rFonts w:hint="eastAsia"/>
                              <w:sz w:val="18"/>
                              <w:szCs w:val="18"/>
                            </w:rPr>
                            <w:t>生化处理厌氧消毒</w:t>
                          </w:r>
                        </w:p>
                        <w:p w14:paraId="79A3B920">
                          <w:pPr>
                            <w:rPr>
                              <w:rFonts w:hint="eastAsia"/>
                            </w:rPr>
                          </w:pPr>
                        </w:p>
                        <w:p w14:paraId="72C271E0">
                          <w:pPr>
                            <w:rPr>
                              <w:rFonts w:hint="eastAsia"/>
                            </w:rPr>
                          </w:pPr>
                        </w:p>
                        <w:p w14:paraId="061B273C">
                          <w:pPr>
                            <w:rPr>
                              <w:rFonts w:hint="eastAsia"/>
                            </w:rPr>
                          </w:pPr>
                        </w:p>
                        <w:p w14:paraId="78CF5BB2">
                          <w:pPr>
                            <w:rPr>
                              <w:rFonts w:hint="eastAsia"/>
                            </w:rPr>
                          </w:pPr>
                        </w:p>
                        <w:p w14:paraId="6767B273">
                          <w:pPr>
                            <w:rPr>
                              <w:rFonts w:hint="eastAsia"/>
                            </w:rPr>
                          </w:pPr>
                          <w:r>
                            <w:rPr>
                              <w:rFonts w:hint="eastAsia"/>
                            </w:rPr>
                            <w:t>毒</w:t>
                          </w:r>
                        </w:p>
                        <w:p w14:paraId="749AD319"/>
                      </w:txbxContent>
                    </v:textbox>
                  </v:rect>
                  <v:rect id="_x0000_s1026" o:spid="_x0000_s1026" o:spt="1" style="position:absolute;left:3420;top:0;height:2028;width:540;" fillcolor="#FFFFFF" filled="t" stroked="t" coordsize="21600,21600" o:gfxdata="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36cbP7sAAADc&#10;AAAADwAAAAAAAAABACAAAAAiAAAAZHJzL2Rvd25yZXYueG1sUEsBAhQAFAAAAAgAh07iQDMvBZ47&#10;AAAAOQAAABAAAAAAAAAAAQAgAAAACgEAAGRycy9zaGFwZXhtbC54bWxQSwUGAAAAAAYABgBbAQAA&#10;tAMAAAAA&#10;">
                    <v:fill on="t" focussize="0,0"/>
                    <v:stroke color="#000000" joinstyle="round"/>
                    <v:imagedata o:title=""/>
                    <o:lock v:ext="edit" aspectratio="f"/>
                    <v:textbox>
                      <w:txbxContent>
                        <w:p w14:paraId="7FF2791D">
                          <w:pPr>
                            <w:rPr>
                              <w:rFonts w:hint="eastAsia"/>
                            </w:rPr>
                          </w:pPr>
                          <w:r>
                            <w:rPr>
                              <w:rFonts w:hint="eastAsia"/>
                            </w:rPr>
                            <w:t>初</w:t>
                          </w:r>
                        </w:p>
                        <w:p w14:paraId="712DB7BB">
                          <w:pPr>
                            <w:rPr>
                              <w:rFonts w:hint="eastAsia"/>
                            </w:rPr>
                          </w:pPr>
                          <w:r>
                            <w:rPr>
                              <w:rFonts w:hint="eastAsia"/>
                            </w:rPr>
                            <w:t>次</w:t>
                          </w:r>
                        </w:p>
                        <w:p w14:paraId="0A4BAC50">
                          <w:pPr>
                            <w:rPr>
                              <w:rFonts w:hint="eastAsia"/>
                            </w:rPr>
                          </w:pPr>
                          <w:r>
                            <w:rPr>
                              <w:rFonts w:hint="eastAsia"/>
                            </w:rPr>
                            <w:t>沉</w:t>
                          </w:r>
                        </w:p>
                        <w:p w14:paraId="1390F424">
                          <w:pPr>
                            <w:rPr>
                              <w:rFonts w:hint="eastAsia"/>
                            </w:rPr>
                          </w:pPr>
                          <w:r>
                            <w:rPr>
                              <w:rFonts w:hint="eastAsia"/>
                            </w:rPr>
                            <w:t>淀</w:t>
                          </w:r>
                        </w:p>
                        <w:p w14:paraId="0E92AAA0"/>
                      </w:txbxContent>
                    </v:textbox>
                  </v:rect>
                  <v:rect id="_x0000_s1026" o:spid="_x0000_s1026" o:spt="1" style="position:absolute;left:6840;top:0;height:2028;width:540;" fillcolor="#FFFFFF" filled="t" stroked="t" coordsize="21600,21600" o:gfxdata="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pvB374A&#10;AADcAAAADwAAAAAAAAABACAAAAAiAAAAZHJzL2Rvd25yZXYueG1sUEsBAhQAFAAAAAgAh07iQDMv&#10;BZ47AAAAOQAAABAAAAAAAAAAAQAgAAAADQEAAGRycy9zaGFwZXhtbC54bWxQSwUGAAAAAAYABgBb&#10;AQAAtwMAAAAA&#10;">
                    <v:fill on="t" focussize="0,0"/>
                    <v:stroke color="#000000" joinstyle="round"/>
                    <v:imagedata o:title=""/>
                    <o:lock v:ext="edit" aspectratio="f"/>
                    <v:textbox>
                      <w:txbxContent>
                        <w:p w14:paraId="491EB169">
                          <w:pPr>
                            <w:pStyle w:val="216"/>
                            <w:rPr>
                              <w:rFonts w:hint="eastAsia"/>
                              <w:sz w:val="21"/>
                            </w:rPr>
                          </w:pPr>
                          <w:r>
                            <w:rPr>
                              <w:rFonts w:hint="eastAsia"/>
                              <w:sz w:val="21"/>
                            </w:rPr>
                            <w:t>接触池</w:t>
                          </w:r>
                        </w:p>
                        <w:p w14:paraId="2F402B43"/>
                      </w:txbxContent>
                    </v:textbox>
                  </v:rect>
                  <v:rect id="_x0000_s1026" o:spid="_x0000_s1026" o:spt="1" style="position:absolute;left:5220;top:0;height:2028;width:540;" fillcolor="#FFFFFF" filled="t" stroked="t" coordsize="21600,21600" o:gfxdata="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ddkRLsAAADc&#10;AAAADwAAAAAAAAABACAAAAAiAAAAZHJzL2Rvd25yZXYueG1sUEsBAhQAFAAAAAgAh07iQDMvBZ47&#10;AAAAOQAAABAAAAAAAAAAAQAgAAAACgEAAGRycy9zaGFwZXhtbC54bWxQSwUGAAAAAAYABgBbAQAA&#10;tAMAAAAA&#10;">
                    <v:fill on="t" focussize="0,0"/>
                    <v:stroke color="#000000" joinstyle="round"/>
                    <v:imagedata o:title=""/>
                    <o:lock v:ext="edit" aspectratio="f"/>
                    <v:textbox>
                      <w:txbxContent>
                        <w:p w14:paraId="394F9A41">
                          <w:pPr>
                            <w:rPr>
                              <w:rFonts w:hint="eastAsia"/>
                            </w:rPr>
                          </w:pPr>
                          <w:r>
                            <w:rPr>
                              <w:rFonts w:hint="eastAsia"/>
                            </w:rPr>
                            <w:t>二次沉淀池</w:t>
                          </w:r>
                        </w:p>
                        <w:p w14:paraId="56E3F529"/>
                      </w:txbxContent>
                    </v:textbox>
                  </v:rect>
                  <v:rect id="_x0000_s1026" o:spid="_x0000_s1026" o:spt="1" style="position:absolute;left:7740;top:6;height:2028;width:540;" fillcolor="#FFFFFF" filled="t" stroked="t" coordsize="21600,21600" o:gfxdata="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kF+jO8AAAA&#10;3AAAAA8AAAAAAAAAAQAgAAAAIgAAAGRycy9kb3ducmV2LnhtbFBLAQIUABQAAAAIAIdO4kAzLwWe&#10;OwAAADkAAAAQAAAAAAAAAAEAIAAAAAsBAABkcnMvc2hhcGV4bWwueG1sUEsFBgAAAAAGAAYAWwEA&#10;ALUDAAAAAA==&#10;">
                    <v:fill on="t" focussize="0,0"/>
                    <v:stroke color="#000000" joinstyle="round"/>
                    <v:imagedata o:title=""/>
                    <o:lock v:ext="edit" aspectratio="f"/>
                    <v:textbox>
                      <w:txbxContent>
                        <w:p w14:paraId="7F6D3F6B">
                          <w:pPr>
                            <w:rPr>
                              <w:rFonts w:hint="eastAsia"/>
                            </w:rPr>
                          </w:pPr>
                          <w:r>
                            <w:rPr>
                              <w:rFonts w:hint="eastAsia"/>
                            </w:rPr>
                            <w:t>达标</w:t>
                          </w:r>
                        </w:p>
                        <w:p w14:paraId="751C991A">
                          <w:pPr>
                            <w:rPr>
                              <w:rFonts w:hint="eastAsia"/>
                            </w:rPr>
                          </w:pPr>
                          <w:r>
                            <w:rPr>
                              <w:rFonts w:hint="eastAsia"/>
                            </w:rPr>
                            <w:t>排放</w:t>
                          </w:r>
                        </w:p>
                        <w:p w14:paraId="5117296C"/>
                      </w:txbxContent>
                    </v:textbox>
                  </v:rect>
                  <v:line id="_x0000_s1026" o:spid="_x0000_s1026" o:spt="20" style="position:absolute;left:900;top:936;flip:y;height:6;width:720;" filled="f" stroked="t" coordsize="21600,21600" o:gfxdata="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5u9Wx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line id="_x0000_s1026" o:spid="_x0000_s1026" o:spt="20" style="position:absolute;left:2160;top:936;height:0;width:360;" filled="f" stroked="t" coordsize="21600,21600" o:gfxdata="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P7EF1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line id="_x0000_s1026" o:spid="_x0000_s1026" o:spt="20" style="position:absolute;left:3060;top:936;height:0;width:360;" filled="f" stroked="t" coordsize="21600,21600" o:gfxdata="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goOTu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line id="_x0000_s1026" o:spid="_x0000_s1026" o:spt="20" style="position:absolute;left:3960;top:936;height:0;width:360;" filled="f" stroked="t" coordsize="21600,21600" o:gfxdata="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QcnqZ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line id="_x0000_s1026" o:spid="_x0000_s1026" o:spt="20" style="position:absolute;left:4860;top:936;height:0;width:360;" filled="f" stroked="t" coordsize="21600,21600" o:gfxdata="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Pt8C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line id="_x0000_s1026" o:spid="_x0000_s1026" o:spt="20" style="position:absolute;left:5760;top:936;height:0;width:1080;" filled="f" stroked="t" coordsize="21600,21600" o:gfxdata="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OoUtw&#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line id="_x0000_s1026" o:spid="_x0000_s1026" o:spt="20" style="position:absolute;left:7380;top:936;height:0;width:360;" filled="f" stroked="t" coordsize="21600,21600" o:gfxdata="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h7e7r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rect id="_x0000_s1026" o:spid="_x0000_s1026" o:spt="1" style="position:absolute;left:3240;top:3276;height:468;width:1800;" fillcolor="#FFFFFF" filled="t" stroked="t" coordsize="21600,21600" o:gfxdata="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0JXAr4A&#10;AADcAAAADwAAAAAAAAABACAAAAAiAAAAZHJzL2Rvd25yZXYueG1sUEsBAhQAFAAAAAgAh07iQDMv&#10;BZ47AAAAOQAAABAAAAAAAAAAAQAgAAAADQEAAGRycy9zaGFwZXhtbC54bWxQSwUGAAAAAAYABgBb&#10;AQAAtwMAAAAA&#10;">
                    <v:fill on="t" focussize="0,0"/>
                    <v:stroke color="#000000" joinstyle="round"/>
                    <v:imagedata o:title=""/>
                    <o:lock v:ext="edit" aspectratio="f"/>
                    <v:textbox>
                      <w:txbxContent>
                        <w:p w14:paraId="0F0705CE">
                          <w:pPr>
                            <w:jc w:val="center"/>
                            <w:rPr>
                              <w:rFonts w:hint="eastAsia"/>
                            </w:rPr>
                          </w:pPr>
                          <w:r>
                            <w:rPr>
                              <w:rFonts w:hint="eastAsia"/>
                            </w:rPr>
                            <w:t>污泥处理</w:t>
                          </w:r>
                        </w:p>
                        <w:p w14:paraId="47CB4A54"/>
                      </w:txbxContent>
                    </v:textbox>
                  </v:rect>
                  <v:line id="_x0000_s1026" o:spid="_x0000_s1026" o:spt="20" style="position:absolute;left:2700;top:2028;height:1560;width:0;" filled="f" stroked="t" coordsize="21600,21600" o:gfxdata="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AITobsAAADc&#10;AAAADwAAAAAAAAABACAAAAAiAAAAZHJzL2Rvd25yZXYueG1sUEsBAhQAFAAAAAgAh07iQDMvBZ47&#10;AAAAOQAAABAAAAAAAAAAAQAgAAAACgEAAGRycy9zaGFwZXhtbC54bWxQSwUGAAAAAAYABgBbAQAA&#10;tAMAAAAA&#10;">
                    <v:fill on="f" focussize="0,0"/>
                    <v:stroke color="#000000" joinstyle="round"/>
                    <v:imagedata o:title=""/>
                    <o:lock v:ext="edit" aspectratio="f"/>
                  </v:line>
                  <v:line id="_x0000_s1026" o:spid="_x0000_s1026" o:spt="20" style="position:absolute;left:2700;top:3588;height:0;width:540;" filled="f" stroked="t" coordsize="21600,21600" o:gfxdata="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pDqR74A&#10;AADc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line id="_x0000_s1026" o:spid="_x0000_s1026" o:spt="20" style="position:absolute;left:3600;top:2028;height:1248;width:0;" filled="f" stroked="t" coordsize="21600,21600" o:gfxdata="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F3E/c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line id="_x0000_s1026" o:spid="_x0000_s1026" o:spt="20" style="position:absolute;left:5400;top:2028;height:624;width:0;" filled="f" stroked="t" coordsize="21600,21600" o:gfxdata="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IdbA5vQAA&#10;ANw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_x0000_s1026" o:spid="_x0000_s1026" o:spt="20" style="position:absolute;left:4860;top:2808;height:468;width:0;" filled="f" stroked="t" coordsize="21600,21600" o:gfxdata="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nORWivQAA&#10;ANw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_x0000_s1026" o:spid="_x0000_s1026" o:spt="20" style="position:absolute;left:5040;top:3432;height:0;width:900;" filled="f" stroked="t" coordsize="21600,21600" o:gfxdata="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Vq+xE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group>
              </v:group>
            </w:pict>
          </mc:Fallback>
        </mc:AlternateContent>
      </w:r>
    </w:p>
    <w:p w14:paraId="1954A005">
      <w:pPr>
        <w:pStyle w:val="221"/>
        <w:spacing w:after="0" w:line="360" w:lineRule="auto"/>
        <w:ind w:left="0"/>
        <w:jc w:val="left"/>
        <w:rPr>
          <w:rFonts w:hint="eastAsia"/>
          <w:color w:val="000000"/>
        </w:rPr>
      </w:pPr>
      <w:r>
        <w:rPr>
          <w:rFonts w:hint="eastAsia"/>
          <w:color w:val="000000"/>
        </w:rPr>
        <w:t xml:space="preserve">                                                臭氧    </w:t>
      </w:r>
      <w:r>
        <w:rPr>
          <w:rFonts w:hint="eastAsia"/>
          <w:color w:val="000000"/>
          <w:szCs w:val="21"/>
        </w:rPr>
        <w:t>投氯</w:t>
      </w:r>
    </w:p>
    <w:p w14:paraId="491EF5B7">
      <w:pPr>
        <w:pStyle w:val="221"/>
        <w:spacing w:after="0" w:line="360" w:lineRule="auto"/>
        <w:ind w:left="0"/>
        <w:jc w:val="left"/>
        <w:rPr>
          <w:rFonts w:hint="eastAsia"/>
          <w:color w:val="000000"/>
        </w:rPr>
      </w:pPr>
    </w:p>
    <w:p w14:paraId="521561AD">
      <w:pPr>
        <w:pStyle w:val="221"/>
        <w:spacing w:after="0" w:line="360" w:lineRule="auto"/>
        <w:ind w:left="0"/>
        <w:jc w:val="left"/>
        <w:rPr>
          <w:rFonts w:hint="eastAsia"/>
          <w:color w:val="000000"/>
        </w:rPr>
      </w:pPr>
    </w:p>
    <w:p w14:paraId="6D165DCF">
      <w:pPr>
        <w:pStyle w:val="221"/>
        <w:spacing w:after="0" w:line="360" w:lineRule="auto"/>
        <w:ind w:left="0"/>
        <w:jc w:val="left"/>
        <w:rPr>
          <w:rFonts w:hint="eastAsia"/>
          <w:color w:val="000000"/>
        </w:rPr>
      </w:pPr>
    </w:p>
    <w:p w14:paraId="6C219BDC">
      <w:pPr>
        <w:pStyle w:val="221"/>
        <w:spacing w:after="0" w:line="360" w:lineRule="auto"/>
        <w:ind w:left="0"/>
        <w:jc w:val="left"/>
        <w:rPr>
          <w:rFonts w:hint="eastAsia"/>
          <w:color w:val="000000"/>
        </w:rPr>
      </w:pPr>
    </w:p>
    <w:p w14:paraId="4E2A74BA">
      <w:pPr>
        <w:pStyle w:val="221"/>
        <w:spacing w:after="0" w:line="360" w:lineRule="auto"/>
        <w:ind w:left="0"/>
        <w:jc w:val="left"/>
        <w:rPr>
          <w:rFonts w:hint="eastAsia"/>
          <w:color w:val="000000"/>
        </w:rPr>
      </w:pPr>
    </w:p>
    <w:p w14:paraId="29094A28">
      <w:pPr>
        <w:pStyle w:val="221"/>
        <w:spacing w:after="0" w:line="360" w:lineRule="auto"/>
        <w:ind w:left="0"/>
        <w:jc w:val="left"/>
        <w:rPr>
          <w:rFonts w:hint="eastAsia"/>
          <w:color w:val="000000"/>
        </w:rPr>
      </w:pPr>
      <w:r>
        <w:rPr>
          <w:rFonts w:hint="eastAsia"/>
          <w:color w:val="000000"/>
        </w:rPr>
        <w:t xml:space="preserve">                                                      </w:t>
      </w:r>
    </w:p>
    <w:p w14:paraId="1F8B2A26">
      <w:pPr>
        <w:pStyle w:val="221"/>
        <w:spacing w:after="0" w:line="360" w:lineRule="auto"/>
        <w:ind w:left="0" w:firstLine="422"/>
        <w:jc w:val="left"/>
        <w:rPr>
          <w:rFonts w:hint="eastAsia"/>
          <w:b/>
          <w:color w:val="000000"/>
        </w:rPr>
      </w:pPr>
    </w:p>
    <w:p w14:paraId="2C2836A2">
      <w:pPr>
        <w:pStyle w:val="221"/>
        <w:spacing w:after="0" w:line="360" w:lineRule="auto"/>
        <w:ind w:left="0" w:firstLine="6280"/>
        <w:jc w:val="left"/>
        <w:rPr>
          <w:rFonts w:hint="eastAsia"/>
          <w:b/>
          <w:color w:val="000000"/>
        </w:rPr>
      </w:pPr>
      <w:r>
        <w:rPr>
          <w:rFonts w:hint="eastAsia"/>
          <w:b/>
          <w:color w:val="000000"/>
        </w:rPr>
        <w:t>消毒外运</w:t>
      </w:r>
    </w:p>
    <w:p w14:paraId="5751A87A">
      <w:pPr>
        <w:pStyle w:val="221"/>
        <w:spacing w:after="0" w:line="360" w:lineRule="auto"/>
        <w:ind w:left="0" w:firstLine="422"/>
        <w:jc w:val="left"/>
        <w:rPr>
          <w:rFonts w:hint="eastAsia"/>
          <w:b/>
          <w:color w:val="000000"/>
        </w:rPr>
      </w:pPr>
    </w:p>
    <w:p w14:paraId="65EE31E7">
      <w:pPr>
        <w:pStyle w:val="311"/>
        <w:spacing w:line="460" w:lineRule="exact"/>
        <w:jc w:val="center"/>
        <w:rPr>
          <w:rFonts w:hint="eastAsia" w:ascii="宋体" w:hAnsi="宋体"/>
          <w:color w:val="000000"/>
          <w:sz w:val="24"/>
          <w:szCs w:val="24"/>
        </w:rPr>
      </w:pPr>
      <w:r>
        <w:rPr>
          <w:rFonts w:hint="eastAsia"/>
          <w:b/>
          <w:color w:val="000000"/>
          <w:sz w:val="24"/>
        </w:rPr>
        <w:t>图3-4 污水处理站处理工艺</w:t>
      </w:r>
    </w:p>
    <w:p w14:paraId="3F08D363">
      <w:pPr>
        <w:spacing w:line="360" w:lineRule="auto"/>
        <w:ind w:firstLine="480"/>
        <w:rPr>
          <w:rFonts w:hint="eastAsia"/>
          <w:color w:val="000000"/>
          <w:sz w:val="24"/>
        </w:rPr>
      </w:pPr>
      <w:r>
        <w:rPr>
          <w:rFonts w:hint="eastAsia" w:ascii="宋体" w:hAnsi="宋体"/>
          <w:color w:val="000000"/>
          <w:sz w:val="24"/>
        </w:rPr>
        <w:t>根据云南环绿环境检测技术有限公司于2015年6月25日-27日</w:t>
      </w:r>
      <w:r>
        <w:rPr>
          <w:rFonts w:ascii="宋体" w:hAnsi="宋体"/>
          <w:color w:val="000000"/>
          <w:sz w:val="24"/>
        </w:rPr>
        <w:t>对</w:t>
      </w:r>
      <w:r>
        <w:rPr>
          <w:rFonts w:hint="eastAsia" w:ascii="宋体" w:hAnsi="宋体"/>
          <w:color w:val="000000"/>
          <w:sz w:val="24"/>
        </w:rPr>
        <w:t>现有陇川和康</w:t>
      </w:r>
      <w:r>
        <w:rPr>
          <w:rFonts w:ascii="宋体" w:hAnsi="宋体"/>
          <w:color w:val="000000"/>
          <w:sz w:val="24"/>
        </w:rPr>
        <w:t>医院</w:t>
      </w:r>
      <w:r>
        <w:rPr>
          <w:rFonts w:hint="eastAsia" w:ascii="宋体" w:hAnsi="宋体"/>
          <w:color w:val="000000"/>
          <w:sz w:val="24"/>
        </w:rPr>
        <w:t>化粪池</w:t>
      </w:r>
      <w:r>
        <w:rPr>
          <w:rFonts w:ascii="宋体" w:hAnsi="宋体"/>
          <w:color w:val="000000"/>
          <w:sz w:val="24"/>
        </w:rPr>
        <w:t>总排口进行</w:t>
      </w:r>
      <w:r>
        <w:rPr>
          <w:rFonts w:hint="eastAsia" w:ascii="宋体" w:hAnsi="宋体"/>
          <w:color w:val="000000"/>
          <w:sz w:val="24"/>
        </w:rPr>
        <w:t>的</w:t>
      </w:r>
      <w:r>
        <w:rPr>
          <w:rFonts w:ascii="宋体" w:hAnsi="宋体"/>
          <w:color w:val="000000"/>
          <w:sz w:val="24"/>
        </w:rPr>
        <w:t>实际监测</w:t>
      </w:r>
      <w:r>
        <w:rPr>
          <w:rFonts w:hint="eastAsia" w:ascii="宋体" w:hAnsi="宋体"/>
          <w:color w:val="000000"/>
          <w:sz w:val="24"/>
        </w:rPr>
        <w:t>结果。根据废水的监测结果，项目化粪池的出水水质见表3.7-2。本项目污水处理站</w:t>
      </w:r>
      <w:r>
        <w:rPr>
          <w:rFonts w:hint="eastAsia" w:ascii="宋体" w:hAnsi="宋体"/>
          <w:color w:val="000000"/>
          <w:sz w:val="24"/>
          <w:lang w:eastAsia="zh-CN"/>
        </w:rPr>
        <w:t>的</w:t>
      </w:r>
      <w:r>
        <w:rPr>
          <w:rFonts w:hint="eastAsia" w:ascii="宋体" w:hAnsi="宋体"/>
          <w:color w:val="000000"/>
          <w:sz w:val="24"/>
        </w:rPr>
        <w:t>处理效果类比参考了云南中皇环保产业股份有限公司对《曲靖华府医院验收监测报告》废水浓度（监测报告见附件）。本项目为综合医院产生的污染物与曲靖华府医院产生的污染物相同，其污染物的产生浓度等参考曲靖华府医院具有可比性。</w:t>
      </w:r>
    </w:p>
    <w:p w14:paraId="1F87E4F8">
      <w:pPr>
        <w:spacing w:line="360" w:lineRule="auto"/>
        <w:ind w:firstLine="480"/>
        <w:rPr>
          <w:rFonts w:hint="eastAsia" w:ascii="宋体" w:hAnsi="宋体"/>
          <w:color w:val="000000"/>
          <w:sz w:val="24"/>
        </w:rPr>
      </w:pPr>
      <w:r>
        <w:rPr>
          <w:rFonts w:hint="eastAsia" w:ascii="宋体" w:hAnsi="宋体"/>
          <w:color w:val="000000"/>
          <w:sz w:val="24"/>
        </w:rPr>
        <w:t>本项目各污染物削减浓度及产排情况见表3.7-2。</w:t>
      </w:r>
    </w:p>
    <w:p w14:paraId="651E4F83">
      <w:pPr>
        <w:spacing w:line="360" w:lineRule="auto"/>
        <w:ind w:firstLine="480"/>
        <w:rPr>
          <w:rFonts w:hint="eastAsia" w:ascii="宋体" w:hAnsi="宋体"/>
          <w:color w:val="000000"/>
          <w:sz w:val="24"/>
        </w:rPr>
      </w:pPr>
    </w:p>
    <w:p w14:paraId="79D98017">
      <w:pPr>
        <w:spacing w:line="360" w:lineRule="auto"/>
        <w:jc w:val="center"/>
        <w:rPr>
          <w:rFonts w:hint="eastAsia" w:ascii="宋体" w:hAnsi="宋体"/>
          <w:b/>
          <w:color w:val="000000"/>
          <w:sz w:val="24"/>
        </w:rPr>
      </w:pPr>
      <w:r>
        <w:rPr>
          <w:rFonts w:hint="eastAsia" w:ascii="宋体" w:hAnsi="宋体"/>
          <w:b/>
          <w:color w:val="000000"/>
          <w:sz w:val="24"/>
        </w:rPr>
        <w:t>表3.7-2  本项目废水污染物的削减浓度及年产、排量</w:t>
      </w:r>
    </w:p>
    <w:tbl>
      <w:tblPr>
        <w:tblStyle w:val="27"/>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896"/>
        <w:gridCol w:w="846"/>
        <w:gridCol w:w="846"/>
        <w:gridCol w:w="846"/>
        <w:gridCol w:w="846"/>
        <w:gridCol w:w="1426"/>
        <w:gridCol w:w="951"/>
        <w:gridCol w:w="846"/>
        <w:gridCol w:w="846"/>
      </w:tblGrid>
      <w:tr w14:paraId="1A3AC63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221" w:hRule="atLeast"/>
          <w:jc w:val="center"/>
        </w:trPr>
        <w:tc>
          <w:tcPr>
            <w:tcW w:w="1896" w:type="dxa"/>
            <w:noWrap w:val="0"/>
            <w:vAlign w:val="top"/>
          </w:tcPr>
          <w:p w14:paraId="4369CE60">
            <w:pPr>
              <w:spacing w:line="240" w:lineRule="exact"/>
              <w:jc w:val="center"/>
              <w:rPr>
                <w:rFonts w:hint="eastAsia" w:ascii="宋体" w:hAnsi="宋体"/>
                <w:color w:val="000000"/>
                <w:szCs w:val="21"/>
              </w:rPr>
            </w:pPr>
            <w:r>
              <w:rPr>
                <w:rFonts w:hint="eastAsia" w:ascii="宋体" w:hAnsi="宋体"/>
                <w:color w:val="000000"/>
                <w:szCs w:val="21"/>
              </w:rPr>
              <w:t>废水产生量</w:t>
            </w:r>
          </w:p>
          <w:p w14:paraId="780C9744">
            <w:pPr>
              <w:spacing w:line="240" w:lineRule="exact"/>
              <w:jc w:val="center"/>
              <w:rPr>
                <w:rFonts w:hint="eastAsia" w:ascii="宋体" w:hAnsi="宋体"/>
                <w:color w:val="000000"/>
                <w:szCs w:val="21"/>
              </w:rPr>
            </w:pPr>
            <w:r>
              <w:rPr>
                <w:rFonts w:hint="eastAsia" w:ascii="宋体" w:hAnsi="宋体"/>
                <w:color w:val="000000"/>
                <w:szCs w:val="21"/>
              </w:rPr>
              <w:t>（37431.845</w:t>
            </w:r>
            <w:r>
              <w:rPr>
                <w:rFonts w:ascii="宋体" w:hAnsi="宋体"/>
                <w:color w:val="000000"/>
                <w:szCs w:val="21"/>
              </w:rPr>
              <w:t>t/a</w:t>
            </w:r>
            <w:r>
              <w:rPr>
                <w:rFonts w:hint="eastAsia" w:ascii="宋体" w:hAnsi="宋体"/>
                <w:color w:val="000000"/>
                <w:szCs w:val="21"/>
              </w:rPr>
              <w:t>）</w:t>
            </w:r>
          </w:p>
        </w:tc>
        <w:tc>
          <w:tcPr>
            <w:tcW w:w="846" w:type="dxa"/>
            <w:noWrap w:val="0"/>
            <w:vAlign w:val="top"/>
          </w:tcPr>
          <w:p w14:paraId="2DF2B557">
            <w:pPr>
              <w:spacing w:line="240" w:lineRule="exact"/>
              <w:jc w:val="center"/>
              <w:rPr>
                <w:rFonts w:hint="eastAsia" w:ascii="宋体" w:hAnsi="宋体"/>
                <w:color w:val="000000"/>
                <w:szCs w:val="21"/>
                <w:vertAlign w:val="subscript"/>
              </w:rPr>
            </w:pPr>
            <w:r>
              <w:rPr>
                <w:rFonts w:ascii="宋体" w:hAnsi="宋体"/>
                <w:color w:val="000000"/>
                <w:szCs w:val="21"/>
              </w:rPr>
              <w:t>COD</w:t>
            </w:r>
            <w:r>
              <w:rPr>
                <w:rFonts w:ascii="宋体" w:hAnsi="宋体"/>
                <w:color w:val="000000"/>
                <w:szCs w:val="21"/>
                <w:vertAlign w:val="subscript"/>
              </w:rPr>
              <w:t>cr</w:t>
            </w:r>
          </w:p>
          <w:p w14:paraId="0FD15EE2">
            <w:pPr>
              <w:spacing w:line="240" w:lineRule="exact"/>
              <w:jc w:val="center"/>
              <w:rPr>
                <w:rFonts w:ascii="宋体" w:hAnsi="宋体"/>
                <w:color w:val="000000"/>
                <w:szCs w:val="21"/>
              </w:rPr>
            </w:pPr>
            <w:r>
              <w:rPr>
                <w:rFonts w:ascii="宋体" w:hAnsi="宋体"/>
                <w:color w:val="000000"/>
                <w:szCs w:val="21"/>
              </w:rPr>
              <w:t>(mg/L)</w:t>
            </w:r>
          </w:p>
        </w:tc>
        <w:tc>
          <w:tcPr>
            <w:tcW w:w="846" w:type="dxa"/>
            <w:noWrap w:val="0"/>
            <w:vAlign w:val="center"/>
          </w:tcPr>
          <w:p w14:paraId="02FDD328">
            <w:pPr>
              <w:spacing w:line="240" w:lineRule="exact"/>
              <w:jc w:val="center"/>
              <w:rPr>
                <w:rFonts w:hint="eastAsia" w:ascii="宋体" w:hAnsi="宋体"/>
                <w:color w:val="000000"/>
                <w:szCs w:val="21"/>
              </w:rPr>
            </w:pPr>
            <w:r>
              <w:rPr>
                <w:rFonts w:ascii="宋体" w:hAnsi="宋体"/>
                <w:color w:val="000000"/>
                <w:szCs w:val="21"/>
              </w:rPr>
              <w:t>BOD</w:t>
            </w:r>
            <w:r>
              <w:rPr>
                <w:rFonts w:ascii="宋体" w:hAnsi="宋体"/>
                <w:color w:val="000000"/>
                <w:szCs w:val="21"/>
                <w:vertAlign w:val="subscript"/>
              </w:rPr>
              <w:t>5</w:t>
            </w:r>
            <w:r>
              <w:rPr>
                <w:rFonts w:ascii="宋体" w:hAnsi="宋体"/>
                <w:color w:val="000000"/>
                <w:szCs w:val="21"/>
              </w:rPr>
              <w:t xml:space="preserve"> </w:t>
            </w:r>
          </w:p>
          <w:p w14:paraId="48204CD2">
            <w:pPr>
              <w:spacing w:line="240" w:lineRule="exact"/>
              <w:jc w:val="center"/>
              <w:rPr>
                <w:rFonts w:ascii="宋体" w:hAnsi="宋体"/>
                <w:color w:val="000000"/>
                <w:szCs w:val="21"/>
              </w:rPr>
            </w:pPr>
            <w:r>
              <w:rPr>
                <w:rFonts w:ascii="宋体" w:hAnsi="宋体"/>
                <w:color w:val="000000"/>
                <w:szCs w:val="21"/>
              </w:rPr>
              <w:t xml:space="preserve">(mg/L) </w:t>
            </w:r>
          </w:p>
        </w:tc>
        <w:tc>
          <w:tcPr>
            <w:tcW w:w="846" w:type="dxa"/>
            <w:noWrap w:val="0"/>
            <w:vAlign w:val="center"/>
          </w:tcPr>
          <w:p w14:paraId="182C3056">
            <w:pPr>
              <w:spacing w:line="240" w:lineRule="exact"/>
              <w:jc w:val="center"/>
              <w:rPr>
                <w:rFonts w:hint="eastAsia" w:ascii="宋体" w:hAnsi="宋体"/>
                <w:color w:val="000000"/>
                <w:szCs w:val="21"/>
              </w:rPr>
            </w:pPr>
            <w:r>
              <w:rPr>
                <w:rFonts w:ascii="宋体" w:hAnsi="宋体"/>
                <w:color w:val="000000"/>
                <w:szCs w:val="21"/>
              </w:rPr>
              <w:t>SS</w:t>
            </w:r>
          </w:p>
          <w:p w14:paraId="452F2B00">
            <w:pPr>
              <w:spacing w:line="240" w:lineRule="exact"/>
              <w:jc w:val="center"/>
              <w:rPr>
                <w:rFonts w:ascii="宋体" w:hAnsi="宋体"/>
                <w:color w:val="000000"/>
                <w:szCs w:val="21"/>
              </w:rPr>
            </w:pPr>
            <w:r>
              <w:rPr>
                <w:rFonts w:ascii="宋体" w:hAnsi="宋体"/>
                <w:color w:val="000000"/>
                <w:szCs w:val="21"/>
              </w:rPr>
              <w:t>(mg/L)</w:t>
            </w:r>
          </w:p>
        </w:tc>
        <w:tc>
          <w:tcPr>
            <w:tcW w:w="846" w:type="dxa"/>
            <w:noWrap w:val="0"/>
            <w:vAlign w:val="center"/>
          </w:tcPr>
          <w:p w14:paraId="132E25D9">
            <w:pPr>
              <w:spacing w:line="240" w:lineRule="exact"/>
              <w:jc w:val="center"/>
              <w:rPr>
                <w:rFonts w:hint="eastAsia" w:ascii="宋体" w:hAnsi="宋体"/>
                <w:color w:val="000000"/>
                <w:szCs w:val="21"/>
              </w:rPr>
            </w:pPr>
            <w:r>
              <w:rPr>
                <w:rFonts w:ascii="宋体" w:hAnsi="宋体"/>
                <w:color w:val="000000"/>
                <w:szCs w:val="21"/>
              </w:rPr>
              <w:t>NH</w:t>
            </w:r>
            <w:r>
              <w:rPr>
                <w:rFonts w:ascii="宋体" w:hAnsi="宋体"/>
                <w:color w:val="000000"/>
                <w:szCs w:val="21"/>
                <w:vertAlign w:val="subscript"/>
              </w:rPr>
              <w:t>3</w:t>
            </w:r>
            <w:r>
              <w:rPr>
                <w:rFonts w:ascii="宋体" w:hAnsi="宋体"/>
                <w:color w:val="000000"/>
                <w:szCs w:val="21"/>
              </w:rPr>
              <w:t>-N</w:t>
            </w:r>
          </w:p>
          <w:p w14:paraId="711AF7B5">
            <w:pPr>
              <w:spacing w:line="240" w:lineRule="exact"/>
              <w:jc w:val="center"/>
              <w:rPr>
                <w:rFonts w:hint="eastAsia" w:ascii="宋体" w:hAnsi="宋体"/>
                <w:color w:val="000000"/>
                <w:szCs w:val="21"/>
              </w:rPr>
            </w:pPr>
            <w:r>
              <w:rPr>
                <w:rFonts w:ascii="宋体" w:hAnsi="宋体"/>
                <w:color w:val="000000"/>
                <w:szCs w:val="21"/>
              </w:rPr>
              <w:t>(mg/L)</w:t>
            </w:r>
          </w:p>
        </w:tc>
        <w:tc>
          <w:tcPr>
            <w:tcW w:w="1426" w:type="dxa"/>
            <w:noWrap w:val="0"/>
            <w:vAlign w:val="top"/>
          </w:tcPr>
          <w:p w14:paraId="59E5B43C">
            <w:pPr>
              <w:spacing w:line="240" w:lineRule="exact"/>
              <w:jc w:val="center"/>
              <w:rPr>
                <w:rFonts w:ascii="宋体" w:hAnsi="宋体"/>
                <w:color w:val="000000"/>
                <w:szCs w:val="21"/>
              </w:rPr>
            </w:pPr>
            <w:r>
              <w:rPr>
                <w:rFonts w:hint="eastAsia" w:ascii="宋体" w:hAnsi="宋体"/>
                <w:color w:val="000000"/>
                <w:szCs w:val="21"/>
              </w:rPr>
              <w:t>粪大肠杆菌</w:t>
            </w:r>
            <w:r>
              <w:rPr>
                <w:rFonts w:ascii="宋体" w:hAnsi="宋体"/>
                <w:color w:val="000000"/>
                <w:szCs w:val="21"/>
              </w:rPr>
              <w:t>(</w:t>
            </w:r>
            <w:r>
              <w:rPr>
                <w:rFonts w:hint="eastAsia" w:ascii="宋体" w:hAnsi="宋体"/>
                <w:color w:val="000000"/>
                <w:szCs w:val="21"/>
              </w:rPr>
              <w:t>个</w:t>
            </w:r>
            <w:r>
              <w:rPr>
                <w:rFonts w:ascii="宋体" w:hAnsi="宋体"/>
                <w:color w:val="000000"/>
                <w:szCs w:val="21"/>
              </w:rPr>
              <w:t>/L)</w:t>
            </w:r>
          </w:p>
        </w:tc>
        <w:tc>
          <w:tcPr>
            <w:tcW w:w="951" w:type="dxa"/>
            <w:noWrap w:val="0"/>
            <w:vAlign w:val="top"/>
          </w:tcPr>
          <w:p w14:paraId="55ACA608">
            <w:pPr>
              <w:spacing w:line="240" w:lineRule="exact"/>
              <w:jc w:val="center"/>
              <w:rPr>
                <w:rFonts w:ascii="宋体" w:hAnsi="宋体"/>
                <w:color w:val="000000"/>
                <w:szCs w:val="21"/>
              </w:rPr>
            </w:pPr>
            <w:r>
              <w:rPr>
                <w:rFonts w:hint="eastAsia" w:ascii="宋体" w:hAnsi="宋体"/>
                <w:color w:val="000000"/>
                <w:szCs w:val="21"/>
              </w:rPr>
              <w:t>挥发酚</w:t>
            </w:r>
            <w:r>
              <w:rPr>
                <w:rFonts w:ascii="宋体" w:hAnsi="宋体"/>
                <w:color w:val="000000"/>
                <w:szCs w:val="21"/>
              </w:rPr>
              <w:t>(mg/L)</w:t>
            </w:r>
          </w:p>
        </w:tc>
        <w:tc>
          <w:tcPr>
            <w:tcW w:w="846" w:type="dxa"/>
            <w:noWrap w:val="0"/>
            <w:vAlign w:val="top"/>
          </w:tcPr>
          <w:p w14:paraId="62BBC405">
            <w:pPr>
              <w:spacing w:line="240" w:lineRule="exact"/>
              <w:jc w:val="center"/>
              <w:rPr>
                <w:rFonts w:ascii="宋体" w:hAnsi="宋体"/>
                <w:color w:val="000000"/>
                <w:szCs w:val="21"/>
              </w:rPr>
            </w:pPr>
            <w:r>
              <w:rPr>
                <w:rFonts w:hint="eastAsia" w:ascii="宋体" w:hAnsi="宋体"/>
                <w:color w:val="000000"/>
                <w:szCs w:val="21"/>
              </w:rPr>
              <w:t>动植物油</w:t>
            </w:r>
            <w:r>
              <w:rPr>
                <w:rFonts w:ascii="宋体" w:hAnsi="宋体"/>
                <w:color w:val="000000"/>
                <w:szCs w:val="21"/>
              </w:rPr>
              <w:t>(mg/L)</w:t>
            </w:r>
          </w:p>
        </w:tc>
        <w:tc>
          <w:tcPr>
            <w:tcW w:w="846" w:type="dxa"/>
            <w:noWrap w:val="0"/>
            <w:vAlign w:val="top"/>
          </w:tcPr>
          <w:p w14:paraId="6B5EF8A0">
            <w:pPr>
              <w:spacing w:line="240" w:lineRule="exact"/>
              <w:jc w:val="center"/>
              <w:rPr>
                <w:rFonts w:hint="eastAsia" w:ascii="宋体" w:hAnsi="宋体"/>
                <w:color w:val="000000"/>
                <w:szCs w:val="21"/>
              </w:rPr>
            </w:pPr>
            <w:r>
              <w:rPr>
                <w:rFonts w:hint="eastAsia" w:ascii="宋体" w:hAnsi="宋体"/>
                <w:color w:val="000000"/>
                <w:szCs w:val="21"/>
              </w:rPr>
              <w:t>氰化物</w:t>
            </w:r>
            <w:r>
              <w:rPr>
                <w:rFonts w:ascii="宋体" w:hAnsi="宋体"/>
                <w:color w:val="000000"/>
                <w:szCs w:val="21"/>
              </w:rPr>
              <w:t>(mg/L)</w:t>
            </w:r>
          </w:p>
        </w:tc>
      </w:tr>
      <w:tr w14:paraId="044F101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146" w:hRule="atLeast"/>
          <w:jc w:val="center"/>
        </w:trPr>
        <w:tc>
          <w:tcPr>
            <w:tcW w:w="1896" w:type="dxa"/>
            <w:noWrap w:val="0"/>
            <w:vAlign w:val="center"/>
          </w:tcPr>
          <w:p w14:paraId="46C8B67A">
            <w:pPr>
              <w:spacing w:line="240" w:lineRule="exact"/>
              <w:rPr>
                <w:rFonts w:hint="eastAsia" w:ascii="宋体" w:hAnsi="宋体"/>
                <w:color w:val="000000"/>
                <w:szCs w:val="21"/>
              </w:rPr>
            </w:pPr>
            <w:r>
              <w:rPr>
                <w:rFonts w:hint="eastAsia" w:ascii="宋体" w:hAnsi="宋体"/>
                <w:color w:val="000000"/>
                <w:szCs w:val="21"/>
              </w:rPr>
              <w:t>《医院污水处理技术指南》废水浓度（取最大浓度值）</w:t>
            </w:r>
          </w:p>
        </w:tc>
        <w:tc>
          <w:tcPr>
            <w:tcW w:w="846" w:type="dxa"/>
            <w:noWrap w:val="0"/>
            <w:vAlign w:val="top"/>
          </w:tcPr>
          <w:p w14:paraId="08E9DB18">
            <w:pPr>
              <w:spacing w:line="240" w:lineRule="exact"/>
              <w:jc w:val="center"/>
              <w:rPr>
                <w:rFonts w:hint="eastAsia" w:ascii="宋体" w:hAnsi="宋体"/>
                <w:color w:val="000000"/>
                <w:szCs w:val="21"/>
              </w:rPr>
            </w:pPr>
          </w:p>
          <w:p w14:paraId="4B7EE488">
            <w:pPr>
              <w:spacing w:line="240" w:lineRule="exact"/>
              <w:jc w:val="center"/>
              <w:rPr>
                <w:rFonts w:hint="eastAsia" w:ascii="宋体" w:hAnsi="宋体"/>
                <w:color w:val="000000"/>
                <w:szCs w:val="21"/>
              </w:rPr>
            </w:pPr>
            <w:r>
              <w:rPr>
                <w:rFonts w:hint="eastAsia" w:ascii="宋体" w:hAnsi="宋体"/>
                <w:color w:val="000000"/>
                <w:szCs w:val="21"/>
              </w:rPr>
              <w:t>300</w:t>
            </w:r>
          </w:p>
        </w:tc>
        <w:tc>
          <w:tcPr>
            <w:tcW w:w="846" w:type="dxa"/>
            <w:noWrap w:val="0"/>
            <w:vAlign w:val="center"/>
          </w:tcPr>
          <w:p w14:paraId="0B0BBE65">
            <w:pPr>
              <w:spacing w:line="240" w:lineRule="exact"/>
              <w:jc w:val="center"/>
              <w:rPr>
                <w:rFonts w:hint="eastAsia" w:ascii="宋体" w:hAnsi="宋体"/>
                <w:color w:val="000000"/>
                <w:szCs w:val="21"/>
              </w:rPr>
            </w:pPr>
            <w:r>
              <w:rPr>
                <w:rFonts w:hint="eastAsia" w:ascii="宋体" w:hAnsi="宋体"/>
                <w:color w:val="000000"/>
                <w:szCs w:val="21"/>
              </w:rPr>
              <w:t>150</w:t>
            </w:r>
          </w:p>
        </w:tc>
        <w:tc>
          <w:tcPr>
            <w:tcW w:w="846" w:type="dxa"/>
            <w:noWrap w:val="0"/>
            <w:vAlign w:val="center"/>
          </w:tcPr>
          <w:p w14:paraId="7A0ED831">
            <w:pPr>
              <w:spacing w:line="240" w:lineRule="exact"/>
              <w:jc w:val="center"/>
              <w:rPr>
                <w:rFonts w:hint="eastAsia" w:ascii="宋体" w:hAnsi="宋体"/>
                <w:color w:val="000000"/>
                <w:szCs w:val="21"/>
              </w:rPr>
            </w:pPr>
            <w:r>
              <w:rPr>
                <w:rFonts w:hint="eastAsia" w:ascii="宋体" w:hAnsi="宋体"/>
                <w:color w:val="000000"/>
                <w:szCs w:val="21"/>
              </w:rPr>
              <w:t>120</w:t>
            </w:r>
          </w:p>
        </w:tc>
        <w:tc>
          <w:tcPr>
            <w:tcW w:w="846" w:type="dxa"/>
            <w:noWrap w:val="0"/>
            <w:vAlign w:val="center"/>
          </w:tcPr>
          <w:p w14:paraId="215712F0">
            <w:pPr>
              <w:spacing w:line="240" w:lineRule="exact"/>
              <w:jc w:val="center"/>
              <w:rPr>
                <w:rFonts w:hint="eastAsia" w:ascii="宋体" w:hAnsi="宋体"/>
                <w:color w:val="000000"/>
                <w:szCs w:val="21"/>
              </w:rPr>
            </w:pPr>
            <w:r>
              <w:rPr>
                <w:rFonts w:hint="eastAsia" w:ascii="宋体" w:hAnsi="宋体"/>
                <w:color w:val="000000"/>
                <w:szCs w:val="21"/>
              </w:rPr>
              <w:t>50</w:t>
            </w:r>
          </w:p>
        </w:tc>
        <w:tc>
          <w:tcPr>
            <w:tcW w:w="1426" w:type="dxa"/>
            <w:noWrap w:val="0"/>
            <w:vAlign w:val="top"/>
          </w:tcPr>
          <w:p w14:paraId="7E1BD58F">
            <w:pPr>
              <w:spacing w:line="240" w:lineRule="exact"/>
              <w:jc w:val="center"/>
              <w:rPr>
                <w:rFonts w:hint="eastAsia" w:ascii="宋体" w:hAnsi="宋体"/>
                <w:color w:val="000000"/>
                <w:szCs w:val="21"/>
              </w:rPr>
            </w:pPr>
          </w:p>
          <w:p w14:paraId="154376F8">
            <w:pPr>
              <w:spacing w:line="240" w:lineRule="exact"/>
              <w:jc w:val="center"/>
              <w:rPr>
                <w:rFonts w:hint="eastAsia" w:ascii="宋体" w:hAnsi="宋体"/>
                <w:color w:val="000000"/>
                <w:szCs w:val="21"/>
              </w:rPr>
            </w:pPr>
            <w:r>
              <w:rPr>
                <w:rFonts w:hint="eastAsia" w:ascii="宋体" w:hAnsi="宋体"/>
                <w:color w:val="000000"/>
                <w:szCs w:val="21"/>
              </w:rPr>
              <w:t>1.6</w:t>
            </w:r>
            <w:r>
              <w:rPr>
                <w:rFonts w:ascii="宋体" w:hAnsi="宋体"/>
                <w:color w:val="000000"/>
                <w:szCs w:val="21"/>
              </w:rPr>
              <w:t>×</w:t>
            </w:r>
            <w:r>
              <w:rPr>
                <w:rFonts w:hint="eastAsia" w:ascii="宋体" w:hAnsi="宋体"/>
                <w:color w:val="000000"/>
                <w:szCs w:val="21"/>
              </w:rPr>
              <w:t>10</w:t>
            </w:r>
            <w:r>
              <w:rPr>
                <w:rFonts w:hint="eastAsia" w:ascii="宋体" w:hAnsi="宋体"/>
                <w:color w:val="000000"/>
                <w:szCs w:val="21"/>
                <w:vertAlign w:val="superscript"/>
              </w:rPr>
              <w:t>8</w:t>
            </w:r>
          </w:p>
        </w:tc>
        <w:tc>
          <w:tcPr>
            <w:tcW w:w="951" w:type="dxa"/>
            <w:noWrap w:val="0"/>
            <w:vAlign w:val="top"/>
          </w:tcPr>
          <w:p w14:paraId="406C152C">
            <w:pPr>
              <w:spacing w:line="240" w:lineRule="exact"/>
              <w:jc w:val="center"/>
              <w:rPr>
                <w:rFonts w:hint="eastAsia" w:ascii="宋体" w:hAnsi="宋体"/>
                <w:color w:val="000000"/>
                <w:szCs w:val="21"/>
              </w:rPr>
            </w:pPr>
          </w:p>
        </w:tc>
        <w:tc>
          <w:tcPr>
            <w:tcW w:w="846" w:type="dxa"/>
            <w:noWrap w:val="0"/>
            <w:vAlign w:val="top"/>
          </w:tcPr>
          <w:p w14:paraId="33213403">
            <w:pPr>
              <w:spacing w:line="240" w:lineRule="exact"/>
              <w:jc w:val="center"/>
              <w:rPr>
                <w:rFonts w:hint="eastAsia" w:ascii="宋体" w:hAnsi="宋体"/>
                <w:color w:val="000000"/>
                <w:szCs w:val="21"/>
              </w:rPr>
            </w:pPr>
          </w:p>
        </w:tc>
        <w:tc>
          <w:tcPr>
            <w:tcW w:w="846" w:type="dxa"/>
            <w:noWrap w:val="0"/>
            <w:vAlign w:val="top"/>
          </w:tcPr>
          <w:p w14:paraId="7D5B9D4A">
            <w:pPr>
              <w:spacing w:line="240" w:lineRule="exact"/>
              <w:jc w:val="center"/>
              <w:rPr>
                <w:rFonts w:hint="eastAsia" w:ascii="宋体" w:hAnsi="宋体"/>
                <w:color w:val="000000"/>
                <w:szCs w:val="21"/>
              </w:rPr>
            </w:pPr>
          </w:p>
        </w:tc>
      </w:tr>
      <w:tr w14:paraId="3C21E2A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146" w:hRule="atLeast"/>
          <w:jc w:val="center"/>
        </w:trPr>
        <w:tc>
          <w:tcPr>
            <w:tcW w:w="1896" w:type="dxa"/>
            <w:noWrap w:val="0"/>
            <w:vAlign w:val="center"/>
          </w:tcPr>
          <w:p w14:paraId="19FA0AEF">
            <w:pPr>
              <w:spacing w:line="240" w:lineRule="exact"/>
              <w:jc w:val="center"/>
              <w:rPr>
                <w:rFonts w:hint="eastAsia" w:ascii="宋体" w:hAnsi="宋体"/>
                <w:color w:val="000000"/>
                <w:szCs w:val="21"/>
              </w:rPr>
            </w:pPr>
            <w:r>
              <w:rPr>
                <w:rFonts w:hint="eastAsia" w:ascii="宋体" w:hAnsi="宋体"/>
                <w:color w:val="000000"/>
                <w:szCs w:val="21"/>
              </w:rPr>
              <w:t>废水经化粪池的削减浓度</w:t>
            </w:r>
          </w:p>
        </w:tc>
        <w:tc>
          <w:tcPr>
            <w:tcW w:w="846" w:type="dxa"/>
            <w:noWrap w:val="0"/>
            <w:vAlign w:val="top"/>
          </w:tcPr>
          <w:p w14:paraId="6E86599E">
            <w:pPr>
              <w:spacing w:line="240" w:lineRule="exact"/>
              <w:rPr>
                <w:rFonts w:hint="eastAsia" w:ascii="宋体" w:hAnsi="宋体"/>
                <w:color w:val="000000"/>
                <w:szCs w:val="21"/>
              </w:rPr>
            </w:pPr>
            <w:r>
              <w:rPr>
                <w:rFonts w:hint="eastAsia" w:ascii="宋体" w:hAnsi="宋体"/>
                <w:color w:val="000000"/>
                <w:szCs w:val="21"/>
              </w:rPr>
              <w:t>169.67</w:t>
            </w:r>
          </w:p>
        </w:tc>
        <w:tc>
          <w:tcPr>
            <w:tcW w:w="846" w:type="dxa"/>
            <w:noWrap w:val="0"/>
            <w:vAlign w:val="center"/>
          </w:tcPr>
          <w:p w14:paraId="74AA1EB4">
            <w:pPr>
              <w:spacing w:line="240" w:lineRule="exact"/>
              <w:rPr>
                <w:rFonts w:hint="eastAsia" w:ascii="宋体" w:hAnsi="宋体"/>
                <w:color w:val="000000"/>
                <w:szCs w:val="21"/>
              </w:rPr>
            </w:pPr>
            <w:r>
              <w:rPr>
                <w:rFonts w:hint="eastAsia" w:ascii="宋体" w:hAnsi="宋体"/>
                <w:color w:val="000000"/>
                <w:szCs w:val="21"/>
              </w:rPr>
              <w:t>109.7</w:t>
            </w:r>
          </w:p>
        </w:tc>
        <w:tc>
          <w:tcPr>
            <w:tcW w:w="846" w:type="dxa"/>
            <w:noWrap w:val="0"/>
            <w:vAlign w:val="center"/>
          </w:tcPr>
          <w:p w14:paraId="6C7FE30E">
            <w:pPr>
              <w:spacing w:line="240" w:lineRule="exact"/>
              <w:jc w:val="center"/>
              <w:rPr>
                <w:rFonts w:hint="eastAsia" w:ascii="宋体" w:hAnsi="宋体"/>
                <w:color w:val="000000"/>
                <w:szCs w:val="21"/>
              </w:rPr>
            </w:pPr>
            <w:r>
              <w:rPr>
                <w:rFonts w:hint="eastAsia" w:ascii="宋体" w:hAnsi="宋体"/>
                <w:color w:val="000000"/>
                <w:szCs w:val="21"/>
              </w:rPr>
              <w:t>30.33</w:t>
            </w:r>
          </w:p>
        </w:tc>
        <w:tc>
          <w:tcPr>
            <w:tcW w:w="846" w:type="dxa"/>
            <w:noWrap w:val="0"/>
            <w:vAlign w:val="center"/>
          </w:tcPr>
          <w:p w14:paraId="7845308E">
            <w:pPr>
              <w:spacing w:line="240" w:lineRule="exact"/>
              <w:jc w:val="center"/>
              <w:rPr>
                <w:rFonts w:hint="eastAsia" w:ascii="宋体" w:hAnsi="宋体"/>
                <w:color w:val="000000"/>
                <w:szCs w:val="21"/>
              </w:rPr>
            </w:pPr>
            <w:r>
              <w:rPr>
                <w:rFonts w:hint="eastAsia" w:ascii="宋体" w:hAnsi="宋体"/>
                <w:color w:val="000000"/>
                <w:szCs w:val="21"/>
              </w:rPr>
              <w:t>3.53</w:t>
            </w:r>
          </w:p>
        </w:tc>
        <w:tc>
          <w:tcPr>
            <w:tcW w:w="1426" w:type="dxa"/>
            <w:noWrap w:val="0"/>
            <w:vAlign w:val="top"/>
          </w:tcPr>
          <w:p w14:paraId="1FF1DBFB">
            <w:pPr>
              <w:spacing w:line="240" w:lineRule="exact"/>
              <w:jc w:val="center"/>
              <w:rPr>
                <w:rFonts w:hint="eastAsia" w:ascii="宋体" w:hAnsi="宋体"/>
                <w:color w:val="000000"/>
                <w:szCs w:val="21"/>
              </w:rPr>
            </w:pPr>
            <w:r>
              <w:rPr>
                <w:rFonts w:hint="eastAsia" w:ascii="宋体" w:hAnsi="宋体"/>
                <w:color w:val="000000"/>
                <w:szCs w:val="21"/>
              </w:rPr>
              <w:t>1.573</w:t>
            </w:r>
            <w:r>
              <w:rPr>
                <w:rFonts w:ascii="宋体" w:hAnsi="宋体"/>
                <w:color w:val="000000"/>
                <w:szCs w:val="21"/>
              </w:rPr>
              <w:t>×</w:t>
            </w:r>
            <w:r>
              <w:rPr>
                <w:rFonts w:hint="eastAsia" w:ascii="宋体" w:hAnsi="宋体"/>
                <w:color w:val="000000"/>
                <w:szCs w:val="21"/>
              </w:rPr>
              <w:t>10</w:t>
            </w:r>
            <w:r>
              <w:rPr>
                <w:rFonts w:hint="eastAsia" w:ascii="宋体" w:hAnsi="宋体"/>
                <w:color w:val="000000"/>
                <w:szCs w:val="21"/>
                <w:vertAlign w:val="superscript"/>
              </w:rPr>
              <w:t>8</w:t>
            </w:r>
          </w:p>
        </w:tc>
        <w:tc>
          <w:tcPr>
            <w:tcW w:w="951" w:type="dxa"/>
            <w:noWrap w:val="0"/>
            <w:vAlign w:val="top"/>
          </w:tcPr>
          <w:p w14:paraId="4352A58D">
            <w:pPr>
              <w:spacing w:line="240" w:lineRule="exact"/>
              <w:jc w:val="center"/>
              <w:rPr>
                <w:rFonts w:hint="eastAsia" w:ascii="宋体" w:hAnsi="宋体"/>
                <w:color w:val="000000"/>
                <w:szCs w:val="21"/>
              </w:rPr>
            </w:pPr>
            <w:r>
              <w:rPr>
                <w:rFonts w:hint="eastAsia" w:ascii="宋体" w:hAnsi="宋体"/>
                <w:color w:val="000000"/>
                <w:szCs w:val="21"/>
              </w:rPr>
              <w:t>-</w:t>
            </w:r>
          </w:p>
        </w:tc>
        <w:tc>
          <w:tcPr>
            <w:tcW w:w="846" w:type="dxa"/>
            <w:noWrap w:val="0"/>
            <w:vAlign w:val="top"/>
          </w:tcPr>
          <w:p w14:paraId="3B06E39B">
            <w:pPr>
              <w:spacing w:line="240" w:lineRule="exact"/>
              <w:jc w:val="center"/>
              <w:rPr>
                <w:rFonts w:hint="eastAsia" w:ascii="宋体" w:hAnsi="宋体"/>
                <w:color w:val="000000"/>
                <w:szCs w:val="21"/>
              </w:rPr>
            </w:pPr>
            <w:r>
              <w:rPr>
                <w:rFonts w:hint="eastAsia" w:ascii="宋体" w:hAnsi="宋体"/>
                <w:color w:val="000000"/>
                <w:szCs w:val="21"/>
              </w:rPr>
              <w:t>-</w:t>
            </w:r>
          </w:p>
        </w:tc>
        <w:tc>
          <w:tcPr>
            <w:tcW w:w="846" w:type="dxa"/>
            <w:noWrap w:val="0"/>
            <w:vAlign w:val="top"/>
          </w:tcPr>
          <w:p w14:paraId="49C418C2">
            <w:pPr>
              <w:spacing w:line="240" w:lineRule="exact"/>
              <w:jc w:val="center"/>
              <w:rPr>
                <w:rFonts w:hint="eastAsia" w:ascii="宋体" w:hAnsi="宋体"/>
                <w:color w:val="000000"/>
                <w:szCs w:val="21"/>
              </w:rPr>
            </w:pPr>
            <w:r>
              <w:rPr>
                <w:rFonts w:hint="eastAsia" w:ascii="宋体" w:hAnsi="宋体"/>
                <w:color w:val="000000"/>
                <w:szCs w:val="21"/>
              </w:rPr>
              <w:t>-</w:t>
            </w:r>
          </w:p>
        </w:tc>
      </w:tr>
      <w:tr w14:paraId="46B591A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146" w:hRule="atLeast"/>
          <w:jc w:val="center"/>
        </w:trPr>
        <w:tc>
          <w:tcPr>
            <w:tcW w:w="1896" w:type="dxa"/>
            <w:noWrap w:val="0"/>
            <w:vAlign w:val="center"/>
          </w:tcPr>
          <w:p w14:paraId="61992B02">
            <w:pPr>
              <w:spacing w:line="240" w:lineRule="exact"/>
              <w:jc w:val="center"/>
              <w:rPr>
                <w:rFonts w:hint="eastAsia" w:ascii="宋体" w:hAnsi="宋体"/>
                <w:color w:val="000000"/>
                <w:szCs w:val="21"/>
              </w:rPr>
            </w:pPr>
            <w:r>
              <w:rPr>
                <w:rFonts w:hint="eastAsia" w:ascii="宋体" w:hAnsi="宋体"/>
                <w:color w:val="000000"/>
                <w:szCs w:val="21"/>
              </w:rPr>
              <w:t>经化粪池处理后进水浓度</w:t>
            </w:r>
          </w:p>
        </w:tc>
        <w:tc>
          <w:tcPr>
            <w:tcW w:w="846" w:type="dxa"/>
            <w:noWrap w:val="0"/>
            <w:vAlign w:val="top"/>
          </w:tcPr>
          <w:p w14:paraId="0BECBA13">
            <w:pPr>
              <w:spacing w:line="240" w:lineRule="exact"/>
              <w:jc w:val="center"/>
              <w:rPr>
                <w:rFonts w:hint="eastAsia" w:ascii="宋体" w:hAnsi="宋体"/>
                <w:color w:val="000000"/>
                <w:szCs w:val="21"/>
              </w:rPr>
            </w:pPr>
            <w:r>
              <w:rPr>
                <w:rFonts w:hint="eastAsia" w:ascii="宋体" w:hAnsi="宋体"/>
                <w:color w:val="000000"/>
                <w:szCs w:val="21"/>
              </w:rPr>
              <w:t>130.33</w:t>
            </w:r>
          </w:p>
        </w:tc>
        <w:tc>
          <w:tcPr>
            <w:tcW w:w="846" w:type="dxa"/>
            <w:noWrap w:val="0"/>
            <w:vAlign w:val="center"/>
          </w:tcPr>
          <w:p w14:paraId="1AC0A05F">
            <w:pPr>
              <w:spacing w:line="240" w:lineRule="exact"/>
              <w:jc w:val="center"/>
              <w:rPr>
                <w:rFonts w:hint="eastAsia" w:ascii="宋体" w:hAnsi="宋体"/>
                <w:color w:val="000000"/>
                <w:szCs w:val="21"/>
              </w:rPr>
            </w:pPr>
            <w:r>
              <w:rPr>
                <w:rFonts w:hint="eastAsia" w:ascii="宋体" w:hAnsi="宋体"/>
                <w:color w:val="000000"/>
                <w:szCs w:val="21"/>
              </w:rPr>
              <w:t>40.3</w:t>
            </w:r>
          </w:p>
        </w:tc>
        <w:tc>
          <w:tcPr>
            <w:tcW w:w="846" w:type="dxa"/>
            <w:noWrap w:val="0"/>
            <w:vAlign w:val="center"/>
          </w:tcPr>
          <w:p w14:paraId="662818B9">
            <w:pPr>
              <w:spacing w:line="240" w:lineRule="exact"/>
              <w:jc w:val="center"/>
              <w:rPr>
                <w:rFonts w:hint="eastAsia" w:ascii="宋体" w:hAnsi="宋体"/>
                <w:color w:val="000000"/>
                <w:szCs w:val="21"/>
              </w:rPr>
            </w:pPr>
            <w:r>
              <w:rPr>
                <w:rFonts w:hint="eastAsia" w:ascii="宋体" w:hAnsi="宋体"/>
                <w:color w:val="000000"/>
                <w:szCs w:val="21"/>
              </w:rPr>
              <w:t>89.67</w:t>
            </w:r>
          </w:p>
        </w:tc>
        <w:tc>
          <w:tcPr>
            <w:tcW w:w="846" w:type="dxa"/>
            <w:noWrap w:val="0"/>
            <w:vAlign w:val="center"/>
          </w:tcPr>
          <w:p w14:paraId="1F84E0C4">
            <w:pPr>
              <w:spacing w:line="240" w:lineRule="exact"/>
              <w:jc w:val="center"/>
              <w:rPr>
                <w:rFonts w:hint="eastAsia" w:ascii="宋体" w:hAnsi="宋体"/>
                <w:color w:val="000000"/>
                <w:szCs w:val="21"/>
              </w:rPr>
            </w:pPr>
            <w:r>
              <w:rPr>
                <w:rFonts w:hint="eastAsia" w:ascii="宋体" w:hAnsi="宋体"/>
                <w:color w:val="000000"/>
                <w:szCs w:val="21"/>
              </w:rPr>
              <w:t>46.47</w:t>
            </w:r>
          </w:p>
        </w:tc>
        <w:tc>
          <w:tcPr>
            <w:tcW w:w="1426" w:type="dxa"/>
            <w:noWrap w:val="0"/>
            <w:vAlign w:val="top"/>
          </w:tcPr>
          <w:p w14:paraId="3FABC987">
            <w:pPr>
              <w:spacing w:line="240" w:lineRule="exact"/>
              <w:jc w:val="center"/>
              <w:rPr>
                <w:rFonts w:hint="eastAsia" w:ascii="宋体" w:hAnsi="宋体"/>
                <w:color w:val="000000"/>
                <w:szCs w:val="21"/>
              </w:rPr>
            </w:pPr>
            <w:r>
              <w:rPr>
                <w:rFonts w:hint="eastAsia" w:ascii="宋体" w:hAnsi="宋体"/>
                <w:color w:val="000000"/>
                <w:szCs w:val="21"/>
              </w:rPr>
              <w:t>2.7</w:t>
            </w:r>
            <w:r>
              <w:rPr>
                <w:rFonts w:ascii="宋体" w:hAnsi="宋体"/>
                <w:color w:val="000000"/>
                <w:szCs w:val="21"/>
              </w:rPr>
              <w:t>×</w:t>
            </w:r>
            <w:r>
              <w:rPr>
                <w:rFonts w:hint="eastAsia" w:ascii="宋体" w:hAnsi="宋体"/>
                <w:color w:val="000000"/>
                <w:szCs w:val="21"/>
              </w:rPr>
              <w:t>10</w:t>
            </w:r>
            <w:r>
              <w:rPr>
                <w:rFonts w:hint="eastAsia" w:ascii="宋体" w:hAnsi="宋体"/>
                <w:color w:val="000000"/>
                <w:szCs w:val="21"/>
                <w:vertAlign w:val="superscript"/>
              </w:rPr>
              <w:t>6</w:t>
            </w:r>
          </w:p>
        </w:tc>
        <w:tc>
          <w:tcPr>
            <w:tcW w:w="951" w:type="dxa"/>
            <w:noWrap w:val="0"/>
            <w:vAlign w:val="top"/>
          </w:tcPr>
          <w:p w14:paraId="5707C484">
            <w:pPr>
              <w:spacing w:line="240" w:lineRule="exact"/>
              <w:jc w:val="center"/>
              <w:rPr>
                <w:rFonts w:hint="eastAsia" w:ascii="宋体" w:hAnsi="宋体"/>
                <w:color w:val="000000"/>
                <w:szCs w:val="21"/>
              </w:rPr>
            </w:pPr>
            <w:r>
              <w:rPr>
                <w:rFonts w:hint="eastAsia" w:ascii="宋体" w:hAnsi="宋体"/>
                <w:color w:val="000000"/>
                <w:szCs w:val="21"/>
              </w:rPr>
              <w:t>0.0003L</w:t>
            </w:r>
          </w:p>
        </w:tc>
        <w:tc>
          <w:tcPr>
            <w:tcW w:w="846" w:type="dxa"/>
            <w:noWrap w:val="0"/>
            <w:vAlign w:val="top"/>
          </w:tcPr>
          <w:p w14:paraId="4528BED9">
            <w:pPr>
              <w:spacing w:line="240" w:lineRule="exact"/>
              <w:jc w:val="center"/>
              <w:rPr>
                <w:rFonts w:hint="eastAsia" w:ascii="宋体" w:hAnsi="宋体"/>
                <w:color w:val="000000"/>
                <w:szCs w:val="21"/>
              </w:rPr>
            </w:pPr>
            <w:r>
              <w:rPr>
                <w:rFonts w:hint="eastAsia" w:ascii="宋体" w:hAnsi="宋体"/>
                <w:color w:val="000000"/>
                <w:szCs w:val="21"/>
              </w:rPr>
              <w:t>1.87</w:t>
            </w:r>
          </w:p>
        </w:tc>
        <w:tc>
          <w:tcPr>
            <w:tcW w:w="846" w:type="dxa"/>
            <w:noWrap w:val="0"/>
            <w:vAlign w:val="top"/>
          </w:tcPr>
          <w:p w14:paraId="47858548">
            <w:pPr>
              <w:spacing w:line="240" w:lineRule="exact"/>
              <w:jc w:val="center"/>
              <w:rPr>
                <w:rFonts w:hint="eastAsia" w:ascii="宋体" w:hAnsi="宋体"/>
                <w:color w:val="000000"/>
                <w:szCs w:val="21"/>
              </w:rPr>
            </w:pPr>
            <w:r>
              <w:rPr>
                <w:rFonts w:hint="eastAsia" w:ascii="宋体" w:hAnsi="宋体"/>
                <w:color w:val="000000"/>
                <w:szCs w:val="21"/>
              </w:rPr>
              <w:t>0.004L</w:t>
            </w:r>
          </w:p>
        </w:tc>
      </w:tr>
      <w:tr w14:paraId="471F1C7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146" w:hRule="atLeast"/>
          <w:jc w:val="center"/>
        </w:trPr>
        <w:tc>
          <w:tcPr>
            <w:tcW w:w="1896" w:type="dxa"/>
            <w:noWrap w:val="0"/>
            <w:vAlign w:val="center"/>
          </w:tcPr>
          <w:p w14:paraId="1AE32C52">
            <w:pPr>
              <w:spacing w:line="240" w:lineRule="exact"/>
              <w:jc w:val="center"/>
              <w:rPr>
                <w:rFonts w:hint="eastAsia" w:ascii="宋体" w:hAnsi="宋体"/>
                <w:color w:val="000000"/>
                <w:szCs w:val="21"/>
              </w:rPr>
            </w:pPr>
            <w:r>
              <w:rPr>
                <w:rFonts w:hint="eastAsia" w:ascii="宋体" w:hAnsi="宋体"/>
                <w:color w:val="000000"/>
                <w:szCs w:val="21"/>
              </w:rPr>
              <w:t>废水经污水处理站的削减浓度</w:t>
            </w:r>
          </w:p>
        </w:tc>
        <w:tc>
          <w:tcPr>
            <w:tcW w:w="846" w:type="dxa"/>
            <w:noWrap w:val="0"/>
            <w:vAlign w:val="top"/>
          </w:tcPr>
          <w:p w14:paraId="4C46CB8F">
            <w:pPr>
              <w:spacing w:line="240" w:lineRule="exact"/>
              <w:jc w:val="center"/>
              <w:rPr>
                <w:rFonts w:hint="eastAsia" w:ascii="宋体" w:hAnsi="宋体"/>
                <w:color w:val="000000"/>
                <w:szCs w:val="21"/>
              </w:rPr>
            </w:pPr>
            <w:r>
              <w:rPr>
                <w:rFonts w:hint="eastAsia" w:ascii="宋体" w:hAnsi="宋体"/>
                <w:color w:val="000000"/>
                <w:szCs w:val="21"/>
              </w:rPr>
              <w:t>109.33</w:t>
            </w:r>
          </w:p>
        </w:tc>
        <w:tc>
          <w:tcPr>
            <w:tcW w:w="846" w:type="dxa"/>
            <w:noWrap w:val="0"/>
            <w:vAlign w:val="center"/>
          </w:tcPr>
          <w:p w14:paraId="77F4B094">
            <w:pPr>
              <w:spacing w:line="240" w:lineRule="exact"/>
              <w:jc w:val="center"/>
              <w:rPr>
                <w:rFonts w:hint="eastAsia" w:ascii="宋体" w:hAnsi="宋体"/>
                <w:color w:val="000000"/>
                <w:szCs w:val="21"/>
              </w:rPr>
            </w:pPr>
            <w:r>
              <w:rPr>
                <w:rFonts w:hint="eastAsia" w:ascii="宋体" w:hAnsi="宋体"/>
                <w:color w:val="000000"/>
                <w:szCs w:val="21"/>
              </w:rPr>
              <w:t>34.9</w:t>
            </w:r>
          </w:p>
        </w:tc>
        <w:tc>
          <w:tcPr>
            <w:tcW w:w="846" w:type="dxa"/>
            <w:noWrap w:val="0"/>
            <w:vAlign w:val="center"/>
          </w:tcPr>
          <w:p w14:paraId="43339EF3">
            <w:pPr>
              <w:spacing w:line="240" w:lineRule="exact"/>
              <w:jc w:val="center"/>
              <w:rPr>
                <w:rFonts w:hint="eastAsia" w:ascii="宋体" w:hAnsi="宋体"/>
                <w:color w:val="000000"/>
                <w:szCs w:val="21"/>
              </w:rPr>
            </w:pPr>
            <w:r>
              <w:rPr>
                <w:rFonts w:hint="eastAsia" w:ascii="宋体" w:hAnsi="宋体"/>
                <w:color w:val="000000"/>
                <w:szCs w:val="21"/>
              </w:rPr>
              <w:t>85.67</w:t>
            </w:r>
          </w:p>
        </w:tc>
        <w:tc>
          <w:tcPr>
            <w:tcW w:w="846" w:type="dxa"/>
            <w:noWrap w:val="0"/>
            <w:vAlign w:val="center"/>
          </w:tcPr>
          <w:p w14:paraId="0395EEA2">
            <w:pPr>
              <w:spacing w:line="240" w:lineRule="exact"/>
              <w:jc w:val="center"/>
              <w:rPr>
                <w:rFonts w:hint="eastAsia" w:ascii="宋体" w:hAnsi="宋体"/>
                <w:color w:val="000000"/>
                <w:szCs w:val="21"/>
              </w:rPr>
            </w:pPr>
            <w:r>
              <w:rPr>
                <w:rFonts w:hint="eastAsia" w:ascii="宋体" w:hAnsi="宋体"/>
                <w:color w:val="000000"/>
                <w:szCs w:val="21"/>
              </w:rPr>
              <w:t>44.403</w:t>
            </w:r>
          </w:p>
        </w:tc>
        <w:tc>
          <w:tcPr>
            <w:tcW w:w="1426" w:type="dxa"/>
            <w:noWrap w:val="0"/>
            <w:vAlign w:val="top"/>
          </w:tcPr>
          <w:p w14:paraId="5AC72E90">
            <w:pPr>
              <w:spacing w:line="240" w:lineRule="exact"/>
              <w:jc w:val="center"/>
              <w:rPr>
                <w:rFonts w:hint="eastAsia" w:ascii="宋体" w:hAnsi="宋体"/>
                <w:color w:val="000000"/>
                <w:szCs w:val="21"/>
              </w:rPr>
            </w:pPr>
            <w:r>
              <w:rPr>
                <w:rFonts w:hint="eastAsia" w:ascii="宋体" w:hAnsi="宋体"/>
                <w:color w:val="000000"/>
                <w:szCs w:val="21"/>
              </w:rPr>
              <w:t>2.69951</w:t>
            </w:r>
            <w:r>
              <w:rPr>
                <w:rFonts w:ascii="宋体" w:hAnsi="宋体"/>
                <w:color w:val="000000"/>
                <w:szCs w:val="21"/>
              </w:rPr>
              <w:t>×</w:t>
            </w:r>
            <w:r>
              <w:rPr>
                <w:rFonts w:hint="eastAsia" w:ascii="宋体" w:hAnsi="宋体"/>
                <w:color w:val="000000"/>
                <w:szCs w:val="21"/>
              </w:rPr>
              <w:t>10</w:t>
            </w:r>
            <w:r>
              <w:rPr>
                <w:rFonts w:hint="eastAsia" w:ascii="宋体" w:hAnsi="宋体"/>
                <w:color w:val="000000"/>
                <w:szCs w:val="21"/>
                <w:vertAlign w:val="superscript"/>
              </w:rPr>
              <w:t>6</w:t>
            </w:r>
          </w:p>
        </w:tc>
        <w:tc>
          <w:tcPr>
            <w:tcW w:w="951" w:type="dxa"/>
            <w:noWrap w:val="0"/>
            <w:vAlign w:val="top"/>
          </w:tcPr>
          <w:p w14:paraId="22DD74A0">
            <w:pPr>
              <w:spacing w:line="240" w:lineRule="exact"/>
              <w:jc w:val="center"/>
              <w:rPr>
                <w:rFonts w:hint="eastAsia" w:ascii="宋体" w:hAnsi="宋体"/>
                <w:color w:val="000000"/>
                <w:szCs w:val="21"/>
              </w:rPr>
            </w:pPr>
            <w:r>
              <w:rPr>
                <w:rFonts w:hint="eastAsia" w:ascii="宋体" w:hAnsi="宋体"/>
                <w:color w:val="000000"/>
                <w:szCs w:val="21"/>
              </w:rPr>
              <w:t>-</w:t>
            </w:r>
          </w:p>
        </w:tc>
        <w:tc>
          <w:tcPr>
            <w:tcW w:w="846" w:type="dxa"/>
            <w:noWrap w:val="0"/>
            <w:vAlign w:val="top"/>
          </w:tcPr>
          <w:p w14:paraId="1830A331">
            <w:pPr>
              <w:spacing w:line="240" w:lineRule="exact"/>
              <w:jc w:val="center"/>
              <w:rPr>
                <w:rFonts w:hint="eastAsia" w:ascii="宋体" w:hAnsi="宋体"/>
                <w:color w:val="000000"/>
                <w:szCs w:val="21"/>
              </w:rPr>
            </w:pPr>
            <w:r>
              <w:rPr>
                <w:rFonts w:hint="eastAsia" w:ascii="宋体" w:hAnsi="宋体"/>
                <w:color w:val="000000"/>
                <w:szCs w:val="21"/>
              </w:rPr>
              <w:t>1.74</w:t>
            </w:r>
          </w:p>
        </w:tc>
        <w:tc>
          <w:tcPr>
            <w:tcW w:w="846" w:type="dxa"/>
            <w:noWrap w:val="0"/>
            <w:vAlign w:val="top"/>
          </w:tcPr>
          <w:p w14:paraId="453A5310">
            <w:pPr>
              <w:spacing w:line="240" w:lineRule="exact"/>
              <w:jc w:val="center"/>
              <w:rPr>
                <w:rFonts w:hint="eastAsia" w:ascii="宋体" w:hAnsi="宋体"/>
                <w:color w:val="000000"/>
                <w:szCs w:val="21"/>
              </w:rPr>
            </w:pPr>
            <w:r>
              <w:rPr>
                <w:rFonts w:hint="eastAsia" w:ascii="宋体" w:hAnsi="宋体"/>
                <w:color w:val="000000"/>
                <w:szCs w:val="21"/>
              </w:rPr>
              <w:t>-</w:t>
            </w:r>
          </w:p>
        </w:tc>
      </w:tr>
      <w:tr w14:paraId="74DE91A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146" w:hRule="atLeast"/>
          <w:jc w:val="center"/>
        </w:trPr>
        <w:tc>
          <w:tcPr>
            <w:tcW w:w="1896" w:type="dxa"/>
            <w:noWrap w:val="0"/>
            <w:vAlign w:val="center"/>
          </w:tcPr>
          <w:p w14:paraId="3E7B5E1C">
            <w:pPr>
              <w:spacing w:line="240" w:lineRule="exact"/>
              <w:jc w:val="center"/>
              <w:rPr>
                <w:rFonts w:hint="eastAsia" w:ascii="宋体" w:hAnsi="宋体"/>
                <w:color w:val="000000"/>
                <w:szCs w:val="21"/>
              </w:rPr>
            </w:pPr>
            <w:r>
              <w:rPr>
                <w:rFonts w:hint="eastAsia" w:ascii="宋体" w:hAnsi="宋体"/>
                <w:color w:val="000000"/>
                <w:szCs w:val="21"/>
              </w:rPr>
              <w:t>污水处理站排放浓度</w:t>
            </w:r>
          </w:p>
        </w:tc>
        <w:tc>
          <w:tcPr>
            <w:tcW w:w="846" w:type="dxa"/>
            <w:noWrap w:val="0"/>
            <w:vAlign w:val="top"/>
          </w:tcPr>
          <w:p w14:paraId="692E5921">
            <w:pPr>
              <w:spacing w:line="240" w:lineRule="exact"/>
              <w:jc w:val="center"/>
              <w:rPr>
                <w:rFonts w:hint="eastAsia" w:ascii="宋体" w:hAnsi="宋体"/>
                <w:color w:val="000000"/>
                <w:szCs w:val="21"/>
              </w:rPr>
            </w:pPr>
            <w:r>
              <w:rPr>
                <w:rFonts w:hint="eastAsia" w:ascii="宋体" w:hAnsi="宋体"/>
                <w:color w:val="000000"/>
                <w:szCs w:val="21"/>
              </w:rPr>
              <w:t>21</w:t>
            </w:r>
          </w:p>
        </w:tc>
        <w:tc>
          <w:tcPr>
            <w:tcW w:w="846" w:type="dxa"/>
            <w:noWrap w:val="0"/>
            <w:vAlign w:val="center"/>
          </w:tcPr>
          <w:p w14:paraId="6F20DDE2">
            <w:pPr>
              <w:spacing w:line="240" w:lineRule="exact"/>
              <w:jc w:val="center"/>
              <w:rPr>
                <w:rFonts w:hint="eastAsia" w:ascii="宋体" w:hAnsi="宋体"/>
                <w:color w:val="000000"/>
                <w:szCs w:val="21"/>
              </w:rPr>
            </w:pPr>
            <w:r>
              <w:rPr>
                <w:rFonts w:hint="eastAsia" w:ascii="宋体" w:hAnsi="宋体"/>
                <w:color w:val="000000"/>
                <w:szCs w:val="21"/>
              </w:rPr>
              <w:t>5.4</w:t>
            </w:r>
          </w:p>
        </w:tc>
        <w:tc>
          <w:tcPr>
            <w:tcW w:w="846" w:type="dxa"/>
            <w:noWrap w:val="0"/>
            <w:vAlign w:val="center"/>
          </w:tcPr>
          <w:p w14:paraId="1C66D7EA">
            <w:pPr>
              <w:spacing w:line="240" w:lineRule="exact"/>
              <w:jc w:val="center"/>
              <w:rPr>
                <w:rFonts w:hint="eastAsia" w:ascii="宋体" w:hAnsi="宋体"/>
                <w:color w:val="000000"/>
                <w:szCs w:val="21"/>
              </w:rPr>
            </w:pPr>
            <w:r>
              <w:rPr>
                <w:rFonts w:hint="eastAsia" w:ascii="宋体" w:hAnsi="宋体"/>
                <w:color w:val="000000"/>
                <w:szCs w:val="21"/>
              </w:rPr>
              <w:t>4</w:t>
            </w:r>
          </w:p>
        </w:tc>
        <w:tc>
          <w:tcPr>
            <w:tcW w:w="846" w:type="dxa"/>
            <w:noWrap w:val="0"/>
            <w:vAlign w:val="center"/>
          </w:tcPr>
          <w:p w14:paraId="093613EE">
            <w:pPr>
              <w:spacing w:line="240" w:lineRule="exact"/>
              <w:jc w:val="center"/>
              <w:rPr>
                <w:rFonts w:hint="eastAsia" w:ascii="宋体" w:hAnsi="宋体"/>
                <w:color w:val="000000"/>
                <w:szCs w:val="21"/>
              </w:rPr>
            </w:pPr>
            <w:r>
              <w:rPr>
                <w:rFonts w:hint="eastAsia" w:ascii="宋体" w:hAnsi="宋体"/>
                <w:color w:val="000000"/>
                <w:szCs w:val="21"/>
              </w:rPr>
              <w:t>2.067</w:t>
            </w:r>
          </w:p>
        </w:tc>
        <w:tc>
          <w:tcPr>
            <w:tcW w:w="1426" w:type="dxa"/>
            <w:noWrap w:val="0"/>
            <w:vAlign w:val="top"/>
          </w:tcPr>
          <w:p w14:paraId="6300D250">
            <w:pPr>
              <w:spacing w:line="240" w:lineRule="exact"/>
              <w:jc w:val="center"/>
              <w:rPr>
                <w:rFonts w:hint="eastAsia" w:ascii="宋体" w:hAnsi="宋体"/>
                <w:color w:val="000000"/>
                <w:szCs w:val="21"/>
              </w:rPr>
            </w:pPr>
            <w:r>
              <w:rPr>
                <w:rFonts w:hint="eastAsia" w:ascii="宋体" w:hAnsi="宋体"/>
                <w:color w:val="000000"/>
                <w:szCs w:val="21"/>
              </w:rPr>
              <w:t>490</w:t>
            </w:r>
          </w:p>
        </w:tc>
        <w:tc>
          <w:tcPr>
            <w:tcW w:w="951" w:type="dxa"/>
            <w:noWrap w:val="0"/>
            <w:vAlign w:val="top"/>
          </w:tcPr>
          <w:p w14:paraId="2B48531D">
            <w:pPr>
              <w:spacing w:line="240" w:lineRule="exact"/>
              <w:jc w:val="center"/>
              <w:rPr>
                <w:rFonts w:hint="eastAsia" w:ascii="宋体" w:hAnsi="宋体"/>
                <w:color w:val="000000"/>
                <w:szCs w:val="21"/>
              </w:rPr>
            </w:pPr>
            <w:r>
              <w:rPr>
                <w:rFonts w:hint="eastAsia" w:ascii="宋体" w:hAnsi="宋体"/>
                <w:color w:val="000000"/>
                <w:szCs w:val="21"/>
              </w:rPr>
              <w:t>0.0003L</w:t>
            </w:r>
          </w:p>
        </w:tc>
        <w:tc>
          <w:tcPr>
            <w:tcW w:w="846" w:type="dxa"/>
            <w:noWrap w:val="0"/>
            <w:vAlign w:val="top"/>
          </w:tcPr>
          <w:p w14:paraId="0EF1C442">
            <w:pPr>
              <w:spacing w:line="240" w:lineRule="exact"/>
              <w:jc w:val="center"/>
              <w:rPr>
                <w:rFonts w:hint="eastAsia" w:ascii="宋体" w:hAnsi="宋体"/>
                <w:color w:val="000000"/>
                <w:szCs w:val="21"/>
              </w:rPr>
            </w:pPr>
            <w:r>
              <w:rPr>
                <w:rFonts w:hint="eastAsia" w:ascii="宋体" w:hAnsi="宋体"/>
                <w:color w:val="000000"/>
                <w:szCs w:val="21"/>
              </w:rPr>
              <w:t>0.13</w:t>
            </w:r>
          </w:p>
        </w:tc>
        <w:tc>
          <w:tcPr>
            <w:tcW w:w="846" w:type="dxa"/>
            <w:noWrap w:val="0"/>
            <w:vAlign w:val="top"/>
          </w:tcPr>
          <w:p w14:paraId="061FCAE0">
            <w:pPr>
              <w:spacing w:line="240" w:lineRule="exact"/>
              <w:jc w:val="center"/>
              <w:rPr>
                <w:rFonts w:hint="eastAsia" w:ascii="宋体" w:hAnsi="宋体"/>
                <w:color w:val="000000"/>
                <w:szCs w:val="21"/>
              </w:rPr>
            </w:pPr>
            <w:r>
              <w:rPr>
                <w:rFonts w:hint="eastAsia" w:ascii="宋体" w:hAnsi="宋体"/>
                <w:color w:val="000000"/>
                <w:szCs w:val="21"/>
              </w:rPr>
              <w:t>0.004L</w:t>
            </w:r>
          </w:p>
        </w:tc>
      </w:tr>
      <w:tr w14:paraId="3D20528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146" w:hRule="atLeast"/>
          <w:jc w:val="center"/>
        </w:trPr>
        <w:tc>
          <w:tcPr>
            <w:tcW w:w="1896" w:type="dxa"/>
            <w:noWrap w:val="0"/>
            <w:vAlign w:val="center"/>
          </w:tcPr>
          <w:p w14:paraId="26F6D3AF">
            <w:pPr>
              <w:spacing w:line="240" w:lineRule="exact"/>
              <w:jc w:val="center"/>
              <w:rPr>
                <w:rFonts w:hint="eastAsia" w:ascii="宋体" w:hAnsi="宋体"/>
                <w:color w:val="000000"/>
                <w:szCs w:val="21"/>
              </w:rPr>
            </w:pPr>
            <w:r>
              <w:rPr>
                <w:rFonts w:hint="eastAsia" w:ascii="宋体" w:hAnsi="宋体"/>
                <w:color w:val="000000"/>
                <w:szCs w:val="21"/>
              </w:rPr>
              <w:t>废水污染物产生量（</w:t>
            </w:r>
            <w:r>
              <w:rPr>
                <w:rFonts w:ascii="宋体" w:hAnsi="宋体"/>
                <w:color w:val="000000"/>
                <w:szCs w:val="21"/>
              </w:rPr>
              <w:t>t/a</w:t>
            </w:r>
            <w:r>
              <w:rPr>
                <w:rFonts w:hint="eastAsia" w:ascii="宋体" w:hAnsi="宋体"/>
                <w:color w:val="000000"/>
                <w:szCs w:val="21"/>
              </w:rPr>
              <w:t>）</w:t>
            </w:r>
          </w:p>
        </w:tc>
        <w:tc>
          <w:tcPr>
            <w:tcW w:w="846" w:type="dxa"/>
            <w:noWrap w:val="0"/>
            <w:vAlign w:val="top"/>
          </w:tcPr>
          <w:p w14:paraId="58EB5F13">
            <w:pPr>
              <w:spacing w:line="240" w:lineRule="exact"/>
              <w:jc w:val="center"/>
              <w:rPr>
                <w:rFonts w:hint="eastAsia" w:ascii="宋体" w:hAnsi="宋体"/>
                <w:color w:val="000000"/>
                <w:szCs w:val="21"/>
              </w:rPr>
            </w:pPr>
            <w:r>
              <w:rPr>
                <w:rFonts w:hint="eastAsia" w:ascii="宋体" w:hAnsi="宋体"/>
                <w:color w:val="000000"/>
                <w:szCs w:val="21"/>
              </w:rPr>
              <w:t>11.23</w:t>
            </w:r>
          </w:p>
        </w:tc>
        <w:tc>
          <w:tcPr>
            <w:tcW w:w="846" w:type="dxa"/>
            <w:noWrap w:val="0"/>
            <w:vAlign w:val="center"/>
          </w:tcPr>
          <w:p w14:paraId="0AAEC24C">
            <w:pPr>
              <w:spacing w:line="240" w:lineRule="exact"/>
              <w:jc w:val="center"/>
              <w:rPr>
                <w:rFonts w:hint="eastAsia" w:ascii="宋体" w:hAnsi="宋体"/>
                <w:color w:val="000000"/>
                <w:szCs w:val="21"/>
              </w:rPr>
            </w:pPr>
            <w:r>
              <w:rPr>
                <w:rFonts w:hint="eastAsia" w:ascii="宋体" w:hAnsi="宋体"/>
                <w:color w:val="000000"/>
                <w:szCs w:val="21"/>
              </w:rPr>
              <w:t>5.61</w:t>
            </w:r>
          </w:p>
        </w:tc>
        <w:tc>
          <w:tcPr>
            <w:tcW w:w="846" w:type="dxa"/>
            <w:noWrap w:val="0"/>
            <w:vAlign w:val="center"/>
          </w:tcPr>
          <w:p w14:paraId="03844D6D">
            <w:pPr>
              <w:spacing w:line="240" w:lineRule="exact"/>
              <w:jc w:val="center"/>
              <w:rPr>
                <w:rFonts w:hint="eastAsia" w:ascii="宋体" w:hAnsi="宋体"/>
                <w:color w:val="000000"/>
                <w:szCs w:val="21"/>
              </w:rPr>
            </w:pPr>
            <w:r>
              <w:rPr>
                <w:rFonts w:hint="eastAsia" w:ascii="宋体" w:hAnsi="宋体"/>
                <w:color w:val="000000"/>
                <w:szCs w:val="21"/>
              </w:rPr>
              <w:t>4.49</w:t>
            </w:r>
          </w:p>
        </w:tc>
        <w:tc>
          <w:tcPr>
            <w:tcW w:w="846" w:type="dxa"/>
            <w:noWrap w:val="0"/>
            <w:vAlign w:val="center"/>
          </w:tcPr>
          <w:p w14:paraId="1F76EF8D">
            <w:pPr>
              <w:spacing w:line="240" w:lineRule="exact"/>
              <w:jc w:val="center"/>
              <w:rPr>
                <w:rFonts w:hint="eastAsia" w:ascii="宋体" w:hAnsi="宋体"/>
                <w:color w:val="000000"/>
                <w:szCs w:val="21"/>
              </w:rPr>
            </w:pPr>
            <w:r>
              <w:rPr>
                <w:rFonts w:hint="eastAsia" w:ascii="宋体" w:hAnsi="宋体"/>
                <w:color w:val="000000"/>
                <w:szCs w:val="21"/>
              </w:rPr>
              <w:t>1.87</w:t>
            </w:r>
          </w:p>
        </w:tc>
        <w:tc>
          <w:tcPr>
            <w:tcW w:w="1426" w:type="dxa"/>
            <w:noWrap w:val="0"/>
            <w:vAlign w:val="top"/>
          </w:tcPr>
          <w:p w14:paraId="0B30669C">
            <w:pPr>
              <w:spacing w:line="240" w:lineRule="exact"/>
              <w:jc w:val="center"/>
              <w:rPr>
                <w:rFonts w:hint="eastAsia" w:ascii="宋体" w:hAnsi="宋体"/>
                <w:color w:val="000000"/>
                <w:szCs w:val="21"/>
              </w:rPr>
            </w:pPr>
            <w:r>
              <w:rPr>
                <w:rFonts w:hint="eastAsia" w:ascii="宋体" w:hAnsi="宋体"/>
                <w:color w:val="000000"/>
                <w:szCs w:val="21"/>
              </w:rPr>
              <w:t>5.99</w:t>
            </w:r>
            <w:r>
              <w:rPr>
                <w:rFonts w:ascii="宋体" w:hAnsi="宋体"/>
                <w:color w:val="000000"/>
                <w:szCs w:val="21"/>
              </w:rPr>
              <w:t>×</w:t>
            </w:r>
            <w:r>
              <w:rPr>
                <w:rFonts w:hint="eastAsia" w:ascii="宋体" w:hAnsi="宋体"/>
                <w:color w:val="000000"/>
                <w:szCs w:val="21"/>
              </w:rPr>
              <w:t>10</w:t>
            </w:r>
            <w:r>
              <w:rPr>
                <w:rFonts w:hint="eastAsia" w:ascii="宋体" w:hAnsi="宋体"/>
                <w:color w:val="000000"/>
                <w:szCs w:val="21"/>
                <w:vertAlign w:val="superscript"/>
              </w:rPr>
              <w:t>15</w:t>
            </w:r>
          </w:p>
        </w:tc>
        <w:tc>
          <w:tcPr>
            <w:tcW w:w="951" w:type="dxa"/>
            <w:noWrap w:val="0"/>
            <w:vAlign w:val="top"/>
          </w:tcPr>
          <w:p w14:paraId="745855D1">
            <w:pPr>
              <w:spacing w:line="240" w:lineRule="exact"/>
              <w:jc w:val="center"/>
              <w:rPr>
                <w:rFonts w:hint="eastAsia" w:ascii="宋体" w:hAnsi="宋体"/>
                <w:color w:val="000000"/>
                <w:szCs w:val="21"/>
              </w:rPr>
            </w:pPr>
            <w:r>
              <w:rPr>
                <w:rFonts w:hint="eastAsia" w:ascii="宋体" w:hAnsi="宋体"/>
                <w:color w:val="000000"/>
                <w:szCs w:val="21"/>
              </w:rPr>
              <w:t>-</w:t>
            </w:r>
          </w:p>
        </w:tc>
        <w:tc>
          <w:tcPr>
            <w:tcW w:w="846" w:type="dxa"/>
            <w:noWrap w:val="0"/>
            <w:vAlign w:val="top"/>
          </w:tcPr>
          <w:p w14:paraId="57637382">
            <w:pPr>
              <w:spacing w:line="240" w:lineRule="exact"/>
              <w:jc w:val="center"/>
              <w:rPr>
                <w:rFonts w:hint="eastAsia" w:ascii="宋体" w:hAnsi="宋体"/>
                <w:color w:val="000000"/>
                <w:szCs w:val="21"/>
              </w:rPr>
            </w:pPr>
            <w:r>
              <w:rPr>
                <w:rFonts w:hint="eastAsia" w:ascii="宋体" w:hAnsi="宋体"/>
                <w:color w:val="000000"/>
                <w:szCs w:val="21"/>
              </w:rPr>
              <w:t>-</w:t>
            </w:r>
          </w:p>
        </w:tc>
        <w:tc>
          <w:tcPr>
            <w:tcW w:w="846" w:type="dxa"/>
            <w:noWrap w:val="0"/>
            <w:vAlign w:val="top"/>
          </w:tcPr>
          <w:p w14:paraId="488E167B">
            <w:pPr>
              <w:spacing w:line="240" w:lineRule="exact"/>
              <w:jc w:val="center"/>
              <w:rPr>
                <w:rFonts w:hint="eastAsia" w:ascii="宋体" w:hAnsi="宋体"/>
                <w:color w:val="000000"/>
                <w:szCs w:val="21"/>
              </w:rPr>
            </w:pPr>
            <w:r>
              <w:rPr>
                <w:rFonts w:hint="eastAsia" w:ascii="宋体" w:hAnsi="宋体"/>
                <w:color w:val="000000"/>
                <w:szCs w:val="21"/>
              </w:rPr>
              <w:t>-</w:t>
            </w:r>
          </w:p>
        </w:tc>
      </w:tr>
      <w:tr w14:paraId="4F2DAF2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146" w:hRule="atLeast"/>
          <w:jc w:val="center"/>
        </w:trPr>
        <w:tc>
          <w:tcPr>
            <w:tcW w:w="1896" w:type="dxa"/>
            <w:noWrap w:val="0"/>
            <w:vAlign w:val="center"/>
          </w:tcPr>
          <w:p w14:paraId="7A0045F1">
            <w:pPr>
              <w:spacing w:line="240" w:lineRule="exact"/>
              <w:jc w:val="center"/>
              <w:rPr>
                <w:rFonts w:hint="eastAsia" w:ascii="宋体" w:hAnsi="宋体"/>
                <w:color w:val="000000"/>
                <w:szCs w:val="21"/>
              </w:rPr>
            </w:pPr>
            <w:r>
              <w:rPr>
                <w:rFonts w:hint="eastAsia" w:ascii="宋体" w:hAnsi="宋体"/>
                <w:color w:val="000000"/>
                <w:szCs w:val="21"/>
              </w:rPr>
              <w:t>废水污染物排放量（</w:t>
            </w:r>
            <w:r>
              <w:rPr>
                <w:rFonts w:ascii="宋体" w:hAnsi="宋体"/>
                <w:color w:val="000000"/>
                <w:szCs w:val="21"/>
              </w:rPr>
              <w:t>t/a</w:t>
            </w:r>
            <w:r>
              <w:rPr>
                <w:rFonts w:hint="eastAsia" w:ascii="宋体" w:hAnsi="宋体"/>
                <w:color w:val="000000"/>
                <w:szCs w:val="21"/>
              </w:rPr>
              <w:t>）</w:t>
            </w:r>
          </w:p>
        </w:tc>
        <w:tc>
          <w:tcPr>
            <w:tcW w:w="846" w:type="dxa"/>
            <w:noWrap w:val="0"/>
            <w:vAlign w:val="top"/>
          </w:tcPr>
          <w:p w14:paraId="48250162">
            <w:pPr>
              <w:spacing w:line="240" w:lineRule="exact"/>
              <w:jc w:val="center"/>
              <w:rPr>
                <w:rFonts w:hint="eastAsia" w:ascii="宋体" w:hAnsi="宋体"/>
                <w:color w:val="000000"/>
                <w:szCs w:val="21"/>
              </w:rPr>
            </w:pPr>
            <w:r>
              <w:rPr>
                <w:rFonts w:hint="eastAsia" w:ascii="宋体" w:hAnsi="宋体"/>
                <w:color w:val="000000"/>
                <w:szCs w:val="21"/>
              </w:rPr>
              <w:t>0.78</w:t>
            </w:r>
          </w:p>
        </w:tc>
        <w:tc>
          <w:tcPr>
            <w:tcW w:w="846" w:type="dxa"/>
            <w:noWrap w:val="0"/>
            <w:vAlign w:val="center"/>
          </w:tcPr>
          <w:p w14:paraId="1D47135B">
            <w:pPr>
              <w:spacing w:line="240" w:lineRule="exact"/>
              <w:jc w:val="center"/>
              <w:rPr>
                <w:rFonts w:hint="eastAsia" w:ascii="宋体" w:hAnsi="宋体"/>
                <w:color w:val="000000"/>
                <w:szCs w:val="21"/>
              </w:rPr>
            </w:pPr>
            <w:r>
              <w:rPr>
                <w:rFonts w:hint="eastAsia" w:ascii="宋体" w:hAnsi="宋体"/>
                <w:color w:val="000000"/>
                <w:szCs w:val="21"/>
              </w:rPr>
              <w:t>0.2</w:t>
            </w:r>
          </w:p>
        </w:tc>
        <w:tc>
          <w:tcPr>
            <w:tcW w:w="846" w:type="dxa"/>
            <w:noWrap w:val="0"/>
            <w:vAlign w:val="center"/>
          </w:tcPr>
          <w:p w14:paraId="54814E6D">
            <w:pPr>
              <w:spacing w:line="240" w:lineRule="exact"/>
              <w:jc w:val="center"/>
              <w:rPr>
                <w:rFonts w:hint="eastAsia" w:ascii="宋体" w:hAnsi="宋体"/>
                <w:color w:val="000000"/>
                <w:szCs w:val="21"/>
              </w:rPr>
            </w:pPr>
            <w:r>
              <w:rPr>
                <w:rFonts w:hint="eastAsia" w:ascii="宋体" w:hAnsi="宋体"/>
                <w:color w:val="000000"/>
                <w:szCs w:val="21"/>
              </w:rPr>
              <w:t>0.15</w:t>
            </w:r>
          </w:p>
        </w:tc>
        <w:tc>
          <w:tcPr>
            <w:tcW w:w="846" w:type="dxa"/>
            <w:noWrap w:val="0"/>
            <w:vAlign w:val="center"/>
          </w:tcPr>
          <w:p w14:paraId="2DA4E223">
            <w:pPr>
              <w:spacing w:line="240" w:lineRule="exact"/>
              <w:jc w:val="center"/>
              <w:rPr>
                <w:rFonts w:hint="eastAsia" w:ascii="宋体" w:hAnsi="宋体"/>
                <w:color w:val="000000"/>
                <w:szCs w:val="21"/>
              </w:rPr>
            </w:pPr>
            <w:r>
              <w:rPr>
                <w:rFonts w:hint="eastAsia" w:ascii="宋体" w:hAnsi="宋体"/>
                <w:color w:val="000000"/>
                <w:szCs w:val="21"/>
              </w:rPr>
              <w:t>0.077</w:t>
            </w:r>
          </w:p>
        </w:tc>
        <w:tc>
          <w:tcPr>
            <w:tcW w:w="1426" w:type="dxa"/>
            <w:noWrap w:val="0"/>
            <w:vAlign w:val="top"/>
          </w:tcPr>
          <w:p w14:paraId="6A0DAF76">
            <w:pPr>
              <w:spacing w:line="240" w:lineRule="exact"/>
              <w:jc w:val="center"/>
              <w:rPr>
                <w:rFonts w:hint="eastAsia" w:ascii="宋体" w:hAnsi="宋体"/>
                <w:color w:val="000000"/>
                <w:szCs w:val="21"/>
              </w:rPr>
            </w:pPr>
            <w:r>
              <w:rPr>
                <w:rFonts w:hint="eastAsia" w:ascii="宋体" w:hAnsi="宋体"/>
                <w:color w:val="000000"/>
                <w:szCs w:val="21"/>
              </w:rPr>
              <w:t>1.83</w:t>
            </w:r>
            <w:r>
              <w:rPr>
                <w:rFonts w:ascii="宋体" w:hAnsi="宋体"/>
                <w:color w:val="000000"/>
                <w:szCs w:val="21"/>
              </w:rPr>
              <w:t>×</w:t>
            </w:r>
            <w:r>
              <w:rPr>
                <w:rFonts w:hint="eastAsia" w:ascii="宋体" w:hAnsi="宋体"/>
                <w:color w:val="000000"/>
                <w:szCs w:val="21"/>
              </w:rPr>
              <w:t>10</w:t>
            </w:r>
            <w:r>
              <w:rPr>
                <w:rFonts w:hint="eastAsia" w:ascii="宋体" w:hAnsi="宋体"/>
                <w:color w:val="000000"/>
                <w:szCs w:val="21"/>
                <w:vertAlign w:val="superscript"/>
              </w:rPr>
              <w:t>10</w:t>
            </w:r>
          </w:p>
        </w:tc>
        <w:tc>
          <w:tcPr>
            <w:tcW w:w="951" w:type="dxa"/>
            <w:noWrap w:val="0"/>
            <w:vAlign w:val="top"/>
          </w:tcPr>
          <w:p w14:paraId="2C393A06">
            <w:pPr>
              <w:spacing w:line="240" w:lineRule="exact"/>
              <w:jc w:val="center"/>
              <w:rPr>
                <w:rFonts w:hint="eastAsia" w:ascii="宋体" w:hAnsi="宋体"/>
                <w:color w:val="000000"/>
                <w:szCs w:val="21"/>
              </w:rPr>
            </w:pPr>
            <w:r>
              <w:rPr>
                <w:rFonts w:hint="eastAsia" w:ascii="宋体" w:hAnsi="宋体"/>
                <w:color w:val="000000"/>
                <w:szCs w:val="21"/>
              </w:rPr>
              <w:t>-</w:t>
            </w:r>
          </w:p>
        </w:tc>
        <w:tc>
          <w:tcPr>
            <w:tcW w:w="846" w:type="dxa"/>
            <w:noWrap w:val="0"/>
            <w:vAlign w:val="top"/>
          </w:tcPr>
          <w:p w14:paraId="7098CD30">
            <w:pPr>
              <w:spacing w:line="240" w:lineRule="exact"/>
              <w:jc w:val="center"/>
              <w:rPr>
                <w:rFonts w:hint="eastAsia" w:ascii="宋体" w:hAnsi="宋体"/>
                <w:color w:val="000000"/>
                <w:szCs w:val="21"/>
              </w:rPr>
            </w:pPr>
            <w:r>
              <w:rPr>
                <w:rFonts w:hint="eastAsia" w:ascii="宋体" w:hAnsi="宋体"/>
                <w:color w:val="000000"/>
                <w:szCs w:val="21"/>
              </w:rPr>
              <w:t>0.0049</w:t>
            </w:r>
          </w:p>
        </w:tc>
        <w:tc>
          <w:tcPr>
            <w:tcW w:w="846" w:type="dxa"/>
            <w:noWrap w:val="0"/>
            <w:vAlign w:val="top"/>
          </w:tcPr>
          <w:p w14:paraId="68C90662">
            <w:pPr>
              <w:spacing w:line="240" w:lineRule="exact"/>
              <w:jc w:val="center"/>
              <w:rPr>
                <w:rFonts w:hint="eastAsia" w:ascii="宋体" w:hAnsi="宋体"/>
                <w:color w:val="000000"/>
                <w:szCs w:val="21"/>
              </w:rPr>
            </w:pPr>
            <w:r>
              <w:rPr>
                <w:rFonts w:hint="eastAsia" w:ascii="宋体" w:hAnsi="宋体"/>
                <w:color w:val="000000"/>
                <w:szCs w:val="21"/>
              </w:rPr>
              <w:t>-</w:t>
            </w:r>
          </w:p>
        </w:tc>
      </w:tr>
      <w:tr w14:paraId="29DF30A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962" w:hRule="atLeast"/>
          <w:jc w:val="center"/>
        </w:trPr>
        <w:tc>
          <w:tcPr>
            <w:tcW w:w="1896" w:type="dxa"/>
            <w:noWrap w:val="0"/>
            <w:vAlign w:val="center"/>
          </w:tcPr>
          <w:p w14:paraId="04835699">
            <w:pPr>
              <w:spacing w:line="240" w:lineRule="exact"/>
              <w:jc w:val="center"/>
              <w:rPr>
                <w:rFonts w:hint="eastAsia" w:ascii="宋体" w:hAnsi="宋体"/>
                <w:color w:val="000000"/>
                <w:szCs w:val="21"/>
              </w:rPr>
            </w:pPr>
            <w:r>
              <w:rPr>
                <w:rFonts w:ascii="宋体" w:hAnsi="宋体"/>
                <w:color w:val="000000"/>
                <w:szCs w:val="21"/>
              </w:rPr>
              <w:t>《医疗机构水污染物排放标准》</w:t>
            </w:r>
            <w:r>
              <w:rPr>
                <w:rFonts w:hint="eastAsia" w:ascii="宋体" w:hAnsi="宋体"/>
                <w:color w:val="000000"/>
                <w:szCs w:val="21"/>
              </w:rPr>
              <w:t>（GB18466-2005）表2预处理标准</w:t>
            </w:r>
          </w:p>
        </w:tc>
        <w:tc>
          <w:tcPr>
            <w:tcW w:w="846" w:type="dxa"/>
            <w:noWrap w:val="0"/>
            <w:vAlign w:val="top"/>
          </w:tcPr>
          <w:p w14:paraId="1CEE5129">
            <w:pPr>
              <w:spacing w:line="240" w:lineRule="exact"/>
              <w:jc w:val="center"/>
              <w:rPr>
                <w:rFonts w:hint="eastAsia" w:ascii="宋体" w:hAnsi="宋体"/>
                <w:color w:val="000000"/>
                <w:szCs w:val="21"/>
              </w:rPr>
            </w:pPr>
          </w:p>
          <w:p w14:paraId="16D6D6D0">
            <w:pPr>
              <w:spacing w:line="240" w:lineRule="exact"/>
              <w:rPr>
                <w:rFonts w:hint="eastAsia" w:ascii="宋体" w:hAnsi="宋体"/>
                <w:color w:val="000000"/>
                <w:szCs w:val="21"/>
              </w:rPr>
            </w:pPr>
            <w:r>
              <w:rPr>
                <w:rFonts w:hint="eastAsia" w:ascii="宋体" w:hAnsi="宋体"/>
                <w:color w:val="000000"/>
                <w:szCs w:val="21"/>
              </w:rPr>
              <w:t>≤250</w:t>
            </w:r>
          </w:p>
        </w:tc>
        <w:tc>
          <w:tcPr>
            <w:tcW w:w="846" w:type="dxa"/>
            <w:noWrap w:val="0"/>
            <w:vAlign w:val="center"/>
          </w:tcPr>
          <w:p w14:paraId="170F8336">
            <w:pPr>
              <w:spacing w:line="240" w:lineRule="exact"/>
              <w:jc w:val="center"/>
              <w:rPr>
                <w:rFonts w:hint="eastAsia" w:ascii="宋体" w:hAnsi="宋体"/>
                <w:color w:val="000000"/>
                <w:szCs w:val="21"/>
              </w:rPr>
            </w:pPr>
            <w:r>
              <w:rPr>
                <w:rFonts w:hint="eastAsia" w:ascii="宋体" w:hAnsi="宋体"/>
                <w:color w:val="000000"/>
                <w:szCs w:val="21"/>
              </w:rPr>
              <w:t>100</w:t>
            </w:r>
          </w:p>
        </w:tc>
        <w:tc>
          <w:tcPr>
            <w:tcW w:w="846" w:type="dxa"/>
            <w:noWrap w:val="0"/>
            <w:vAlign w:val="center"/>
          </w:tcPr>
          <w:p w14:paraId="791CBB40">
            <w:pPr>
              <w:spacing w:line="240" w:lineRule="exact"/>
              <w:jc w:val="center"/>
              <w:rPr>
                <w:rFonts w:hint="eastAsia" w:ascii="宋体" w:hAnsi="宋体"/>
                <w:color w:val="000000"/>
                <w:szCs w:val="21"/>
              </w:rPr>
            </w:pPr>
            <w:r>
              <w:rPr>
                <w:rFonts w:hint="eastAsia" w:ascii="宋体" w:hAnsi="宋体"/>
                <w:color w:val="000000"/>
                <w:szCs w:val="21"/>
              </w:rPr>
              <w:t>60</w:t>
            </w:r>
          </w:p>
        </w:tc>
        <w:tc>
          <w:tcPr>
            <w:tcW w:w="846" w:type="dxa"/>
            <w:noWrap w:val="0"/>
            <w:vAlign w:val="center"/>
          </w:tcPr>
          <w:p w14:paraId="551486B8">
            <w:pPr>
              <w:spacing w:line="240" w:lineRule="exact"/>
              <w:jc w:val="center"/>
              <w:rPr>
                <w:rFonts w:hint="eastAsia" w:ascii="宋体" w:hAnsi="宋体"/>
                <w:color w:val="000000"/>
                <w:szCs w:val="21"/>
              </w:rPr>
            </w:pPr>
            <w:r>
              <w:rPr>
                <w:rFonts w:hint="eastAsia" w:ascii="宋体" w:hAnsi="宋体"/>
                <w:color w:val="000000"/>
                <w:szCs w:val="21"/>
              </w:rPr>
              <w:t>/</w:t>
            </w:r>
          </w:p>
        </w:tc>
        <w:tc>
          <w:tcPr>
            <w:tcW w:w="1426" w:type="dxa"/>
            <w:noWrap w:val="0"/>
            <w:vAlign w:val="top"/>
          </w:tcPr>
          <w:p w14:paraId="1107025C">
            <w:pPr>
              <w:spacing w:line="240" w:lineRule="exact"/>
              <w:jc w:val="center"/>
              <w:rPr>
                <w:rFonts w:hint="eastAsia" w:ascii="宋体" w:hAnsi="宋体"/>
                <w:color w:val="000000"/>
                <w:szCs w:val="21"/>
              </w:rPr>
            </w:pPr>
          </w:p>
          <w:p w14:paraId="72A9AC88">
            <w:pPr>
              <w:spacing w:line="240" w:lineRule="exact"/>
              <w:jc w:val="center"/>
              <w:rPr>
                <w:rFonts w:hint="eastAsia" w:ascii="宋体" w:hAnsi="宋体"/>
                <w:color w:val="000000"/>
                <w:szCs w:val="21"/>
              </w:rPr>
            </w:pPr>
            <w:r>
              <w:rPr>
                <w:rFonts w:hint="eastAsia" w:ascii="宋体" w:hAnsi="宋体"/>
                <w:color w:val="000000"/>
                <w:szCs w:val="21"/>
              </w:rPr>
              <w:t>5000</w:t>
            </w:r>
          </w:p>
        </w:tc>
        <w:tc>
          <w:tcPr>
            <w:tcW w:w="951" w:type="dxa"/>
            <w:noWrap w:val="0"/>
            <w:vAlign w:val="top"/>
          </w:tcPr>
          <w:p w14:paraId="25717893">
            <w:pPr>
              <w:spacing w:line="240" w:lineRule="exact"/>
              <w:jc w:val="center"/>
              <w:rPr>
                <w:rFonts w:hint="eastAsia" w:ascii="宋体" w:hAnsi="宋体"/>
                <w:color w:val="000000"/>
                <w:szCs w:val="21"/>
              </w:rPr>
            </w:pPr>
          </w:p>
          <w:p w14:paraId="67E40EA1">
            <w:pPr>
              <w:spacing w:line="240" w:lineRule="exact"/>
              <w:jc w:val="center"/>
              <w:rPr>
                <w:rFonts w:hint="eastAsia" w:ascii="宋体" w:hAnsi="宋体"/>
                <w:color w:val="000000"/>
                <w:szCs w:val="21"/>
              </w:rPr>
            </w:pPr>
            <w:r>
              <w:rPr>
                <w:rFonts w:hint="eastAsia" w:ascii="宋体" w:hAnsi="宋体"/>
                <w:color w:val="000000"/>
                <w:szCs w:val="21"/>
              </w:rPr>
              <w:t>1.0</w:t>
            </w:r>
          </w:p>
        </w:tc>
        <w:tc>
          <w:tcPr>
            <w:tcW w:w="846" w:type="dxa"/>
            <w:noWrap w:val="0"/>
            <w:vAlign w:val="top"/>
          </w:tcPr>
          <w:p w14:paraId="667E915A">
            <w:pPr>
              <w:spacing w:line="240" w:lineRule="exact"/>
              <w:jc w:val="center"/>
              <w:rPr>
                <w:rFonts w:hint="eastAsia" w:ascii="宋体" w:hAnsi="宋体"/>
                <w:color w:val="000000"/>
                <w:szCs w:val="21"/>
              </w:rPr>
            </w:pPr>
          </w:p>
          <w:p w14:paraId="35F465AD">
            <w:pPr>
              <w:spacing w:line="240" w:lineRule="exact"/>
              <w:jc w:val="center"/>
              <w:rPr>
                <w:rFonts w:hint="eastAsia" w:ascii="宋体" w:hAnsi="宋体"/>
                <w:color w:val="000000"/>
                <w:szCs w:val="21"/>
              </w:rPr>
            </w:pPr>
            <w:r>
              <w:rPr>
                <w:rFonts w:hint="eastAsia" w:ascii="宋体" w:hAnsi="宋体"/>
                <w:color w:val="000000"/>
                <w:szCs w:val="21"/>
              </w:rPr>
              <w:t>20</w:t>
            </w:r>
          </w:p>
        </w:tc>
        <w:tc>
          <w:tcPr>
            <w:tcW w:w="846" w:type="dxa"/>
            <w:noWrap w:val="0"/>
            <w:vAlign w:val="top"/>
          </w:tcPr>
          <w:p w14:paraId="7D04AF4C">
            <w:pPr>
              <w:spacing w:line="240" w:lineRule="exact"/>
              <w:jc w:val="center"/>
              <w:rPr>
                <w:rFonts w:hint="eastAsia" w:ascii="宋体" w:hAnsi="宋体"/>
                <w:color w:val="000000"/>
                <w:szCs w:val="21"/>
              </w:rPr>
            </w:pPr>
          </w:p>
          <w:p w14:paraId="4D60CF1C">
            <w:pPr>
              <w:spacing w:line="240" w:lineRule="exact"/>
              <w:jc w:val="center"/>
              <w:rPr>
                <w:rFonts w:hint="eastAsia" w:ascii="宋体" w:hAnsi="宋体"/>
                <w:color w:val="000000"/>
                <w:szCs w:val="21"/>
              </w:rPr>
            </w:pPr>
            <w:r>
              <w:rPr>
                <w:rFonts w:hint="eastAsia" w:ascii="宋体" w:hAnsi="宋体"/>
                <w:color w:val="000000"/>
                <w:szCs w:val="21"/>
              </w:rPr>
              <w:t>0.5</w:t>
            </w:r>
          </w:p>
        </w:tc>
      </w:tr>
    </w:tbl>
    <w:p w14:paraId="532C1ECC">
      <w:pPr>
        <w:spacing w:line="360" w:lineRule="auto"/>
        <w:ind w:firstLine="480"/>
        <w:rPr>
          <w:rFonts w:hint="eastAsia"/>
          <w:color w:val="000000"/>
          <w:sz w:val="24"/>
        </w:rPr>
      </w:pPr>
      <w:r>
        <w:rPr>
          <w:rFonts w:hint="eastAsia"/>
          <w:color w:val="000000"/>
          <w:sz w:val="24"/>
        </w:rPr>
        <w:t>由表3.7-2可知，本项目污水处理站的规模设计为120m</w:t>
      </w:r>
      <w:r>
        <w:rPr>
          <w:rFonts w:hint="eastAsia"/>
          <w:color w:val="000000"/>
          <w:sz w:val="24"/>
          <w:vertAlign w:val="superscript"/>
        </w:rPr>
        <w:t>3</w:t>
      </w:r>
      <w:r>
        <w:rPr>
          <w:rFonts w:hint="eastAsia"/>
          <w:color w:val="000000"/>
          <w:sz w:val="24"/>
        </w:rPr>
        <w:t>/d，</w:t>
      </w:r>
      <w:r>
        <w:rPr>
          <w:color w:val="000000"/>
          <w:sz w:val="24"/>
        </w:rPr>
        <w:t>可满足项目运营后</w:t>
      </w:r>
      <w:r>
        <w:rPr>
          <w:rFonts w:hint="eastAsia"/>
          <w:color w:val="000000"/>
          <w:sz w:val="24"/>
        </w:rPr>
        <w:t>污水</w:t>
      </w:r>
      <w:r>
        <w:rPr>
          <w:color w:val="000000"/>
          <w:sz w:val="24"/>
        </w:rPr>
        <w:t>最大的处理需求。采用</w:t>
      </w:r>
      <w:r>
        <w:rPr>
          <w:rFonts w:hint="eastAsia"/>
          <w:color w:val="000000"/>
          <w:sz w:val="24"/>
        </w:rPr>
        <w:t>二级</w:t>
      </w:r>
      <w:r>
        <w:rPr>
          <w:color w:val="000000"/>
          <w:sz w:val="24"/>
        </w:rPr>
        <w:t>处理工艺</w:t>
      </w:r>
      <w:r>
        <w:rPr>
          <w:rFonts w:hint="eastAsia"/>
          <w:color w:val="000000"/>
          <w:sz w:val="24"/>
        </w:rPr>
        <w:t>，出水水质</w:t>
      </w:r>
      <w:r>
        <w:rPr>
          <w:color w:val="000000"/>
          <w:sz w:val="24"/>
        </w:rPr>
        <w:t>能够满足《医疗机构水污染物排放标准》(GB18466-2005)表2中预处理标准，</w:t>
      </w:r>
      <w:r>
        <w:rPr>
          <w:rFonts w:hint="eastAsia"/>
          <w:color w:val="000000"/>
          <w:sz w:val="24"/>
        </w:rPr>
        <w:t>排入周边市政污水管网。</w:t>
      </w:r>
    </w:p>
    <w:p w14:paraId="54E1B847">
      <w:pPr>
        <w:pStyle w:val="183"/>
        <w:ind w:firstLine="472"/>
        <w:rPr>
          <w:rFonts w:eastAsia="仿宋_GB2312"/>
          <w:color w:val="000000"/>
          <w:sz w:val="24"/>
          <w:szCs w:val="24"/>
        </w:rPr>
      </w:pPr>
      <w:bookmarkStart w:id="359" w:name="_Toc495500068"/>
      <w:r>
        <w:rPr>
          <w:rFonts w:eastAsia="仿宋_GB2312"/>
          <w:color w:val="000000"/>
          <w:sz w:val="24"/>
          <w:szCs w:val="24"/>
        </w:rPr>
        <w:t>3.7.2废气</w:t>
      </w:r>
      <w:bookmarkEnd w:id="359"/>
    </w:p>
    <w:p w14:paraId="0D705484">
      <w:pPr>
        <w:spacing w:line="360" w:lineRule="auto"/>
        <w:ind w:firstLine="480"/>
        <w:rPr>
          <w:rFonts w:hint="eastAsia"/>
          <w:color w:val="000000"/>
          <w:sz w:val="24"/>
        </w:rPr>
      </w:pPr>
      <w:r>
        <w:rPr>
          <w:color w:val="000000"/>
          <w:sz w:val="24"/>
        </w:rPr>
        <w:t>本项目</w:t>
      </w:r>
      <w:r>
        <w:rPr>
          <w:rFonts w:hint="eastAsia"/>
          <w:color w:val="000000"/>
          <w:sz w:val="24"/>
        </w:rPr>
        <w:t>各部门使用太阳能辅助及电能等清洁能源，热水供应主要采取以太阳能为主。运营期中大气污染主要来自为食堂油烟、污水处理站恶臭气体、</w:t>
      </w:r>
      <w:r>
        <w:rPr>
          <w:rFonts w:hint="eastAsia" w:ascii="宋体" w:hAnsi="宋体"/>
          <w:color w:val="000000"/>
          <w:sz w:val="24"/>
        </w:rPr>
        <w:t>生活垃圾箱臭气、汽车尾气等。</w:t>
      </w:r>
    </w:p>
    <w:p w14:paraId="11358423">
      <w:pPr>
        <w:spacing w:line="360" w:lineRule="auto"/>
        <w:ind w:firstLine="480"/>
        <w:rPr>
          <w:rFonts w:hint="eastAsia" w:ascii="宋体" w:hAnsi="宋体"/>
          <w:color w:val="000000"/>
          <w:sz w:val="24"/>
        </w:rPr>
      </w:pPr>
      <w:r>
        <w:rPr>
          <w:rFonts w:hint="eastAsia" w:ascii="宋体" w:hAnsi="宋体"/>
          <w:color w:val="000000"/>
          <w:sz w:val="24"/>
        </w:rPr>
        <w:t>（1）食堂油烟</w:t>
      </w:r>
    </w:p>
    <w:p w14:paraId="47CAF90F">
      <w:pPr>
        <w:spacing w:line="360" w:lineRule="auto"/>
        <w:ind w:firstLine="480"/>
        <w:rPr>
          <w:rFonts w:hint="eastAsia" w:ascii="宋体" w:hAnsi="宋体"/>
          <w:color w:val="000000"/>
          <w:sz w:val="24"/>
        </w:rPr>
      </w:pPr>
      <w:r>
        <w:rPr>
          <w:rFonts w:ascii="宋体" w:hAnsi="宋体"/>
          <w:color w:val="000000"/>
          <w:sz w:val="24"/>
        </w:rPr>
        <w:t>根据建设单位提供</w:t>
      </w:r>
      <w:r>
        <w:rPr>
          <w:rFonts w:hint="eastAsia" w:ascii="宋体" w:hAnsi="宋体"/>
          <w:color w:val="000000"/>
          <w:sz w:val="24"/>
        </w:rPr>
        <w:t>设计</w:t>
      </w:r>
      <w:r>
        <w:rPr>
          <w:rFonts w:ascii="宋体" w:hAnsi="宋体"/>
          <w:color w:val="000000"/>
          <w:sz w:val="24"/>
        </w:rPr>
        <w:t>资料，</w:t>
      </w:r>
      <w:r>
        <w:rPr>
          <w:rFonts w:hint="eastAsia" w:ascii="宋体" w:hAnsi="宋体"/>
          <w:color w:val="000000"/>
          <w:sz w:val="24"/>
        </w:rPr>
        <w:t>项目</w:t>
      </w:r>
      <w:r>
        <w:rPr>
          <w:rFonts w:ascii="宋体" w:hAnsi="宋体"/>
          <w:color w:val="000000"/>
          <w:sz w:val="24"/>
        </w:rPr>
        <w:t>食堂</w:t>
      </w:r>
      <w:r>
        <w:rPr>
          <w:rFonts w:hint="eastAsia" w:ascii="宋体" w:hAnsi="宋体"/>
          <w:color w:val="000000"/>
          <w:sz w:val="24"/>
        </w:rPr>
        <w:t>近期</w:t>
      </w:r>
      <w:r>
        <w:rPr>
          <w:rFonts w:ascii="宋体" w:hAnsi="宋体"/>
          <w:color w:val="000000"/>
          <w:sz w:val="24"/>
        </w:rPr>
        <w:t>以电为能源，</w:t>
      </w:r>
      <w:r>
        <w:rPr>
          <w:rFonts w:hint="eastAsia" w:ascii="宋体" w:hAnsi="宋体"/>
          <w:color w:val="000000"/>
          <w:sz w:val="24"/>
        </w:rPr>
        <w:t>远期以液化气和天然气为能源；其使用的能源均为清洁能源。本项目</w:t>
      </w:r>
      <w:r>
        <w:rPr>
          <w:rFonts w:ascii="宋体" w:hAnsi="宋体"/>
          <w:color w:val="000000"/>
          <w:sz w:val="24"/>
        </w:rPr>
        <w:t>就餐人数共</w:t>
      </w:r>
      <w:r>
        <w:rPr>
          <w:rFonts w:hint="eastAsia" w:ascii="宋体" w:hAnsi="宋体"/>
          <w:color w:val="000000"/>
          <w:sz w:val="24"/>
        </w:rPr>
        <w:t>35</w:t>
      </w:r>
      <w:r>
        <w:rPr>
          <w:rFonts w:ascii="宋体" w:hAnsi="宋体"/>
          <w:color w:val="000000"/>
          <w:sz w:val="24"/>
        </w:rPr>
        <w:t>0（人．次）/天，</w:t>
      </w:r>
      <w:r>
        <w:rPr>
          <w:rFonts w:hint="eastAsia" w:ascii="宋体" w:hAnsi="宋体"/>
          <w:color w:val="000000"/>
          <w:sz w:val="24"/>
        </w:rPr>
        <w:t>目前</w:t>
      </w:r>
      <w:r>
        <w:rPr>
          <w:rFonts w:ascii="宋体" w:hAnsi="宋体"/>
          <w:color w:val="000000"/>
          <w:sz w:val="24"/>
        </w:rPr>
        <w:t>人均食用油用量</w:t>
      </w:r>
      <w:r>
        <w:rPr>
          <w:rFonts w:hint="eastAsia" w:ascii="宋体" w:hAnsi="宋体"/>
          <w:color w:val="000000"/>
          <w:sz w:val="24"/>
        </w:rPr>
        <w:t>约为30g</w:t>
      </w:r>
      <w:r>
        <w:rPr>
          <w:rFonts w:ascii="宋体" w:hAnsi="宋体"/>
          <w:color w:val="000000"/>
          <w:sz w:val="24"/>
        </w:rPr>
        <w:t>/人·</w:t>
      </w:r>
      <w:r>
        <w:rPr>
          <w:rFonts w:hint="eastAsia" w:ascii="宋体" w:hAnsi="宋体"/>
          <w:color w:val="000000"/>
          <w:sz w:val="24"/>
        </w:rPr>
        <w:t>d，则本项目耗油量30g</w:t>
      </w:r>
      <w:r>
        <w:rPr>
          <w:rFonts w:ascii="宋体" w:hAnsi="宋体"/>
          <w:color w:val="000000"/>
          <w:sz w:val="24"/>
        </w:rPr>
        <w:t>/人·</w:t>
      </w:r>
      <w:r>
        <w:rPr>
          <w:rFonts w:hint="eastAsia" w:ascii="宋体" w:hAnsi="宋体"/>
          <w:color w:val="000000"/>
          <w:sz w:val="24"/>
        </w:rPr>
        <w:t>d×350人×365d=3.83t/a。食堂产生的</w:t>
      </w:r>
      <w:r>
        <w:rPr>
          <w:rFonts w:ascii="宋体" w:hAnsi="宋体"/>
          <w:color w:val="000000"/>
          <w:sz w:val="24"/>
        </w:rPr>
        <w:t>油烟废气经收集进入油烟净化器处理</w:t>
      </w:r>
      <w:r>
        <w:rPr>
          <w:rFonts w:hint="eastAsia" w:ascii="宋体" w:hAnsi="宋体"/>
          <w:color w:val="000000"/>
          <w:sz w:val="24"/>
        </w:rPr>
        <w:t>达标后外排</w:t>
      </w:r>
      <w:r>
        <w:rPr>
          <w:rFonts w:ascii="宋体" w:hAnsi="宋体"/>
          <w:color w:val="000000"/>
          <w:sz w:val="24"/>
        </w:rPr>
        <w:t>。根据《饮食业油烟排放标准》(GB18483-2001)的中型规模标准(本项目食堂折合基准灶头数为5)，</w:t>
      </w:r>
      <w:r>
        <w:rPr>
          <w:rFonts w:hint="eastAsia" w:ascii="宋体" w:hAnsi="宋体"/>
          <w:color w:val="000000"/>
          <w:sz w:val="24"/>
        </w:rPr>
        <w:t>一般油烟挥发量占总耗油量的2-4%，平均为2.83%。餐饮油烟废气处理后，通过专用烟道引至楼顶高空排放，其去除效率按85%计。则本项目的年总食用油耗量为3.83t/a，油烟产生量为0.11t/a，排放量为0.0165t/a，本项目厨房每天工作9h，项目采用的油烟净化器风量为10000m</w:t>
      </w:r>
      <w:r>
        <w:rPr>
          <w:rFonts w:hint="eastAsia" w:ascii="宋体" w:hAnsi="宋体"/>
          <w:color w:val="000000"/>
          <w:sz w:val="24"/>
          <w:vertAlign w:val="superscript"/>
        </w:rPr>
        <w:t>3</w:t>
      </w:r>
      <w:r>
        <w:rPr>
          <w:rFonts w:hint="eastAsia" w:ascii="宋体" w:hAnsi="宋体"/>
          <w:color w:val="000000"/>
          <w:sz w:val="24"/>
        </w:rPr>
        <w:t>/h，油烟产生浓度为3.35mg/m</w:t>
      </w:r>
      <w:r>
        <w:rPr>
          <w:rFonts w:hint="eastAsia" w:ascii="宋体" w:hAnsi="宋体"/>
          <w:color w:val="000000"/>
          <w:sz w:val="24"/>
          <w:vertAlign w:val="superscript"/>
        </w:rPr>
        <w:t>3</w:t>
      </w:r>
      <w:r>
        <w:rPr>
          <w:rFonts w:hint="eastAsia" w:ascii="宋体" w:hAnsi="宋体"/>
          <w:color w:val="000000"/>
          <w:sz w:val="24"/>
        </w:rPr>
        <w:t>，油烟排放浓度为0.51mg/m</w:t>
      </w:r>
      <w:r>
        <w:rPr>
          <w:rFonts w:hint="eastAsia" w:ascii="宋体" w:hAnsi="宋体"/>
          <w:color w:val="000000"/>
          <w:sz w:val="24"/>
          <w:vertAlign w:val="superscript"/>
        </w:rPr>
        <w:t>3</w:t>
      </w:r>
      <w:r>
        <w:rPr>
          <w:rFonts w:hint="eastAsia" w:ascii="宋体" w:hAnsi="宋体"/>
          <w:color w:val="000000"/>
          <w:sz w:val="24"/>
        </w:rPr>
        <w:t>。厨房作业时产生的油烟废气排放浓度可以达到GB18483-2001《饮食业油烟排放标准》的排放要求。厨房作业时产生的油烟废气排放浓度达到GB 18483-2001《饮食业油烟排放标准》的排放要求。</w:t>
      </w:r>
    </w:p>
    <w:p w14:paraId="2825298E">
      <w:pPr>
        <w:spacing w:line="360" w:lineRule="auto"/>
        <w:ind w:firstLine="480"/>
        <w:rPr>
          <w:rFonts w:hint="eastAsia" w:ascii="宋体" w:hAnsi="宋体"/>
          <w:color w:val="000000"/>
          <w:sz w:val="24"/>
        </w:rPr>
      </w:pPr>
      <w:r>
        <w:rPr>
          <w:rFonts w:hint="eastAsia" w:ascii="宋体" w:hAnsi="宋体"/>
          <w:color w:val="000000"/>
          <w:sz w:val="24"/>
        </w:rPr>
        <w:t>（2）污水处理站恶臭</w:t>
      </w:r>
    </w:p>
    <w:p w14:paraId="0C994514">
      <w:pPr>
        <w:pStyle w:val="197"/>
        <w:spacing w:after="0" w:line="360" w:lineRule="auto"/>
        <w:ind w:left="0" w:firstLine="480"/>
        <w:rPr>
          <w:rFonts w:hint="eastAsia" w:ascii="宋体" w:hAnsi="宋体"/>
          <w:color w:val="000000"/>
          <w:sz w:val="24"/>
        </w:rPr>
      </w:pPr>
      <w:r>
        <w:rPr>
          <w:rFonts w:hint="eastAsia" w:ascii="宋体" w:hAnsi="宋体"/>
          <w:color w:val="000000"/>
          <w:sz w:val="24"/>
        </w:rPr>
        <w:t>运营期恶臭气体主要产生于原水、格栅、生化池、污泥池等处。</w:t>
      </w:r>
    </w:p>
    <w:p w14:paraId="50699CDF">
      <w:pPr>
        <w:pStyle w:val="197"/>
        <w:spacing w:after="0" w:line="360" w:lineRule="auto"/>
        <w:ind w:left="0" w:firstLine="480"/>
        <w:rPr>
          <w:rFonts w:hint="eastAsia" w:ascii="宋体" w:hAnsi="宋体"/>
          <w:color w:val="000000"/>
          <w:sz w:val="24"/>
        </w:rPr>
      </w:pPr>
      <w:r>
        <w:rPr>
          <w:rFonts w:hint="eastAsia" w:ascii="宋体" w:hAnsi="宋体"/>
          <w:color w:val="000000"/>
          <w:sz w:val="24"/>
        </w:rPr>
        <w:t>在污水处理过程中恶臭气体以无组织形式进入大气而污染环境。恶臭气体的主要成分为氨、硫化氢、臭气、甲硫醇等。</w:t>
      </w:r>
      <w:r>
        <w:rPr>
          <w:rFonts w:ascii="宋体" w:hAnsi="宋体"/>
          <w:color w:val="000000"/>
          <w:sz w:val="24"/>
        </w:rPr>
        <w:t>排放方式为无组织排放的面源污染。</w:t>
      </w:r>
    </w:p>
    <w:p w14:paraId="7287371F">
      <w:pPr>
        <w:pStyle w:val="197"/>
        <w:spacing w:after="0" w:line="360" w:lineRule="auto"/>
        <w:ind w:left="0" w:firstLine="480"/>
        <w:rPr>
          <w:rFonts w:hint="eastAsia" w:ascii="宋体" w:hAnsi="宋体"/>
          <w:color w:val="000000"/>
          <w:sz w:val="24"/>
        </w:rPr>
      </w:pPr>
      <w:r>
        <w:rPr>
          <w:rFonts w:hint="eastAsia" w:ascii="宋体" w:hAnsi="宋体"/>
          <w:color w:val="000000"/>
          <w:sz w:val="24"/>
        </w:rPr>
        <w:t>在没有采取任何防臭措施情况下，</w:t>
      </w:r>
      <w:r>
        <w:rPr>
          <w:rFonts w:ascii="宋体" w:hAnsi="宋体"/>
          <w:color w:val="000000"/>
          <w:sz w:val="24"/>
        </w:rPr>
        <w:t>臭气浓度随扩散距离的增大而衰减，</w:t>
      </w:r>
      <w:r>
        <w:rPr>
          <w:rFonts w:hint="eastAsia" w:ascii="宋体" w:hAnsi="宋体"/>
          <w:color w:val="000000"/>
          <w:sz w:val="24"/>
        </w:rPr>
        <w:t>一般小型污水处理厂，</w:t>
      </w:r>
      <w:r>
        <w:rPr>
          <w:rFonts w:ascii="宋体" w:hAnsi="宋体"/>
          <w:color w:val="000000"/>
          <w:sz w:val="24"/>
        </w:rPr>
        <w:t>50m外其影响明显减弱，距恶臭源200m基本无影响。</w:t>
      </w:r>
    </w:p>
    <w:p w14:paraId="17824241">
      <w:pPr>
        <w:pStyle w:val="197"/>
        <w:spacing w:after="0" w:line="360" w:lineRule="auto"/>
        <w:ind w:left="0" w:firstLine="480"/>
        <w:rPr>
          <w:rFonts w:hint="eastAsia" w:ascii="宋体" w:hAnsi="宋体"/>
          <w:color w:val="000000"/>
          <w:sz w:val="24"/>
        </w:rPr>
      </w:pPr>
      <w:r>
        <w:rPr>
          <w:rFonts w:hint="eastAsia" w:ascii="宋体" w:hAnsi="宋体"/>
          <w:color w:val="000000"/>
          <w:sz w:val="24"/>
        </w:rPr>
        <w:t>本项目医院废水处理站规模120m</w:t>
      </w:r>
      <w:r>
        <w:rPr>
          <w:rFonts w:hint="eastAsia" w:ascii="宋体" w:hAnsi="宋体"/>
          <w:color w:val="000000"/>
          <w:sz w:val="24"/>
          <w:vertAlign w:val="superscript"/>
        </w:rPr>
        <w:t>3</w:t>
      </w:r>
      <w:r>
        <w:rPr>
          <w:rFonts w:ascii="宋体" w:hAnsi="宋体"/>
          <w:color w:val="000000"/>
          <w:sz w:val="24"/>
        </w:rPr>
        <w:t>/d</w:t>
      </w:r>
      <w:r>
        <w:rPr>
          <w:rFonts w:hint="eastAsia" w:ascii="宋体" w:hAnsi="宋体"/>
          <w:color w:val="000000"/>
          <w:sz w:val="24"/>
        </w:rPr>
        <w:t>，设置在医院的北侧</w:t>
      </w:r>
      <w:r>
        <w:rPr>
          <w:rFonts w:ascii="宋体" w:hAnsi="宋体"/>
          <w:color w:val="000000"/>
          <w:sz w:val="24"/>
        </w:rPr>
        <w:t>，</w:t>
      </w:r>
      <w:r>
        <w:rPr>
          <w:rFonts w:hint="eastAsia" w:ascii="宋体" w:hAnsi="宋体"/>
          <w:color w:val="000000"/>
          <w:sz w:val="24"/>
        </w:rPr>
        <w:t>处理构筑物全部设置在地下，并设置除臭装置（臭氧消毒除臭法+活性炭吸附法），活性炭用量120kg/a。活性炭使用后统一由厂家回收再利用。</w:t>
      </w:r>
    </w:p>
    <w:p w14:paraId="3BCD87D5">
      <w:pPr>
        <w:pStyle w:val="197"/>
        <w:spacing w:after="0" w:line="360" w:lineRule="auto"/>
        <w:ind w:left="0" w:firstLine="480"/>
        <w:rPr>
          <w:rFonts w:hint="eastAsia" w:ascii="宋体" w:hAnsi="宋体"/>
          <w:color w:val="000000"/>
          <w:sz w:val="24"/>
        </w:rPr>
      </w:pPr>
      <w:r>
        <w:rPr>
          <w:rFonts w:ascii="宋体" w:hAnsi="宋体"/>
          <w:color w:val="000000"/>
          <w:sz w:val="24"/>
        </w:rPr>
        <w:t>通过类比调查，</w:t>
      </w:r>
      <w:r>
        <w:rPr>
          <w:rFonts w:hint="eastAsia" w:ascii="宋体" w:hAnsi="宋体"/>
          <w:color w:val="000000"/>
          <w:sz w:val="24"/>
        </w:rPr>
        <w:t>恶臭污染物源强NH</w:t>
      </w:r>
      <w:r>
        <w:rPr>
          <w:rFonts w:hint="eastAsia" w:ascii="宋体" w:hAnsi="宋体"/>
          <w:color w:val="000000"/>
          <w:sz w:val="24"/>
          <w:vertAlign w:val="subscript"/>
        </w:rPr>
        <w:t>3</w:t>
      </w:r>
      <w:r>
        <w:rPr>
          <w:rFonts w:hint="eastAsia" w:ascii="宋体" w:hAnsi="宋体"/>
          <w:color w:val="000000"/>
          <w:sz w:val="24"/>
        </w:rPr>
        <w:t>小于0</w:t>
      </w:r>
      <w:r>
        <w:rPr>
          <w:rFonts w:ascii="宋体" w:hAnsi="宋体"/>
          <w:color w:val="000000"/>
          <w:sz w:val="24"/>
        </w:rPr>
        <w:t>.</w:t>
      </w:r>
      <w:r>
        <w:rPr>
          <w:rFonts w:hint="eastAsia" w:ascii="宋体" w:hAnsi="宋体"/>
          <w:color w:val="000000"/>
          <w:sz w:val="24"/>
        </w:rPr>
        <w:t>03</w:t>
      </w:r>
      <w:r>
        <w:rPr>
          <w:rFonts w:ascii="宋体" w:hAnsi="宋体"/>
          <w:color w:val="000000"/>
          <w:sz w:val="24"/>
        </w:rPr>
        <w:t>kg/h，</w:t>
      </w:r>
      <w:r>
        <w:rPr>
          <w:rFonts w:hint="eastAsia" w:ascii="宋体" w:hAnsi="宋体"/>
          <w:color w:val="000000"/>
          <w:sz w:val="24"/>
        </w:rPr>
        <w:t>H</w:t>
      </w:r>
      <w:r>
        <w:rPr>
          <w:rFonts w:hint="eastAsia" w:ascii="宋体" w:hAnsi="宋体"/>
          <w:color w:val="000000"/>
          <w:sz w:val="24"/>
          <w:vertAlign w:val="subscript"/>
        </w:rPr>
        <w:t>2</w:t>
      </w:r>
      <w:r>
        <w:rPr>
          <w:rFonts w:hint="eastAsia" w:ascii="宋体" w:hAnsi="宋体"/>
          <w:color w:val="000000"/>
          <w:sz w:val="24"/>
        </w:rPr>
        <w:t>S小于</w:t>
      </w:r>
      <w:r>
        <w:rPr>
          <w:rFonts w:ascii="宋体" w:hAnsi="宋体"/>
          <w:color w:val="000000"/>
          <w:sz w:val="24"/>
        </w:rPr>
        <w:t>0.0</w:t>
      </w:r>
      <w:r>
        <w:rPr>
          <w:rFonts w:hint="eastAsia" w:ascii="宋体" w:hAnsi="宋体"/>
          <w:color w:val="000000"/>
          <w:sz w:val="24"/>
        </w:rPr>
        <w:t>01</w:t>
      </w:r>
      <w:r>
        <w:rPr>
          <w:rFonts w:ascii="宋体" w:hAnsi="宋体"/>
          <w:color w:val="000000"/>
          <w:sz w:val="24"/>
        </w:rPr>
        <w:t>kg/h。</w:t>
      </w:r>
      <w:r>
        <w:rPr>
          <w:rFonts w:hint="eastAsia" w:ascii="宋体" w:hAnsi="宋体"/>
          <w:color w:val="000000"/>
          <w:sz w:val="24"/>
        </w:rPr>
        <w:t>NH</w:t>
      </w:r>
      <w:r>
        <w:rPr>
          <w:rFonts w:hint="eastAsia" w:ascii="宋体" w:hAnsi="宋体"/>
          <w:color w:val="000000"/>
          <w:sz w:val="24"/>
          <w:vertAlign w:val="subscript"/>
        </w:rPr>
        <w:t>3</w:t>
      </w:r>
      <w:r>
        <w:rPr>
          <w:rFonts w:hint="eastAsia" w:ascii="宋体" w:hAnsi="宋体"/>
          <w:color w:val="000000"/>
          <w:sz w:val="24"/>
        </w:rPr>
        <w:t>、H</w:t>
      </w:r>
      <w:r>
        <w:rPr>
          <w:rFonts w:hint="eastAsia" w:ascii="宋体" w:hAnsi="宋体"/>
          <w:color w:val="000000"/>
          <w:sz w:val="24"/>
          <w:vertAlign w:val="subscript"/>
        </w:rPr>
        <w:t>2</w:t>
      </w:r>
      <w:r>
        <w:rPr>
          <w:rFonts w:hint="eastAsia" w:ascii="宋体" w:hAnsi="宋体"/>
          <w:color w:val="000000"/>
          <w:sz w:val="24"/>
        </w:rPr>
        <w:t>S排放浓度远小于《恶臭污染物排放标准》（GB14554-93）表1的一级标准。</w:t>
      </w:r>
      <w:r>
        <w:rPr>
          <w:rFonts w:ascii="宋体" w:hAnsi="宋体"/>
          <w:color w:val="000000"/>
          <w:sz w:val="24"/>
        </w:rPr>
        <w:t>依据</w:t>
      </w:r>
      <w:r>
        <w:rPr>
          <w:rFonts w:hint="eastAsia" w:ascii="宋体" w:hAnsi="宋体"/>
          <w:color w:val="000000"/>
          <w:sz w:val="24"/>
        </w:rPr>
        <w:t>《</w:t>
      </w:r>
      <w:r>
        <w:rPr>
          <w:rFonts w:ascii="宋体" w:hAnsi="宋体"/>
          <w:color w:val="000000"/>
          <w:sz w:val="24"/>
        </w:rPr>
        <w:t>制定地方大气污染物排放标准的技术方法</w:t>
      </w:r>
      <w:r>
        <w:rPr>
          <w:rFonts w:hint="eastAsia" w:ascii="宋体" w:hAnsi="宋体"/>
          <w:color w:val="000000"/>
          <w:sz w:val="24"/>
        </w:rPr>
        <w:t>》</w:t>
      </w:r>
      <w:r>
        <w:rPr>
          <w:rFonts w:ascii="宋体" w:hAnsi="宋体"/>
          <w:color w:val="000000"/>
          <w:sz w:val="24"/>
        </w:rPr>
        <w:t>（GB/T13201-91）中有害气体无组织排放控制与工业企业卫生防护距离标准的制定方法，</w:t>
      </w:r>
      <w:r>
        <w:rPr>
          <w:rFonts w:hint="eastAsia" w:ascii="宋体" w:hAnsi="宋体"/>
          <w:color w:val="000000"/>
          <w:sz w:val="24"/>
        </w:rPr>
        <w:t>计算公式：</w:t>
      </w:r>
    </w:p>
    <w:p w14:paraId="5D5502A2">
      <w:pPr>
        <w:pStyle w:val="197"/>
        <w:spacing w:after="0" w:line="360" w:lineRule="auto"/>
        <w:ind w:left="0"/>
        <w:rPr>
          <w:rFonts w:hint="eastAsia" w:ascii="宋体" w:hAnsi="宋体"/>
          <w:color w:val="000000"/>
          <w:sz w:val="24"/>
        </w:rPr>
      </w:pPr>
      <w:r>
        <w:rPr>
          <w:rFonts w:hint="eastAsia" w:ascii="宋体" w:hAnsi="宋体"/>
          <w:color w:val="000000"/>
          <w:sz w:val="24"/>
        </w:rPr>
        <w:drawing>
          <wp:inline distT="0" distB="0" distL="0" distR="0">
            <wp:extent cx="2771775" cy="731520"/>
            <wp:effectExtent l="0" t="0" r="0" b="0"/>
            <wp:docPr id="157" name="_x0000_i1368"/>
            <wp:cNvGraphicFramePr/>
            <a:graphic xmlns:a="http://schemas.openxmlformats.org/drawingml/2006/main">
              <a:graphicData uri="http://schemas.openxmlformats.org/drawingml/2006/picture">
                <pic:pic xmlns:pic="http://schemas.openxmlformats.org/drawingml/2006/picture">
                  <pic:nvPicPr>
                    <pic:cNvPr id="157" name="_x0000_i1368"/>
                    <pic:cNvPicPr/>
                  </pic:nvPicPr>
                  <pic:blipFill>
                    <a:blip r:embed="rId22"/>
                    <a:stretch>
                      <a:fillRect/>
                    </a:stretch>
                  </pic:blipFill>
                  <pic:spPr>
                    <a:xfrm>
                      <a:off x="0" y="0"/>
                      <a:ext cx="2771775" cy="732136"/>
                    </a:xfrm>
                    <a:prstGeom prst="rect">
                      <a:avLst/>
                    </a:prstGeom>
                    <a:noFill/>
                    <a:ln>
                      <a:noFill/>
                    </a:ln>
                  </pic:spPr>
                </pic:pic>
              </a:graphicData>
            </a:graphic>
          </wp:inline>
        </w:drawing>
      </w:r>
    </w:p>
    <w:p w14:paraId="0F34707D">
      <w:pPr>
        <w:pStyle w:val="197"/>
        <w:spacing w:after="0" w:line="360" w:lineRule="auto"/>
        <w:ind w:left="0" w:firstLine="480"/>
        <w:rPr>
          <w:rFonts w:hint="eastAsia" w:ascii="宋体" w:hAnsi="宋体"/>
          <w:color w:val="000000"/>
          <w:sz w:val="24"/>
        </w:rPr>
      </w:pPr>
      <w:r>
        <w:rPr>
          <w:rFonts w:hint="eastAsia" w:ascii="宋体" w:hAnsi="宋体"/>
          <w:color w:val="000000"/>
          <w:sz w:val="24"/>
        </w:rPr>
        <w:t>式中：Cm</w:t>
      </w:r>
      <w:r>
        <w:rPr>
          <w:rFonts w:ascii="宋体" w:hAnsi="宋体"/>
          <w:color w:val="000000"/>
          <w:sz w:val="24"/>
        </w:rPr>
        <w:t>—</w:t>
      </w:r>
      <w:r>
        <w:rPr>
          <w:rFonts w:hint="eastAsia" w:ascii="宋体" w:hAnsi="宋体"/>
          <w:color w:val="000000"/>
          <w:sz w:val="24"/>
        </w:rPr>
        <w:t>标准浓度限值，mg/m</w:t>
      </w:r>
      <w:r>
        <w:rPr>
          <w:rFonts w:hint="eastAsia" w:ascii="宋体" w:hAnsi="宋体"/>
          <w:color w:val="000000"/>
          <w:sz w:val="24"/>
          <w:vertAlign w:val="superscript"/>
        </w:rPr>
        <w:t>3</w:t>
      </w:r>
      <w:r>
        <w:rPr>
          <w:rFonts w:hint="eastAsia" w:ascii="宋体" w:hAnsi="宋体"/>
          <w:color w:val="000000"/>
          <w:sz w:val="24"/>
        </w:rPr>
        <w:t>；</w:t>
      </w:r>
    </w:p>
    <w:p w14:paraId="0B49671C">
      <w:pPr>
        <w:pStyle w:val="197"/>
        <w:spacing w:after="0" w:line="360" w:lineRule="auto"/>
        <w:ind w:left="0" w:firstLine="480"/>
        <w:rPr>
          <w:rFonts w:hint="eastAsia" w:ascii="宋体" w:hAnsi="宋体"/>
          <w:color w:val="000000"/>
          <w:sz w:val="24"/>
        </w:rPr>
      </w:pPr>
      <w:r>
        <w:rPr>
          <w:rFonts w:hint="eastAsia" w:ascii="宋体" w:hAnsi="宋体"/>
          <w:color w:val="000000"/>
          <w:sz w:val="24"/>
        </w:rPr>
        <w:t xml:space="preserve">       L</w:t>
      </w:r>
      <w:r>
        <w:rPr>
          <w:rFonts w:ascii="宋体" w:hAnsi="宋体"/>
          <w:color w:val="000000"/>
          <w:sz w:val="24"/>
        </w:rPr>
        <w:t>—</w:t>
      </w:r>
      <w:r>
        <w:rPr>
          <w:rFonts w:hint="eastAsia" w:ascii="宋体" w:hAnsi="宋体"/>
          <w:color w:val="000000"/>
          <w:sz w:val="24"/>
        </w:rPr>
        <w:t>工业企业所需要的卫生防护距离；</w:t>
      </w:r>
    </w:p>
    <w:p w14:paraId="22076E0A">
      <w:pPr>
        <w:pStyle w:val="197"/>
        <w:spacing w:after="0" w:line="360" w:lineRule="auto"/>
        <w:ind w:left="0" w:firstLine="480"/>
        <w:rPr>
          <w:rFonts w:hint="eastAsia" w:ascii="宋体" w:hAnsi="宋体"/>
          <w:color w:val="000000"/>
          <w:sz w:val="24"/>
        </w:rPr>
      </w:pPr>
      <w:r>
        <w:rPr>
          <w:rFonts w:hint="eastAsia" w:ascii="宋体" w:hAnsi="宋体"/>
          <w:color w:val="000000"/>
          <w:sz w:val="24"/>
        </w:rPr>
        <w:t xml:space="preserve">       r</w:t>
      </w:r>
      <w:r>
        <w:rPr>
          <w:rFonts w:ascii="宋体" w:hAnsi="宋体"/>
          <w:color w:val="000000"/>
          <w:sz w:val="24"/>
        </w:rPr>
        <w:t>—</w:t>
      </w:r>
      <w:r>
        <w:rPr>
          <w:rFonts w:hint="eastAsia" w:ascii="宋体" w:hAnsi="宋体"/>
          <w:color w:val="000000"/>
          <w:sz w:val="24"/>
        </w:rPr>
        <w:t>有害气体无组织排放源所在生产单位的等效半径，m；</w:t>
      </w:r>
    </w:p>
    <w:p w14:paraId="0CC5242F">
      <w:pPr>
        <w:pStyle w:val="197"/>
        <w:spacing w:after="0" w:line="360" w:lineRule="auto"/>
        <w:ind w:left="0" w:firstLine="480"/>
        <w:rPr>
          <w:rFonts w:hint="eastAsia" w:ascii="宋体" w:hAnsi="宋体"/>
          <w:color w:val="000000"/>
          <w:sz w:val="24"/>
        </w:rPr>
      </w:pPr>
      <w:r>
        <w:rPr>
          <w:rFonts w:hint="eastAsia" w:ascii="宋体" w:hAnsi="宋体"/>
          <w:color w:val="000000"/>
          <w:sz w:val="24"/>
        </w:rPr>
        <w:t xml:space="preserve">       A、B、C、D</w:t>
      </w:r>
      <w:r>
        <w:rPr>
          <w:rFonts w:ascii="宋体" w:hAnsi="宋体"/>
          <w:color w:val="000000"/>
          <w:sz w:val="24"/>
        </w:rPr>
        <w:t>—</w:t>
      </w:r>
      <w:r>
        <w:rPr>
          <w:rFonts w:hint="eastAsia" w:ascii="宋体" w:hAnsi="宋体"/>
          <w:color w:val="000000"/>
          <w:sz w:val="24"/>
        </w:rPr>
        <w:t>卫生防护距离系数；</w:t>
      </w:r>
    </w:p>
    <w:p w14:paraId="0426019B">
      <w:pPr>
        <w:pStyle w:val="197"/>
        <w:spacing w:after="0" w:line="360" w:lineRule="auto"/>
        <w:ind w:left="0" w:firstLine="480"/>
        <w:rPr>
          <w:rFonts w:hint="eastAsia" w:ascii="宋体" w:hAnsi="宋体"/>
          <w:color w:val="000000"/>
          <w:sz w:val="24"/>
        </w:rPr>
      </w:pPr>
      <w:r>
        <w:rPr>
          <w:rFonts w:hint="eastAsia" w:ascii="宋体" w:hAnsi="宋体"/>
          <w:color w:val="000000"/>
          <w:sz w:val="24"/>
        </w:rPr>
        <w:t>通过公式估算，NH</w:t>
      </w:r>
      <w:r>
        <w:rPr>
          <w:rFonts w:hint="eastAsia" w:ascii="宋体" w:hAnsi="宋体"/>
          <w:color w:val="000000"/>
          <w:sz w:val="24"/>
          <w:vertAlign w:val="subscript"/>
        </w:rPr>
        <w:t>3</w:t>
      </w:r>
      <w:r>
        <w:rPr>
          <w:rFonts w:hint="eastAsia" w:ascii="宋体" w:hAnsi="宋体"/>
          <w:color w:val="000000"/>
          <w:sz w:val="24"/>
        </w:rPr>
        <w:t>的卫生防护距离小于10m，H</w:t>
      </w:r>
      <w:r>
        <w:rPr>
          <w:rFonts w:hint="eastAsia" w:ascii="宋体" w:hAnsi="宋体"/>
          <w:color w:val="000000"/>
          <w:sz w:val="24"/>
          <w:vertAlign w:val="subscript"/>
        </w:rPr>
        <w:t>2</w:t>
      </w:r>
      <w:r>
        <w:rPr>
          <w:rFonts w:hint="eastAsia" w:ascii="宋体" w:hAnsi="宋体"/>
          <w:color w:val="000000"/>
          <w:sz w:val="24"/>
        </w:rPr>
        <w:t>S的卫生防护距离更小</w:t>
      </w:r>
      <w:r>
        <w:rPr>
          <w:rFonts w:ascii="宋体" w:hAnsi="宋体"/>
          <w:color w:val="000000"/>
          <w:sz w:val="24"/>
        </w:rPr>
        <w:t>。</w:t>
      </w:r>
    </w:p>
    <w:p w14:paraId="732E86D5">
      <w:pPr>
        <w:spacing w:line="360" w:lineRule="auto"/>
        <w:ind w:firstLine="480"/>
        <w:rPr>
          <w:rFonts w:hint="eastAsia" w:ascii="宋体" w:hAnsi="宋体"/>
          <w:color w:val="000000"/>
          <w:sz w:val="24"/>
        </w:rPr>
      </w:pPr>
      <w:r>
        <w:rPr>
          <w:rFonts w:hint="eastAsia" w:ascii="宋体" w:hAnsi="宋体"/>
          <w:color w:val="000000"/>
          <w:sz w:val="24"/>
        </w:rPr>
        <w:t>针对臭气污染，项目从污水处理站位置进行优化，在地下建设，并设置专门的除臭装置，加强站区绿化，可有效防止臭气污染。通过采取措施后在10m以外，影响较小。</w:t>
      </w:r>
    </w:p>
    <w:p w14:paraId="1734786B">
      <w:pPr>
        <w:spacing w:line="360" w:lineRule="auto"/>
        <w:ind w:firstLine="480"/>
        <w:rPr>
          <w:rFonts w:hint="eastAsia" w:ascii="宋体" w:hAnsi="宋体"/>
          <w:color w:val="000000"/>
          <w:sz w:val="24"/>
        </w:rPr>
      </w:pPr>
      <w:r>
        <w:rPr>
          <w:rFonts w:hint="eastAsia" w:ascii="宋体" w:hAnsi="宋体"/>
          <w:color w:val="000000"/>
          <w:sz w:val="24"/>
        </w:rPr>
        <w:t>（3）生活垃圾箱臭气</w:t>
      </w:r>
    </w:p>
    <w:p w14:paraId="3FD90AB5">
      <w:pPr>
        <w:spacing w:line="360" w:lineRule="auto"/>
        <w:ind w:firstLine="480"/>
        <w:rPr>
          <w:rFonts w:hint="eastAsia" w:ascii="宋体" w:hAnsi="宋体"/>
          <w:color w:val="000000"/>
          <w:sz w:val="24"/>
        </w:rPr>
      </w:pPr>
      <w:r>
        <w:rPr>
          <w:rFonts w:hint="eastAsia" w:ascii="宋体" w:hAnsi="宋体"/>
          <w:color w:val="000000"/>
          <w:sz w:val="24"/>
        </w:rPr>
        <w:t>患者及陪护人员的生活垃圾经收集后临时堆放在医院的生活垃圾箱，堆放期间会有轻微臭味产生扩散到空气中，临时堆放时间较短，一般食品残渣还未变味发臭就由环卫部门运走处理，臭气产生量和排放量均很小。</w:t>
      </w:r>
    </w:p>
    <w:p w14:paraId="10CA9A56">
      <w:pPr>
        <w:spacing w:line="500" w:lineRule="exact"/>
        <w:ind w:firstLine="480"/>
        <w:rPr>
          <w:rFonts w:hint="eastAsia"/>
          <w:color w:val="000000"/>
          <w:sz w:val="24"/>
        </w:rPr>
      </w:pPr>
      <w:r>
        <w:rPr>
          <w:rFonts w:hint="eastAsia"/>
          <w:color w:val="000000"/>
          <w:sz w:val="24"/>
        </w:rPr>
        <w:t>（4）汽车尾气</w:t>
      </w:r>
    </w:p>
    <w:p w14:paraId="015AEF4D">
      <w:pPr>
        <w:spacing w:line="500" w:lineRule="exact"/>
        <w:ind w:firstLine="480"/>
        <w:rPr>
          <w:rFonts w:hint="eastAsia" w:ascii="宋体" w:hAnsi="宋体"/>
          <w:color w:val="000000"/>
          <w:sz w:val="24"/>
        </w:rPr>
      </w:pPr>
      <w:r>
        <w:rPr>
          <w:rFonts w:hint="eastAsia" w:ascii="宋体" w:hAnsi="宋体"/>
          <w:color w:val="000000"/>
          <w:sz w:val="24"/>
        </w:rPr>
        <w:t>本</w:t>
      </w:r>
      <w:r>
        <w:rPr>
          <w:rFonts w:ascii="宋体" w:hAnsi="宋体"/>
          <w:color w:val="000000"/>
          <w:sz w:val="24"/>
        </w:rPr>
        <w:t>项目停车场共设</w:t>
      </w:r>
      <w:r>
        <w:rPr>
          <w:rFonts w:hint="eastAsia" w:ascii="宋体" w:hAnsi="宋体"/>
          <w:color w:val="000000"/>
          <w:sz w:val="24"/>
        </w:rPr>
        <w:t>200</w:t>
      </w:r>
      <w:r>
        <w:rPr>
          <w:rFonts w:ascii="宋体" w:hAnsi="宋体"/>
          <w:color w:val="000000"/>
          <w:sz w:val="24"/>
        </w:rPr>
        <w:t>个</w:t>
      </w:r>
      <w:r>
        <w:rPr>
          <w:rFonts w:hint="eastAsia" w:ascii="宋体" w:hAnsi="宋体"/>
          <w:color w:val="000000"/>
          <w:sz w:val="24"/>
        </w:rPr>
        <w:t>车位（地上85个/地下115个）</w:t>
      </w:r>
      <w:r>
        <w:rPr>
          <w:rFonts w:ascii="宋体" w:hAnsi="宋体"/>
          <w:color w:val="000000"/>
          <w:sz w:val="24"/>
        </w:rPr>
        <w:t>，</w:t>
      </w:r>
      <w:r>
        <w:rPr>
          <w:rFonts w:hint="eastAsia" w:ascii="宋体" w:hAnsi="宋体"/>
          <w:color w:val="000000"/>
          <w:sz w:val="24"/>
        </w:rPr>
        <w:t>项目停车场将会产生一定浓度的汽车尾气，</w:t>
      </w:r>
      <w:r>
        <w:rPr>
          <w:rFonts w:ascii="宋体" w:hAnsi="宋体"/>
          <w:color w:val="000000"/>
          <w:sz w:val="24"/>
        </w:rPr>
        <w:t>汽车排放的废气主要集中于停车场，在汽车的启动和停放过程中产生，废气中主要污染物为CO、HC、NOx等。</w:t>
      </w:r>
      <w:r>
        <w:rPr>
          <w:rFonts w:hint="eastAsia" w:ascii="宋体" w:hAnsi="宋体"/>
          <w:color w:val="000000"/>
          <w:sz w:val="24"/>
        </w:rPr>
        <w:t>项目地下停车场的汽车尾气经抽风机抽至地上排放。地下停车场各自设置相对独立的机械排风系统，严格按照设计要求排气设计每小时换气不低于6次，保证满足《大气污染物综合排放标准》中的2级标准。项目地下车场排气口设置于地面2.5m以上要求地下排气口的位置要避开建筑的窗户等。</w:t>
      </w:r>
      <w:r>
        <w:rPr>
          <w:rFonts w:ascii="宋体" w:hAnsi="宋体"/>
          <w:color w:val="000000"/>
          <w:sz w:val="24"/>
        </w:rPr>
        <w:t>类比北京市停车场单车尾气排放量计，地上停车场大气污染物排放量见表</w:t>
      </w:r>
      <w:r>
        <w:rPr>
          <w:rFonts w:hint="eastAsia" w:ascii="宋体" w:hAnsi="宋体"/>
          <w:color w:val="000000"/>
          <w:sz w:val="24"/>
        </w:rPr>
        <w:t>3.7-3</w:t>
      </w:r>
      <w:r>
        <w:rPr>
          <w:rFonts w:ascii="宋体" w:hAnsi="宋体"/>
          <w:color w:val="000000"/>
          <w:sz w:val="24"/>
        </w:rPr>
        <w:t>。</w:t>
      </w:r>
    </w:p>
    <w:p w14:paraId="7C2CD2BF">
      <w:pPr>
        <w:spacing w:line="360" w:lineRule="auto"/>
        <w:jc w:val="center"/>
        <w:rPr>
          <w:rFonts w:hint="eastAsia" w:ascii="宋体" w:hAnsi="宋体"/>
          <w:b/>
          <w:color w:val="000000"/>
          <w:sz w:val="24"/>
        </w:rPr>
      </w:pPr>
      <w:r>
        <w:rPr>
          <w:rFonts w:ascii="宋体" w:hAnsi="宋体"/>
          <w:b/>
          <w:color w:val="000000"/>
          <w:sz w:val="24"/>
        </w:rPr>
        <w:t>表3</w:t>
      </w:r>
      <w:r>
        <w:rPr>
          <w:rFonts w:hint="eastAsia" w:ascii="宋体" w:hAnsi="宋体"/>
          <w:b/>
          <w:color w:val="000000"/>
          <w:sz w:val="24"/>
        </w:rPr>
        <w:t>.7-3</w:t>
      </w:r>
      <w:r>
        <w:rPr>
          <w:rFonts w:ascii="宋体" w:hAnsi="宋体"/>
          <w:b/>
          <w:color w:val="000000"/>
          <w:sz w:val="24"/>
        </w:rPr>
        <w:t xml:space="preserve">  停车场大气污染物排放</w:t>
      </w:r>
    </w:p>
    <w:tbl>
      <w:tblPr>
        <w:tblStyle w:val="27"/>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2731"/>
        <w:gridCol w:w="941"/>
        <w:gridCol w:w="1491"/>
        <w:gridCol w:w="1683"/>
        <w:gridCol w:w="1682"/>
      </w:tblGrid>
      <w:tr w14:paraId="292274C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5" w:hRule="atLeast"/>
          <w:jc w:val="center"/>
        </w:trPr>
        <w:tc>
          <w:tcPr>
            <w:tcW w:w="2731" w:type="dxa"/>
            <w:noWrap w:val="0"/>
            <w:vAlign w:val="center"/>
          </w:tcPr>
          <w:p w14:paraId="59F5D6AB">
            <w:pPr>
              <w:spacing w:line="360" w:lineRule="exact"/>
              <w:jc w:val="center"/>
              <w:rPr>
                <w:rFonts w:ascii="宋体" w:hAnsi="宋体"/>
                <w:color w:val="000000"/>
              </w:rPr>
            </w:pPr>
          </w:p>
        </w:tc>
        <w:tc>
          <w:tcPr>
            <w:tcW w:w="941" w:type="dxa"/>
            <w:noWrap w:val="0"/>
            <w:vAlign w:val="center"/>
          </w:tcPr>
          <w:p w14:paraId="456D9C55">
            <w:pPr>
              <w:spacing w:line="360" w:lineRule="exact"/>
              <w:jc w:val="center"/>
              <w:rPr>
                <w:rFonts w:ascii="宋体" w:hAnsi="宋体"/>
                <w:color w:val="000000"/>
              </w:rPr>
            </w:pPr>
            <w:r>
              <w:rPr>
                <w:rFonts w:ascii="宋体" w:hAnsi="宋体"/>
                <w:color w:val="000000"/>
              </w:rPr>
              <w:t>总烃</w:t>
            </w:r>
          </w:p>
        </w:tc>
        <w:tc>
          <w:tcPr>
            <w:tcW w:w="1491" w:type="dxa"/>
            <w:noWrap w:val="0"/>
            <w:vAlign w:val="center"/>
          </w:tcPr>
          <w:p w14:paraId="16D71C3F">
            <w:pPr>
              <w:spacing w:line="360" w:lineRule="exact"/>
              <w:jc w:val="center"/>
              <w:rPr>
                <w:rFonts w:ascii="宋体" w:hAnsi="宋体"/>
                <w:color w:val="000000"/>
              </w:rPr>
            </w:pPr>
            <w:r>
              <w:rPr>
                <w:rFonts w:ascii="宋体" w:hAnsi="宋体"/>
                <w:color w:val="000000"/>
              </w:rPr>
              <w:t>CO</w:t>
            </w:r>
          </w:p>
        </w:tc>
        <w:tc>
          <w:tcPr>
            <w:tcW w:w="1683" w:type="dxa"/>
            <w:noWrap w:val="0"/>
            <w:vAlign w:val="center"/>
          </w:tcPr>
          <w:p w14:paraId="03555DB8">
            <w:pPr>
              <w:spacing w:line="360" w:lineRule="exact"/>
              <w:jc w:val="center"/>
              <w:rPr>
                <w:rFonts w:ascii="宋体" w:hAnsi="宋体"/>
                <w:color w:val="000000"/>
                <w:vertAlign w:val="subscript"/>
              </w:rPr>
            </w:pPr>
            <w:r>
              <w:rPr>
                <w:rFonts w:ascii="宋体" w:hAnsi="宋体"/>
                <w:color w:val="000000"/>
              </w:rPr>
              <w:t>NO</w:t>
            </w:r>
            <w:r>
              <w:rPr>
                <w:rFonts w:ascii="宋体" w:hAnsi="宋体"/>
                <w:color w:val="000000"/>
                <w:vertAlign w:val="subscript"/>
              </w:rPr>
              <w:t>X</w:t>
            </w:r>
          </w:p>
        </w:tc>
        <w:tc>
          <w:tcPr>
            <w:tcW w:w="1682" w:type="dxa"/>
            <w:noWrap w:val="0"/>
            <w:vAlign w:val="center"/>
          </w:tcPr>
          <w:p w14:paraId="4EFD681D">
            <w:pPr>
              <w:spacing w:line="360" w:lineRule="exact"/>
              <w:jc w:val="center"/>
              <w:rPr>
                <w:rFonts w:ascii="宋体" w:hAnsi="宋体"/>
                <w:color w:val="000000"/>
                <w:vertAlign w:val="subscript"/>
              </w:rPr>
            </w:pPr>
            <w:r>
              <w:rPr>
                <w:rFonts w:ascii="宋体" w:hAnsi="宋体"/>
                <w:color w:val="000000"/>
              </w:rPr>
              <w:t>NO</w:t>
            </w:r>
            <w:r>
              <w:rPr>
                <w:rFonts w:ascii="宋体" w:hAnsi="宋体"/>
                <w:color w:val="000000"/>
                <w:vertAlign w:val="subscript"/>
              </w:rPr>
              <w:t>2</w:t>
            </w:r>
          </w:p>
        </w:tc>
      </w:tr>
      <w:tr w14:paraId="7BD012B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35" w:hRule="atLeast"/>
          <w:jc w:val="center"/>
        </w:trPr>
        <w:tc>
          <w:tcPr>
            <w:tcW w:w="2731" w:type="dxa"/>
            <w:noWrap w:val="0"/>
            <w:vAlign w:val="center"/>
          </w:tcPr>
          <w:p w14:paraId="717AE8C2">
            <w:pPr>
              <w:spacing w:line="360" w:lineRule="exact"/>
              <w:jc w:val="center"/>
              <w:rPr>
                <w:rFonts w:ascii="宋体" w:hAnsi="宋体"/>
                <w:color w:val="000000"/>
              </w:rPr>
            </w:pPr>
            <w:r>
              <w:rPr>
                <w:rFonts w:ascii="宋体" w:hAnsi="宋体"/>
                <w:color w:val="000000"/>
              </w:rPr>
              <w:t>单车排放（g/h）</w:t>
            </w:r>
          </w:p>
        </w:tc>
        <w:tc>
          <w:tcPr>
            <w:tcW w:w="941" w:type="dxa"/>
            <w:noWrap w:val="0"/>
            <w:vAlign w:val="center"/>
          </w:tcPr>
          <w:p w14:paraId="105FED7B">
            <w:pPr>
              <w:spacing w:line="360" w:lineRule="exact"/>
              <w:jc w:val="center"/>
              <w:rPr>
                <w:rFonts w:ascii="宋体" w:hAnsi="宋体"/>
                <w:color w:val="000000"/>
              </w:rPr>
            </w:pPr>
            <w:r>
              <w:rPr>
                <w:rFonts w:ascii="宋体" w:hAnsi="宋体"/>
                <w:color w:val="000000"/>
              </w:rPr>
              <w:t>1.6</w:t>
            </w:r>
          </w:p>
        </w:tc>
        <w:tc>
          <w:tcPr>
            <w:tcW w:w="1491" w:type="dxa"/>
            <w:noWrap w:val="0"/>
            <w:vAlign w:val="center"/>
          </w:tcPr>
          <w:p w14:paraId="4D9613A0">
            <w:pPr>
              <w:spacing w:line="360" w:lineRule="exact"/>
              <w:jc w:val="center"/>
              <w:rPr>
                <w:rFonts w:ascii="宋体" w:hAnsi="宋体"/>
                <w:color w:val="000000"/>
              </w:rPr>
            </w:pPr>
            <w:r>
              <w:rPr>
                <w:rFonts w:ascii="宋体" w:hAnsi="宋体"/>
                <w:color w:val="000000"/>
              </w:rPr>
              <w:t>3.8</w:t>
            </w:r>
          </w:p>
        </w:tc>
        <w:tc>
          <w:tcPr>
            <w:tcW w:w="1683" w:type="dxa"/>
            <w:noWrap w:val="0"/>
            <w:vAlign w:val="center"/>
          </w:tcPr>
          <w:p w14:paraId="2A9B205F">
            <w:pPr>
              <w:spacing w:line="360" w:lineRule="exact"/>
              <w:jc w:val="center"/>
              <w:rPr>
                <w:rFonts w:ascii="宋体" w:hAnsi="宋体"/>
                <w:color w:val="000000"/>
              </w:rPr>
            </w:pPr>
            <w:r>
              <w:rPr>
                <w:rFonts w:ascii="宋体" w:hAnsi="宋体"/>
                <w:color w:val="000000"/>
              </w:rPr>
              <w:t>0.25</w:t>
            </w:r>
          </w:p>
        </w:tc>
        <w:tc>
          <w:tcPr>
            <w:tcW w:w="1682" w:type="dxa"/>
            <w:noWrap w:val="0"/>
            <w:vAlign w:val="center"/>
          </w:tcPr>
          <w:p w14:paraId="18C34341">
            <w:pPr>
              <w:spacing w:line="360" w:lineRule="exact"/>
              <w:jc w:val="center"/>
              <w:rPr>
                <w:rFonts w:ascii="宋体" w:hAnsi="宋体"/>
                <w:color w:val="000000"/>
              </w:rPr>
            </w:pPr>
            <w:r>
              <w:rPr>
                <w:rFonts w:ascii="宋体" w:hAnsi="宋体"/>
                <w:color w:val="000000"/>
              </w:rPr>
              <w:t>0.077</w:t>
            </w:r>
          </w:p>
        </w:tc>
      </w:tr>
      <w:tr w14:paraId="73531A9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80" w:hRule="atLeast"/>
          <w:jc w:val="center"/>
        </w:trPr>
        <w:tc>
          <w:tcPr>
            <w:tcW w:w="2731" w:type="dxa"/>
            <w:noWrap w:val="0"/>
            <w:vAlign w:val="center"/>
          </w:tcPr>
          <w:p w14:paraId="787F549B">
            <w:pPr>
              <w:spacing w:line="360" w:lineRule="exact"/>
              <w:jc w:val="center"/>
              <w:rPr>
                <w:rFonts w:ascii="宋体" w:hAnsi="宋体"/>
                <w:color w:val="000000"/>
              </w:rPr>
            </w:pPr>
            <w:r>
              <w:rPr>
                <w:rFonts w:ascii="宋体" w:hAnsi="宋体"/>
                <w:color w:val="000000"/>
              </w:rPr>
              <w:t>停车场排放总量(</w:t>
            </w:r>
            <w:r>
              <w:rPr>
                <w:rFonts w:hint="eastAsia" w:ascii="宋体" w:hAnsi="宋体"/>
                <w:color w:val="000000"/>
              </w:rPr>
              <w:t>k</w:t>
            </w:r>
            <w:r>
              <w:rPr>
                <w:rFonts w:ascii="宋体" w:hAnsi="宋体"/>
                <w:color w:val="000000"/>
              </w:rPr>
              <w:t>g/h)</w:t>
            </w:r>
          </w:p>
        </w:tc>
        <w:tc>
          <w:tcPr>
            <w:tcW w:w="941" w:type="dxa"/>
            <w:noWrap w:val="0"/>
            <w:vAlign w:val="center"/>
          </w:tcPr>
          <w:p w14:paraId="05FD40C3">
            <w:pPr>
              <w:spacing w:line="360" w:lineRule="exact"/>
              <w:jc w:val="center"/>
              <w:rPr>
                <w:rFonts w:ascii="宋体" w:hAnsi="宋体"/>
                <w:color w:val="000000"/>
              </w:rPr>
            </w:pPr>
            <w:r>
              <w:rPr>
                <w:rFonts w:hint="eastAsia" w:ascii="宋体" w:hAnsi="宋体"/>
                <w:color w:val="000000"/>
              </w:rPr>
              <w:t>0.32</w:t>
            </w:r>
          </w:p>
        </w:tc>
        <w:tc>
          <w:tcPr>
            <w:tcW w:w="1491" w:type="dxa"/>
            <w:noWrap w:val="0"/>
            <w:vAlign w:val="center"/>
          </w:tcPr>
          <w:p w14:paraId="1F61FE8A">
            <w:pPr>
              <w:spacing w:line="360" w:lineRule="exact"/>
              <w:jc w:val="center"/>
              <w:rPr>
                <w:rFonts w:ascii="宋体" w:hAnsi="宋体"/>
                <w:color w:val="000000"/>
              </w:rPr>
            </w:pPr>
            <w:r>
              <w:rPr>
                <w:rFonts w:hint="eastAsia" w:ascii="宋体" w:hAnsi="宋体"/>
                <w:color w:val="000000"/>
              </w:rPr>
              <w:t>0.76</w:t>
            </w:r>
          </w:p>
        </w:tc>
        <w:tc>
          <w:tcPr>
            <w:tcW w:w="1683" w:type="dxa"/>
            <w:noWrap w:val="0"/>
            <w:vAlign w:val="center"/>
          </w:tcPr>
          <w:p w14:paraId="17A8DCDE">
            <w:pPr>
              <w:spacing w:line="360" w:lineRule="exact"/>
              <w:jc w:val="center"/>
              <w:rPr>
                <w:rFonts w:ascii="宋体" w:hAnsi="宋体"/>
                <w:color w:val="000000"/>
              </w:rPr>
            </w:pPr>
            <w:r>
              <w:rPr>
                <w:rFonts w:hint="eastAsia" w:ascii="宋体" w:hAnsi="宋体"/>
                <w:color w:val="000000"/>
              </w:rPr>
              <w:t>0.05</w:t>
            </w:r>
          </w:p>
        </w:tc>
        <w:tc>
          <w:tcPr>
            <w:tcW w:w="1682" w:type="dxa"/>
            <w:noWrap w:val="0"/>
            <w:vAlign w:val="center"/>
          </w:tcPr>
          <w:p w14:paraId="4860BBFF">
            <w:pPr>
              <w:spacing w:line="360" w:lineRule="exact"/>
              <w:jc w:val="center"/>
              <w:rPr>
                <w:rFonts w:ascii="宋体" w:hAnsi="宋体"/>
                <w:color w:val="000000"/>
              </w:rPr>
            </w:pPr>
            <w:r>
              <w:rPr>
                <w:rFonts w:hint="eastAsia" w:ascii="宋体" w:hAnsi="宋体"/>
                <w:color w:val="000000"/>
              </w:rPr>
              <w:t>0.0154</w:t>
            </w:r>
          </w:p>
        </w:tc>
      </w:tr>
    </w:tbl>
    <w:p w14:paraId="23D1A0DE">
      <w:pPr>
        <w:spacing w:line="500" w:lineRule="exact"/>
        <w:ind w:firstLine="480"/>
        <w:rPr>
          <w:rFonts w:hint="eastAsia"/>
          <w:color w:val="000000"/>
          <w:sz w:val="24"/>
        </w:rPr>
      </w:pPr>
      <w:r>
        <w:rPr>
          <w:rFonts w:hint="eastAsia"/>
          <w:color w:val="000000"/>
          <w:sz w:val="24"/>
        </w:rPr>
        <w:t>（5）备用柴油发电机废气</w:t>
      </w:r>
    </w:p>
    <w:p w14:paraId="79D57993">
      <w:pPr>
        <w:spacing w:line="500" w:lineRule="exact"/>
        <w:ind w:firstLine="480"/>
        <w:rPr>
          <w:rFonts w:hint="eastAsia" w:ascii="宋体" w:hAnsi="宋体"/>
          <w:color w:val="000000"/>
          <w:sz w:val="24"/>
        </w:rPr>
      </w:pPr>
      <w:r>
        <w:rPr>
          <w:rFonts w:hint="eastAsia" w:ascii="宋体" w:hAnsi="宋体"/>
          <w:color w:val="000000"/>
          <w:sz w:val="24"/>
        </w:rPr>
        <w:t>按照项目设计，本项目备有2台200KW柴油发电机组为第三电源，在两路电源均停电的情况下保证重要医疗设备、消防设备、手术室等的供电，使用时间不能确定，产生的污染物主要为总烃、CO、NOx等，产生量不定，与机动车排放废气一致，发电机配有消声器和废气过滤棉，废气中污染物经过滤后由排气筒排出，发电机的排气筒连接到室外。</w:t>
      </w:r>
    </w:p>
    <w:p w14:paraId="761C0160">
      <w:pPr>
        <w:pStyle w:val="183"/>
        <w:ind w:firstLine="472"/>
        <w:rPr>
          <w:rFonts w:eastAsia="仿宋_GB2312"/>
          <w:color w:val="000000"/>
          <w:sz w:val="24"/>
          <w:szCs w:val="24"/>
        </w:rPr>
      </w:pPr>
      <w:bookmarkStart w:id="360" w:name="_Toc495500069"/>
      <w:r>
        <w:rPr>
          <w:rFonts w:eastAsia="仿宋_GB2312"/>
          <w:color w:val="000000"/>
          <w:sz w:val="24"/>
          <w:szCs w:val="24"/>
        </w:rPr>
        <w:t>3.7.3噪声</w:t>
      </w:r>
      <w:bookmarkEnd w:id="360"/>
    </w:p>
    <w:p w14:paraId="0DE02D89">
      <w:pPr>
        <w:spacing w:before="60" w:line="460" w:lineRule="exact"/>
        <w:ind w:firstLine="480"/>
        <w:rPr>
          <w:rFonts w:hint="eastAsia"/>
          <w:color w:val="000000"/>
          <w:sz w:val="24"/>
        </w:rPr>
      </w:pPr>
      <w:r>
        <w:rPr>
          <w:color w:val="000000"/>
          <w:sz w:val="24"/>
        </w:rPr>
        <w:t>本项目建成后，除交通噪声和人群活动噪声外，主要的噪声源来自项目建筑内的动力设备等，各设备噪声源强见表</w:t>
      </w:r>
      <w:r>
        <w:rPr>
          <w:rFonts w:hint="eastAsia"/>
          <w:color w:val="000000"/>
          <w:sz w:val="24"/>
        </w:rPr>
        <w:t>3.7</w:t>
      </w:r>
      <w:r>
        <w:rPr>
          <w:color w:val="000000"/>
          <w:sz w:val="24"/>
        </w:rPr>
        <w:t>-</w:t>
      </w:r>
      <w:r>
        <w:rPr>
          <w:rFonts w:hint="eastAsia"/>
          <w:color w:val="000000"/>
          <w:sz w:val="24"/>
        </w:rPr>
        <w:t>4</w:t>
      </w:r>
      <w:r>
        <w:rPr>
          <w:color w:val="000000"/>
          <w:sz w:val="24"/>
        </w:rPr>
        <w:t>。</w:t>
      </w:r>
    </w:p>
    <w:p w14:paraId="5FBDB0C6">
      <w:pPr>
        <w:spacing w:before="60" w:line="460" w:lineRule="exact"/>
        <w:ind w:firstLine="480"/>
        <w:rPr>
          <w:rFonts w:hint="eastAsia"/>
          <w:color w:val="000000"/>
          <w:sz w:val="24"/>
        </w:rPr>
      </w:pPr>
    </w:p>
    <w:p w14:paraId="4AC4906C">
      <w:pPr>
        <w:spacing w:line="360" w:lineRule="auto"/>
        <w:jc w:val="center"/>
        <w:rPr>
          <w:rFonts w:hint="eastAsia" w:ascii="宋体" w:hAnsi="宋体"/>
          <w:b/>
          <w:color w:val="000000"/>
          <w:sz w:val="24"/>
        </w:rPr>
      </w:pPr>
      <w:r>
        <w:rPr>
          <w:rFonts w:ascii="宋体" w:hAnsi="宋体"/>
          <w:b/>
          <w:color w:val="000000"/>
          <w:sz w:val="24"/>
        </w:rPr>
        <w:t>表</w:t>
      </w:r>
      <w:r>
        <w:rPr>
          <w:rFonts w:hint="eastAsia" w:ascii="宋体" w:hAnsi="宋体"/>
          <w:b/>
          <w:color w:val="000000"/>
          <w:sz w:val="24"/>
        </w:rPr>
        <w:t>3.7</w:t>
      </w:r>
      <w:r>
        <w:rPr>
          <w:rFonts w:ascii="宋体" w:hAnsi="宋体"/>
          <w:b/>
          <w:color w:val="000000"/>
          <w:sz w:val="24"/>
        </w:rPr>
        <w:t>-</w:t>
      </w:r>
      <w:r>
        <w:rPr>
          <w:rFonts w:hint="eastAsia" w:ascii="宋体" w:hAnsi="宋体"/>
          <w:b/>
          <w:color w:val="000000"/>
          <w:sz w:val="24"/>
        </w:rPr>
        <w:t>4</w:t>
      </w:r>
      <w:r>
        <w:rPr>
          <w:rFonts w:ascii="宋体" w:hAnsi="宋体"/>
          <w:b/>
          <w:color w:val="000000"/>
          <w:sz w:val="24"/>
        </w:rPr>
        <w:t xml:space="preserve">  项目建成后</w:t>
      </w:r>
      <w:r>
        <w:rPr>
          <w:rFonts w:hint="eastAsia" w:ascii="宋体" w:hAnsi="宋体"/>
          <w:b/>
          <w:color w:val="000000"/>
          <w:sz w:val="24"/>
        </w:rPr>
        <w:t>主要</w:t>
      </w:r>
      <w:r>
        <w:rPr>
          <w:rFonts w:ascii="宋体" w:hAnsi="宋体"/>
          <w:b/>
          <w:color w:val="000000"/>
          <w:sz w:val="24"/>
        </w:rPr>
        <w:t>噪声源</w:t>
      </w:r>
      <w:r>
        <w:rPr>
          <w:rFonts w:hint="eastAsia" w:ascii="宋体" w:hAnsi="宋体"/>
          <w:b/>
          <w:color w:val="000000"/>
          <w:sz w:val="24"/>
        </w:rPr>
        <w:t xml:space="preserve">   单位：</w:t>
      </w:r>
      <w:r>
        <w:rPr>
          <w:rFonts w:ascii="宋体" w:hAnsi="宋体"/>
          <w:b/>
          <w:color w:val="000000"/>
          <w:sz w:val="24"/>
        </w:rPr>
        <w:t>dB(A)</w:t>
      </w:r>
    </w:p>
    <w:tbl>
      <w:tblPr>
        <w:tblStyle w:val="27"/>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178"/>
        <w:gridCol w:w="2627"/>
        <w:gridCol w:w="1359"/>
        <w:gridCol w:w="1317"/>
        <w:gridCol w:w="2047"/>
      </w:tblGrid>
      <w:tr w14:paraId="32A6B19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178" w:type="dxa"/>
            <w:noWrap w:val="0"/>
            <w:vAlign w:val="center"/>
          </w:tcPr>
          <w:p w14:paraId="2D63BA88">
            <w:pPr>
              <w:spacing w:line="360" w:lineRule="exact"/>
              <w:ind w:left="-212" w:right="-162"/>
              <w:jc w:val="center"/>
              <w:rPr>
                <w:color w:val="000000"/>
              </w:rPr>
            </w:pPr>
            <w:r>
              <w:rPr>
                <w:color w:val="000000"/>
              </w:rPr>
              <w:t>序号</w:t>
            </w:r>
          </w:p>
        </w:tc>
        <w:tc>
          <w:tcPr>
            <w:tcW w:w="2627" w:type="dxa"/>
            <w:noWrap w:val="0"/>
            <w:vAlign w:val="center"/>
          </w:tcPr>
          <w:p w14:paraId="2FD9FBD3">
            <w:pPr>
              <w:spacing w:line="360" w:lineRule="exact"/>
              <w:ind w:left="-86" w:right="-118"/>
              <w:jc w:val="center"/>
              <w:rPr>
                <w:color w:val="000000"/>
              </w:rPr>
            </w:pPr>
            <w:r>
              <w:rPr>
                <w:color w:val="000000"/>
              </w:rPr>
              <w:t>设备名称</w:t>
            </w:r>
          </w:p>
        </w:tc>
        <w:tc>
          <w:tcPr>
            <w:tcW w:w="1359" w:type="dxa"/>
            <w:noWrap w:val="0"/>
            <w:vAlign w:val="top"/>
          </w:tcPr>
          <w:p w14:paraId="78A08D24">
            <w:pPr>
              <w:spacing w:line="360" w:lineRule="exact"/>
              <w:ind w:left="-181" w:right="-218" w:firstLine="8"/>
              <w:jc w:val="center"/>
              <w:rPr>
                <w:rFonts w:hint="eastAsia"/>
                <w:color w:val="000000"/>
              </w:rPr>
            </w:pPr>
            <w:r>
              <w:rPr>
                <w:rFonts w:hint="eastAsia"/>
                <w:color w:val="000000"/>
              </w:rPr>
              <w:t>数量</w:t>
            </w:r>
          </w:p>
        </w:tc>
        <w:tc>
          <w:tcPr>
            <w:tcW w:w="1317" w:type="dxa"/>
            <w:noWrap w:val="0"/>
            <w:vAlign w:val="center"/>
          </w:tcPr>
          <w:p w14:paraId="5BE3C3E3">
            <w:pPr>
              <w:spacing w:line="360" w:lineRule="exact"/>
              <w:ind w:left="-181" w:right="-218" w:firstLine="8"/>
              <w:jc w:val="center"/>
              <w:rPr>
                <w:color w:val="000000"/>
              </w:rPr>
            </w:pPr>
            <w:r>
              <w:rPr>
                <w:color w:val="000000"/>
              </w:rPr>
              <w:t>噪声级</w:t>
            </w:r>
          </w:p>
        </w:tc>
        <w:tc>
          <w:tcPr>
            <w:tcW w:w="2047" w:type="dxa"/>
            <w:noWrap w:val="0"/>
            <w:vAlign w:val="top"/>
          </w:tcPr>
          <w:p w14:paraId="03A099A6">
            <w:pPr>
              <w:spacing w:line="360" w:lineRule="exact"/>
              <w:jc w:val="center"/>
              <w:rPr>
                <w:rFonts w:hint="eastAsia"/>
                <w:color w:val="000000"/>
              </w:rPr>
            </w:pPr>
            <w:r>
              <w:rPr>
                <w:rFonts w:hint="eastAsia"/>
                <w:color w:val="000000"/>
              </w:rPr>
              <w:t>特性</w:t>
            </w:r>
          </w:p>
        </w:tc>
      </w:tr>
      <w:tr w14:paraId="2FFE29A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178" w:type="dxa"/>
            <w:noWrap w:val="0"/>
            <w:vAlign w:val="center"/>
          </w:tcPr>
          <w:p w14:paraId="1F4BCBD5">
            <w:pPr>
              <w:spacing w:line="360" w:lineRule="exact"/>
              <w:jc w:val="center"/>
              <w:rPr>
                <w:color w:val="000000"/>
              </w:rPr>
            </w:pPr>
            <w:r>
              <w:rPr>
                <w:color w:val="000000"/>
              </w:rPr>
              <w:t>1</w:t>
            </w:r>
          </w:p>
        </w:tc>
        <w:tc>
          <w:tcPr>
            <w:tcW w:w="2627" w:type="dxa"/>
            <w:noWrap w:val="0"/>
            <w:vAlign w:val="center"/>
          </w:tcPr>
          <w:p w14:paraId="6EA54BDC">
            <w:pPr>
              <w:spacing w:line="360" w:lineRule="exact"/>
              <w:jc w:val="center"/>
              <w:rPr>
                <w:rFonts w:hint="eastAsia"/>
                <w:color w:val="000000"/>
              </w:rPr>
            </w:pPr>
            <w:r>
              <w:rPr>
                <w:rFonts w:hint="eastAsia"/>
                <w:color w:val="000000"/>
              </w:rPr>
              <w:t>柴油发电机组</w:t>
            </w:r>
          </w:p>
        </w:tc>
        <w:tc>
          <w:tcPr>
            <w:tcW w:w="1359" w:type="dxa"/>
            <w:noWrap w:val="0"/>
            <w:vAlign w:val="top"/>
          </w:tcPr>
          <w:p w14:paraId="63425BED">
            <w:pPr>
              <w:spacing w:line="360" w:lineRule="exact"/>
              <w:jc w:val="center"/>
              <w:rPr>
                <w:rFonts w:hint="eastAsia"/>
                <w:color w:val="000000"/>
              </w:rPr>
            </w:pPr>
            <w:r>
              <w:rPr>
                <w:rFonts w:hint="eastAsia"/>
                <w:color w:val="000000"/>
              </w:rPr>
              <w:t>2台</w:t>
            </w:r>
          </w:p>
        </w:tc>
        <w:tc>
          <w:tcPr>
            <w:tcW w:w="1317" w:type="dxa"/>
            <w:noWrap w:val="0"/>
            <w:vAlign w:val="center"/>
          </w:tcPr>
          <w:p w14:paraId="56CB73A6">
            <w:pPr>
              <w:spacing w:line="360" w:lineRule="exact"/>
              <w:jc w:val="center"/>
              <w:rPr>
                <w:rFonts w:hint="eastAsia"/>
                <w:color w:val="000000"/>
              </w:rPr>
            </w:pPr>
            <w:r>
              <w:rPr>
                <w:rFonts w:hint="eastAsia"/>
                <w:color w:val="000000"/>
              </w:rPr>
              <w:t>100</w:t>
            </w:r>
          </w:p>
        </w:tc>
        <w:tc>
          <w:tcPr>
            <w:tcW w:w="2047" w:type="dxa"/>
            <w:noWrap w:val="0"/>
            <w:vAlign w:val="top"/>
          </w:tcPr>
          <w:p w14:paraId="6769B491">
            <w:pPr>
              <w:spacing w:line="360" w:lineRule="exact"/>
              <w:jc w:val="center"/>
              <w:rPr>
                <w:rFonts w:hint="eastAsia"/>
                <w:color w:val="000000"/>
              </w:rPr>
            </w:pPr>
            <w:r>
              <w:rPr>
                <w:rFonts w:hint="eastAsia"/>
                <w:color w:val="000000"/>
              </w:rPr>
              <w:t>连续，不常用</w:t>
            </w:r>
          </w:p>
        </w:tc>
      </w:tr>
      <w:tr w14:paraId="1128B77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178" w:type="dxa"/>
            <w:noWrap w:val="0"/>
            <w:vAlign w:val="center"/>
          </w:tcPr>
          <w:p w14:paraId="3B02A5C4">
            <w:pPr>
              <w:spacing w:line="360" w:lineRule="exact"/>
              <w:jc w:val="center"/>
              <w:rPr>
                <w:color w:val="000000"/>
              </w:rPr>
            </w:pPr>
            <w:r>
              <w:rPr>
                <w:color w:val="000000"/>
              </w:rPr>
              <w:t>2</w:t>
            </w:r>
          </w:p>
        </w:tc>
        <w:tc>
          <w:tcPr>
            <w:tcW w:w="2627" w:type="dxa"/>
            <w:noWrap w:val="0"/>
            <w:vAlign w:val="center"/>
          </w:tcPr>
          <w:p w14:paraId="08329D03">
            <w:pPr>
              <w:spacing w:line="360" w:lineRule="exact"/>
              <w:jc w:val="center"/>
              <w:rPr>
                <w:rFonts w:hint="eastAsia"/>
                <w:color w:val="000000"/>
              </w:rPr>
            </w:pPr>
            <w:r>
              <w:rPr>
                <w:rFonts w:hint="eastAsia"/>
                <w:color w:val="000000"/>
              </w:rPr>
              <w:t>污水处理站水泵</w:t>
            </w:r>
          </w:p>
        </w:tc>
        <w:tc>
          <w:tcPr>
            <w:tcW w:w="1359" w:type="dxa"/>
            <w:noWrap w:val="0"/>
            <w:vAlign w:val="top"/>
          </w:tcPr>
          <w:p w14:paraId="2C5F1532">
            <w:pPr>
              <w:spacing w:line="360" w:lineRule="exact"/>
              <w:jc w:val="center"/>
              <w:rPr>
                <w:rFonts w:hint="eastAsia"/>
                <w:color w:val="000000"/>
              </w:rPr>
            </w:pPr>
            <w:r>
              <w:rPr>
                <w:rFonts w:hint="eastAsia"/>
                <w:color w:val="000000"/>
              </w:rPr>
              <w:t>4台</w:t>
            </w:r>
          </w:p>
        </w:tc>
        <w:tc>
          <w:tcPr>
            <w:tcW w:w="1317" w:type="dxa"/>
            <w:noWrap w:val="0"/>
            <w:vAlign w:val="center"/>
          </w:tcPr>
          <w:p w14:paraId="48B87AD9">
            <w:pPr>
              <w:spacing w:line="360" w:lineRule="exact"/>
              <w:jc w:val="center"/>
              <w:rPr>
                <w:rFonts w:hint="eastAsia"/>
                <w:color w:val="000000"/>
              </w:rPr>
            </w:pPr>
            <w:r>
              <w:rPr>
                <w:rFonts w:hint="eastAsia"/>
                <w:color w:val="000000"/>
              </w:rPr>
              <w:t>70</w:t>
            </w:r>
          </w:p>
        </w:tc>
        <w:tc>
          <w:tcPr>
            <w:tcW w:w="2047" w:type="dxa"/>
            <w:noWrap w:val="0"/>
            <w:vAlign w:val="top"/>
          </w:tcPr>
          <w:p w14:paraId="0726418F">
            <w:pPr>
              <w:spacing w:line="360" w:lineRule="exact"/>
              <w:jc w:val="center"/>
              <w:rPr>
                <w:rFonts w:hint="eastAsia"/>
                <w:color w:val="000000"/>
              </w:rPr>
            </w:pPr>
            <w:r>
              <w:rPr>
                <w:rFonts w:hint="eastAsia"/>
                <w:color w:val="000000"/>
              </w:rPr>
              <w:t>连续、低频</w:t>
            </w:r>
          </w:p>
        </w:tc>
      </w:tr>
      <w:tr w14:paraId="1AE2CAB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178" w:type="dxa"/>
            <w:noWrap w:val="0"/>
            <w:vAlign w:val="center"/>
          </w:tcPr>
          <w:p w14:paraId="06758653">
            <w:pPr>
              <w:spacing w:line="360" w:lineRule="exact"/>
              <w:jc w:val="center"/>
              <w:rPr>
                <w:color w:val="000000"/>
              </w:rPr>
            </w:pPr>
            <w:r>
              <w:rPr>
                <w:color w:val="000000"/>
              </w:rPr>
              <w:t>3</w:t>
            </w:r>
          </w:p>
        </w:tc>
        <w:tc>
          <w:tcPr>
            <w:tcW w:w="2627" w:type="dxa"/>
            <w:noWrap w:val="0"/>
            <w:vAlign w:val="center"/>
          </w:tcPr>
          <w:p w14:paraId="0B0E9A69">
            <w:pPr>
              <w:spacing w:line="360" w:lineRule="exact"/>
              <w:jc w:val="center"/>
              <w:rPr>
                <w:rFonts w:hint="eastAsia"/>
                <w:color w:val="000000"/>
              </w:rPr>
            </w:pPr>
            <w:r>
              <w:rPr>
                <w:rFonts w:hint="eastAsia"/>
                <w:color w:val="000000"/>
              </w:rPr>
              <w:t>车辆噪声</w:t>
            </w:r>
          </w:p>
        </w:tc>
        <w:tc>
          <w:tcPr>
            <w:tcW w:w="1359" w:type="dxa"/>
            <w:noWrap w:val="0"/>
            <w:vAlign w:val="top"/>
          </w:tcPr>
          <w:p w14:paraId="1A5873F4">
            <w:pPr>
              <w:spacing w:line="360" w:lineRule="exact"/>
              <w:jc w:val="center"/>
              <w:rPr>
                <w:rFonts w:hint="eastAsia"/>
                <w:color w:val="000000"/>
              </w:rPr>
            </w:pPr>
            <w:r>
              <w:rPr>
                <w:rFonts w:hint="eastAsia"/>
                <w:color w:val="000000"/>
              </w:rPr>
              <w:t>/</w:t>
            </w:r>
          </w:p>
        </w:tc>
        <w:tc>
          <w:tcPr>
            <w:tcW w:w="1317" w:type="dxa"/>
            <w:noWrap w:val="0"/>
            <w:vAlign w:val="center"/>
          </w:tcPr>
          <w:p w14:paraId="57DE404C">
            <w:pPr>
              <w:spacing w:line="360" w:lineRule="exact"/>
              <w:jc w:val="center"/>
              <w:rPr>
                <w:rFonts w:hint="eastAsia"/>
                <w:color w:val="000000"/>
              </w:rPr>
            </w:pPr>
            <w:r>
              <w:rPr>
                <w:rFonts w:hint="eastAsia"/>
                <w:color w:val="000000"/>
              </w:rPr>
              <w:t>70</w:t>
            </w:r>
          </w:p>
        </w:tc>
        <w:tc>
          <w:tcPr>
            <w:tcW w:w="2047" w:type="dxa"/>
            <w:noWrap w:val="0"/>
            <w:vAlign w:val="top"/>
          </w:tcPr>
          <w:p w14:paraId="519788D0">
            <w:pPr>
              <w:spacing w:line="360" w:lineRule="exact"/>
              <w:jc w:val="center"/>
              <w:rPr>
                <w:rFonts w:hint="eastAsia"/>
                <w:color w:val="000000"/>
              </w:rPr>
            </w:pPr>
            <w:r>
              <w:rPr>
                <w:rFonts w:hint="eastAsia"/>
                <w:color w:val="000000"/>
              </w:rPr>
              <w:t>间断</w:t>
            </w:r>
          </w:p>
        </w:tc>
      </w:tr>
      <w:tr w14:paraId="56E387C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178" w:type="dxa"/>
            <w:noWrap w:val="0"/>
            <w:vAlign w:val="center"/>
          </w:tcPr>
          <w:p w14:paraId="3140DFDA">
            <w:pPr>
              <w:spacing w:line="360" w:lineRule="exact"/>
              <w:jc w:val="center"/>
              <w:rPr>
                <w:color w:val="000000"/>
              </w:rPr>
            </w:pPr>
            <w:r>
              <w:rPr>
                <w:color w:val="000000"/>
              </w:rPr>
              <w:t>4</w:t>
            </w:r>
          </w:p>
        </w:tc>
        <w:tc>
          <w:tcPr>
            <w:tcW w:w="2627" w:type="dxa"/>
            <w:noWrap w:val="0"/>
            <w:vAlign w:val="center"/>
          </w:tcPr>
          <w:p w14:paraId="5D970678">
            <w:pPr>
              <w:spacing w:line="360" w:lineRule="exact"/>
              <w:jc w:val="center"/>
              <w:rPr>
                <w:rFonts w:hint="eastAsia"/>
                <w:color w:val="000000"/>
              </w:rPr>
            </w:pPr>
            <w:r>
              <w:rPr>
                <w:rFonts w:hint="eastAsia"/>
                <w:color w:val="000000"/>
              </w:rPr>
              <w:t>人员噪声</w:t>
            </w:r>
          </w:p>
        </w:tc>
        <w:tc>
          <w:tcPr>
            <w:tcW w:w="1359" w:type="dxa"/>
            <w:noWrap w:val="0"/>
            <w:vAlign w:val="top"/>
          </w:tcPr>
          <w:p w14:paraId="3F5EBBD0">
            <w:pPr>
              <w:spacing w:line="360" w:lineRule="exact"/>
              <w:jc w:val="center"/>
              <w:rPr>
                <w:rFonts w:hint="eastAsia"/>
                <w:color w:val="000000"/>
              </w:rPr>
            </w:pPr>
            <w:r>
              <w:rPr>
                <w:rFonts w:hint="eastAsia"/>
                <w:color w:val="000000"/>
              </w:rPr>
              <w:t>/</w:t>
            </w:r>
          </w:p>
        </w:tc>
        <w:tc>
          <w:tcPr>
            <w:tcW w:w="1317" w:type="dxa"/>
            <w:noWrap w:val="0"/>
            <w:vAlign w:val="center"/>
          </w:tcPr>
          <w:p w14:paraId="1FF905AF">
            <w:pPr>
              <w:spacing w:line="360" w:lineRule="exact"/>
              <w:jc w:val="center"/>
              <w:rPr>
                <w:rFonts w:hint="eastAsia"/>
                <w:color w:val="000000"/>
              </w:rPr>
            </w:pPr>
            <w:r>
              <w:rPr>
                <w:rFonts w:hint="eastAsia"/>
                <w:color w:val="000000"/>
              </w:rPr>
              <w:t>65</w:t>
            </w:r>
          </w:p>
        </w:tc>
        <w:tc>
          <w:tcPr>
            <w:tcW w:w="2047" w:type="dxa"/>
            <w:noWrap w:val="0"/>
            <w:vAlign w:val="top"/>
          </w:tcPr>
          <w:p w14:paraId="75A5AFA2">
            <w:pPr>
              <w:spacing w:line="360" w:lineRule="exact"/>
              <w:jc w:val="center"/>
              <w:rPr>
                <w:rFonts w:hint="eastAsia"/>
                <w:color w:val="000000"/>
              </w:rPr>
            </w:pPr>
            <w:r>
              <w:rPr>
                <w:rFonts w:hint="eastAsia"/>
                <w:color w:val="000000"/>
              </w:rPr>
              <w:t>/</w:t>
            </w:r>
          </w:p>
        </w:tc>
      </w:tr>
      <w:tr w14:paraId="18D361A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178" w:type="dxa"/>
            <w:noWrap w:val="0"/>
            <w:vAlign w:val="center"/>
          </w:tcPr>
          <w:p w14:paraId="15242936">
            <w:pPr>
              <w:spacing w:line="360" w:lineRule="exact"/>
              <w:jc w:val="center"/>
              <w:rPr>
                <w:color w:val="000000"/>
              </w:rPr>
            </w:pPr>
            <w:r>
              <w:rPr>
                <w:color w:val="000000"/>
              </w:rPr>
              <w:t>5</w:t>
            </w:r>
          </w:p>
        </w:tc>
        <w:tc>
          <w:tcPr>
            <w:tcW w:w="2627" w:type="dxa"/>
            <w:noWrap w:val="0"/>
            <w:vAlign w:val="center"/>
          </w:tcPr>
          <w:p w14:paraId="1477381A">
            <w:pPr>
              <w:spacing w:line="360" w:lineRule="exact"/>
              <w:ind w:left="-88" w:right="-109"/>
              <w:jc w:val="center"/>
              <w:rPr>
                <w:rFonts w:hint="eastAsia"/>
                <w:color w:val="000000"/>
              </w:rPr>
            </w:pPr>
            <w:r>
              <w:rPr>
                <w:rFonts w:hint="eastAsia"/>
                <w:color w:val="000000"/>
              </w:rPr>
              <w:t>变压器</w:t>
            </w:r>
          </w:p>
        </w:tc>
        <w:tc>
          <w:tcPr>
            <w:tcW w:w="1359" w:type="dxa"/>
            <w:noWrap w:val="0"/>
            <w:vAlign w:val="top"/>
          </w:tcPr>
          <w:p w14:paraId="186857F2">
            <w:pPr>
              <w:spacing w:line="360" w:lineRule="exact"/>
              <w:jc w:val="center"/>
              <w:rPr>
                <w:rFonts w:hint="eastAsia"/>
                <w:color w:val="000000"/>
              </w:rPr>
            </w:pPr>
            <w:r>
              <w:rPr>
                <w:rFonts w:hint="eastAsia"/>
                <w:color w:val="000000"/>
              </w:rPr>
              <w:t>1台</w:t>
            </w:r>
          </w:p>
        </w:tc>
        <w:tc>
          <w:tcPr>
            <w:tcW w:w="1317" w:type="dxa"/>
            <w:noWrap w:val="0"/>
            <w:vAlign w:val="center"/>
          </w:tcPr>
          <w:p w14:paraId="6A73568C">
            <w:pPr>
              <w:spacing w:line="360" w:lineRule="exact"/>
              <w:jc w:val="center"/>
              <w:rPr>
                <w:rFonts w:hint="eastAsia"/>
                <w:color w:val="000000"/>
              </w:rPr>
            </w:pPr>
            <w:r>
              <w:rPr>
                <w:color w:val="000000"/>
              </w:rPr>
              <w:t>7</w:t>
            </w:r>
            <w:r>
              <w:rPr>
                <w:rFonts w:hint="eastAsia"/>
                <w:color w:val="000000"/>
              </w:rPr>
              <w:t>5</w:t>
            </w:r>
          </w:p>
        </w:tc>
        <w:tc>
          <w:tcPr>
            <w:tcW w:w="2047" w:type="dxa"/>
            <w:noWrap w:val="0"/>
            <w:vAlign w:val="top"/>
          </w:tcPr>
          <w:p w14:paraId="0ED93AEE">
            <w:pPr>
              <w:spacing w:line="360" w:lineRule="exact"/>
              <w:jc w:val="center"/>
              <w:rPr>
                <w:rFonts w:hint="eastAsia"/>
                <w:color w:val="000000"/>
              </w:rPr>
            </w:pPr>
            <w:r>
              <w:rPr>
                <w:rFonts w:hint="eastAsia"/>
                <w:color w:val="000000"/>
              </w:rPr>
              <w:t>连续、低频</w:t>
            </w:r>
          </w:p>
        </w:tc>
      </w:tr>
      <w:tr w14:paraId="458FA29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80" w:hRule="atLeast"/>
          <w:jc w:val="center"/>
        </w:trPr>
        <w:tc>
          <w:tcPr>
            <w:tcW w:w="1178" w:type="dxa"/>
            <w:noWrap w:val="0"/>
            <w:vAlign w:val="center"/>
          </w:tcPr>
          <w:p w14:paraId="70301177">
            <w:pPr>
              <w:spacing w:line="360" w:lineRule="exact"/>
              <w:jc w:val="center"/>
              <w:rPr>
                <w:rFonts w:hint="eastAsia"/>
                <w:color w:val="000000"/>
              </w:rPr>
            </w:pPr>
            <w:r>
              <w:rPr>
                <w:rFonts w:hint="eastAsia"/>
                <w:color w:val="000000"/>
              </w:rPr>
              <w:t>6</w:t>
            </w:r>
          </w:p>
        </w:tc>
        <w:tc>
          <w:tcPr>
            <w:tcW w:w="2627" w:type="dxa"/>
            <w:noWrap w:val="0"/>
            <w:vAlign w:val="center"/>
          </w:tcPr>
          <w:p w14:paraId="30920938">
            <w:pPr>
              <w:spacing w:line="360" w:lineRule="exact"/>
              <w:ind w:left="-88" w:right="-109"/>
              <w:jc w:val="center"/>
              <w:rPr>
                <w:rFonts w:hint="eastAsia"/>
                <w:color w:val="000000"/>
              </w:rPr>
            </w:pPr>
            <w:r>
              <w:rPr>
                <w:rFonts w:hint="eastAsia"/>
                <w:color w:val="000000"/>
              </w:rPr>
              <w:t>污泥脱水机</w:t>
            </w:r>
          </w:p>
        </w:tc>
        <w:tc>
          <w:tcPr>
            <w:tcW w:w="1359" w:type="dxa"/>
            <w:noWrap w:val="0"/>
            <w:vAlign w:val="top"/>
          </w:tcPr>
          <w:p w14:paraId="14A916AE">
            <w:pPr>
              <w:spacing w:line="360" w:lineRule="exact"/>
              <w:jc w:val="center"/>
              <w:rPr>
                <w:rFonts w:hint="eastAsia"/>
                <w:color w:val="000000"/>
              </w:rPr>
            </w:pPr>
            <w:r>
              <w:rPr>
                <w:rFonts w:hint="eastAsia"/>
                <w:color w:val="000000"/>
              </w:rPr>
              <w:t>1台</w:t>
            </w:r>
          </w:p>
        </w:tc>
        <w:tc>
          <w:tcPr>
            <w:tcW w:w="1317" w:type="dxa"/>
            <w:noWrap w:val="0"/>
            <w:vAlign w:val="center"/>
          </w:tcPr>
          <w:p w14:paraId="7CE68B59">
            <w:pPr>
              <w:spacing w:line="360" w:lineRule="exact"/>
              <w:jc w:val="center"/>
              <w:rPr>
                <w:rFonts w:hint="eastAsia"/>
                <w:color w:val="000000"/>
              </w:rPr>
            </w:pPr>
            <w:r>
              <w:rPr>
                <w:rFonts w:hint="eastAsia"/>
                <w:color w:val="000000"/>
              </w:rPr>
              <w:t>85</w:t>
            </w:r>
          </w:p>
        </w:tc>
        <w:tc>
          <w:tcPr>
            <w:tcW w:w="2047" w:type="dxa"/>
            <w:noWrap w:val="0"/>
            <w:vAlign w:val="top"/>
          </w:tcPr>
          <w:p w14:paraId="14F6BDB1">
            <w:pPr>
              <w:spacing w:line="360" w:lineRule="exact"/>
              <w:jc w:val="center"/>
              <w:rPr>
                <w:rFonts w:hint="eastAsia"/>
                <w:color w:val="000000"/>
              </w:rPr>
            </w:pPr>
            <w:r>
              <w:rPr>
                <w:rFonts w:hint="eastAsia"/>
                <w:color w:val="000000"/>
              </w:rPr>
              <w:t>连续，不常用</w:t>
            </w:r>
          </w:p>
        </w:tc>
      </w:tr>
      <w:tr w14:paraId="1ED5548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80" w:hRule="atLeast"/>
          <w:jc w:val="center"/>
        </w:trPr>
        <w:tc>
          <w:tcPr>
            <w:tcW w:w="1178" w:type="dxa"/>
            <w:noWrap w:val="0"/>
            <w:vAlign w:val="center"/>
          </w:tcPr>
          <w:p w14:paraId="3316B39E">
            <w:pPr>
              <w:spacing w:line="360" w:lineRule="exact"/>
              <w:jc w:val="center"/>
              <w:rPr>
                <w:rFonts w:hint="eastAsia"/>
                <w:color w:val="000000"/>
              </w:rPr>
            </w:pPr>
            <w:r>
              <w:rPr>
                <w:rFonts w:hint="eastAsia"/>
                <w:color w:val="000000"/>
              </w:rPr>
              <w:t>7</w:t>
            </w:r>
          </w:p>
        </w:tc>
        <w:tc>
          <w:tcPr>
            <w:tcW w:w="2627" w:type="dxa"/>
            <w:noWrap w:val="0"/>
            <w:vAlign w:val="center"/>
          </w:tcPr>
          <w:p w14:paraId="6C177ED5">
            <w:pPr>
              <w:spacing w:line="360" w:lineRule="exact"/>
              <w:ind w:left="-88" w:right="-109"/>
              <w:jc w:val="center"/>
              <w:rPr>
                <w:rFonts w:hint="eastAsia"/>
                <w:color w:val="000000"/>
              </w:rPr>
            </w:pPr>
            <w:r>
              <w:rPr>
                <w:rFonts w:hint="eastAsia"/>
                <w:color w:val="000000"/>
              </w:rPr>
              <w:t>抽油烟机</w:t>
            </w:r>
          </w:p>
        </w:tc>
        <w:tc>
          <w:tcPr>
            <w:tcW w:w="1359" w:type="dxa"/>
            <w:noWrap w:val="0"/>
            <w:vAlign w:val="top"/>
          </w:tcPr>
          <w:p w14:paraId="749017E1">
            <w:pPr>
              <w:spacing w:line="360" w:lineRule="exact"/>
              <w:jc w:val="center"/>
              <w:rPr>
                <w:rFonts w:hint="eastAsia"/>
                <w:color w:val="000000"/>
              </w:rPr>
            </w:pPr>
            <w:r>
              <w:rPr>
                <w:rFonts w:hint="eastAsia"/>
                <w:color w:val="000000"/>
              </w:rPr>
              <w:t>2台</w:t>
            </w:r>
          </w:p>
        </w:tc>
        <w:tc>
          <w:tcPr>
            <w:tcW w:w="1317" w:type="dxa"/>
            <w:noWrap w:val="0"/>
            <w:vAlign w:val="center"/>
          </w:tcPr>
          <w:p w14:paraId="5313607B">
            <w:pPr>
              <w:spacing w:line="360" w:lineRule="exact"/>
              <w:jc w:val="center"/>
              <w:rPr>
                <w:rFonts w:hint="eastAsia"/>
                <w:color w:val="000000"/>
              </w:rPr>
            </w:pPr>
            <w:r>
              <w:rPr>
                <w:rFonts w:hint="eastAsia"/>
                <w:color w:val="000000"/>
              </w:rPr>
              <w:t>65</w:t>
            </w:r>
          </w:p>
        </w:tc>
        <w:tc>
          <w:tcPr>
            <w:tcW w:w="2047" w:type="dxa"/>
            <w:noWrap w:val="0"/>
            <w:vAlign w:val="top"/>
          </w:tcPr>
          <w:p w14:paraId="679C2E54">
            <w:pPr>
              <w:spacing w:line="360" w:lineRule="exact"/>
              <w:jc w:val="center"/>
              <w:rPr>
                <w:rFonts w:hint="eastAsia"/>
                <w:color w:val="000000"/>
              </w:rPr>
            </w:pPr>
            <w:r>
              <w:rPr>
                <w:rFonts w:hint="eastAsia"/>
                <w:color w:val="000000"/>
              </w:rPr>
              <w:t>间断</w:t>
            </w:r>
          </w:p>
        </w:tc>
      </w:tr>
      <w:tr w14:paraId="3A2062A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80" w:hRule="atLeast"/>
          <w:jc w:val="center"/>
        </w:trPr>
        <w:tc>
          <w:tcPr>
            <w:tcW w:w="1178" w:type="dxa"/>
            <w:noWrap w:val="0"/>
            <w:vAlign w:val="center"/>
          </w:tcPr>
          <w:p w14:paraId="5BCB56A9">
            <w:pPr>
              <w:spacing w:line="360" w:lineRule="exact"/>
              <w:jc w:val="center"/>
              <w:rPr>
                <w:rFonts w:hint="eastAsia"/>
                <w:color w:val="000000"/>
              </w:rPr>
            </w:pPr>
            <w:r>
              <w:rPr>
                <w:rFonts w:hint="eastAsia"/>
                <w:color w:val="000000"/>
              </w:rPr>
              <w:t>8</w:t>
            </w:r>
          </w:p>
        </w:tc>
        <w:tc>
          <w:tcPr>
            <w:tcW w:w="2627" w:type="dxa"/>
            <w:noWrap w:val="0"/>
            <w:vAlign w:val="center"/>
          </w:tcPr>
          <w:p w14:paraId="02CC25CC">
            <w:pPr>
              <w:spacing w:line="360" w:lineRule="exact"/>
              <w:ind w:left="-88" w:right="-109"/>
              <w:jc w:val="center"/>
              <w:rPr>
                <w:rFonts w:hint="eastAsia"/>
                <w:color w:val="000000"/>
              </w:rPr>
            </w:pPr>
            <w:r>
              <w:rPr>
                <w:rFonts w:hint="eastAsia"/>
                <w:color w:val="000000"/>
              </w:rPr>
              <w:t>电梯发动机</w:t>
            </w:r>
          </w:p>
        </w:tc>
        <w:tc>
          <w:tcPr>
            <w:tcW w:w="1359" w:type="dxa"/>
            <w:noWrap w:val="0"/>
            <w:vAlign w:val="top"/>
          </w:tcPr>
          <w:p w14:paraId="4FF6FA05">
            <w:pPr>
              <w:spacing w:line="360" w:lineRule="exact"/>
              <w:jc w:val="center"/>
              <w:rPr>
                <w:rFonts w:hint="eastAsia"/>
                <w:color w:val="000000"/>
              </w:rPr>
            </w:pPr>
            <w:r>
              <w:rPr>
                <w:rFonts w:hint="eastAsia"/>
                <w:color w:val="000000"/>
              </w:rPr>
              <w:t>2台</w:t>
            </w:r>
          </w:p>
        </w:tc>
        <w:tc>
          <w:tcPr>
            <w:tcW w:w="1317" w:type="dxa"/>
            <w:noWrap w:val="0"/>
            <w:vAlign w:val="center"/>
          </w:tcPr>
          <w:p w14:paraId="780F4696">
            <w:pPr>
              <w:spacing w:line="360" w:lineRule="exact"/>
              <w:jc w:val="center"/>
              <w:rPr>
                <w:rFonts w:hint="eastAsia"/>
                <w:color w:val="000000"/>
              </w:rPr>
            </w:pPr>
            <w:r>
              <w:rPr>
                <w:rFonts w:hint="eastAsia"/>
                <w:color w:val="000000"/>
              </w:rPr>
              <w:t>85</w:t>
            </w:r>
          </w:p>
        </w:tc>
        <w:tc>
          <w:tcPr>
            <w:tcW w:w="2047" w:type="dxa"/>
            <w:noWrap w:val="0"/>
            <w:vAlign w:val="top"/>
          </w:tcPr>
          <w:p w14:paraId="434E3075">
            <w:pPr>
              <w:spacing w:line="360" w:lineRule="exact"/>
              <w:jc w:val="center"/>
              <w:rPr>
                <w:rFonts w:hint="eastAsia"/>
                <w:color w:val="000000"/>
              </w:rPr>
            </w:pPr>
            <w:r>
              <w:rPr>
                <w:rFonts w:hint="eastAsia"/>
                <w:color w:val="000000"/>
              </w:rPr>
              <w:t>连续</w:t>
            </w:r>
          </w:p>
        </w:tc>
      </w:tr>
      <w:tr w14:paraId="7E9B352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80" w:hRule="atLeast"/>
          <w:jc w:val="center"/>
        </w:trPr>
        <w:tc>
          <w:tcPr>
            <w:tcW w:w="1178" w:type="dxa"/>
            <w:noWrap w:val="0"/>
            <w:vAlign w:val="center"/>
          </w:tcPr>
          <w:p w14:paraId="6901F4AA">
            <w:pPr>
              <w:spacing w:line="360" w:lineRule="exact"/>
              <w:jc w:val="center"/>
              <w:rPr>
                <w:rFonts w:hint="eastAsia"/>
                <w:color w:val="000000"/>
              </w:rPr>
            </w:pPr>
            <w:r>
              <w:rPr>
                <w:rFonts w:hint="eastAsia"/>
                <w:color w:val="000000"/>
              </w:rPr>
              <w:t>9</w:t>
            </w:r>
          </w:p>
        </w:tc>
        <w:tc>
          <w:tcPr>
            <w:tcW w:w="2627" w:type="dxa"/>
            <w:noWrap w:val="0"/>
            <w:vAlign w:val="center"/>
          </w:tcPr>
          <w:p w14:paraId="45F964FC">
            <w:pPr>
              <w:spacing w:line="360" w:lineRule="exact"/>
              <w:ind w:left="-88" w:right="-109"/>
              <w:jc w:val="center"/>
              <w:rPr>
                <w:rFonts w:hint="eastAsia"/>
                <w:color w:val="000000"/>
              </w:rPr>
            </w:pPr>
            <w:r>
              <w:rPr>
                <w:rFonts w:hint="eastAsia"/>
                <w:color w:val="000000"/>
              </w:rPr>
              <w:t>水泵</w:t>
            </w:r>
          </w:p>
        </w:tc>
        <w:tc>
          <w:tcPr>
            <w:tcW w:w="1359" w:type="dxa"/>
            <w:noWrap w:val="0"/>
            <w:vAlign w:val="top"/>
          </w:tcPr>
          <w:p w14:paraId="22C8EB51">
            <w:pPr>
              <w:spacing w:line="360" w:lineRule="exact"/>
              <w:jc w:val="center"/>
              <w:rPr>
                <w:rFonts w:hint="eastAsia"/>
                <w:color w:val="000000"/>
              </w:rPr>
            </w:pPr>
            <w:r>
              <w:rPr>
                <w:rFonts w:hint="eastAsia"/>
                <w:color w:val="000000"/>
              </w:rPr>
              <w:t>2台</w:t>
            </w:r>
          </w:p>
        </w:tc>
        <w:tc>
          <w:tcPr>
            <w:tcW w:w="1317" w:type="dxa"/>
            <w:noWrap w:val="0"/>
            <w:vAlign w:val="center"/>
          </w:tcPr>
          <w:p w14:paraId="64F7CF31">
            <w:pPr>
              <w:spacing w:line="360" w:lineRule="exact"/>
              <w:jc w:val="center"/>
              <w:rPr>
                <w:rFonts w:hint="eastAsia"/>
                <w:color w:val="000000"/>
              </w:rPr>
            </w:pPr>
            <w:r>
              <w:rPr>
                <w:rFonts w:hint="eastAsia"/>
                <w:color w:val="000000"/>
              </w:rPr>
              <w:t>70</w:t>
            </w:r>
          </w:p>
        </w:tc>
        <w:tc>
          <w:tcPr>
            <w:tcW w:w="2047" w:type="dxa"/>
            <w:noWrap w:val="0"/>
            <w:vAlign w:val="top"/>
          </w:tcPr>
          <w:p w14:paraId="2B461E97">
            <w:pPr>
              <w:spacing w:line="360" w:lineRule="exact"/>
              <w:jc w:val="center"/>
              <w:rPr>
                <w:rFonts w:hint="eastAsia"/>
                <w:color w:val="000000"/>
              </w:rPr>
            </w:pPr>
            <w:r>
              <w:rPr>
                <w:rFonts w:hint="eastAsia"/>
                <w:color w:val="000000"/>
              </w:rPr>
              <w:t>连续</w:t>
            </w:r>
          </w:p>
        </w:tc>
      </w:tr>
    </w:tbl>
    <w:p w14:paraId="795DF174">
      <w:pPr>
        <w:pStyle w:val="183"/>
        <w:ind w:firstLine="472"/>
        <w:rPr>
          <w:rFonts w:eastAsia="仿宋_GB2312"/>
          <w:color w:val="000000"/>
          <w:sz w:val="24"/>
          <w:szCs w:val="24"/>
        </w:rPr>
      </w:pPr>
      <w:bookmarkStart w:id="361" w:name="_Toc495500070"/>
      <w:r>
        <w:rPr>
          <w:rFonts w:eastAsia="仿宋_GB2312"/>
          <w:color w:val="000000"/>
          <w:sz w:val="24"/>
          <w:szCs w:val="24"/>
        </w:rPr>
        <w:t>3.7.4固体废弃物</w:t>
      </w:r>
      <w:bookmarkEnd w:id="361"/>
    </w:p>
    <w:p w14:paraId="110ED23F">
      <w:pPr>
        <w:spacing w:line="360" w:lineRule="auto"/>
        <w:ind w:firstLine="480"/>
        <w:rPr>
          <w:rFonts w:hint="eastAsia" w:hAnsi="宋体"/>
          <w:color w:val="000000"/>
          <w:sz w:val="24"/>
        </w:rPr>
      </w:pPr>
      <w:r>
        <w:rPr>
          <w:rFonts w:hint="eastAsia" w:hAnsi="宋体"/>
          <w:color w:val="000000"/>
          <w:sz w:val="24"/>
        </w:rPr>
        <w:t>项目运营后</w:t>
      </w:r>
      <w:r>
        <w:rPr>
          <w:rFonts w:hAnsi="宋体"/>
          <w:color w:val="000000"/>
          <w:sz w:val="24"/>
        </w:rPr>
        <w:t>产生的固体废物</w:t>
      </w:r>
      <w:r>
        <w:rPr>
          <w:rFonts w:hint="eastAsia" w:hAnsi="宋体"/>
          <w:color w:val="000000"/>
          <w:sz w:val="24"/>
        </w:rPr>
        <w:t>主要为医疗固废、化粪池及污水处理站污泥、普通生活垃圾、废弃活性炭、废油脂及食堂泔水。</w:t>
      </w:r>
    </w:p>
    <w:p w14:paraId="4FE35248">
      <w:pPr>
        <w:spacing w:line="360" w:lineRule="auto"/>
        <w:ind w:firstLine="480"/>
        <w:rPr>
          <w:rFonts w:hint="eastAsia" w:ascii="宋体" w:hAnsi="宋体"/>
          <w:color w:val="000000"/>
          <w:sz w:val="24"/>
        </w:rPr>
      </w:pPr>
      <w:r>
        <w:rPr>
          <w:rFonts w:hint="eastAsia" w:ascii="宋体" w:hAnsi="宋体"/>
          <w:color w:val="000000"/>
          <w:sz w:val="24"/>
        </w:rPr>
        <w:t>（1）医疗废物</w:t>
      </w:r>
    </w:p>
    <w:p w14:paraId="76B3EB43">
      <w:pPr>
        <w:pStyle w:val="300"/>
        <w:spacing w:line="360" w:lineRule="auto"/>
        <w:ind w:firstLine="480"/>
        <w:rPr>
          <w:rFonts w:hint="eastAsia" w:ascii="宋体" w:hAnsi="宋体" w:cs="Arial"/>
          <w:color w:val="000000"/>
        </w:rPr>
      </w:pPr>
      <w:r>
        <w:rPr>
          <w:rFonts w:hint="eastAsia" w:ascii="宋体" w:hAnsi="宋体" w:cs="Arial"/>
          <w:color w:val="000000"/>
        </w:rPr>
        <w:t>根据《医疗废物分类目录》，医疗废物主要包括：感染性废物、病理性废物、损伤性废物、药物性废物、化学性废物、医院废水处理产生的污泥；过期的药物性和化学性废物。具体见表3.7-5。</w:t>
      </w:r>
    </w:p>
    <w:p w14:paraId="242B8E6C">
      <w:pPr>
        <w:spacing w:line="360" w:lineRule="auto"/>
        <w:jc w:val="center"/>
        <w:rPr>
          <w:rFonts w:hint="eastAsia" w:ascii="宋体" w:hAnsi="宋体"/>
          <w:b/>
          <w:color w:val="000000"/>
          <w:sz w:val="24"/>
        </w:rPr>
      </w:pPr>
      <w:r>
        <w:rPr>
          <w:rFonts w:hint="eastAsia" w:ascii="宋体" w:hAnsi="宋体"/>
          <w:b/>
          <w:color w:val="000000"/>
          <w:sz w:val="24"/>
        </w:rPr>
        <w:t>表3.7-5   医疗废物分类表</w:t>
      </w:r>
    </w:p>
    <w:tbl>
      <w:tblPr>
        <w:tblStyle w:val="27"/>
        <w:tblW w:w="0" w:type="auto"/>
        <w:tblInd w:w="-108"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676"/>
        <w:gridCol w:w="2214"/>
        <w:gridCol w:w="4638"/>
      </w:tblGrid>
      <w:tr w14:paraId="4BD6B5E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676" w:type="dxa"/>
            <w:noWrap w:val="0"/>
            <w:vAlign w:val="top"/>
          </w:tcPr>
          <w:p w14:paraId="22BB251B">
            <w:pPr>
              <w:pStyle w:val="300"/>
              <w:spacing w:line="240" w:lineRule="auto"/>
              <w:ind w:firstLine="0"/>
              <w:jc w:val="center"/>
              <w:rPr>
                <w:rFonts w:hint="eastAsia" w:ascii="宋体" w:hAnsi="宋体" w:cs="Arial"/>
                <w:color w:val="000000"/>
                <w:sz w:val="21"/>
                <w:szCs w:val="21"/>
              </w:rPr>
            </w:pPr>
            <w:r>
              <w:rPr>
                <w:rFonts w:ascii="ˎ̥" w:hAnsi="ˎ̥" w:cs="宋体"/>
                <w:bCs/>
                <w:color w:val="000000"/>
                <w:sz w:val="21"/>
                <w:szCs w:val="21"/>
              </w:rPr>
              <w:t>类 别</w:t>
            </w:r>
          </w:p>
        </w:tc>
        <w:tc>
          <w:tcPr>
            <w:tcW w:w="2214" w:type="dxa"/>
            <w:noWrap w:val="0"/>
            <w:vAlign w:val="top"/>
          </w:tcPr>
          <w:p w14:paraId="529043B3">
            <w:pPr>
              <w:pStyle w:val="300"/>
              <w:spacing w:line="240" w:lineRule="auto"/>
              <w:ind w:firstLine="0"/>
              <w:jc w:val="center"/>
              <w:rPr>
                <w:rFonts w:hint="eastAsia" w:ascii="宋体" w:hAnsi="宋体" w:cs="Arial"/>
                <w:color w:val="000000"/>
                <w:sz w:val="21"/>
                <w:szCs w:val="21"/>
              </w:rPr>
            </w:pPr>
            <w:r>
              <w:rPr>
                <w:rFonts w:ascii="ˎ̥" w:hAnsi="ˎ̥" w:cs="宋体"/>
                <w:bCs/>
                <w:color w:val="000000"/>
                <w:sz w:val="21"/>
                <w:szCs w:val="21"/>
              </w:rPr>
              <w:t>特   征</w:t>
            </w:r>
          </w:p>
        </w:tc>
        <w:tc>
          <w:tcPr>
            <w:tcW w:w="4638" w:type="dxa"/>
            <w:noWrap w:val="0"/>
            <w:vAlign w:val="top"/>
          </w:tcPr>
          <w:p w14:paraId="0118F632">
            <w:pPr>
              <w:pStyle w:val="300"/>
              <w:spacing w:line="240" w:lineRule="auto"/>
              <w:ind w:firstLine="0"/>
              <w:jc w:val="center"/>
              <w:rPr>
                <w:rFonts w:hint="eastAsia" w:ascii="宋体" w:hAnsi="宋体" w:cs="Arial"/>
                <w:color w:val="000000"/>
                <w:sz w:val="21"/>
                <w:szCs w:val="21"/>
              </w:rPr>
            </w:pPr>
            <w:r>
              <w:rPr>
                <w:rFonts w:ascii="ˎ̥" w:hAnsi="ˎ̥" w:cs="宋体"/>
                <w:bCs/>
                <w:color w:val="000000"/>
                <w:sz w:val="21"/>
                <w:szCs w:val="21"/>
              </w:rPr>
              <w:t>常见组分或者废物名称</w:t>
            </w:r>
          </w:p>
        </w:tc>
      </w:tr>
      <w:tr w14:paraId="6D7E408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676" w:type="dxa"/>
            <w:vMerge w:val="restart"/>
            <w:noWrap w:val="0"/>
            <w:vAlign w:val="top"/>
          </w:tcPr>
          <w:p w14:paraId="3CD8801F">
            <w:pPr>
              <w:widowControl/>
              <w:jc w:val="center"/>
              <w:rPr>
                <w:rFonts w:hint="eastAsia" w:ascii="ˎ̥" w:hAnsi="ˎ̥" w:cs="宋体"/>
                <w:bCs/>
                <w:color w:val="000000"/>
                <w:szCs w:val="21"/>
              </w:rPr>
            </w:pPr>
          </w:p>
          <w:p w14:paraId="4654972A">
            <w:pPr>
              <w:widowControl/>
              <w:jc w:val="center"/>
              <w:rPr>
                <w:rFonts w:hint="eastAsia" w:ascii="ˎ̥" w:hAnsi="ˎ̥" w:cs="宋体"/>
                <w:bCs/>
                <w:color w:val="000000"/>
                <w:szCs w:val="21"/>
              </w:rPr>
            </w:pPr>
          </w:p>
          <w:p w14:paraId="0E542E98">
            <w:pPr>
              <w:widowControl/>
              <w:jc w:val="center"/>
              <w:rPr>
                <w:rFonts w:hint="eastAsia" w:ascii="ˎ̥" w:hAnsi="ˎ̥" w:cs="宋体"/>
                <w:bCs/>
                <w:color w:val="000000"/>
                <w:szCs w:val="21"/>
              </w:rPr>
            </w:pPr>
          </w:p>
          <w:p w14:paraId="7F6843E4">
            <w:pPr>
              <w:widowControl/>
              <w:jc w:val="center"/>
              <w:rPr>
                <w:rFonts w:hint="eastAsia" w:ascii="ˎ̥" w:hAnsi="ˎ̥" w:cs="宋体"/>
                <w:bCs/>
                <w:color w:val="000000"/>
                <w:szCs w:val="21"/>
              </w:rPr>
            </w:pPr>
          </w:p>
          <w:p w14:paraId="7B5AEDCB">
            <w:pPr>
              <w:widowControl/>
              <w:jc w:val="center"/>
              <w:rPr>
                <w:rFonts w:ascii="ˎ̥" w:hAnsi="ˎ̥" w:cs="宋体"/>
                <w:color w:val="000000"/>
                <w:szCs w:val="21"/>
              </w:rPr>
            </w:pPr>
            <w:r>
              <w:rPr>
                <w:rFonts w:ascii="ˎ̥" w:hAnsi="ˎ̥" w:cs="宋体"/>
                <w:bCs/>
                <w:color w:val="000000"/>
                <w:szCs w:val="21"/>
              </w:rPr>
              <w:t>感</w:t>
            </w:r>
            <w:r>
              <w:rPr>
                <w:rFonts w:ascii="ˎ̥" w:hAnsi="ˎ̥" w:cs="宋体"/>
                <w:color w:val="000000"/>
                <w:szCs w:val="21"/>
              </w:rPr>
              <w:t xml:space="preserve"> </w:t>
            </w:r>
          </w:p>
          <w:p w14:paraId="18FC1F34">
            <w:pPr>
              <w:widowControl/>
              <w:jc w:val="center"/>
              <w:rPr>
                <w:rFonts w:ascii="ˎ̥" w:hAnsi="ˎ̥" w:cs="宋体"/>
                <w:color w:val="000000"/>
                <w:szCs w:val="21"/>
              </w:rPr>
            </w:pPr>
            <w:r>
              <w:rPr>
                <w:rFonts w:ascii="ˎ̥" w:hAnsi="ˎ̥" w:cs="宋体"/>
                <w:bCs/>
                <w:color w:val="000000"/>
                <w:szCs w:val="21"/>
              </w:rPr>
              <w:t>染</w:t>
            </w:r>
            <w:r>
              <w:rPr>
                <w:rFonts w:ascii="ˎ̥" w:hAnsi="ˎ̥" w:cs="宋体"/>
                <w:color w:val="000000"/>
                <w:szCs w:val="21"/>
              </w:rPr>
              <w:t xml:space="preserve"> </w:t>
            </w:r>
          </w:p>
          <w:p w14:paraId="472330F1">
            <w:pPr>
              <w:widowControl/>
              <w:jc w:val="center"/>
              <w:rPr>
                <w:rFonts w:ascii="ˎ̥" w:hAnsi="ˎ̥" w:cs="宋体"/>
                <w:bCs/>
                <w:color w:val="000000"/>
                <w:szCs w:val="21"/>
              </w:rPr>
            </w:pPr>
            <w:r>
              <w:rPr>
                <w:rFonts w:ascii="ˎ̥" w:hAnsi="ˎ̥" w:cs="宋体"/>
                <w:bCs/>
                <w:color w:val="000000"/>
                <w:szCs w:val="21"/>
              </w:rPr>
              <w:t>性</w:t>
            </w:r>
            <w:r>
              <w:rPr>
                <w:rFonts w:ascii="ˎ̥" w:hAnsi="ˎ̥" w:cs="宋体"/>
                <w:color w:val="000000"/>
                <w:szCs w:val="21"/>
              </w:rPr>
              <w:t xml:space="preserve"> </w:t>
            </w:r>
          </w:p>
          <w:p w14:paraId="634F10D0">
            <w:pPr>
              <w:widowControl/>
              <w:jc w:val="center"/>
              <w:rPr>
                <w:rFonts w:hint="eastAsia" w:ascii="ˎ̥" w:hAnsi="ˎ̥" w:cs="宋体"/>
                <w:bCs/>
                <w:color w:val="000000"/>
                <w:szCs w:val="21"/>
              </w:rPr>
            </w:pPr>
            <w:r>
              <w:rPr>
                <w:rFonts w:ascii="ˎ̥" w:hAnsi="ˎ̥" w:cs="宋体"/>
                <w:bCs/>
                <w:color w:val="000000"/>
                <w:szCs w:val="21"/>
              </w:rPr>
              <w:t xml:space="preserve">废 </w:t>
            </w:r>
          </w:p>
          <w:p w14:paraId="5C9F9DF8">
            <w:pPr>
              <w:widowControl/>
              <w:jc w:val="center"/>
              <w:rPr>
                <w:rFonts w:hint="eastAsia" w:ascii="ˎ̥" w:hAnsi="ˎ̥" w:cs="宋体"/>
                <w:color w:val="000000"/>
                <w:szCs w:val="21"/>
              </w:rPr>
            </w:pPr>
            <w:r>
              <w:rPr>
                <w:rFonts w:ascii="ˎ̥" w:hAnsi="ˎ̥" w:cs="宋体"/>
                <w:bCs/>
                <w:color w:val="000000"/>
                <w:szCs w:val="21"/>
              </w:rPr>
              <w:t>物</w:t>
            </w:r>
          </w:p>
        </w:tc>
        <w:tc>
          <w:tcPr>
            <w:tcW w:w="2214" w:type="dxa"/>
            <w:vMerge w:val="restart"/>
            <w:noWrap w:val="0"/>
            <w:vAlign w:val="top"/>
          </w:tcPr>
          <w:p w14:paraId="5392F92C">
            <w:pPr>
              <w:pStyle w:val="300"/>
              <w:spacing w:line="240" w:lineRule="auto"/>
              <w:ind w:firstLine="0"/>
              <w:rPr>
                <w:rFonts w:hint="eastAsia" w:ascii="宋体" w:hAnsi="宋体" w:cs="Arial"/>
                <w:color w:val="000000"/>
                <w:sz w:val="21"/>
                <w:szCs w:val="21"/>
              </w:rPr>
            </w:pPr>
            <w:r>
              <w:rPr>
                <w:rFonts w:ascii="ˎ̥" w:hAnsi="ˎ̥" w:cs="宋体"/>
                <w:color w:val="000000"/>
                <w:sz w:val="21"/>
                <w:szCs w:val="21"/>
              </w:rPr>
              <w:t>携带病原微生物具有引发感染性疾病传播危险的医疗废物。</w:t>
            </w:r>
          </w:p>
        </w:tc>
        <w:tc>
          <w:tcPr>
            <w:tcW w:w="4638" w:type="dxa"/>
            <w:noWrap w:val="0"/>
            <w:vAlign w:val="top"/>
          </w:tcPr>
          <w:p w14:paraId="7CCA2E31">
            <w:pPr>
              <w:widowControl/>
              <w:rPr>
                <w:rFonts w:ascii="宋体" w:hAnsi="宋体" w:cs="宋体"/>
                <w:color w:val="000000"/>
                <w:szCs w:val="21"/>
              </w:rPr>
            </w:pPr>
            <w:r>
              <w:rPr>
                <w:rFonts w:ascii="宋体" w:hAnsi="宋体" w:cs="宋体"/>
                <w:color w:val="000000"/>
                <w:szCs w:val="21"/>
              </w:rPr>
              <w:t xml:space="preserve">1、被病人血液、体液、排泄物污染的物品，包括： </w:t>
            </w:r>
          </w:p>
          <w:p w14:paraId="2F963E3B">
            <w:pPr>
              <w:widowControl/>
              <w:rPr>
                <w:rFonts w:ascii="宋体" w:hAnsi="宋体" w:cs="宋体"/>
                <w:color w:val="000000"/>
                <w:szCs w:val="21"/>
              </w:rPr>
            </w:pPr>
            <w:r>
              <w:rPr>
                <w:rFonts w:ascii="宋体" w:hAnsi="宋体" w:cs="宋体"/>
                <w:color w:val="000000"/>
                <w:szCs w:val="21"/>
              </w:rPr>
              <w:t xml:space="preserve">--—棉球、棉签、引流棉条、纱布及其他各种敷料; </w:t>
            </w:r>
          </w:p>
          <w:p w14:paraId="140E950F">
            <w:pPr>
              <w:widowControl/>
              <w:rPr>
                <w:rFonts w:ascii="宋体" w:hAnsi="宋体" w:cs="宋体"/>
                <w:color w:val="000000"/>
                <w:szCs w:val="21"/>
              </w:rPr>
            </w:pPr>
            <w:r>
              <w:rPr>
                <w:rFonts w:ascii="宋体" w:hAnsi="宋体" w:cs="宋体"/>
                <w:color w:val="000000"/>
                <w:szCs w:val="21"/>
              </w:rPr>
              <w:t xml:space="preserve">——一次性使用卫生用品、一次性使用医疗用品及一次性医疗器械; </w:t>
            </w:r>
          </w:p>
          <w:p w14:paraId="602A915A">
            <w:pPr>
              <w:widowControl/>
              <w:rPr>
                <w:rFonts w:ascii="宋体" w:hAnsi="宋体" w:cs="宋体"/>
                <w:color w:val="000000"/>
                <w:szCs w:val="21"/>
              </w:rPr>
            </w:pPr>
            <w:r>
              <w:rPr>
                <w:rFonts w:ascii="宋体" w:hAnsi="宋体" w:cs="宋体"/>
                <w:color w:val="000000"/>
                <w:szCs w:val="21"/>
              </w:rPr>
              <w:t xml:space="preserve">--—废弃的被服; </w:t>
            </w:r>
          </w:p>
          <w:p w14:paraId="48B47B86">
            <w:pPr>
              <w:pStyle w:val="300"/>
              <w:spacing w:line="240" w:lineRule="auto"/>
              <w:ind w:firstLine="0"/>
              <w:rPr>
                <w:rFonts w:hint="eastAsia" w:ascii="宋体" w:hAnsi="宋体" w:cs="Arial"/>
                <w:color w:val="000000"/>
                <w:sz w:val="21"/>
                <w:szCs w:val="21"/>
              </w:rPr>
            </w:pPr>
            <w:r>
              <w:rPr>
                <w:rFonts w:ascii="宋体" w:hAnsi="宋体" w:cs="宋体"/>
                <w:color w:val="000000"/>
                <w:sz w:val="21"/>
                <w:szCs w:val="21"/>
              </w:rPr>
              <w:t>——其他被病人血液、体液、排泄物污染的物品。</w:t>
            </w:r>
          </w:p>
        </w:tc>
      </w:tr>
      <w:tr w14:paraId="0C790CB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676" w:type="dxa"/>
            <w:vMerge w:val="continue"/>
            <w:noWrap w:val="0"/>
            <w:vAlign w:val="top"/>
          </w:tcPr>
          <w:p w14:paraId="6785E8C7">
            <w:pPr>
              <w:widowControl/>
              <w:jc w:val="center"/>
              <w:rPr>
                <w:rFonts w:hint="eastAsia" w:ascii="宋体" w:hAnsi="宋体" w:cs="Arial"/>
                <w:color w:val="000000"/>
                <w:szCs w:val="21"/>
              </w:rPr>
            </w:pPr>
          </w:p>
        </w:tc>
        <w:tc>
          <w:tcPr>
            <w:tcW w:w="2214" w:type="dxa"/>
            <w:vMerge w:val="continue"/>
            <w:noWrap w:val="0"/>
            <w:vAlign w:val="top"/>
          </w:tcPr>
          <w:p w14:paraId="5A7D1DC5">
            <w:pPr>
              <w:pStyle w:val="300"/>
              <w:spacing w:line="240" w:lineRule="auto"/>
              <w:ind w:firstLine="0"/>
              <w:rPr>
                <w:rFonts w:hint="eastAsia" w:ascii="宋体" w:hAnsi="宋体" w:cs="Arial"/>
                <w:color w:val="000000"/>
                <w:sz w:val="21"/>
                <w:szCs w:val="21"/>
              </w:rPr>
            </w:pPr>
          </w:p>
        </w:tc>
        <w:tc>
          <w:tcPr>
            <w:tcW w:w="4638" w:type="dxa"/>
            <w:noWrap w:val="0"/>
            <w:vAlign w:val="top"/>
          </w:tcPr>
          <w:p w14:paraId="0A96B77B">
            <w:pPr>
              <w:pStyle w:val="300"/>
              <w:spacing w:line="240" w:lineRule="auto"/>
              <w:ind w:firstLine="0"/>
              <w:rPr>
                <w:rFonts w:hint="eastAsia" w:ascii="宋体" w:hAnsi="宋体" w:cs="Arial"/>
                <w:color w:val="000000"/>
                <w:sz w:val="21"/>
                <w:szCs w:val="21"/>
              </w:rPr>
            </w:pPr>
            <w:r>
              <w:rPr>
                <w:rFonts w:ascii="宋体" w:hAnsi="宋体" w:cs="宋体"/>
                <w:color w:val="000000"/>
                <w:sz w:val="21"/>
                <w:szCs w:val="21"/>
              </w:rPr>
              <w:t>2、医疗机构收治的隔离传染病病人或者疑似传染病病人产生的生活垃圾。</w:t>
            </w:r>
          </w:p>
        </w:tc>
      </w:tr>
      <w:tr w14:paraId="734BBD0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676" w:type="dxa"/>
            <w:vMerge w:val="continue"/>
            <w:noWrap w:val="0"/>
            <w:vAlign w:val="top"/>
          </w:tcPr>
          <w:p w14:paraId="0DBCB1B8">
            <w:pPr>
              <w:pStyle w:val="300"/>
              <w:spacing w:line="240" w:lineRule="auto"/>
              <w:ind w:firstLine="0"/>
              <w:rPr>
                <w:rFonts w:hint="eastAsia" w:ascii="宋体" w:hAnsi="宋体" w:cs="Arial"/>
                <w:color w:val="000000"/>
                <w:sz w:val="21"/>
                <w:szCs w:val="21"/>
              </w:rPr>
            </w:pPr>
          </w:p>
        </w:tc>
        <w:tc>
          <w:tcPr>
            <w:tcW w:w="2214" w:type="dxa"/>
            <w:vMerge w:val="continue"/>
            <w:noWrap w:val="0"/>
            <w:vAlign w:val="top"/>
          </w:tcPr>
          <w:p w14:paraId="29B18F4D">
            <w:pPr>
              <w:pStyle w:val="300"/>
              <w:spacing w:line="240" w:lineRule="auto"/>
              <w:ind w:firstLine="0"/>
              <w:rPr>
                <w:rFonts w:hint="eastAsia" w:ascii="宋体" w:hAnsi="宋体" w:cs="Arial"/>
                <w:color w:val="000000"/>
                <w:sz w:val="21"/>
                <w:szCs w:val="21"/>
              </w:rPr>
            </w:pPr>
          </w:p>
        </w:tc>
        <w:tc>
          <w:tcPr>
            <w:tcW w:w="4638" w:type="dxa"/>
            <w:noWrap w:val="0"/>
            <w:vAlign w:val="top"/>
          </w:tcPr>
          <w:p w14:paraId="503C2F1C">
            <w:pPr>
              <w:pStyle w:val="300"/>
              <w:spacing w:line="240" w:lineRule="auto"/>
              <w:ind w:firstLine="0"/>
              <w:rPr>
                <w:rFonts w:hint="eastAsia" w:ascii="宋体" w:hAnsi="宋体" w:cs="Arial"/>
                <w:color w:val="000000"/>
                <w:sz w:val="21"/>
                <w:szCs w:val="21"/>
              </w:rPr>
            </w:pPr>
            <w:r>
              <w:rPr>
                <w:rFonts w:ascii="宋体" w:hAnsi="宋体" w:cs="宋体"/>
                <w:color w:val="000000"/>
                <w:sz w:val="21"/>
                <w:szCs w:val="21"/>
              </w:rPr>
              <w:t>3、病原体的培养基、标本和菌种、毒种保存液。</w:t>
            </w:r>
          </w:p>
        </w:tc>
      </w:tr>
      <w:tr w14:paraId="00E84E4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676" w:type="dxa"/>
            <w:vMerge w:val="continue"/>
            <w:noWrap w:val="0"/>
            <w:vAlign w:val="top"/>
          </w:tcPr>
          <w:p w14:paraId="3EFFB344">
            <w:pPr>
              <w:pStyle w:val="300"/>
              <w:spacing w:line="240" w:lineRule="auto"/>
              <w:ind w:firstLine="0"/>
              <w:rPr>
                <w:rFonts w:hint="eastAsia" w:ascii="宋体" w:hAnsi="宋体" w:cs="Arial"/>
                <w:color w:val="000000"/>
                <w:sz w:val="21"/>
                <w:szCs w:val="21"/>
              </w:rPr>
            </w:pPr>
          </w:p>
        </w:tc>
        <w:tc>
          <w:tcPr>
            <w:tcW w:w="2214" w:type="dxa"/>
            <w:vMerge w:val="continue"/>
            <w:noWrap w:val="0"/>
            <w:vAlign w:val="top"/>
          </w:tcPr>
          <w:p w14:paraId="18DD2964">
            <w:pPr>
              <w:pStyle w:val="300"/>
              <w:spacing w:line="240" w:lineRule="auto"/>
              <w:ind w:firstLine="0"/>
              <w:rPr>
                <w:rFonts w:hint="eastAsia" w:ascii="宋体" w:hAnsi="宋体" w:cs="Arial"/>
                <w:color w:val="000000"/>
                <w:sz w:val="21"/>
                <w:szCs w:val="21"/>
              </w:rPr>
            </w:pPr>
          </w:p>
        </w:tc>
        <w:tc>
          <w:tcPr>
            <w:tcW w:w="4638" w:type="dxa"/>
            <w:noWrap w:val="0"/>
            <w:vAlign w:val="top"/>
          </w:tcPr>
          <w:p w14:paraId="44BA8708">
            <w:pPr>
              <w:pStyle w:val="300"/>
              <w:spacing w:line="240" w:lineRule="auto"/>
              <w:ind w:firstLine="0"/>
              <w:rPr>
                <w:rFonts w:hint="eastAsia" w:ascii="宋体" w:hAnsi="宋体" w:cs="Arial"/>
                <w:color w:val="000000"/>
                <w:sz w:val="21"/>
                <w:szCs w:val="21"/>
              </w:rPr>
            </w:pPr>
            <w:r>
              <w:rPr>
                <w:rFonts w:ascii="宋体" w:hAnsi="宋体" w:cs="宋体"/>
                <w:color w:val="000000"/>
                <w:sz w:val="21"/>
                <w:szCs w:val="21"/>
              </w:rPr>
              <w:t>4、各种废弃的医学标本。</w:t>
            </w:r>
          </w:p>
        </w:tc>
      </w:tr>
      <w:tr w14:paraId="0853B47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676" w:type="dxa"/>
            <w:vMerge w:val="continue"/>
            <w:noWrap w:val="0"/>
            <w:vAlign w:val="top"/>
          </w:tcPr>
          <w:p w14:paraId="0EF4C4CA">
            <w:pPr>
              <w:pStyle w:val="300"/>
              <w:spacing w:line="240" w:lineRule="auto"/>
              <w:ind w:firstLine="0"/>
              <w:rPr>
                <w:rFonts w:hint="eastAsia" w:ascii="宋体" w:hAnsi="宋体" w:cs="Arial"/>
                <w:color w:val="000000"/>
                <w:sz w:val="21"/>
                <w:szCs w:val="21"/>
              </w:rPr>
            </w:pPr>
          </w:p>
        </w:tc>
        <w:tc>
          <w:tcPr>
            <w:tcW w:w="2214" w:type="dxa"/>
            <w:vMerge w:val="continue"/>
            <w:noWrap w:val="0"/>
            <w:vAlign w:val="top"/>
          </w:tcPr>
          <w:p w14:paraId="74C1BBB0">
            <w:pPr>
              <w:pStyle w:val="300"/>
              <w:spacing w:line="240" w:lineRule="auto"/>
              <w:ind w:firstLine="0"/>
              <w:rPr>
                <w:rFonts w:hint="eastAsia" w:ascii="宋体" w:hAnsi="宋体" w:cs="Arial"/>
                <w:color w:val="000000"/>
                <w:sz w:val="21"/>
                <w:szCs w:val="21"/>
              </w:rPr>
            </w:pPr>
          </w:p>
        </w:tc>
        <w:tc>
          <w:tcPr>
            <w:tcW w:w="4638" w:type="dxa"/>
            <w:noWrap w:val="0"/>
            <w:vAlign w:val="top"/>
          </w:tcPr>
          <w:p w14:paraId="43CF2B4F">
            <w:pPr>
              <w:pStyle w:val="300"/>
              <w:spacing w:line="240" w:lineRule="auto"/>
              <w:ind w:firstLine="0"/>
              <w:rPr>
                <w:rFonts w:ascii="宋体" w:hAnsi="宋体" w:cs="宋体"/>
                <w:color w:val="000000"/>
                <w:sz w:val="21"/>
                <w:szCs w:val="21"/>
              </w:rPr>
            </w:pPr>
            <w:r>
              <w:rPr>
                <w:rFonts w:ascii="宋体" w:hAnsi="宋体" w:cs="宋体"/>
                <w:color w:val="000000"/>
                <w:sz w:val="21"/>
                <w:szCs w:val="21"/>
              </w:rPr>
              <w:t>5、废弃的血液、血清。  </w:t>
            </w:r>
          </w:p>
        </w:tc>
      </w:tr>
      <w:tr w14:paraId="362ABB7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676" w:type="dxa"/>
            <w:vMerge w:val="continue"/>
            <w:noWrap w:val="0"/>
            <w:vAlign w:val="top"/>
          </w:tcPr>
          <w:p w14:paraId="44E70B5B">
            <w:pPr>
              <w:pStyle w:val="300"/>
              <w:spacing w:line="240" w:lineRule="auto"/>
              <w:ind w:firstLine="0"/>
              <w:rPr>
                <w:rFonts w:hint="eastAsia" w:ascii="宋体" w:hAnsi="宋体" w:cs="Arial"/>
                <w:color w:val="000000"/>
                <w:sz w:val="21"/>
                <w:szCs w:val="21"/>
              </w:rPr>
            </w:pPr>
          </w:p>
        </w:tc>
        <w:tc>
          <w:tcPr>
            <w:tcW w:w="2214" w:type="dxa"/>
            <w:vMerge w:val="continue"/>
            <w:noWrap w:val="0"/>
            <w:vAlign w:val="top"/>
          </w:tcPr>
          <w:p w14:paraId="38F67024">
            <w:pPr>
              <w:pStyle w:val="300"/>
              <w:spacing w:line="240" w:lineRule="auto"/>
              <w:ind w:firstLine="0"/>
              <w:rPr>
                <w:rFonts w:hint="eastAsia" w:ascii="宋体" w:hAnsi="宋体" w:cs="Arial"/>
                <w:color w:val="000000"/>
                <w:sz w:val="21"/>
                <w:szCs w:val="21"/>
              </w:rPr>
            </w:pPr>
          </w:p>
        </w:tc>
        <w:tc>
          <w:tcPr>
            <w:tcW w:w="4638" w:type="dxa"/>
            <w:noWrap w:val="0"/>
            <w:vAlign w:val="top"/>
          </w:tcPr>
          <w:p w14:paraId="40BEDB75">
            <w:pPr>
              <w:pStyle w:val="300"/>
              <w:spacing w:line="240" w:lineRule="auto"/>
              <w:ind w:firstLine="0"/>
              <w:rPr>
                <w:rFonts w:ascii="宋体" w:hAnsi="宋体" w:cs="宋体"/>
                <w:color w:val="000000"/>
                <w:sz w:val="21"/>
                <w:szCs w:val="21"/>
              </w:rPr>
            </w:pPr>
            <w:r>
              <w:rPr>
                <w:rFonts w:ascii="宋体" w:hAnsi="宋体" w:cs="宋体"/>
                <w:color w:val="000000"/>
                <w:sz w:val="21"/>
                <w:szCs w:val="21"/>
              </w:rPr>
              <w:t>6、使用后的一次性使用医疗用品及一次性医疗器械视为感染性废物。</w:t>
            </w:r>
          </w:p>
        </w:tc>
      </w:tr>
      <w:tr w14:paraId="034C3FB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676" w:type="dxa"/>
            <w:vMerge w:val="restart"/>
            <w:noWrap w:val="0"/>
            <w:vAlign w:val="top"/>
          </w:tcPr>
          <w:p w14:paraId="5EE43695">
            <w:pPr>
              <w:widowControl/>
              <w:rPr>
                <w:rFonts w:hint="eastAsia" w:ascii="ˎ̥" w:hAnsi="ˎ̥" w:cs="宋体"/>
                <w:bCs/>
                <w:color w:val="000000"/>
                <w:szCs w:val="21"/>
              </w:rPr>
            </w:pPr>
          </w:p>
          <w:p w14:paraId="5D0D56B7">
            <w:pPr>
              <w:widowControl/>
              <w:jc w:val="center"/>
              <w:rPr>
                <w:rFonts w:hint="eastAsia" w:ascii="ˎ̥" w:hAnsi="ˎ̥" w:cs="宋体"/>
                <w:bCs/>
                <w:color w:val="000000"/>
                <w:szCs w:val="21"/>
              </w:rPr>
            </w:pPr>
            <w:r>
              <w:rPr>
                <w:rFonts w:ascii="ˎ̥" w:hAnsi="ˎ̥" w:cs="宋体"/>
                <w:bCs/>
                <w:color w:val="000000"/>
                <w:szCs w:val="21"/>
              </w:rPr>
              <w:t>病理性</w:t>
            </w:r>
          </w:p>
          <w:p w14:paraId="4C7A1A34">
            <w:pPr>
              <w:widowControl/>
              <w:jc w:val="center"/>
              <w:rPr>
                <w:rFonts w:hint="eastAsia" w:ascii="ˎ̥" w:hAnsi="ˎ̥" w:cs="宋体"/>
                <w:bCs/>
                <w:color w:val="000000"/>
                <w:szCs w:val="21"/>
              </w:rPr>
            </w:pPr>
            <w:r>
              <w:rPr>
                <w:rFonts w:ascii="ˎ̥" w:hAnsi="ˎ̥" w:cs="宋体"/>
                <w:bCs/>
                <w:color w:val="000000"/>
                <w:szCs w:val="21"/>
              </w:rPr>
              <w:t>废物</w:t>
            </w:r>
          </w:p>
        </w:tc>
        <w:tc>
          <w:tcPr>
            <w:tcW w:w="2214" w:type="dxa"/>
            <w:vMerge w:val="restart"/>
            <w:noWrap w:val="0"/>
            <w:vAlign w:val="top"/>
          </w:tcPr>
          <w:p w14:paraId="15B63AD3">
            <w:pPr>
              <w:pStyle w:val="300"/>
              <w:spacing w:line="240" w:lineRule="auto"/>
              <w:ind w:firstLine="0"/>
              <w:rPr>
                <w:rFonts w:hint="eastAsia" w:ascii="宋体" w:hAnsi="宋体" w:cs="Arial"/>
                <w:color w:val="000000"/>
                <w:sz w:val="21"/>
                <w:szCs w:val="21"/>
              </w:rPr>
            </w:pPr>
            <w:r>
              <w:rPr>
                <w:rFonts w:ascii="ˎ̥" w:hAnsi="ˎ̥" w:cs="宋体"/>
                <w:color w:val="000000"/>
                <w:sz w:val="21"/>
                <w:szCs w:val="21"/>
              </w:rPr>
              <w:t>诊疗过程中产生的人体废弃物和医学实验动物尸体等。</w:t>
            </w:r>
          </w:p>
        </w:tc>
        <w:tc>
          <w:tcPr>
            <w:tcW w:w="4638" w:type="dxa"/>
            <w:noWrap w:val="0"/>
            <w:vAlign w:val="top"/>
          </w:tcPr>
          <w:p w14:paraId="5266EE77">
            <w:pPr>
              <w:pStyle w:val="300"/>
              <w:spacing w:line="240" w:lineRule="auto"/>
              <w:ind w:firstLine="0"/>
              <w:rPr>
                <w:rFonts w:ascii="宋体" w:hAnsi="宋体" w:cs="宋体"/>
                <w:color w:val="000000"/>
                <w:sz w:val="21"/>
                <w:szCs w:val="21"/>
              </w:rPr>
            </w:pPr>
            <w:r>
              <w:rPr>
                <w:rFonts w:ascii="宋体" w:hAnsi="宋体" w:cs="宋体"/>
                <w:color w:val="000000"/>
                <w:sz w:val="21"/>
                <w:szCs w:val="21"/>
              </w:rPr>
              <w:t>1、手术及其他诊疗过程中产生的废弃的人体组织、器官等。</w:t>
            </w:r>
          </w:p>
        </w:tc>
      </w:tr>
      <w:tr w14:paraId="0D82F9D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676" w:type="dxa"/>
            <w:vMerge w:val="continue"/>
            <w:noWrap w:val="0"/>
            <w:vAlign w:val="top"/>
          </w:tcPr>
          <w:p w14:paraId="1F2D1FE7">
            <w:pPr>
              <w:widowControl/>
              <w:jc w:val="center"/>
              <w:rPr>
                <w:rFonts w:ascii="ˎ̥" w:hAnsi="ˎ̥" w:cs="宋体"/>
                <w:b w:val="0"/>
                <w:bCs/>
                <w:szCs w:val="21"/>
                <w:rPrChange w:id="0" w:author="USER" w:date="2013-06-24T17:50:00Z">
                  <w:rPr>
                    <w:rFonts w:ascii="ˎ̥" w:hAnsi="ˎ̥" w:cs="宋体"/>
                    <w:b/>
                    <w:bCs/>
                    <w:szCs w:val="21"/>
                  </w:rPr>
                </w:rPrChange>
              </w:rPr>
            </w:pPr>
          </w:p>
        </w:tc>
        <w:tc>
          <w:tcPr>
            <w:tcW w:w="2214" w:type="dxa"/>
            <w:vMerge w:val="continue"/>
            <w:noWrap w:val="0"/>
            <w:vAlign w:val="top"/>
          </w:tcPr>
          <w:p w14:paraId="3533307C">
            <w:pPr>
              <w:pStyle w:val="300"/>
              <w:spacing w:line="240" w:lineRule="auto"/>
              <w:ind w:firstLine="0"/>
              <w:rPr>
                <w:rFonts w:ascii="ˎ̥" w:hAnsi="ˎ̥" w:cs="宋体"/>
                <w:color w:val="000000"/>
                <w:sz w:val="21"/>
                <w:szCs w:val="21"/>
              </w:rPr>
            </w:pPr>
          </w:p>
        </w:tc>
        <w:tc>
          <w:tcPr>
            <w:tcW w:w="4638" w:type="dxa"/>
            <w:noWrap w:val="0"/>
            <w:vAlign w:val="top"/>
          </w:tcPr>
          <w:p w14:paraId="2A18358B">
            <w:pPr>
              <w:pStyle w:val="300"/>
              <w:spacing w:line="240" w:lineRule="auto"/>
              <w:ind w:firstLine="0"/>
              <w:rPr>
                <w:rFonts w:ascii="宋体" w:hAnsi="宋体" w:cs="宋体"/>
                <w:color w:val="000000"/>
                <w:sz w:val="21"/>
                <w:szCs w:val="21"/>
              </w:rPr>
            </w:pPr>
            <w:r>
              <w:rPr>
                <w:rFonts w:ascii="宋体" w:hAnsi="宋体" w:cs="宋体"/>
                <w:color w:val="000000"/>
                <w:sz w:val="21"/>
                <w:szCs w:val="21"/>
              </w:rPr>
              <w:t>2、医学实验动物的组织、尸体。</w:t>
            </w:r>
          </w:p>
        </w:tc>
      </w:tr>
      <w:tr w14:paraId="201C690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676" w:type="dxa"/>
            <w:vMerge w:val="continue"/>
            <w:noWrap w:val="0"/>
            <w:vAlign w:val="top"/>
          </w:tcPr>
          <w:p w14:paraId="7BAEFDCB">
            <w:pPr>
              <w:widowControl/>
              <w:jc w:val="center"/>
              <w:rPr>
                <w:rFonts w:ascii="ˎ̥" w:hAnsi="ˎ̥" w:cs="宋体"/>
                <w:b w:val="0"/>
                <w:bCs/>
                <w:szCs w:val="21"/>
                <w:rPrChange w:id="1" w:author="USER" w:date="2013-06-24T17:50:00Z">
                  <w:rPr>
                    <w:rFonts w:ascii="ˎ̥" w:hAnsi="ˎ̥" w:cs="宋体"/>
                    <w:b/>
                    <w:bCs/>
                    <w:szCs w:val="21"/>
                  </w:rPr>
                </w:rPrChange>
              </w:rPr>
            </w:pPr>
          </w:p>
        </w:tc>
        <w:tc>
          <w:tcPr>
            <w:tcW w:w="2214" w:type="dxa"/>
            <w:vMerge w:val="continue"/>
            <w:noWrap w:val="0"/>
            <w:vAlign w:val="top"/>
          </w:tcPr>
          <w:p w14:paraId="203209F6">
            <w:pPr>
              <w:pStyle w:val="300"/>
              <w:spacing w:line="240" w:lineRule="auto"/>
              <w:ind w:firstLine="0"/>
              <w:rPr>
                <w:rFonts w:ascii="ˎ̥" w:hAnsi="ˎ̥" w:cs="宋体"/>
                <w:color w:val="000000"/>
                <w:sz w:val="21"/>
                <w:szCs w:val="21"/>
              </w:rPr>
            </w:pPr>
          </w:p>
        </w:tc>
        <w:tc>
          <w:tcPr>
            <w:tcW w:w="4638" w:type="dxa"/>
            <w:noWrap w:val="0"/>
            <w:vAlign w:val="top"/>
          </w:tcPr>
          <w:p w14:paraId="6C82563D">
            <w:pPr>
              <w:pStyle w:val="300"/>
              <w:spacing w:line="240" w:lineRule="auto"/>
              <w:ind w:firstLine="0"/>
              <w:rPr>
                <w:rFonts w:ascii="宋体" w:hAnsi="宋体" w:cs="宋体"/>
                <w:color w:val="000000"/>
                <w:sz w:val="21"/>
                <w:szCs w:val="21"/>
              </w:rPr>
            </w:pPr>
            <w:r>
              <w:rPr>
                <w:rFonts w:ascii="宋体" w:hAnsi="宋体" w:cs="宋体"/>
                <w:color w:val="000000"/>
                <w:sz w:val="21"/>
                <w:szCs w:val="21"/>
              </w:rPr>
              <w:t>3、病理切片后废弃的人体组织、病理腊块等。</w:t>
            </w:r>
          </w:p>
        </w:tc>
      </w:tr>
      <w:tr w14:paraId="3DDC95C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676" w:type="dxa"/>
            <w:vMerge w:val="restart"/>
            <w:noWrap w:val="0"/>
            <w:vAlign w:val="top"/>
          </w:tcPr>
          <w:p w14:paraId="30D1FD8D">
            <w:pPr>
              <w:widowControl/>
              <w:rPr>
                <w:rFonts w:hint="eastAsia" w:ascii="ˎ̥" w:hAnsi="ˎ̥" w:cs="宋体"/>
                <w:bCs/>
                <w:color w:val="000000"/>
                <w:szCs w:val="21"/>
              </w:rPr>
            </w:pPr>
          </w:p>
          <w:p w14:paraId="347B43EB">
            <w:pPr>
              <w:widowControl/>
              <w:jc w:val="center"/>
              <w:rPr>
                <w:rFonts w:hint="eastAsia" w:ascii="ˎ̥" w:hAnsi="ˎ̥" w:cs="宋体"/>
                <w:bCs/>
                <w:color w:val="000000"/>
                <w:szCs w:val="21"/>
              </w:rPr>
            </w:pPr>
            <w:r>
              <w:rPr>
                <w:rFonts w:ascii="ˎ̥" w:hAnsi="ˎ̥" w:cs="宋体"/>
                <w:bCs/>
                <w:color w:val="000000"/>
                <w:szCs w:val="21"/>
              </w:rPr>
              <w:t>损伤性</w:t>
            </w:r>
          </w:p>
          <w:p w14:paraId="20D6C418">
            <w:pPr>
              <w:widowControl/>
              <w:jc w:val="center"/>
              <w:rPr>
                <w:rFonts w:ascii="ˎ̥" w:hAnsi="ˎ̥" w:cs="宋体"/>
                <w:bCs/>
                <w:color w:val="000000"/>
                <w:szCs w:val="21"/>
              </w:rPr>
            </w:pPr>
            <w:r>
              <w:rPr>
                <w:rFonts w:ascii="ˎ̥" w:hAnsi="ˎ̥" w:cs="宋体"/>
                <w:bCs/>
                <w:color w:val="000000"/>
                <w:szCs w:val="21"/>
              </w:rPr>
              <w:t>废 物</w:t>
            </w:r>
          </w:p>
        </w:tc>
        <w:tc>
          <w:tcPr>
            <w:tcW w:w="2214" w:type="dxa"/>
            <w:vMerge w:val="restart"/>
            <w:noWrap w:val="0"/>
            <w:vAlign w:val="top"/>
          </w:tcPr>
          <w:p w14:paraId="535C0946">
            <w:pPr>
              <w:pStyle w:val="300"/>
              <w:spacing w:line="240" w:lineRule="auto"/>
              <w:ind w:firstLine="0"/>
              <w:rPr>
                <w:rFonts w:ascii="ˎ̥" w:hAnsi="ˎ̥" w:cs="宋体"/>
                <w:color w:val="000000"/>
                <w:sz w:val="21"/>
                <w:szCs w:val="21"/>
              </w:rPr>
            </w:pPr>
            <w:r>
              <w:rPr>
                <w:rFonts w:ascii="ˎ̥" w:hAnsi="ˎ̥" w:cs="宋体"/>
                <w:color w:val="000000"/>
                <w:sz w:val="21"/>
                <w:szCs w:val="21"/>
              </w:rPr>
              <w:t>能够刺伤或者割伤人体的废弃的医用锐器。</w:t>
            </w:r>
          </w:p>
        </w:tc>
        <w:tc>
          <w:tcPr>
            <w:tcW w:w="4638" w:type="dxa"/>
            <w:noWrap w:val="0"/>
            <w:vAlign w:val="top"/>
          </w:tcPr>
          <w:p w14:paraId="1506BEEE">
            <w:pPr>
              <w:pStyle w:val="300"/>
              <w:spacing w:line="240" w:lineRule="auto"/>
              <w:ind w:firstLine="0"/>
              <w:rPr>
                <w:rFonts w:ascii="宋体" w:hAnsi="宋体" w:cs="宋体"/>
                <w:color w:val="000000"/>
                <w:sz w:val="21"/>
                <w:szCs w:val="21"/>
              </w:rPr>
            </w:pPr>
            <w:r>
              <w:rPr>
                <w:rFonts w:ascii="宋体" w:hAnsi="宋体" w:cs="宋体"/>
                <w:color w:val="000000"/>
                <w:sz w:val="21"/>
                <w:szCs w:val="21"/>
              </w:rPr>
              <w:t>1、医用针头、缝合针。</w:t>
            </w:r>
          </w:p>
        </w:tc>
      </w:tr>
      <w:tr w14:paraId="122E3D8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676" w:type="dxa"/>
            <w:vMerge w:val="continue"/>
            <w:noWrap w:val="0"/>
            <w:vAlign w:val="top"/>
          </w:tcPr>
          <w:p w14:paraId="24EFB3D6">
            <w:pPr>
              <w:widowControl/>
              <w:jc w:val="center"/>
              <w:rPr>
                <w:rFonts w:ascii="ˎ̥" w:hAnsi="ˎ̥" w:cs="宋体"/>
                <w:b w:val="0"/>
                <w:bCs/>
                <w:szCs w:val="21"/>
                <w:rPrChange w:id="2" w:author="USER" w:date="2013-06-24T17:50:00Z">
                  <w:rPr>
                    <w:rFonts w:ascii="ˎ̥" w:hAnsi="ˎ̥" w:cs="宋体"/>
                    <w:b/>
                    <w:bCs/>
                    <w:szCs w:val="21"/>
                  </w:rPr>
                </w:rPrChange>
              </w:rPr>
            </w:pPr>
          </w:p>
        </w:tc>
        <w:tc>
          <w:tcPr>
            <w:tcW w:w="2214" w:type="dxa"/>
            <w:vMerge w:val="continue"/>
            <w:noWrap w:val="0"/>
            <w:vAlign w:val="top"/>
          </w:tcPr>
          <w:p w14:paraId="3AB592AB">
            <w:pPr>
              <w:pStyle w:val="300"/>
              <w:spacing w:line="240" w:lineRule="auto"/>
              <w:ind w:firstLine="0"/>
              <w:rPr>
                <w:rFonts w:ascii="ˎ̥" w:hAnsi="ˎ̥" w:cs="宋体"/>
                <w:color w:val="000000"/>
                <w:sz w:val="21"/>
                <w:szCs w:val="21"/>
              </w:rPr>
            </w:pPr>
          </w:p>
        </w:tc>
        <w:tc>
          <w:tcPr>
            <w:tcW w:w="4638" w:type="dxa"/>
            <w:noWrap w:val="0"/>
            <w:vAlign w:val="top"/>
          </w:tcPr>
          <w:p w14:paraId="3FCFB0F3">
            <w:pPr>
              <w:pStyle w:val="300"/>
              <w:spacing w:line="240" w:lineRule="auto"/>
              <w:ind w:firstLine="0"/>
              <w:rPr>
                <w:rFonts w:ascii="宋体" w:hAnsi="宋体" w:cs="宋体"/>
                <w:color w:val="000000"/>
                <w:sz w:val="21"/>
                <w:szCs w:val="21"/>
              </w:rPr>
            </w:pPr>
            <w:r>
              <w:rPr>
                <w:rFonts w:ascii="宋体" w:hAnsi="宋体" w:cs="宋体"/>
                <w:color w:val="000000"/>
                <w:sz w:val="21"/>
                <w:szCs w:val="21"/>
              </w:rPr>
              <w:t>2、各类医用锐器，包括：解剖刀、手术刀、备皮刀、手术锯等。</w:t>
            </w:r>
          </w:p>
        </w:tc>
      </w:tr>
      <w:tr w14:paraId="108FE12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676" w:type="dxa"/>
            <w:vMerge w:val="continue"/>
            <w:noWrap w:val="0"/>
            <w:vAlign w:val="top"/>
          </w:tcPr>
          <w:p w14:paraId="70075184">
            <w:pPr>
              <w:widowControl/>
              <w:jc w:val="center"/>
              <w:rPr>
                <w:rFonts w:ascii="ˎ̥" w:hAnsi="ˎ̥" w:cs="宋体"/>
                <w:b w:val="0"/>
                <w:bCs/>
                <w:szCs w:val="21"/>
                <w:rPrChange w:id="3" w:author="USER" w:date="2013-06-24T17:50:00Z">
                  <w:rPr>
                    <w:rFonts w:ascii="ˎ̥" w:hAnsi="ˎ̥" w:cs="宋体"/>
                    <w:b/>
                    <w:bCs/>
                    <w:szCs w:val="21"/>
                  </w:rPr>
                </w:rPrChange>
              </w:rPr>
            </w:pPr>
          </w:p>
        </w:tc>
        <w:tc>
          <w:tcPr>
            <w:tcW w:w="2214" w:type="dxa"/>
            <w:vMerge w:val="continue"/>
            <w:noWrap w:val="0"/>
            <w:vAlign w:val="top"/>
          </w:tcPr>
          <w:p w14:paraId="1A2CF4DD">
            <w:pPr>
              <w:pStyle w:val="300"/>
              <w:spacing w:line="240" w:lineRule="auto"/>
              <w:ind w:firstLine="0"/>
              <w:rPr>
                <w:rFonts w:ascii="ˎ̥" w:hAnsi="ˎ̥" w:cs="宋体"/>
                <w:color w:val="000000"/>
                <w:sz w:val="21"/>
                <w:szCs w:val="21"/>
              </w:rPr>
            </w:pPr>
          </w:p>
        </w:tc>
        <w:tc>
          <w:tcPr>
            <w:tcW w:w="4638" w:type="dxa"/>
            <w:noWrap w:val="0"/>
            <w:vAlign w:val="top"/>
          </w:tcPr>
          <w:p w14:paraId="6C43D168">
            <w:pPr>
              <w:pStyle w:val="300"/>
              <w:spacing w:line="240" w:lineRule="auto"/>
              <w:ind w:firstLine="0"/>
              <w:rPr>
                <w:rFonts w:ascii="宋体" w:hAnsi="宋体" w:cs="宋体"/>
                <w:color w:val="000000"/>
                <w:sz w:val="21"/>
                <w:szCs w:val="21"/>
              </w:rPr>
            </w:pPr>
            <w:r>
              <w:rPr>
                <w:rFonts w:ascii="宋体" w:hAnsi="宋体" w:cs="宋体"/>
                <w:color w:val="000000"/>
                <w:sz w:val="21"/>
                <w:szCs w:val="21"/>
              </w:rPr>
              <w:t>3、载玻片、玻璃试管、玻璃安瓿等。</w:t>
            </w:r>
          </w:p>
        </w:tc>
      </w:tr>
      <w:tr w14:paraId="36D898C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676" w:type="dxa"/>
            <w:vMerge w:val="restart"/>
            <w:noWrap w:val="0"/>
            <w:vAlign w:val="top"/>
          </w:tcPr>
          <w:p w14:paraId="76DEEA95">
            <w:pPr>
              <w:widowControl/>
              <w:jc w:val="center"/>
              <w:rPr>
                <w:rFonts w:hint="eastAsia" w:ascii="ˎ̥" w:hAnsi="ˎ̥" w:cs="宋体"/>
                <w:bCs/>
                <w:color w:val="000000"/>
                <w:szCs w:val="21"/>
              </w:rPr>
            </w:pPr>
          </w:p>
          <w:p w14:paraId="3E80F938">
            <w:pPr>
              <w:widowControl/>
              <w:jc w:val="center"/>
              <w:rPr>
                <w:rFonts w:hint="eastAsia" w:ascii="ˎ̥" w:hAnsi="ˎ̥" w:cs="宋体"/>
                <w:bCs/>
                <w:color w:val="000000"/>
                <w:szCs w:val="21"/>
              </w:rPr>
            </w:pPr>
          </w:p>
          <w:p w14:paraId="306EBCD9">
            <w:pPr>
              <w:widowControl/>
              <w:jc w:val="center"/>
              <w:rPr>
                <w:rFonts w:hint="eastAsia" w:ascii="ˎ̥" w:hAnsi="ˎ̥" w:cs="宋体"/>
                <w:bCs/>
                <w:color w:val="000000"/>
                <w:szCs w:val="21"/>
              </w:rPr>
            </w:pPr>
            <w:r>
              <w:rPr>
                <w:rFonts w:ascii="ˎ̥" w:hAnsi="ˎ̥" w:cs="宋体"/>
                <w:bCs/>
                <w:color w:val="000000"/>
                <w:szCs w:val="21"/>
              </w:rPr>
              <w:t>药</w:t>
            </w:r>
          </w:p>
          <w:p w14:paraId="188A7780">
            <w:pPr>
              <w:widowControl/>
              <w:jc w:val="center"/>
              <w:rPr>
                <w:rFonts w:hint="eastAsia" w:ascii="ˎ̥" w:hAnsi="ˎ̥" w:cs="宋体"/>
                <w:bCs/>
                <w:color w:val="000000"/>
                <w:szCs w:val="21"/>
              </w:rPr>
            </w:pPr>
            <w:r>
              <w:rPr>
                <w:rFonts w:ascii="ˎ̥" w:hAnsi="ˎ̥" w:cs="宋体"/>
                <w:bCs/>
                <w:color w:val="000000"/>
                <w:szCs w:val="21"/>
              </w:rPr>
              <w:t>物</w:t>
            </w:r>
          </w:p>
          <w:p w14:paraId="7138B982">
            <w:pPr>
              <w:widowControl/>
              <w:jc w:val="center"/>
              <w:rPr>
                <w:rFonts w:hint="eastAsia" w:ascii="ˎ̥" w:hAnsi="ˎ̥" w:cs="宋体"/>
                <w:bCs/>
                <w:color w:val="000000"/>
                <w:szCs w:val="21"/>
              </w:rPr>
            </w:pPr>
            <w:r>
              <w:rPr>
                <w:rFonts w:ascii="ˎ̥" w:hAnsi="ˎ̥" w:cs="宋体"/>
                <w:bCs/>
                <w:color w:val="000000"/>
                <w:szCs w:val="21"/>
              </w:rPr>
              <w:t>性</w:t>
            </w:r>
          </w:p>
          <w:p w14:paraId="6B00994A">
            <w:pPr>
              <w:widowControl/>
              <w:jc w:val="center"/>
              <w:rPr>
                <w:rFonts w:hint="eastAsia" w:ascii="ˎ̥" w:hAnsi="ˎ̥" w:cs="宋体"/>
                <w:bCs/>
                <w:color w:val="000000"/>
                <w:szCs w:val="21"/>
              </w:rPr>
            </w:pPr>
            <w:r>
              <w:rPr>
                <w:rFonts w:ascii="ˎ̥" w:hAnsi="ˎ̥" w:cs="宋体"/>
                <w:bCs/>
                <w:color w:val="000000"/>
                <w:szCs w:val="21"/>
              </w:rPr>
              <w:t>废</w:t>
            </w:r>
          </w:p>
          <w:p w14:paraId="13AE570C">
            <w:pPr>
              <w:widowControl/>
              <w:jc w:val="center"/>
              <w:rPr>
                <w:rFonts w:ascii="ˎ̥" w:hAnsi="ˎ̥" w:cs="宋体"/>
                <w:bCs/>
                <w:color w:val="000000"/>
                <w:szCs w:val="21"/>
              </w:rPr>
            </w:pPr>
            <w:r>
              <w:rPr>
                <w:rFonts w:ascii="ˎ̥" w:hAnsi="ˎ̥" w:cs="宋体"/>
                <w:bCs/>
                <w:color w:val="000000"/>
                <w:szCs w:val="21"/>
              </w:rPr>
              <w:t>物</w:t>
            </w:r>
          </w:p>
        </w:tc>
        <w:tc>
          <w:tcPr>
            <w:tcW w:w="2214" w:type="dxa"/>
            <w:vMerge w:val="restart"/>
            <w:noWrap w:val="0"/>
            <w:vAlign w:val="top"/>
          </w:tcPr>
          <w:p w14:paraId="7602CE00">
            <w:pPr>
              <w:pStyle w:val="300"/>
              <w:spacing w:line="240" w:lineRule="auto"/>
              <w:ind w:firstLine="0"/>
              <w:rPr>
                <w:rFonts w:ascii="ˎ̥" w:hAnsi="ˎ̥" w:cs="宋体"/>
                <w:color w:val="000000"/>
                <w:sz w:val="21"/>
                <w:szCs w:val="21"/>
              </w:rPr>
            </w:pPr>
            <w:r>
              <w:rPr>
                <w:rFonts w:ascii="ˎ̥" w:hAnsi="ˎ̥" w:cs="宋体"/>
                <w:color w:val="000000"/>
                <w:sz w:val="21"/>
                <w:szCs w:val="21"/>
              </w:rPr>
              <w:t>过期、淘汰、变质或者被污染的废弃的药品。</w:t>
            </w:r>
          </w:p>
        </w:tc>
        <w:tc>
          <w:tcPr>
            <w:tcW w:w="4638" w:type="dxa"/>
            <w:noWrap w:val="0"/>
            <w:vAlign w:val="top"/>
          </w:tcPr>
          <w:p w14:paraId="32B4B88F">
            <w:pPr>
              <w:pStyle w:val="300"/>
              <w:spacing w:line="240" w:lineRule="auto"/>
              <w:ind w:firstLine="0"/>
              <w:rPr>
                <w:rFonts w:ascii="宋体" w:hAnsi="宋体" w:cs="宋体"/>
                <w:color w:val="000000"/>
                <w:sz w:val="21"/>
                <w:szCs w:val="21"/>
              </w:rPr>
            </w:pPr>
            <w:r>
              <w:rPr>
                <w:rFonts w:ascii="宋体" w:hAnsi="宋体" w:cs="宋体"/>
                <w:color w:val="000000"/>
                <w:sz w:val="21"/>
                <w:szCs w:val="21"/>
              </w:rPr>
              <w:t>1、废弃的一般性药品，如：抗生素、非处方类药品等。</w:t>
            </w:r>
          </w:p>
        </w:tc>
      </w:tr>
      <w:tr w14:paraId="2A18ADD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676" w:type="dxa"/>
            <w:vMerge w:val="continue"/>
            <w:noWrap w:val="0"/>
            <w:vAlign w:val="top"/>
          </w:tcPr>
          <w:p w14:paraId="41CF12F6">
            <w:pPr>
              <w:widowControl/>
              <w:jc w:val="center"/>
              <w:rPr>
                <w:rFonts w:ascii="ˎ̥" w:hAnsi="ˎ̥" w:cs="宋体"/>
                <w:b w:val="0"/>
                <w:bCs/>
                <w:szCs w:val="21"/>
                <w:rPrChange w:id="4" w:author="USER" w:date="2013-06-24T17:50:00Z">
                  <w:rPr>
                    <w:rFonts w:ascii="ˎ̥" w:hAnsi="ˎ̥" w:cs="宋体"/>
                    <w:b/>
                    <w:bCs/>
                    <w:szCs w:val="21"/>
                  </w:rPr>
                </w:rPrChange>
              </w:rPr>
            </w:pPr>
          </w:p>
        </w:tc>
        <w:tc>
          <w:tcPr>
            <w:tcW w:w="2214" w:type="dxa"/>
            <w:vMerge w:val="continue"/>
            <w:noWrap w:val="0"/>
            <w:vAlign w:val="top"/>
          </w:tcPr>
          <w:p w14:paraId="29128636">
            <w:pPr>
              <w:pStyle w:val="300"/>
              <w:spacing w:line="240" w:lineRule="auto"/>
              <w:ind w:firstLine="0"/>
              <w:rPr>
                <w:rFonts w:ascii="ˎ̥" w:hAnsi="ˎ̥" w:cs="宋体"/>
                <w:color w:val="000000"/>
                <w:sz w:val="21"/>
                <w:szCs w:val="21"/>
              </w:rPr>
            </w:pPr>
          </w:p>
        </w:tc>
        <w:tc>
          <w:tcPr>
            <w:tcW w:w="4638" w:type="dxa"/>
            <w:noWrap w:val="0"/>
            <w:vAlign w:val="top"/>
          </w:tcPr>
          <w:p w14:paraId="6D4A73EC">
            <w:pPr>
              <w:widowControl/>
              <w:rPr>
                <w:rFonts w:ascii="宋体" w:hAnsi="宋体" w:cs="宋体"/>
                <w:color w:val="000000"/>
                <w:szCs w:val="21"/>
              </w:rPr>
            </w:pPr>
            <w:r>
              <w:rPr>
                <w:rFonts w:ascii="宋体" w:hAnsi="宋体" w:cs="宋体"/>
                <w:color w:val="000000"/>
                <w:szCs w:val="21"/>
              </w:rPr>
              <w:t xml:space="preserve">2、废弃的细胞毒性药物和遗传毒性药物，包括： </w:t>
            </w:r>
          </w:p>
          <w:p w14:paraId="2CE21728">
            <w:pPr>
              <w:widowControl/>
              <w:rPr>
                <w:rFonts w:ascii="宋体" w:hAnsi="宋体" w:cs="宋体"/>
                <w:color w:val="000000"/>
                <w:szCs w:val="21"/>
              </w:rPr>
            </w:pPr>
            <w:r>
              <w:rPr>
                <w:rFonts w:ascii="宋体" w:hAnsi="宋体" w:cs="宋体"/>
                <w:color w:val="000000"/>
                <w:szCs w:val="21"/>
              </w:rPr>
              <w:t xml:space="preserve">——致癌性药物，如硫唑嘌呤、苯丁酸氮芥、萘氮芥、环孢霉素、环磷酰胺、苯丙胺酸氮芥、司莫司汀、三苯氧氨、硫替派等； </w:t>
            </w:r>
          </w:p>
          <w:p w14:paraId="7ED71353">
            <w:pPr>
              <w:widowControl/>
              <w:rPr>
                <w:rFonts w:ascii="宋体" w:hAnsi="宋体" w:cs="宋体"/>
                <w:color w:val="000000"/>
                <w:szCs w:val="21"/>
              </w:rPr>
            </w:pPr>
            <w:r>
              <w:rPr>
                <w:rFonts w:ascii="宋体" w:hAnsi="宋体" w:cs="宋体"/>
                <w:color w:val="000000"/>
                <w:szCs w:val="21"/>
              </w:rPr>
              <w:t xml:space="preserve">——可疑致癌性药物，如：顺铂、丝裂霉素、阿霉素、苯巴比妥等； </w:t>
            </w:r>
          </w:p>
          <w:p w14:paraId="0719524B">
            <w:pPr>
              <w:pStyle w:val="300"/>
              <w:spacing w:line="240" w:lineRule="auto"/>
              <w:ind w:firstLine="0"/>
              <w:rPr>
                <w:rFonts w:ascii="宋体" w:hAnsi="宋体" w:cs="宋体"/>
                <w:color w:val="000000"/>
                <w:sz w:val="21"/>
                <w:szCs w:val="21"/>
              </w:rPr>
            </w:pPr>
            <w:r>
              <w:rPr>
                <w:rFonts w:ascii="宋体" w:hAnsi="宋体" w:cs="宋体"/>
                <w:color w:val="000000"/>
                <w:sz w:val="21"/>
                <w:szCs w:val="21"/>
              </w:rPr>
              <w:t>——免疫抑制剂。  </w:t>
            </w:r>
          </w:p>
        </w:tc>
      </w:tr>
      <w:tr w14:paraId="5F917E8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676" w:type="dxa"/>
            <w:vMerge w:val="continue"/>
            <w:noWrap w:val="0"/>
            <w:vAlign w:val="top"/>
          </w:tcPr>
          <w:p w14:paraId="6FEE73C4">
            <w:pPr>
              <w:widowControl/>
              <w:jc w:val="center"/>
              <w:rPr>
                <w:rFonts w:ascii="ˎ̥" w:hAnsi="ˎ̥" w:cs="宋体"/>
                <w:b w:val="0"/>
                <w:bCs/>
                <w:szCs w:val="21"/>
                <w:rPrChange w:id="5" w:author="USER" w:date="2013-06-24T17:50:00Z">
                  <w:rPr>
                    <w:rFonts w:ascii="ˎ̥" w:hAnsi="ˎ̥" w:cs="宋体"/>
                    <w:b/>
                    <w:bCs/>
                    <w:szCs w:val="21"/>
                  </w:rPr>
                </w:rPrChange>
              </w:rPr>
            </w:pPr>
          </w:p>
        </w:tc>
        <w:tc>
          <w:tcPr>
            <w:tcW w:w="2214" w:type="dxa"/>
            <w:vMerge w:val="continue"/>
            <w:noWrap w:val="0"/>
            <w:vAlign w:val="top"/>
          </w:tcPr>
          <w:p w14:paraId="4D05BD53">
            <w:pPr>
              <w:pStyle w:val="300"/>
              <w:spacing w:line="240" w:lineRule="auto"/>
              <w:ind w:firstLine="0"/>
              <w:rPr>
                <w:rFonts w:ascii="ˎ̥" w:hAnsi="ˎ̥" w:cs="宋体"/>
                <w:color w:val="000000"/>
                <w:sz w:val="21"/>
                <w:szCs w:val="21"/>
              </w:rPr>
            </w:pPr>
          </w:p>
        </w:tc>
        <w:tc>
          <w:tcPr>
            <w:tcW w:w="4638" w:type="dxa"/>
            <w:noWrap w:val="0"/>
            <w:vAlign w:val="top"/>
          </w:tcPr>
          <w:p w14:paraId="690D49AC">
            <w:pPr>
              <w:pStyle w:val="300"/>
              <w:spacing w:line="240" w:lineRule="auto"/>
              <w:ind w:firstLine="0"/>
              <w:rPr>
                <w:rFonts w:ascii="宋体" w:hAnsi="宋体" w:cs="宋体"/>
                <w:color w:val="000000"/>
                <w:sz w:val="21"/>
                <w:szCs w:val="21"/>
              </w:rPr>
            </w:pPr>
            <w:r>
              <w:rPr>
                <w:rFonts w:ascii="宋体" w:hAnsi="宋体" w:cs="宋体"/>
                <w:color w:val="000000"/>
                <w:sz w:val="21"/>
                <w:szCs w:val="21"/>
              </w:rPr>
              <w:t>3、废弃的疫苗、血液制品等。  </w:t>
            </w:r>
          </w:p>
        </w:tc>
      </w:tr>
      <w:tr w14:paraId="0859D89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676" w:type="dxa"/>
            <w:vMerge w:val="restart"/>
            <w:noWrap w:val="0"/>
            <w:vAlign w:val="top"/>
          </w:tcPr>
          <w:p w14:paraId="261E86FD">
            <w:pPr>
              <w:widowControl/>
              <w:jc w:val="center"/>
              <w:rPr>
                <w:rFonts w:hint="eastAsia" w:ascii="ˎ̥" w:hAnsi="ˎ̥" w:cs="宋体"/>
                <w:bCs/>
                <w:color w:val="000000"/>
                <w:szCs w:val="21"/>
              </w:rPr>
            </w:pPr>
          </w:p>
          <w:p w14:paraId="38E04FAC">
            <w:pPr>
              <w:widowControl/>
              <w:jc w:val="center"/>
              <w:rPr>
                <w:rFonts w:hint="eastAsia" w:ascii="ˎ̥" w:hAnsi="ˎ̥" w:cs="宋体"/>
                <w:bCs/>
                <w:color w:val="000000"/>
                <w:szCs w:val="21"/>
              </w:rPr>
            </w:pPr>
            <w:r>
              <w:rPr>
                <w:rFonts w:ascii="ˎ̥" w:hAnsi="ˎ̥" w:cs="宋体"/>
                <w:bCs/>
                <w:color w:val="000000"/>
                <w:szCs w:val="21"/>
              </w:rPr>
              <w:t>化学性</w:t>
            </w:r>
          </w:p>
          <w:p w14:paraId="0D4A22B5">
            <w:pPr>
              <w:widowControl/>
              <w:jc w:val="center"/>
              <w:rPr>
                <w:rFonts w:ascii="ˎ̥" w:hAnsi="ˎ̥" w:cs="宋体"/>
                <w:bCs/>
                <w:color w:val="000000"/>
                <w:szCs w:val="21"/>
              </w:rPr>
            </w:pPr>
            <w:r>
              <w:rPr>
                <w:rFonts w:ascii="ˎ̥" w:hAnsi="ˎ̥" w:cs="宋体"/>
                <w:bCs/>
                <w:color w:val="000000"/>
                <w:szCs w:val="21"/>
              </w:rPr>
              <w:t>废物 </w:t>
            </w:r>
          </w:p>
        </w:tc>
        <w:tc>
          <w:tcPr>
            <w:tcW w:w="2214" w:type="dxa"/>
            <w:vMerge w:val="restart"/>
            <w:noWrap w:val="0"/>
            <w:vAlign w:val="top"/>
          </w:tcPr>
          <w:p w14:paraId="0722005F">
            <w:pPr>
              <w:pStyle w:val="300"/>
              <w:spacing w:line="240" w:lineRule="auto"/>
              <w:ind w:firstLine="0"/>
              <w:rPr>
                <w:rFonts w:ascii="ˎ̥" w:hAnsi="ˎ̥" w:cs="宋体"/>
                <w:color w:val="000000"/>
                <w:sz w:val="21"/>
                <w:szCs w:val="21"/>
              </w:rPr>
            </w:pPr>
            <w:r>
              <w:rPr>
                <w:rFonts w:ascii="ˎ̥" w:hAnsi="ˎ̥" w:cs="宋体"/>
                <w:color w:val="000000"/>
                <w:sz w:val="21"/>
                <w:szCs w:val="21"/>
              </w:rPr>
              <w:t>具有毒性、腐蚀性、易燃易爆性的废弃的化学物品。</w:t>
            </w:r>
          </w:p>
        </w:tc>
        <w:tc>
          <w:tcPr>
            <w:tcW w:w="4638" w:type="dxa"/>
            <w:noWrap w:val="0"/>
            <w:vAlign w:val="top"/>
          </w:tcPr>
          <w:p w14:paraId="2D9EC279">
            <w:pPr>
              <w:pStyle w:val="300"/>
              <w:spacing w:line="240" w:lineRule="auto"/>
              <w:ind w:firstLine="0"/>
              <w:rPr>
                <w:rFonts w:ascii="宋体" w:hAnsi="宋体" w:cs="宋体"/>
                <w:color w:val="000000"/>
                <w:sz w:val="21"/>
                <w:szCs w:val="21"/>
              </w:rPr>
            </w:pPr>
            <w:r>
              <w:rPr>
                <w:rFonts w:ascii="宋体" w:hAnsi="宋体" w:cs="宋体"/>
                <w:color w:val="000000"/>
                <w:sz w:val="21"/>
                <w:szCs w:val="21"/>
              </w:rPr>
              <w:t>1、医学影像室、实验室废弃的化学试剂。</w:t>
            </w:r>
          </w:p>
        </w:tc>
      </w:tr>
      <w:tr w14:paraId="039B130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676" w:type="dxa"/>
            <w:vMerge w:val="continue"/>
            <w:noWrap w:val="0"/>
            <w:vAlign w:val="top"/>
          </w:tcPr>
          <w:p w14:paraId="725B7728">
            <w:pPr>
              <w:widowControl/>
              <w:jc w:val="center"/>
              <w:rPr>
                <w:rFonts w:ascii="ˎ̥" w:hAnsi="ˎ̥" w:cs="宋体"/>
                <w:b/>
                <w:bCs/>
                <w:color w:val="000000"/>
                <w:sz w:val="24"/>
              </w:rPr>
            </w:pPr>
          </w:p>
        </w:tc>
        <w:tc>
          <w:tcPr>
            <w:tcW w:w="2214" w:type="dxa"/>
            <w:vMerge w:val="continue"/>
            <w:noWrap w:val="0"/>
            <w:vAlign w:val="top"/>
          </w:tcPr>
          <w:p w14:paraId="172E599F">
            <w:pPr>
              <w:pStyle w:val="300"/>
              <w:spacing w:line="240" w:lineRule="auto"/>
              <w:ind w:firstLine="0"/>
              <w:rPr>
                <w:rFonts w:ascii="ˎ̥" w:hAnsi="ˎ̥" w:cs="宋体"/>
                <w:color w:val="000000"/>
                <w:szCs w:val="21"/>
              </w:rPr>
            </w:pPr>
          </w:p>
        </w:tc>
        <w:tc>
          <w:tcPr>
            <w:tcW w:w="4638" w:type="dxa"/>
            <w:noWrap w:val="0"/>
            <w:vAlign w:val="top"/>
          </w:tcPr>
          <w:p w14:paraId="172332FB">
            <w:pPr>
              <w:pStyle w:val="300"/>
              <w:spacing w:line="240" w:lineRule="auto"/>
              <w:ind w:firstLine="0"/>
              <w:rPr>
                <w:rFonts w:ascii="宋体" w:hAnsi="宋体" w:cs="宋体"/>
                <w:color w:val="000000"/>
                <w:sz w:val="21"/>
                <w:szCs w:val="21"/>
              </w:rPr>
            </w:pPr>
            <w:r>
              <w:rPr>
                <w:rFonts w:ascii="宋体" w:hAnsi="宋体" w:cs="宋体"/>
                <w:color w:val="000000"/>
                <w:sz w:val="21"/>
                <w:szCs w:val="21"/>
              </w:rPr>
              <w:t>2、废弃的过氧乙酸、戊二醛等化学消毒剂。</w:t>
            </w:r>
          </w:p>
        </w:tc>
      </w:tr>
      <w:tr w14:paraId="0D4701D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676" w:type="dxa"/>
            <w:vMerge w:val="continue"/>
            <w:noWrap w:val="0"/>
            <w:vAlign w:val="top"/>
          </w:tcPr>
          <w:p w14:paraId="61E5CA9E">
            <w:pPr>
              <w:widowControl/>
              <w:jc w:val="center"/>
              <w:rPr>
                <w:rFonts w:ascii="ˎ̥" w:hAnsi="ˎ̥" w:cs="宋体"/>
                <w:b/>
                <w:bCs/>
                <w:color w:val="000000"/>
                <w:sz w:val="24"/>
              </w:rPr>
            </w:pPr>
          </w:p>
        </w:tc>
        <w:tc>
          <w:tcPr>
            <w:tcW w:w="2214" w:type="dxa"/>
            <w:vMerge w:val="continue"/>
            <w:noWrap w:val="0"/>
            <w:vAlign w:val="top"/>
          </w:tcPr>
          <w:p w14:paraId="504924A2">
            <w:pPr>
              <w:pStyle w:val="300"/>
              <w:spacing w:line="240" w:lineRule="auto"/>
              <w:ind w:firstLine="0"/>
              <w:rPr>
                <w:rFonts w:ascii="ˎ̥" w:hAnsi="ˎ̥" w:cs="宋体"/>
                <w:color w:val="000000"/>
                <w:szCs w:val="21"/>
              </w:rPr>
            </w:pPr>
          </w:p>
        </w:tc>
        <w:tc>
          <w:tcPr>
            <w:tcW w:w="4638" w:type="dxa"/>
            <w:noWrap w:val="0"/>
            <w:vAlign w:val="top"/>
          </w:tcPr>
          <w:p w14:paraId="1426128A">
            <w:pPr>
              <w:pStyle w:val="300"/>
              <w:spacing w:line="240" w:lineRule="auto"/>
              <w:ind w:firstLine="0"/>
              <w:rPr>
                <w:rFonts w:ascii="宋体" w:hAnsi="宋体" w:cs="宋体"/>
                <w:color w:val="000000"/>
                <w:sz w:val="21"/>
                <w:szCs w:val="21"/>
              </w:rPr>
            </w:pPr>
            <w:r>
              <w:rPr>
                <w:rFonts w:ascii="宋体" w:hAnsi="宋体" w:cs="宋体"/>
                <w:color w:val="000000"/>
                <w:sz w:val="21"/>
                <w:szCs w:val="21"/>
              </w:rPr>
              <w:t>3、废弃的汞血压计、汞温度计。</w:t>
            </w:r>
          </w:p>
        </w:tc>
      </w:tr>
    </w:tbl>
    <w:p w14:paraId="24B96DC6">
      <w:pPr>
        <w:pStyle w:val="300"/>
        <w:spacing w:line="360" w:lineRule="auto"/>
        <w:ind w:firstLine="480"/>
        <w:rPr>
          <w:rFonts w:hint="eastAsia" w:ascii="宋体" w:hAnsi="宋体" w:cs="Arial"/>
          <w:color w:val="000000"/>
        </w:rPr>
      </w:pPr>
      <w:r>
        <w:rPr>
          <w:rFonts w:hint="eastAsia" w:ascii="宋体" w:hAnsi="宋体" w:cs="Arial"/>
          <w:color w:val="000000"/>
        </w:rPr>
        <w:t>医疗废物主要来源于病房。</w:t>
      </w:r>
      <w:r>
        <w:rPr>
          <w:rFonts w:hint="eastAsia"/>
          <w:color w:val="000000"/>
        </w:rPr>
        <w:t>病房垃圾产生量按1kg/床·天计，病房产生医疗垃圾量为230kg/d，年产生医疗垃圾83.95</w:t>
      </w:r>
      <w:r>
        <w:rPr>
          <w:rFonts w:hint="eastAsia" w:ascii="宋体" w:hAnsi="宋体" w:cs="Arial"/>
          <w:color w:val="000000"/>
        </w:rPr>
        <w:t>t。</w:t>
      </w:r>
      <w:r>
        <w:rPr>
          <w:rFonts w:ascii="宋体" w:hAnsi="宋体" w:cs="Arial"/>
          <w:color w:val="000000"/>
        </w:rPr>
        <w:t>医疗废物可分为普通医疗废物和带菌医疗废物，其中普通医疗垃圾80%，成份主要含有机物、纸、塑料、金属、玻璃陶瓷等；医疗废物约含20%的带菌废物，其中感染性和病理性废物约占15%，化学性和药物性废物约占3%，损伤性废物约占1%，放射性/细胞毒等约占1%。医疗垃圾组成情况如表3</w:t>
      </w:r>
      <w:r>
        <w:rPr>
          <w:rFonts w:hint="eastAsia" w:ascii="宋体" w:hAnsi="宋体" w:cs="Arial"/>
          <w:color w:val="000000"/>
        </w:rPr>
        <w:t>.7-6</w:t>
      </w:r>
      <w:r>
        <w:rPr>
          <w:rFonts w:ascii="宋体" w:hAnsi="宋体" w:cs="Arial"/>
          <w:color w:val="000000"/>
        </w:rPr>
        <w:t>所示。</w:t>
      </w:r>
    </w:p>
    <w:p w14:paraId="5FC4AB2F">
      <w:pPr>
        <w:pStyle w:val="307"/>
        <w:rPr>
          <w:color w:val="000000"/>
        </w:rPr>
      </w:pPr>
      <w:r>
        <w:rPr>
          <w:color w:val="000000"/>
        </w:rPr>
        <w:t>表3</w:t>
      </w:r>
      <w:r>
        <w:rPr>
          <w:rFonts w:hint="eastAsia"/>
          <w:color w:val="000000"/>
        </w:rPr>
        <w:t>.7-6</w:t>
      </w:r>
      <w:r>
        <w:rPr>
          <w:color w:val="000000"/>
        </w:rPr>
        <w:t xml:space="preserve">  </w:t>
      </w:r>
      <w:r>
        <w:rPr>
          <w:rFonts w:hint="eastAsia"/>
          <w:color w:val="000000"/>
        </w:rPr>
        <w:t xml:space="preserve">  </w:t>
      </w:r>
      <w:r>
        <w:rPr>
          <w:color w:val="000000"/>
        </w:rPr>
        <w:t>医院医疗废物组成情况</w:t>
      </w:r>
    </w:p>
    <w:tbl>
      <w:tblPr>
        <w:tblStyle w:val="27"/>
        <w:tblW w:w="0" w:type="auto"/>
        <w:tblInd w:w="-108"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897"/>
        <w:gridCol w:w="1061"/>
        <w:gridCol w:w="1194"/>
        <w:gridCol w:w="2468"/>
        <w:gridCol w:w="1787"/>
        <w:gridCol w:w="1121"/>
      </w:tblGrid>
      <w:tr w14:paraId="2633145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897" w:type="dxa"/>
            <w:vMerge w:val="restart"/>
            <w:noWrap w:val="0"/>
            <w:vAlign w:val="center"/>
          </w:tcPr>
          <w:p w14:paraId="0501858C">
            <w:pPr>
              <w:pStyle w:val="266"/>
              <w:rPr>
                <w:color w:val="000000"/>
              </w:rPr>
            </w:pPr>
            <w:r>
              <w:rPr>
                <w:color w:val="000000"/>
              </w:rPr>
              <w:t>医疗废物组成</w:t>
            </w:r>
          </w:p>
        </w:tc>
        <w:tc>
          <w:tcPr>
            <w:tcW w:w="1061" w:type="dxa"/>
            <w:vMerge w:val="restart"/>
            <w:noWrap w:val="0"/>
            <w:vAlign w:val="center"/>
          </w:tcPr>
          <w:p w14:paraId="375B200A">
            <w:pPr>
              <w:pStyle w:val="266"/>
              <w:rPr>
                <w:color w:val="000000"/>
              </w:rPr>
            </w:pPr>
            <w:r>
              <w:rPr>
                <w:color w:val="000000"/>
              </w:rPr>
              <w:t>普通医疗垃圾</w:t>
            </w:r>
          </w:p>
        </w:tc>
        <w:tc>
          <w:tcPr>
            <w:tcW w:w="6570" w:type="dxa"/>
            <w:gridSpan w:val="4"/>
            <w:noWrap w:val="0"/>
            <w:vAlign w:val="center"/>
          </w:tcPr>
          <w:p w14:paraId="499B484F">
            <w:pPr>
              <w:pStyle w:val="266"/>
              <w:rPr>
                <w:color w:val="000000"/>
              </w:rPr>
            </w:pPr>
            <w:r>
              <w:rPr>
                <w:color w:val="000000"/>
              </w:rPr>
              <w:t>带菌医疗垃圾</w:t>
            </w:r>
          </w:p>
        </w:tc>
      </w:tr>
      <w:tr w14:paraId="65792C8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897" w:type="dxa"/>
            <w:vMerge w:val="continue"/>
            <w:noWrap w:val="0"/>
            <w:vAlign w:val="center"/>
          </w:tcPr>
          <w:p w14:paraId="7F40DEF5">
            <w:pPr>
              <w:pStyle w:val="266"/>
              <w:rPr>
                <w:color w:val="000000"/>
              </w:rPr>
            </w:pPr>
          </w:p>
        </w:tc>
        <w:tc>
          <w:tcPr>
            <w:tcW w:w="1061" w:type="dxa"/>
            <w:vMerge w:val="continue"/>
            <w:noWrap w:val="0"/>
            <w:vAlign w:val="center"/>
          </w:tcPr>
          <w:p w14:paraId="4F50287E">
            <w:pPr>
              <w:pStyle w:val="266"/>
              <w:rPr>
                <w:color w:val="000000"/>
              </w:rPr>
            </w:pPr>
          </w:p>
        </w:tc>
        <w:tc>
          <w:tcPr>
            <w:tcW w:w="1194" w:type="dxa"/>
            <w:noWrap w:val="0"/>
            <w:vAlign w:val="center"/>
          </w:tcPr>
          <w:p w14:paraId="1ED72543">
            <w:pPr>
              <w:pStyle w:val="266"/>
              <w:rPr>
                <w:color w:val="000000"/>
              </w:rPr>
            </w:pPr>
            <w:r>
              <w:rPr>
                <w:color w:val="000000"/>
              </w:rPr>
              <w:t>感染性/病理性废物</w:t>
            </w:r>
          </w:p>
        </w:tc>
        <w:tc>
          <w:tcPr>
            <w:tcW w:w="2468" w:type="dxa"/>
            <w:noWrap w:val="0"/>
            <w:vAlign w:val="center"/>
          </w:tcPr>
          <w:p w14:paraId="792CF354">
            <w:pPr>
              <w:pStyle w:val="266"/>
              <w:rPr>
                <w:color w:val="000000"/>
              </w:rPr>
            </w:pPr>
            <w:r>
              <w:rPr>
                <w:color w:val="000000"/>
              </w:rPr>
              <w:t>化学性/药物性废物</w:t>
            </w:r>
          </w:p>
        </w:tc>
        <w:tc>
          <w:tcPr>
            <w:tcW w:w="1787" w:type="dxa"/>
            <w:noWrap w:val="0"/>
            <w:vAlign w:val="center"/>
          </w:tcPr>
          <w:p w14:paraId="5C3DB28C">
            <w:pPr>
              <w:pStyle w:val="266"/>
              <w:rPr>
                <w:color w:val="000000"/>
              </w:rPr>
            </w:pPr>
            <w:r>
              <w:rPr>
                <w:color w:val="000000"/>
              </w:rPr>
              <w:t>损伤性废物</w:t>
            </w:r>
          </w:p>
        </w:tc>
        <w:tc>
          <w:tcPr>
            <w:tcW w:w="1121" w:type="dxa"/>
            <w:noWrap w:val="0"/>
            <w:vAlign w:val="center"/>
          </w:tcPr>
          <w:p w14:paraId="655BB347">
            <w:pPr>
              <w:pStyle w:val="266"/>
              <w:rPr>
                <w:color w:val="000000"/>
              </w:rPr>
            </w:pPr>
            <w:r>
              <w:rPr>
                <w:color w:val="000000"/>
              </w:rPr>
              <w:t>放射性/细胞毒</w:t>
            </w:r>
          </w:p>
        </w:tc>
      </w:tr>
      <w:tr w14:paraId="0DD1577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897" w:type="dxa"/>
            <w:noWrap w:val="0"/>
            <w:vAlign w:val="center"/>
          </w:tcPr>
          <w:p w14:paraId="2CA5DF87">
            <w:pPr>
              <w:pStyle w:val="266"/>
              <w:rPr>
                <w:rFonts w:hint="eastAsia"/>
                <w:color w:val="000000"/>
              </w:rPr>
            </w:pPr>
            <w:r>
              <w:rPr>
                <w:color w:val="000000"/>
              </w:rPr>
              <w:t>比例%</w:t>
            </w:r>
          </w:p>
        </w:tc>
        <w:tc>
          <w:tcPr>
            <w:tcW w:w="1061" w:type="dxa"/>
            <w:noWrap w:val="0"/>
            <w:vAlign w:val="center"/>
          </w:tcPr>
          <w:p w14:paraId="7ED3B69C">
            <w:pPr>
              <w:pStyle w:val="266"/>
              <w:rPr>
                <w:color w:val="000000"/>
              </w:rPr>
            </w:pPr>
            <w:r>
              <w:rPr>
                <w:color w:val="000000"/>
              </w:rPr>
              <w:t>80</w:t>
            </w:r>
          </w:p>
        </w:tc>
        <w:tc>
          <w:tcPr>
            <w:tcW w:w="1194" w:type="dxa"/>
            <w:noWrap w:val="0"/>
            <w:vAlign w:val="center"/>
          </w:tcPr>
          <w:p w14:paraId="3B8BA03E">
            <w:pPr>
              <w:pStyle w:val="266"/>
              <w:rPr>
                <w:color w:val="000000"/>
              </w:rPr>
            </w:pPr>
            <w:r>
              <w:rPr>
                <w:color w:val="000000"/>
              </w:rPr>
              <w:t>15</w:t>
            </w:r>
          </w:p>
        </w:tc>
        <w:tc>
          <w:tcPr>
            <w:tcW w:w="2468" w:type="dxa"/>
            <w:noWrap w:val="0"/>
            <w:vAlign w:val="center"/>
          </w:tcPr>
          <w:p w14:paraId="346335D1">
            <w:pPr>
              <w:pStyle w:val="266"/>
              <w:rPr>
                <w:color w:val="000000"/>
              </w:rPr>
            </w:pPr>
            <w:r>
              <w:rPr>
                <w:color w:val="000000"/>
              </w:rPr>
              <w:t>3</w:t>
            </w:r>
          </w:p>
        </w:tc>
        <w:tc>
          <w:tcPr>
            <w:tcW w:w="1787" w:type="dxa"/>
            <w:noWrap w:val="0"/>
            <w:vAlign w:val="center"/>
          </w:tcPr>
          <w:p w14:paraId="0409E4BE">
            <w:pPr>
              <w:pStyle w:val="266"/>
              <w:rPr>
                <w:color w:val="000000"/>
              </w:rPr>
            </w:pPr>
            <w:r>
              <w:rPr>
                <w:color w:val="000000"/>
              </w:rPr>
              <w:t>1</w:t>
            </w:r>
          </w:p>
        </w:tc>
        <w:tc>
          <w:tcPr>
            <w:tcW w:w="1121" w:type="dxa"/>
            <w:noWrap w:val="0"/>
            <w:vAlign w:val="center"/>
          </w:tcPr>
          <w:p w14:paraId="4A89DCB6">
            <w:pPr>
              <w:pStyle w:val="266"/>
              <w:rPr>
                <w:color w:val="000000"/>
              </w:rPr>
            </w:pPr>
            <w:r>
              <w:rPr>
                <w:color w:val="000000"/>
              </w:rPr>
              <w:t>1</w:t>
            </w:r>
          </w:p>
        </w:tc>
      </w:tr>
      <w:tr w14:paraId="1EA3766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897" w:type="dxa"/>
            <w:noWrap w:val="0"/>
            <w:vAlign w:val="center"/>
          </w:tcPr>
          <w:p w14:paraId="752D25CB">
            <w:pPr>
              <w:pStyle w:val="266"/>
              <w:rPr>
                <w:color w:val="000000"/>
              </w:rPr>
            </w:pPr>
            <w:r>
              <w:rPr>
                <w:color w:val="000000"/>
              </w:rPr>
              <w:t>主要</w:t>
            </w:r>
          </w:p>
          <w:p w14:paraId="5F659932">
            <w:pPr>
              <w:pStyle w:val="266"/>
              <w:rPr>
                <w:color w:val="000000"/>
              </w:rPr>
            </w:pPr>
            <w:r>
              <w:rPr>
                <w:color w:val="000000"/>
              </w:rPr>
              <w:t>成份</w:t>
            </w:r>
          </w:p>
        </w:tc>
        <w:tc>
          <w:tcPr>
            <w:tcW w:w="1061" w:type="dxa"/>
            <w:noWrap w:val="0"/>
            <w:vAlign w:val="center"/>
          </w:tcPr>
          <w:p w14:paraId="6D45B92B">
            <w:pPr>
              <w:pStyle w:val="266"/>
              <w:rPr>
                <w:color w:val="000000"/>
              </w:rPr>
            </w:pPr>
            <w:r>
              <w:rPr>
                <w:color w:val="000000"/>
              </w:rPr>
              <w:t>主要含有机物、纸、塑料、金属、玻璃陶瓷等</w:t>
            </w:r>
          </w:p>
        </w:tc>
        <w:tc>
          <w:tcPr>
            <w:tcW w:w="1194" w:type="dxa"/>
            <w:noWrap w:val="0"/>
            <w:vAlign w:val="center"/>
          </w:tcPr>
          <w:p w14:paraId="71638E37">
            <w:pPr>
              <w:pStyle w:val="266"/>
              <w:rPr>
                <w:color w:val="000000"/>
              </w:rPr>
            </w:pPr>
            <w:r>
              <w:rPr>
                <w:color w:val="000000"/>
              </w:rPr>
              <w:t>从人体切除的物质、器官、尸体等</w:t>
            </w:r>
          </w:p>
        </w:tc>
        <w:tc>
          <w:tcPr>
            <w:tcW w:w="2468" w:type="dxa"/>
            <w:noWrap w:val="0"/>
            <w:vAlign w:val="center"/>
          </w:tcPr>
          <w:p w14:paraId="04891583">
            <w:pPr>
              <w:pStyle w:val="266"/>
              <w:rPr>
                <w:color w:val="000000"/>
              </w:rPr>
            </w:pPr>
            <w:r>
              <w:rPr>
                <w:color w:val="000000"/>
              </w:rPr>
              <w:t>过期、淘汰、变质或者污染的药品；废弃的一般药品；具有毒性、腐蚀性、易燃易爆性的废弃的化学药品；医学影像水、实验室废弃的试剂，废弃的消毒剂如醛类消毒剂等</w:t>
            </w:r>
          </w:p>
        </w:tc>
        <w:tc>
          <w:tcPr>
            <w:tcW w:w="1787" w:type="dxa"/>
            <w:noWrap w:val="0"/>
            <w:vAlign w:val="center"/>
          </w:tcPr>
          <w:p w14:paraId="21293049">
            <w:pPr>
              <w:pStyle w:val="266"/>
              <w:rPr>
                <w:color w:val="000000"/>
              </w:rPr>
            </w:pPr>
            <w:r>
              <w:rPr>
                <w:color w:val="000000"/>
              </w:rPr>
              <w:t>能够扎（刺）伤或者割伤人体的废弃的锐利器物（所有锐器视为感染性），如针头、缝合针、各类刀、锯、废弃的载玻片、玻璃试管等</w:t>
            </w:r>
          </w:p>
        </w:tc>
        <w:tc>
          <w:tcPr>
            <w:tcW w:w="1121" w:type="dxa"/>
            <w:noWrap w:val="0"/>
            <w:vAlign w:val="center"/>
          </w:tcPr>
          <w:p w14:paraId="3588E302">
            <w:pPr>
              <w:pStyle w:val="266"/>
              <w:rPr>
                <w:color w:val="000000"/>
              </w:rPr>
            </w:pPr>
            <w:r>
              <w:rPr>
                <w:color w:val="000000"/>
              </w:rPr>
              <w:t>含有放射性物质污染的废物如放射源、同位素检测试剂及混合物等</w:t>
            </w:r>
          </w:p>
          <w:p w14:paraId="02A4F716">
            <w:pPr>
              <w:pStyle w:val="266"/>
              <w:rPr>
                <w:color w:val="000000"/>
              </w:rPr>
            </w:pPr>
          </w:p>
        </w:tc>
      </w:tr>
    </w:tbl>
    <w:p w14:paraId="49456B53">
      <w:pPr>
        <w:tabs>
          <w:tab w:val="left" w:pos="2268"/>
        </w:tabs>
        <w:spacing w:line="360" w:lineRule="auto"/>
        <w:ind w:firstLine="480"/>
        <w:rPr>
          <w:rFonts w:hint="eastAsia" w:ascii="宋体" w:hAnsi="宋体"/>
          <w:color w:val="000000"/>
          <w:sz w:val="24"/>
        </w:rPr>
      </w:pPr>
      <w:r>
        <w:rPr>
          <w:rFonts w:hint="eastAsia" w:ascii="宋体" w:hAnsi="宋体"/>
          <w:color w:val="000000"/>
          <w:sz w:val="24"/>
        </w:rPr>
        <w:t>按照《国家危险废物名录》，本项目主要产生“名录”所列的HW01、HW16类医疗危险废物，所有带菌医疗垃圾均列入危险废物进行管理及处置，委托“</w:t>
      </w:r>
      <w:r>
        <w:rPr>
          <w:color w:val="000000"/>
          <w:sz w:val="24"/>
        </w:rPr>
        <w:t>有资质的</w:t>
      </w:r>
      <w:r>
        <w:rPr>
          <w:rFonts w:hint="eastAsia"/>
          <w:color w:val="000000"/>
          <w:sz w:val="24"/>
        </w:rPr>
        <w:t>相关</w:t>
      </w:r>
      <w:r>
        <w:rPr>
          <w:color w:val="000000"/>
          <w:sz w:val="24"/>
        </w:rPr>
        <w:t>单位</w:t>
      </w:r>
      <w:r>
        <w:rPr>
          <w:rFonts w:hint="eastAsia" w:ascii="宋体" w:hAnsi="宋体"/>
          <w:color w:val="000000"/>
          <w:sz w:val="24"/>
        </w:rPr>
        <w:t>”进行清运和处置。</w:t>
      </w:r>
      <w:r>
        <w:rPr>
          <w:rFonts w:ascii="宋体" w:hAnsi="宋体"/>
          <w:color w:val="000000"/>
          <w:sz w:val="24"/>
        </w:rPr>
        <w:t>感染性废物及其它医疗废物</w:t>
      </w:r>
      <w:r>
        <w:rPr>
          <w:rFonts w:hint="eastAsia" w:ascii="宋体" w:hAnsi="宋体"/>
          <w:color w:val="000000"/>
          <w:sz w:val="24"/>
        </w:rPr>
        <w:t>统一收集后，将按《医疗废物管理条例》的要求使用专用容器包装，存放在医院各医疗废物的储存间内，定期由“</w:t>
      </w:r>
      <w:r>
        <w:rPr>
          <w:color w:val="000000"/>
          <w:sz w:val="24"/>
        </w:rPr>
        <w:t>有资质的</w:t>
      </w:r>
      <w:r>
        <w:rPr>
          <w:rFonts w:hint="eastAsia"/>
          <w:color w:val="000000"/>
          <w:sz w:val="24"/>
        </w:rPr>
        <w:t>相关</w:t>
      </w:r>
      <w:r>
        <w:rPr>
          <w:color w:val="000000"/>
          <w:sz w:val="24"/>
        </w:rPr>
        <w:t>单位</w:t>
      </w:r>
      <w:r>
        <w:rPr>
          <w:rFonts w:hint="eastAsia" w:ascii="宋体" w:hAnsi="宋体"/>
          <w:color w:val="000000"/>
          <w:sz w:val="24"/>
        </w:rPr>
        <w:t>”清运一次，由于医疗废物的储存时间在一天左右，小于48小时，能满足《医疗废物管理条例》的要求，因此本项目不考虑设置医疗废物冷藏设施。</w:t>
      </w:r>
    </w:p>
    <w:p w14:paraId="0FE6B4D5">
      <w:pPr>
        <w:spacing w:line="360" w:lineRule="auto"/>
        <w:ind w:firstLine="480"/>
        <w:rPr>
          <w:rFonts w:hint="eastAsia" w:ascii="宋体" w:hAnsi="宋体"/>
          <w:color w:val="000000"/>
          <w:sz w:val="24"/>
        </w:rPr>
      </w:pPr>
      <w:r>
        <w:rPr>
          <w:rFonts w:hint="eastAsia" w:ascii="宋体" w:hAnsi="宋体"/>
          <w:color w:val="000000"/>
          <w:sz w:val="24"/>
        </w:rPr>
        <w:t>（2）生活垃圾</w:t>
      </w:r>
    </w:p>
    <w:p w14:paraId="41C21C1D">
      <w:pPr>
        <w:spacing w:line="360" w:lineRule="auto"/>
        <w:ind w:firstLine="480"/>
        <w:rPr>
          <w:rFonts w:hint="eastAsia" w:ascii="宋体" w:hAnsi="宋体"/>
          <w:color w:val="000000"/>
          <w:sz w:val="24"/>
        </w:rPr>
      </w:pPr>
      <w:r>
        <w:rPr>
          <w:rFonts w:hint="eastAsia" w:ascii="宋体" w:hAnsi="宋体"/>
          <w:color w:val="000000"/>
          <w:sz w:val="24"/>
        </w:rPr>
        <w:t>1）、本项目投入使用后，项目职工368人，按每天有三分之二的职工在岗，则每天在岗职工246人，每人每天产生生活垃圾1kg，生活垃圾产生量为246kg/d，89.79t/a。</w:t>
      </w:r>
    </w:p>
    <w:p w14:paraId="2741C2DF">
      <w:pPr>
        <w:spacing w:line="360" w:lineRule="auto"/>
        <w:ind w:firstLine="480"/>
        <w:rPr>
          <w:rFonts w:hint="eastAsia" w:ascii="宋体" w:hAnsi="宋体"/>
          <w:color w:val="000000"/>
          <w:sz w:val="24"/>
        </w:rPr>
      </w:pPr>
      <w:r>
        <w:rPr>
          <w:rFonts w:hint="eastAsia" w:ascii="宋体" w:hAnsi="宋体"/>
          <w:color w:val="000000"/>
          <w:sz w:val="24"/>
        </w:rPr>
        <w:t>2）、本项目按照设计资料，门诊人数按最大负荷493人/天计算，每天每人次产生0.2kg计，产生生活垃圾98.6kg/d，35.989t/a。</w:t>
      </w:r>
    </w:p>
    <w:p w14:paraId="6B2AC2D5">
      <w:pPr>
        <w:pStyle w:val="311"/>
        <w:spacing w:line="360" w:lineRule="auto"/>
        <w:ind w:firstLine="480"/>
        <w:rPr>
          <w:rFonts w:hint="eastAsia" w:ascii="宋体" w:hAnsi="宋体"/>
          <w:color w:val="000000"/>
          <w:sz w:val="24"/>
        </w:rPr>
      </w:pPr>
      <w:r>
        <w:rPr>
          <w:rFonts w:hint="eastAsia" w:ascii="宋体" w:hAnsi="宋体"/>
          <w:color w:val="000000"/>
          <w:sz w:val="24"/>
        </w:rPr>
        <w:t>本项目投入使用后生活垃圾344.6kg/d，约125.779t/a。生活垃圾由病人或陪护直接投放至垃圾桶内，由清洁人员清运至医院生活垃圾收集房，再委托环卫部门清运处置。</w:t>
      </w:r>
    </w:p>
    <w:p w14:paraId="14B6AE5E">
      <w:pPr>
        <w:spacing w:line="360" w:lineRule="auto"/>
        <w:ind w:firstLine="480"/>
        <w:rPr>
          <w:rFonts w:hint="eastAsia" w:ascii="宋体" w:hAnsi="宋体"/>
          <w:color w:val="000000"/>
          <w:sz w:val="24"/>
        </w:rPr>
      </w:pPr>
      <w:r>
        <w:rPr>
          <w:rFonts w:hint="eastAsia" w:ascii="宋体" w:hAnsi="宋体"/>
          <w:color w:val="000000"/>
          <w:sz w:val="24"/>
        </w:rPr>
        <w:t>（3）污泥</w:t>
      </w:r>
    </w:p>
    <w:p w14:paraId="3E6E9221">
      <w:pPr>
        <w:pStyle w:val="311"/>
        <w:spacing w:line="360" w:lineRule="auto"/>
        <w:ind w:firstLine="480"/>
        <w:rPr>
          <w:rFonts w:hint="eastAsia" w:ascii="宋体" w:hAnsi="宋体"/>
          <w:color w:val="000000"/>
          <w:sz w:val="24"/>
        </w:rPr>
      </w:pPr>
      <w:r>
        <w:rPr>
          <w:rFonts w:hint="eastAsia" w:ascii="宋体" w:hAnsi="宋体"/>
          <w:color w:val="000000"/>
          <w:sz w:val="24"/>
        </w:rPr>
        <w:t>医院的污水处理站产生的污泥如不及时清运会产生恶臭影响环境，由于污水中含有大量病原微生物和寄生虫卵等，其中相当部分转移到了污泥中，使污泥也具有了传染性。若不进行妥善处置，将对人群健康造成威胁。</w:t>
      </w:r>
    </w:p>
    <w:p w14:paraId="260408A7">
      <w:pPr>
        <w:pStyle w:val="311"/>
        <w:spacing w:line="360" w:lineRule="auto"/>
        <w:ind w:firstLine="480"/>
        <w:jc w:val="both"/>
        <w:rPr>
          <w:rFonts w:hint="eastAsia"/>
          <w:color w:val="000000"/>
          <w:sz w:val="24"/>
          <w:szCs w:val="24"/>
        </w:rPr>
      </w:pPr>
      <w:r>
        <w:rPr>
          <w:rFonts w:hint="eastAsia" w:ascii="宋体" w:hAnsi="宋体"/>
          <w:color w:val="000000"/>
          <w:sz w:val="24"/>
        </w:rPr>
        <w:t>项目运营期产生的污泥属危险固体废物。根据《国家危险废物名录》，医疗废水处理污泥属于危险废物，应按危险废物有关要求委托“</w:t>
      </w:r>
      <w:r>
        <w:rPr>
          <w:color w:val="000000"/>
          <w:sz w:val="24"/>
        </w:rPr>
        <w:t>有资质的</w:t>
      </w:r>
      <w:r>
        <w:rPr>
          <w:rFonts w:hint="eastAsia"/>
          <w:color w:val="000000"/>
          <w:sz w:val="24"/>
        </w:rPr>
        <w:t>相关</w:t>
      </w:r>
      <w:r>
        <w:rPr>
          <w:color w:val="000000"/>
          <w:sz w:val="24"/>
        </w:rPr>
        <w:t>单位</w:t>
      </w:r>
      <w:r>
        <w:rPr>
          <w:rFonts w:hint="eastAsia" w:ascii="宋体" w:hAnsi="宋体"/>
          <w:color w:val="000000"/>
          <w:sz w:val="24"/>
        </w:rPr>
        <w:t>”进行处置。项目医疗废水产生量为102.553m</w:t>
      </w:r>
      <w:r>
        <w:rPr>
          <w:rFonts w:hint="eastAsia" w:ascii="宋体" w:hAnsi="宋体"/>
          <w:color w:val="000000"/>
          <w:sz w:val="24"/>
          <w:vertAlign w:val="superscript"/>
        </w:rPr>
        <w:t>3</w:t>
      </w:r>
      <w:r>
        <w:rPr>
          <w:rFonts w:hint="eastAsia" w:ascii="宋体" w:hAnsi="宋体"/>
          <w:color w:val="000000"/>
          <w:sz w:val="24"/>
        </w:rPr>
        <w:t>/d，按每立方污水产生污泥0.4kg（自然沉降脱水，含水率98%），则污泥产生量为41.02kg/d，14.97t/a；综上所述，医疗废水处理系统污泥产生总量为14.97</w:t>
      </w:r>
      <w:r>
        <w:rPr>
          <w:rFonts w:hint="eastAsia" w:ascii="宋体" w:hAnsi="宋体"/>
          <w:color w:val="000000"/>
          <w:sz w:val="24"/>
          <w:szCs w:val="24"/>
        </w:rPr>
        <w:t>t/a，污泥中含有致病菌，故在清运前采用</w:t>
      </w:r>
      <w:r>
        <w:rPr>
          <w:color w:val="000000"/>
          <w:sz w:val="24"/>
          <w:szCs w:val="24"/>
        </w:rPr>
        <w:t>生石灰</w:t>
      </w:r>
      <w:r>
        <w:rPr>
          <w:rFonts w:hint="eastAsia"/>
          <w:color w:val="000000"/>
          <w:sz w:val="24"/>
          <w:szCs w:val="24"/>
        </w:rPr>
        <w:t>预先</w:t>
      </w:r>
      <w:r>
        <w:rPr>
          <w:color w:val="000000"/>
          <w:sz w:val="24"/>
          <w:szCs w:val="24"/>
        </w:rPr>
        <w:t>消毒。</w:t>
      </w:r>
    </w:p>
    <w:p w14:paraId="3A5265EA">
      <w:pPr>
        <w:spacing w:line="360" w:lineRule="auto"/>
        <w:ind w:firstLine="480"/>
        <w:rPr>
          <w:rFonts w:hint="eastAsia" w:ascii="宋体" w:hAnsi="宋体"/>
          <w:color w:val="000000"/>
          <w:sz w:val="24"/>
        </w:rPr>
      </w:pPr>
      <w:r>
        <w:rPr>
          <w:rFonts w:hint="eastAsia" w:ascii="宋体" w:hAnsi="宋体"/>
          <w:color w:val="000000"/>
          <w:sz w:val="24"/>
        </w:rPr>
        <w:t>（4）隔油池废油</w:t>
      </w:r>
    </w:p>
    <w:p w14:paraId="31BAE9C1">
      <w:pPr>
        <w:spacing w:line="360" w:lineRule="auto"/>
        <w:ind w:firstLine="480"/>
        <w:rPr>
          <w:rFonts w:hint="eastAsia" w:ascii="宋体" w:hAnsi="宋体"/>
          <w:color w:val="000000"/>
          <w:sz w:val="24"/>
        </w:rPr>
      </w:pPr>
      <w:r>
        <w:rPr>
          <w:rFonts w:hint="eastAsia" w:ascii="宋体" w:hAnsi="宋体"/>
          <w:color w:val="000000"/>
          <w:sz w:val="24"/>
        </w:rPr>
        <w:t>根据项目拟采用隔油池对油脂的去除率估算，项目</w:t>
      </w:r>
      <w:r>
        <w:rPr>
          <w:rFonts w:ascii="宋体" w:hAnsi="宋体"/>
          <w:color w:val="000000"/>
          <w:sz w:val="24"/>
        </w:rPr>
        <w:t>水质参考《第一次全国污染源普查产排污手册》：动植物油类150mg/L</w:t>
      </w:r>
      <w:r>
        <w:rPr>
          <w:rFonts w:hint="eastAsia" w:ascii="宋体" w:hAnsi="宋体"/>
          <w:color w:val="000000"/>
          <w:sz w:val="24"/>
        </w:rPr>
        <w:t>经过隔油池处理后进入自建污水处理站前的浓度为17</w:t>
      </w:r>
      <w:r>
        <w:rPr>
          <w:rFonts w:ascii="宋体" w:hAnsi="宋体"/>
          <w:color w:val="000000"/>
          <w:sz w:val="24"/>
        </w:rPr>
        <w:t>mg/L</w:t>
      </w:r>
      <w:r>
        <w:rPr>
          <w:rFonts w:hint="eastAsia" w:ascii="宋体" w:hAnsi="宋体"/>
          <w:color w:val="000000"/>
          <w:sz w:val="24"/>
        </w:rPr>
        <w:t>，隔油池产生的油脂为32m</w:t>
      </w:r>
      <w:r>
        <w:rPr>
          <w:rFonts w:hint="eastAsia" w:ascii="宋体" w:hAnsi="宋体"/>
          <w:color w:val="000000"/>
          <w:sz w:val="24"/>
          <w:vertAlign w:val="superscript"/>
        </w:rPr>
        <w:t>3</w:t>
      </w:r>
      <w:r>
        <w:rPr>
          <w:rFonts w:hint="eastAsia" w:ascii="宋体" w:hAnsi="宋体"/>
          <w:color w:val="000000"/>
          <w:sz w:val="24"/>
        </w:rPr>
        <w:t>/d×133</w:t>
      </w:r>
      <w:r>
        <w:rPr>
          <w:rFonts w:ascii="宋体" w:hAnsi="宋体"/>
          <w:color w:val="000000"/>
          <w:sz w:val="24"/>
        </w:rPr>
        <w:t>mg/L</w:t>
      </w:r>
      <w:r>
        <w:rPr>
          <w:rFonts w:hint="eastAsia" w:ascii="宋体" w:hAnsi="宋体"/>
          <w:color w:val="000000"/>
          <w:sz w:val="24"/>
        </w:rPr>
        <w:t>=4.256kg/d。项目隔油池产生的废油脂约1.55t/a，建设单位须委托具有泔水收购资质的单位定期打捞、处置。</w:t>
      </w:r>
    </w:p>
    <w:p w14:paraId="57E87867">
      <w:pPr>
        <w:spacing w:line="360" w:lineRule="auto"/>
        <w:ind w:firstLine="480"/>
        <w:rPr>
          <w:rFonts w:hint="eastAsia" w:ascii="宋体" w:hAnsi="宋体"/>
          <w:color w:val="000000"/>
          <w:sz w:val="24"/>
        </w:rPr>
      </w:pPr>
      <w:r>
        <w:rPr>
          <w:rFonts w:hint="eastAsia" w:ascii="宋体" w:hAnsi="宋体"/>
          <w:color w:val="000000"/>
          <w:sz w:val="24"/>
        </w:rPr>
        <w:t>（5）活性炭</w:t>
      </w:r>
    </w:p>
    <w:p w14:paraId="797ED384">
      <w:pPr>
        <w:spacing w:line="360" w:lineRule="auto"/>
        <w:ind w:firstLine="480"/>
        <w:rPr>
          <w:rFonts w:hint="eastAsia" w:ascii="宋体" w:hAnsi="宋体"/>
          <w:color w:val="000000"/>
          <w:sz w:val="24"/>
        </w:rPr>
      </w:pPr>
      <w:r>
        <w:rPr>
          <w:rFonts w:hint="eastAsia" w:ascii="宋体" w:hAnsi="宋体"/>
          <w:color w:val="000000"/>
          <w:sz w:val="24"/>
        </w:rPr>
        <w:t>项目每年使用活性炭的量为120kg，使用后的活性炭统一收集由厂家回收再利用。</w:t>
      </w:r>
    </w:p>
    <w:p w14:paraId="376B37EA">
      <w:pPr>
        <w:pStyle w:val="183"/>
        <w:ind w:firstLine="472"/>
        <w:rPr>
          <w:rFonts w:hint="eastAsia" w:eastAsia="仿宋_GB2312"/>
          <w:color w:val="000000"/>
          <w:sz w:val="24"/>
          <w:szCs w:val="24"/>
        </w:rPr>
      </w:pPr>
      <w:bookmarkStart w:id="362" w:name="_Toc425954255"/>
      <w:bookmarkStart w:id="363" w:name="_Toc495500071"/>
      <w:r>
        <w:rPr>
          <w:rFonts w:hint="eastAsia" w:eastAsia="仿宋_GB2312"/>
          <w:color w:val="000000"/>
          <w:sz w:val="24"/>
          <w:szCs w:val="24"/>
        </w:rPr>
        <w:t>3.7.5</w:t>
      </w:r>
      <w:bookmarkEnd w:id="362"/>
      <w:r>
        <w:rPr>
          <w:rFonts w:hint="eastAsia" w:eastAsia="仿宋_GB2312"/>
          <w:color w:val="000000"/>
          <w:sz w:val="24"/>
          <w:szCs w:val="24"/>
        </w:rPr>
        <w:t>辐射源</w:t>
      </w:r>
      <w:bookmarkEnd w:id="363"/>
    </w:p>
    <w:p w14:paraId="39FEA6B9">
      <w:pPr>
        <w:pStyle w:val="300"/>
        <w:spacing w:line="360" w:lineRule="auto"/>
        <w:ind w:firstLine="480"/>
        <w:rPr>
          <w:rFonts w:hint="eastAsia"/>
          <w:color w:val="000000"/>
        </w:rPr>
      </w:pPr>
      <w:r>
        <w:rPr>
          <w:rFonts w:hint="eastAsia"/>
          <w:color w:val="000000"/>
        </w:rPr>
        <w:t>建设项目为综合性医院，设放射科，会产生放射性辐射。本评价报告应委托有资质的单位另行评价。</w:t>
      </w:r>
    </w:p>
    <w:p w14:paraId="58C21AD5">
      <w:pPr>
        <w:pStyle w:val="183"/>
        <w:ind w:firstLine="472"/>
        <w:rPr>
          <w:rFonts w:hint="eastAsia" w:eastAsia="仿宋_GB2312"/>
          <w:color w:val="000000"/>
          <w:sz w:val="24"/>
          <w:szCs w:val="24"/>
        </w:rPr>
      </w:pPr>
      <w:bookmarkStart w:id="364" w:name="_Toc425954256"/>
      <w:bookmarkStart w:id="365" w:name="_Toc495500072"/>
      <w:r>
        <w:rPr>
          <w:rFonts w:hint="eastAsia" w:eastAsia="仿宋_GB2312"/>
          <w:color w:val="000000"/>
          <w:sz w:val="24"/>
          <w:szCs w:val="24"/>
        </w:rPr>
        <w:t>3.7.6项目建成后固废产生汇总</w:t>
      </w:r>
      <w:bookmarkEnd w:id="364"/>
      <w:bookmarkEnd w:id="365"/>
    </w:p>
    <w:p w14:paraId="65CBCBEB">
      <w:pPr>
        <w:spacing w:line="480" w:lineRule="exact"/>
        <w:ind w:firstLine="480"/>
        <w:rPr>
          <w:color w:val="000000"/>
          <w:sz w:val="24"/>
        </w:rPr>
      </w:pPr>
      <w:r>
        <w:rPr>
          <w:rFonts w:hint="eastAsia" w:hAnsi="宋体"/>
          <w:color w:val="000000"/>
          <w:sz w:val="24"/>
        </w:rPr>
        <w:t>保健</w:t>
      </w:r>
      <w:r>
        <w:rPr>
          <w:rFonts w:hAnsi="宋体"/>
          <w:color w:val="000000"/>
          <w:sz w:val="24"/>
        </w:rPr>
        <w:t>院建成后固废具体产生及排放情况见表</w:t>
      </w:r>
      <w:r>
        <w:rPr>
          <w:rFonts w:hint="eastAsia"/>
          <w:color w:val="000000"/>
          <w:sz w:val="24"/>
        </w:rPr>
        <w:t>3</w:t>
      </w:r>
      <w:r>
        <w:rPr>
          <w:color w:val="000000"/>
          <w:sz w:val="24"/>
        </w:rPr>
        <w:t>.</w:t>
      </w:r>
      <w:r>
        <w:rPr>
          <w:rFonts w:hint="eastAsia"/>
          <w:color w:val="000000"/>
          <w:sz w:val="24"/>
        </w:rPr>
        <w:t>7</w:t>
      </w:r>
      <w:r>
        <w:rPr>
          <w:color w:val="000000"/>
          <w:sz w:val="24"/>
        </w:rPr>
        <w:t>-</w:t>
      </w:r>
      <w:r>
        <w:rPr>
          <w:rFonts w:hint="eastAsia"/>
          <w:color w:val="000000"/>
          <w:sz w:val="24"/>
        </w:rPr>
        <w:t>7</w:t>
      </w:r>
      <w:r>
        <w:rPr>
          <w:rFonts w:hAnsi="宋体"/>
          <w:color w:val="000000"/>
          <w:sz w:val="24"/>
        </w:rPr>
        <w:t>。</w:t>
      </w:r>
    </w:p>
    <w:p w14:paraId="6223EE16">
      <w:pPr>
        <w:pStyle w:val="307"/>
        <w:rPr>
          <w:color w:val="000000"/>
        </w:rPr>
      </w:pPr>
      <w:r>
        <w:rPr>
          <w:color w:val="000000"/>
        </w:rPr>
        <w:t>表</w:t>
      </w:r>
      <w:r>
        <w:rPr>
          <w:rFonts w:hint="eastAsia"/>
          <w:color w:val="000000"/>
        </w:rPr>
        <w:t>3</w:t>
      </w:r>
      <w:r>
        <w:rPr>
          <w:color w:val="000000"/>
        </w:rPr>
        <w:t>.</w:t>
      </w:r>
      <w:r>
        <w:rPr>
          <w:rFonts w:hint="eastAsia"/>
          <w:color w:val="000000"/>
        </w:rPr>
        <w:t>7</w:t>
      </w:r>
      <w:r>
        <w:rPr>
          <w:color w:val="000000"/>
        </w:rPr>
        <w:t>-</w:t>
      </w:r>
      <w:r>
        <w:rPr>
          <w:rFonts w:hint="eastAsia"/>
          <w:color w:val="000000"/>
        </w:rPr>
        <w:t>7</w:t>
      </w:r>
      <w:r>
        <w:rPr>
          <w:color w:val="000000"/>
        </w:rPr>
        <w:t xml:space="preserve">  项目建成后固废产生及处理情况</w:t>
      </w:r>
    </w:p>
    <w:tbl>
      <w:tblPr>
        <w:tblStyle w:val="27"/>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752"/>
        <w:gridCol w:w="1402"/>
        <w:gridCol w:w="2439"/>
        <w:gridCol w:w="1196"/>
        <w:gridCol w:w="2739"/>
      </w:tblGrid>
      <w:tr w14:paraId="09D4A2B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blHeader/>
          <w:jc w:val="center"/>
        </w:trPr>
        <w:tc>
          <w:tcPr>
            <w:tcW w:w="752" w:type="dxa"/>
            <w:noWrap w:val="0"/>
            <w:vAlign w:val="center"/>
          </w:tcPr>
          <w:p w14:paraId="72510D98">
            <w:pPr>
              <w:spacing w:line="360" w:lineRule="exact"/>
              <w:jc w:val="center"/>
              <w:rPr>
                <w:rFonts w:ascii="宋体" w:hAnsi="宋体"/>
                <w:color w:val="000000"/>
                <w:szCs w:val="21"/>
              </w:rPr>
            </w:pPr>
            <w:r>
              <w:rPr>
                <w:rFonts w:ascii="宋体" w:hAnsi="宋体"/>
                <w:color w:val="000000"/>
                <w:szCs w:val="21"/>
              </w:rPr>
              <w:t>序号</w:t>
            </w:r>
          </w:p>
        </w:tc>
        <w:tc>
          <w:tcPr>
            <w:tcW w:w="1402" w:type="dxa"/>
            <w:noWrap w:val="0"/>
            <w:vAlign w:val="center"/>
          </w:tcPr>
          <w:p w14:paraId="4B0AFE3E">
            <w:pPr>
              <w:spacing w:line="360" w:lineRule="exact"/>
              <w:jc w:val="center"/>
              <w:rPr>
                <w:rFonts w:ascii="宋体" w:hAnsi="宋体"/>
                <w:color w:val="000000"/>
                <w:szCs w:val="21"/>
              </w:rPr>
            </w:pPr>
            <w:r>
              <w:rPr>
                <w:rFonts w:ascii="宋体" w:hAnsi="宋体"/>
                <w:color w:val="000000"/>
                <w:szCs w:val="21"/>
              </w:rPr>
              <w:t>分类</w:t>
            </w:r>
          </w:p>
        </w:tc>
        <w:tc>
          <w:tcPr>
            <w:tcW w:w="2439" w:type="dxa"/>
            <w:noWrap w:val="0"/>
            <w:vAlign w:val="center"/>
          </w:tcPr>
          <w:p w14:paraId="638F52E6">
            <w:pPr>
              <w:spacing w:line="360" w:lineRule="exact"/>
              <w:jc w:val="center"/>
              <w:rPr>
                <w:rFonts w:ascii="宋体" w:hAnsi="宋体"/>
                <w:color w:val="000000"/>
                <w:szCs w:val="21"/>
              </w:rPr>
            </w:pPr>
            <w:r>
              <w:rPr>
                <w:rFonts w:ascii="宋体" w:hAnsi="宋体"/>
                <w:color w:val="000000"/>
                <w:szCs w:val="21"/>
              </w:rPr>
              <w:t>固废名称</w:t>
            </w:r>
          </w:p>
        </w:tc>
        <w:tc>
          <w:tcPr>
            <w:tcW w:w="1196" w:type="dxa"/>
            <w:noWrap w:val="0"/>
            <w:vAlign w:val="center"/>
          </w:tcPr>
          <w:p w14:paraId="227F7ED0">
            <w:pPr>
              <w:spacing w:line="360" w:lineRule="exact"/>
              <w:jc w:val="center"/>
              <w:rPr>
                <w:rFonts w:ascii="宋体" w:hAnsi="宋体"/>
                <w:color w:val="000000"/>
                <w:szCs w:val="21"/>
              </w:rPr>
            </w:pPr>
            <w:r>
              <w:rPr>
                <w:rFonts w:ascii="宋体" w:hAnsi="宋体"/>
                <w:color w:val="000000"/>
                <w:szCs w:val="21"/>
              </w:rPr>
              <w:t>产生量(</w:t>
            </w:r>
            <w:r>
              <w:rPr>
                <w:rFonts w:hint="eastAsia" w:ascii="宋体" w:hAnsi="宋体"/>
                <w:color w:val="000000"/>
                <w:szCs w:val="21"/>
              </w:rPr>
              <w:t>t</w:t>
            </w:r>
            <w:r>
              <w:rPr>
                <w:rFonts w:ascii="宋体" w:hAnsi="宋体"/>
                <w:color w:val="000000"/>
                <w:szCs w:val="21"/>
              </w:rPr>
              <w:t>/</w:t>
            </w:r>
            <w:r>
              <w:rPr>
                <w:rFonts w:hint="eastAsia" w:ascii="宋体" w:hAnsi="宋体"/>
                <w:color w:val="000000"/>
                <w:szCs w:val="21"/>
              </w:rPr>
              <w:t>a</w:t>
            </w:r>
            <w:r>
              <w:rPr>
                <w:rFonts w:ascii="宋体" w:hAnsi="宋体"/>
                <w:color w:val="000000"/>
                <w:szCs w:val="21"/>
              </w:rPr>
              <w:t>)</w:t>
            </w:r>
          </w:p>
        </w:tc>
        <w:tc>
          <w:tcPr>
            <w:tcW w:w="2739" w:type="dxa"/>
            <w:noWrap w:val="0"/>
            <w:vAlign w:val="center"/>
          </w:tcPr>
          <w:p w14:paraId="20156C4D">
            <w:pPr>
              <w:spacing w:line="360" w:lineRule="exact"/>
              <w:jc w:val="center"/>
              <w:rPr>
                <w:rFonts w:ascii="宋体" w:hAnsi="宋体"/>
                <w:color w:val="000000"/>
                <w:szCs w:val="21"/>
              </w:rPr>
            </w:pPr>
            <w:r>
              <w:rPr>
                <w:rFonts w:ascii="宋体" w:hAnsi="宋体"/>
                <w:color w:val="000000"/>
                <w:szCs w:val="21"/>
              </w:rPr>
              <w:t>处置方法</w:t>
            </w:r>
          </w:p>
        </w:tc>
      </w:tr>
      <w:tr w14:paraId="590681E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60" w:hRule="atLeast"/>
          <w:jc w:val="center"/>
        </w:trPr>
        <w:tc>
          <w:tcPr>
            <w:tcW w:w="752" w:type="dxa"/>
            <w:vMerge w:val="restart"/>
            <w:noWrap w:val="0"/>
            <w:vAlign w:val="center"/>
          </w:tcPr>
          <w:p w14:paraId="103D92C2">
            <w:pPr>
              <w:spacing w:line="360" w:lineRule="exact"/>
              <w:jc w:val="center"/>
              <w:rPr>
                <w:rFonts w:ascii="宋体" w:hAnsi="宋体"/>
                <w:color w:val="000000"/>
                <w:szCs w:val="21"/>
              </w:rPr>
            </w:pPr>
            <w:r>
              <w:rPr>
                <w:rFonts w:ascii="宋体" w:hAnsi="宋体"/>
                <w:color w:val="000000"/>
                <w:szCs w:val="21"/>
              </w:rPr>
              <w:t>1</w:t>
            </w:r>
          </w:p>
        </w:tc>
        <w:tc>
          <w:tcPr>
            <w:tcW w:w="1402" w:type="dxa"/>
            <w:vMerge w:val="restart"/>
            <w:noWrap w:val="0"/>
            <w:vAlign w:val="center"/>
          </w:tcPr>
          <w:p w14:paraId="7A6FB7B0">
            <w:pPr>
              <w:pStyle w:val="273"/>
              <w:rPr>
                <w:rFonts w:ascii="宋体" w:hAnsi="宋体"/>
                <w:color w:val="000000"/>
                <w:szCs w:val="21"/>
              </w:rPr>
            </w:pPr>
            <w:r>
              <w:rPr>
                <w:rFonts w:ascii="宋体" w:hAnsi="宋体"/>
                <w:color w:val="000000"/>
                <w:szCs w:val="21"/>
              </w:rPr>
              <w:t>一般固废</w:t>
            </w:r>
          </w:p>
        </w:tc>
        <w:tc>
          <w:tcPr>
            <w:tcW w:w="2439" w:type="dxa"/>
            <w:noWrap w:val="0"/>
            <w:vAlign w:val="center"/>
          </w:tcPr>
          <w:p w14:paraId="5BDC28F1">
            <w:pPr>
              <w:spacing w:line="360" w:lineRule="exact"/>
              <w:jc w:val="center"/>
              <w:rPr>
                <w:rFonts w:ascii="宋体" w:hAnsi="宋体"/>
                <w:color w:val="000000"/>
                <w:szCs w:val="21"/>
              </w:rPr>
            </w:pPr>
            <w:r>
              <w:rPr>
                <w:rFonts w:ascii="宋体" w:hAnsi="宋体"/>
                <w:color w:val="000000"/>
                <w:szCs w:val="21"/>
              </w:rPr>
              <w:t>职工生活垃圾</w:t>
            </w:r>
          </w:p>
        </w:tc>
        <w:tc>
          <w:tcPr>
            <w:tcW w:w="1196" w:type="dxa"/>
            <w:vMerge w:val="restart"/>
            <w:noWrap w:val="0"/>
            <w:vAlign w:val="center"/>
          </w:tcPr>
          <w:p w14:paraId="3DE3D49C">
            <w:pPr>
              <w:spacing w:line="360" w:lineRule="exact"/>
              <w:jc w:val="center"/>
              <w:rPr>
                <w:rFonts w:hint="eastAsia" w:ascii="宋体" w:hAnsi="宋体"/>
                <w:color w:val="000000"/>
                <w:szCs w:val="21"/>
              </w:rPr>
            </w:pPr>
            <w:r>
              <w:rPr>
                <w:rFonts w:hint="eastAsia" w:ascii="宋体" w:hAnsi="宋体"/>
                <w:color w:val="000000"/>
                <w:szCs w:val="21"/>
              </w:rPr>
              <w:t>125.779</w:t>
            </w:r>
          </w:p>
        </w:tc>
        <w:tc>
          <w:tcPr>
            <w:tcW w:w="2739" w:type="dxa"/>
            <w:vMerge w:val="restart"/>
            <w:noWrap w:val="0"/>
            <w:vAlign w:val="center"/>
          </w:tcPr>
          <w:p w14:paraId="368BC4EE">
            <w:pPr>
              <w:spacing w:line="360" w:lineRule="exact"/>
              <w:jc w:val="center"/>
              <w:rPr>
                <w:rFonts w:hint="eastAsia" w:ascii="宋体" w:hAnsi="宋体"/>
                <w:color w:val="000000"/>
                <w:szCs w:val="21"/>
              </w:rPr>
            </w:pPr>
            <w:r>
              <w:rPr>
                <w:rFonts w:ascii="宋体" w:hAnsi="宋体"/>
                <w:color w:val="000000"/>
                <w:szCs w:val="21"/>
              </w:rPr>
              <w:t>袋装收集后由环卫部门统一清运</w:t>
            </w:r>
            <w:r>
              <w:rPr>
                <w:rFonts w:hint="eastAsia" w:ascii="宋体" w:hAnsi="宋体"/>
                <w:color w:val="000000"/>
                <w:szCs w:val="21"/>
              </w:rPr>
              <w:t>处置</w:t>
            </w:r>
          </w:p>
        </w:tc>
      </w:tr>
      <w:tr w14:paraId="0FACFA7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70" w:hRule="atLeast"/>
          <w:jc w:val="center"/>
        </w:trPr>
        <w:tc>
          <w:tcPr>
            <w:tcW w:w="752" w:type="dxa"/>
            <w:vMerge w:val="continue"/>
            <w:noWrap w:val="0"/>
            <w:vAlign w:val="center"/>
          </w:tcPr>
          <w:p w14:paraId="07A32950">
            <w:pPr>
              <w:rPr>
                <w:rFonts w:ascii="宋体" w:hAnsi="宋体"/>
                <w:color w:val="000000"/>
                <w:szCs w:val="21"/>
              </w:rPr>
            </w:pPr>
          </w:p>
        </w:tc>
        <w:tc>
          <w:tcPr>
            <w:tcW w:w="1402" w:type="dxa"/>
            <w:vMerge w:val="continue"/>
            <w:noWrap w:val="0"/>
            <w:vAlign w:val="center"/>
          </w:tcPr>
          <w:p w14:paraId="70ADEDD4">
            <w:pPr>
              <w:rPr>
                <w:rFonts w:ascii="宋体" w:hAnsi="宋体"/>
                <w:color w:val="000000"/>
                <w:szCs w:val="21"/>
              </w:rPr>
            </w:pPr>
          </w:p>
        </w:tc>
        <w:tc>
          <w:tcPr>
            <w:tcW w:w="2439" w:type="dxa"/>
            <w:noWrap w:val="0"/>
            <w:vAlign w:val="center"/>
          </w:tcPr>
          <w:p w14:paraId="68707223">
            <w:pPr>
              <w:spacing w:line="360" w:lineRule="exact"/>
              <w:jc w:val="center"/>
              <w:rPr>
                <w:rFonts w:hint="eastAsia" w:ascii="宋体" w:hAnsi="宋体"/>
                <w:color w:val="000000"/>
                <w:szCs w:val="21"/>
              </w:rPr>
            </w:pPr>
            <w:r>
              <w:rPr>
                <w:rFonts w:ascii="宋体" w:hAnsi="宋体"/>
                <w:color w:val="000000"/>
                <w:szCs w:val="21"/>
              </w:rPr>
              <w:t>住院病人生活垃圾</w:t>
            </w:r>
          </w:p>
        </w:tc>
        <w:tc>
          <w:tcPr>
            <w:tcW w:w="1196" w:type="dxa"/>
            <w:vMerge w:val="continue"/>
            <w:noWrap w:val="0"/>
            <w:vAlign w:val="center"/>
          </w:tcPr>
          <w:p w14:paraId="51E11073">
            <w:pPr>
              <w:spacing w:line="360" w:lineRule="exact"/>
              <w:jc w:val="center"/>
              <w:rPr>
                <w:rFonts w:ascii="宋体" w:hAnsi="宋体"/>
                <w:color w:val="000000"/>
                <w:szCs w:val="21"/>
              </w:rPr>
            </w:pPr>
          </w:p>
        </w:tc>
        <w:tc>
          <w:tcPr>
            <w:tcW w:w="2739" w:type="dxa"/>
            <w:vMerge w:val="continue"/>
            <w:noWrap w:val="0"/>
            <w:vAlign w:val="center"/>
          </w:tcPr>
          <w:p w14:paraId="6B53B464">
            <w:pPr>
              <w:rPr>
                <w:rFonts w:ascii="宋体" w:hAnsi="宋体"/>
                <w:color w:val="000000"/>
                <w:szCs w:val="21"/>
              </w:rPr>
            </w:pPr>
          </w:p>
        </w:tc>
      </w:tr>
      <w:tr w14:paraId="20E6158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160" w:hRule="atLeast"/>
          <w:jc w:val="center"/>
        </w:trPr>
        <w:tc>
          <w:tcPr>
            <w:tcW w:w="752" w:type="dxa"/>
            <w:vMerge w:val="restart"/>
            <w:noWrap w:val="0"/>
            <w:vAlign w:val="center"/>
          </w:tcPr>
          <w:p w14:paraId="707C9015">
            <w:pPr>
              <w:spacing w:line="360" w:lineRule="exact"/>
              <w:jc w:val="center"/>
              <w:rPr>
                <w:rFonts w:hint="eastAsia" w:ascii="宋体" w:hAnsi="宋体"/>
                <w:color w:val="000000"/>
                <w:szCs w:val="21"/>
              </w:rPr>
            </w:pPr>
            <w:r>
              <w:rPr>
                <w:rFonts w:hint="eastAsia" w:ascii="宋体" w:hAnsi="宋体"/>
                <w:color w:val="000000"/>
                <w:szCs w:val="21"/>
              </w:rPr>
              <w:t>2</w:t>
            </w:r>
          </w:p>
        </w:tc>
        <w:tc>
          <w:tcPr>
            <w:tcW w:w="1402" w:type="dxa"/>
            <w:vMerge w:val="restart"/>
            <w:noWrap w:val="0"/>
            <w:vAlign w:val="center"/>
          </w:tcPr>
          <w:p w14:paraId="40AD1124">
            <w:pPr>
              <w:spacing w:line="360" w:lineRule="exact"/>
              <w:jc w:val="center"/>
              <w:rPr>
                <w:rFonts w:hint="eastAsia" w:ascii="宋体" w:hAnsi="宋体"/>
                <w:color w:val="000000"/>
                <w:szCs w:val="21"/>
              </w:rPr>
            </w:pPr>
            <w:r>
              <w:rPr>
                <w:rFonts w:ascii="宋体" w:hAnsi="宋体"/>
                <w:color w:val="000000"/>
                <w:szCs w:val="21"/>
              </w:rPr>
              <w:t>医疗固废</w:t>
            </w:r>
          </w:p>
        </w:tc>
        <w:tc>
          <w:tcPr>
            <w:tcW w:w="2439" w:type="dxa"/>
            <w:noWrap w:val="0"/>
            <w:vAlign w:val="center"/>
          </w:tcPr>
          <w:p w14:paraId="1CE22E84">
            <w:pPr>
              <w:widowControl/>
              <w:spacing w:line="360" w:lineRule="exact"/>
              <w:jc w:val="center"/>
              <w:rPr>
                <w:rFonts w:ascii="宋体" w:hAnsi="宋体"/>
                <w:color w:val="000000"/>
                <w:szCs w:val="21"/>
              </w:rPr>
            </w:pPr>
            <w:r>
              <w:rPr>
                <w:rFonts w:ascii="宋体" w:hAnsi="宋体"/>
                <w:color w:val="000000"/>
                <w:szCs w:val="21"/>
              </w:rPr>
              <w:t>感染性废物</w:t>
            </w:r>
          </w:p>
        </w:tc>
        <w:tc>
          <w:tcPr>
            <w:tcW w:w="1196" w:type="dxa"/>
            <w:vMerge w:val="restart"/>
            <w:noWrap w:val="0"/>
            <w:vAlign w:val="center"/>
          </w:tcPr>
          <w:p w14:paraId="3400DE28">
            <w:pPr>
              <w:spacing w:line="360" w:lineRule="exact"/>
              <w:jc w:val="center"/>
              <w:rPr>
                <w:rFonts w:hint="eastAsia" w:ascii="宋体" w:hAnsi="宋体"/>
                <w:color w:val="000000"/>
                <w:szCs w:val="21"/>
              </w:rPr>
            </w:pPr>
            <w:r>
              <w:rPr>
                <w:rFonts w:hint="eastAsia" w:ascii="宋体" w:hAnsi="宋体"/>
                <w:color w:val="000000"/>
                <w:szCs w:val="21"/>
              </w:rPr>
              <w:t>83.95</w:t>
            </w:r>
          </w:p>
        </w:tc>
        <w:tc>
          <w:tcPr>
            <w:tcW w:w="2739" w:type="dxa"/>
            <w:vMerge w:val="restart"/>
            <w:noWrap w:val="0"/>
            <w:vAlign w:val="center"/>
          </w:tcPr>
          <w:p w14:paraId="271C6E70">
            <w:pPr>
              <w:spacing w:line="360" w:lineRule="exact"/>
              <w:jc w:val="center"/>
              <w:rPr>
                <w:rFonts w:hint="eastAsia" w:ascii="宋体" w:hAnsi="宋体"/>
                <w:color w:val="000000"/>
                <w:szCs w:val="21"/>
              </w:rPr>
            </w:pPr>
            <w:r>
              <w:rPr>
                <w:rFonts w:hint="eastAsia" w:ascii="宋体" w:hAnsi="宋体"/>
                <w:color w:val="000000"/>
                <w:szCs w:val="21"/>
              </w:rPr>
              <w:t>委托“</w:t>
            </w:r>
            <w:r>
              <w:rPr>
                <w:color w:val="000000"/>
                <w:szCs w:val="21"/>
              </w:rPr>
              <w:t>有资质的</w:t>
            </w:r>
            <w:r>
              <w:rPr>
                <w:rFonts w:hint="eastAsia"/>
                <w:color w:val="000000"/>
                <w:szCs w:val="21"/>
              </w:rPr>
              <w:t>相关</w:t>
            </w:r>
            <w:r>
              <w:rPr>
                <w:color w:val="000000"/>
                <w:szCs w:val="21"/>
              </w:rPr>
              <w:t>单位</w:t>
            </w:r>
            <w:r>
              <w:rPr>
                <w:rFonts w:hint="eastAsia" w:ascii="宋体" w:hAnsi="宋体"/>
                <w:color w:val="000000"/>
                <w:szCs w:val="21"/>
              </w:rPr>
              <w:t>”来承担处置</w:t>
            </w:r>
          </w:p>
        </w:tc>
      </w:tr>
      <w:tr w14:paraId="73B87CD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82" w:hRule="atLeast"/>
          <w:jc w:val="center"/>
        </w:trPr>
        <w:tc>
          <w:tcPr>
            <w:tcW w:w="752" w:type="dxa"/>
            <w:vMerge w:val="continue"/>
            <w:noWrap w:val="0"/>
            <w:vAlign w:val="center"/>
          </w:tcPr>
          <w:p w14:paraId="15C51373">
            <w:pPr>
              <w:rPr>
                <w:rFonts w:ascii="宋体" w:hAnsi="宋体"/>
                <w:color w:val="000000"/>
                <w:szCs w:val="21"/>
              </w:rPr>
            </w:pPr>
          </w:p>
        </w:tc>
        <w:tc>
          <w:tcPr>
            <w:tcW w:w="1402" w:type="dxa"/>
            <w:vMerge w:val="continue"/>
            <w:noWrap w:val="0"/>
            <w:vAlign w:val="center"/>
          </w:tcPr>
          <w:p w14:paraId="02625205">
            <w:pPr>
              <w:jc w:val="center"/>
              <w:rPr>
                <w:rFonts w:ascii="宋体" w:hAnsi="宋体"/>
                <w:color w:val="000000"/>
                <w:szCs w:val="21"/>
              </w:rPr>
            </w:pPr>
          </w:p>
        </w:tc>
        <w:tc>
          <w:tcPr>
            <w:tcW w:w="2439" w:type="dxa"/>
            <w:noWrap w:val="0"/>
            <w:vAlign w:val="center"/>
          </w:tcPr>
          <w:p w14:paraId="72BB1D5F">
            <w:pPr>
              <w:widowControl/>
              <w:spacing w:line="360" w:lineRule="exact"/>
              <w:jc w:val="center"/>
              <w:rPr>
                <w:rFonts w:ascii="宋体" w:hAnsi="宋体"/>
                <w:color w:val="000000"/>
                <w:szCs w:val="21"/>
              </w:rPr>
            </w:pPr>
            <w:r>
              <w:rPr>
                <w:rFonts w:ascii="宋体" w:hAnsi="宋体"/>
                <w:color w:val="000000"/>
                <w:szCs w:val="21"/>
              </w:rPr>
              <w:t>病理性废物</w:t>
            </w:r>
          </w:p>
        </w:tc>
        <w:tc>
          <w:tcPr>
            <w:tcW w:w="1196" w:type="dxa"/>
            <w:vMerge w:val="continue"/>
            <w:noWrap w:val="0"/>
            <w:vAlign w:val="center"/>
          </w:tcPr>
          <w:p w14:paraId="17B228D5">
            <w:pPr>
              <w:rPr>
                <w:rFonts w:ascii="宋体" w:hAnsi="宋体"/>
                <w:color w:val="000000"/>
                <w:szCs w:val="21"/>
              </w:rPr>
            </w:pPr>
          </w:p>
        </w:tc>
        <w:tc>
          <w:tcPr>
            <w:tcW w:w="2739" w:type="dxa"/>
            <w:vMerge w:val="continue"/>
            <w:noWrap w:val="0"/>
            <w:vAlign w:val="center"/>
          </w:tcPr>
          <w:p w14:paraId="4E6A2931">
            <w:pPr>
              <w:rPr>
                <w:rFonts w:ascii="宋体" w:hAnsi="宋体"/>
                <w:color w:val="000000"/>
                <w:szCs w:val="21"/>
              </w:rPr>
            </w:pPr>
          </w:p>
        </w:tc>
      </w:tr>
      <w:tr w14:paraId="4C1BC7D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146" w:hRule="atLeast"/>
          <w:jc w:val="center"/>
        </w:trPr>
        <w:tc>
          <w:tcPr>
            <w:tcW w:w="752" w:type="dxa"/>
            <w:vMerge w:val="continue"/>
            <w:noWrap w:val="0"/>
            <w:vAlign w:val="center"/>
          </w:tcPr>
          <w:p w14:paraId="6D060880">
            <w:pPr>
              <w:rPr>
                <w:rFonts w:ascii="宋体" w:hAnsi="宋体"/>
                <w:color w:val="000000"/>
                <w:szCs w:val="21"/>
              </w:rPr>
            </w:pPr>
          </w:p>
        </w:tc>
        <w:tc>
          <w:tcPr>
            <w:tcW w:w="1402" w:type="dxa"/>
            <w:vMerge w:val="continue"/>
            <w:noWrap w:val="0"/>
            <w:vAlign w:val="center"/>
          </w:tcPr>
          <w:p w14:paraId="18460861">
            <w:pPr>
              <w:jc w:val="center"/>
              <w:rPr>
                <w:rFonts w:ascii="宋体" w:hAnsi="宋体"/>
                <w:color w:val="000000"/>
                <w:szCs w:val="21"/>
              </w:rPr>
            </w:pPr>
          </w:p>
        </w:tc>
        <w:tc>
          <w:tcPr>
            <w:tcW w:w="2439" w:type="dxa"/>
            <w:noWrap w:val="0"/>
            <w:vAlign w:val="center"/>
          </w:tcPr>
          <w:p w14:paraId="5208FB44">
            <w:pPr>
              <w:spacing w:line="360" w:lineRule="exact"/>
              <w:jc w:val="center"/>
              <w:rPr>
                <w:rFonts w:ascii="宋体" w:hAnsi="宋体"/>
                <w:color w:val="000000"/>
                <w:szCs w:val="21"/>
              </w:rPr>
            </w:pPr>
            <w:r>
              <w:rPr>
                <w:rFonts w:ascii="宋体" w:hAnsi="宋体"/>
                <w:color w:val="000000"/>
                <w:szCs w:val="21"/>
              </w:rPr>
              <w:t>损伤性废物</w:t>
            </w:r>
          </w:p>
        </w:tc>
        <w:tc>
          <w:tcPr>
            <w:tcW w:w="1196" w:type="dxa"/>
            <w:vMerge w:val="continue"/>
            <w:noWrap w:val="0"/>
            <w:vAlign w:val="center"/>
          </w:tcPr>
          <w:p w14:paraId="74D88AC9">
            <w:pPr>
              <w:rPr>
                <w:rFonts w:ascii="宋体" w:hAnsi="宋体"/>
                <w:color w:val="000000"/>
                <w:szCs w:val="21"/>
              </w:rPr>
            </w:pPr>
          </w:p>
        </w:tc>
        <w:tc>
          <w:tcPr>
            <w:tcW w:w="2739" w:type="dxa"/>
            <w:vMerge w:val="continue"/>
            <w:noWrap w:val="0"/>
            <w:vAlign w:val="center"/>
          </w:tcPr>
          <w:p w14:paraId="6CB438AE">
            <w:pPr>
              <w:rPr>
                <w:rFonts w:ascii="宋体" w:hAnsi="宋体"/>
                <w:color w:val="000000"/>
                <w:szCs w:val="21"/>
              </w:rPr>
            </w:pPr>
          </w:p>
        </w:tc>
      </w:tr>
      <w:tr w14:paraId="0F58FAF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5" w:hRule="atLeast"/>
          <w:jc w:val="center"/>
        </w:trPr>
        <w:tc>
          <w:tcPr>
            <w:tcW w:w="752" w:type="dxa"/>
            <w:vMerge w:val="continue"/>
            <w:noWrap w:val="0"/>
            <w:vAlign w:val="center"/>
          </w:tcPr>
          <w:p w14:paraId="581AA769">
            <w:pPr>
              <w:rPr>
                <w:rFonts w:ascii="宋体" w:hAnsi="宋体"/>
                <w:color w:val="000000"/>
                <w:szCs w:val="21"/>
              </w:rPr>
            </w:pPr>
          </w:p>
        </w:tc>
        <w:tc>
          <w:tcPr>
            <w:tcW w:w="1402" w:type="dxa"/>
            <w:vMerge w:val="continue"/>
            <w:noWrap w:val="0"/>
            <w:vAlign w:val="center"/>
          </w:tcPr>
          <w:p w14:paraId="067978E4">
            <w:pPr>
              <w:jc w:val="center"/>
              <w:rPr>
                <w:rFonts w:ascii="宋体" w:hAnsi="宋体"/>
                <w:color w:val="000000"/>
                <w:szCs w:val="21"/>
              </w:rPr>
            </w:pPr>
          </w:p>
        </w:tc>
        <w:tc>
          <w:tcPr>
            <w:tcW w:w="2439" w:type="dxa"/>
            <w:noWrap w:val="0"/>
            <w:vAlign w:val="center"/>
          </w:tcPr>
          <w:p w14:paraId="06A47019">
            <w:pPr>
              <w:spacing w:line="360" w:lineRule="exact"/>
              <w:jc w:val="center"/>
              <w:rPr>
                <w:rFonts w:ascii="宋体" w:hAnsi="宋体"/>
                <w:color w:val="000000"/>
                <w:szCs w:val="21"/>
              </w:rPr>
            </w:pPr>
            <w:r>
              <w:rPr>
                <w:rFonts w:ascii="宋体" w:hAnsi="宋体"/>
                <w:color w:val="000000"/>
                <w:szCs w:val="21"/>
              </w:rPr>
              <w:t>化学性废物</w:t>
            </w:r>
          </w:p>
        </w:tc>
        <w:tc>
          <w:tcPr>
            <w:tcW w:w="1196" w:type="dxa"/>
            <w:vMerge w:val="continue"/>
            <w:noWrap w:val="0"/>
            <w:vAlign w:val="center"/>
          </w:tcPr>
          <w:p w14:paraId="717E4236">
            <w:pPr>
              <w:rPr>
                <w:rFonts w:ascii="宋体" w:hAnsi="宋体"/>
                <w:color w:val="000000"/>
                <w:szCs w:val="21"/>
              </w:rPr>
            </w:pPr>
          </w:p>
        </w:tc>
        <w:tc>
          <w:tcPr>
            <w:tcW w:w="2739" w:type="dxa"/>
            <w:vMerge w:val="continue"/>
            <w:noWrap w:val="0"/>
            <w:vAlign w:val="center"/>
          </w:tcPr>
          <w:p w14:paraId="0E099629">
            <w:pPr>
              <w:rPr>
                <w:rFonts w:ascii="宋体" w:hAnsi="宋体"/>
                <w:color w:val="000000"/>
                <w:szCs w:val="21"/>
              </w:rPr>
            </w:pPr>
          </w:p>
        </w:tc>
      </w:tr>
      <w:tr w14:paraId="12BC4C6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5" w:hRule="atLeast"/>
          <w:jc w:val="center"/>
        </w:trPr>
        <w:tc>
          <w:tcPr>
            <w:tcW w:w="752" w:type="dxa"/>
            <w:vMerge w:val="continue"/>
            <w:noWrap w:val="0"/>
            <w:vAlign w:val="center"/>
          </w:tcPr>
          <w:p w14:paraId="0C10917A">
            <w:pPr>
              <w:rPr>
                <w:rFonts w:ascii="宋体" w:hAnsi="宋体"/>
                <w:color w:val="000000"/>
                <w:szCs w:val="21"/>
              </w:rPr>
            </w:pPr>
          </w:p>
        </w:tc>
        <w:tc>
          <w:tcPr>
            <w:tcW w:w="1402" w:type="dxa"/>
            <w:vMerge w:val="continue"/>
            <w:noWrap w:val="0"/>
            <w:vAlign w:val="center"/>
          </w:tcPr>
          <w:p w14:paraId="46CC3A18">
            <w:pPr>
              <w:jc w:val="center"/>
              <w:rPr>
                <w:rFonts w:ascii="宋体" w:hAnsi="宋体"/>
                <w:color w:val="000000"/>
                <w:szCs w:val="21"/>
              </w:rPr>
            </w:pPr>
          </w:p>
        </w:tc>
        <w:tc>
          <w:tcPr>
            <w:tcW w:w="2439" w:type="dxa"/>
            <w:noWrap w:val="0"/>
            <w:vAlign w:val="center"/>
          </w:tcPr>
          <w:p w14:paraId="3F4938C9">
            <w:pPr>
              <w:spacing w:line="360" w:lineRule="exact"/>
              <w:jc w:val="center"/>
              <w:rPr>
                <w:rFonts w:ascii="宋体" w:hAnsi="宋体"/>
                <w:color w:val="000000"/>
                <w:szCs w:val="21"/>
              </w:rPr>
            </w:pPr>
            <w:r>
              <w:rPr>
                <w:rFonts w:ascii="宋体" w:hAnsi="宋体"/>
                <w:color w:val="000000"/>
                <w:szCs w:val="21"/>
              </w:rPr>
              <w:t>药物性废物</w:t>
            </w:r>
          </w:p>
        </w:tc>
        <w:tc>
          <w:tcPr>
            <w:tcW w:w="1196" w:type="dxa"/>
            <w:vMerge w:val="continue"/>
            <w:noWrap w:val="0"/>
            <w:vAlign w:val="center"/>
          </w:tcPr>
          <w:p w14:paraId="06A7351E">
            <w:pPr>
              <w:rPr>
                <w:rFonts w:ascii="宋体" w:hAnsi="宋体"/>
                <w:color w:val="000000"/>
                <w:szCs w:val="21"/>
              </w:rPr>
            </w:pPr>
          </w:p>
        </w:tc>
        <w:tc>
          <w:tcPr>
            <w:tcW w:w="2739" w:type="dxa"/>
            <w:vMerge w:val="continue"/>
            <w:noWrap w:val="0"/>
            <w:vAlign w:val="center"/>
          </w:tcPr>
          <w:p w14:paraId="773EB96D">
            <w:pPr>
              <w:rPr>
                <w:rFonts w:ascii="宋体" w:hAnsi="宋体"/>
                <w:color w:val="000000"/>
                <w:szCs w:val="21"/>
              </w:rPr>
            </w:pPr>
          </w:p>
        </w:tc>
      </w:tr>
      <w:tr w14:paraId="749C564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730" w:hRule="atLeast"/>
          <w:jc w:val="center"/>
        </w:trPr>
        <w:tc>
          <w:tcPr>
            <w:tcW w:w="752" w:type="dxa"/>
            <w:noWrap w:val="0"/>
            <w:vAlign w:val="center"/>
          </w:tcPr>
          <w:p w14:paraId="2A4E2B89">
            <w:pPr>
              <w:spacing w:line="360" w:lineRule="exact"/>
              <w:jc w:val="center"/>
              <w:rPr>
                <w:rFonts w:hint="eastAsia" w:ascii="宋体" w:hAnsi="宋体"/>
                <w:color w:val="000000"/>
                <w:szCs w:val="21"/>
              </w:rPr>
            </w:pPr>
            <w:r>
              <w:rPr>
                <w:rFonts w:hint="eastAsia" w:ascii="宋体" w:hAnsi="宋体"/>
                <w:color w:val="000000"/>
                <w:szCs w:val="21"/>
              </w:rPr>
              <w:t>3</w:t>
            </w:r>
          </w:p>
        </w:tc>
        <w:tc>
          <w:tcPr>
            <w:tcW w:w="1402" w:type="dxa"/>
            <w:noWrap w:val="0"/>
            <w:vAlign w:val="center"/>
          </w:tcPr>
          <w:p w14:paraId="6A879C16">
            <w:pPr>
              <w:spacing w:line="360" w:lineRule="exact"/>
              <w:jc w:val="center"/>
              <w:rPr>
                <w:rFonts w:ascii="宋体" w:hAnsi="宋体"/>
                <w:color w:val="000000"/>
                <w:szCs w:val="21"/>
              </w:rPr>
            </w:pPr>
            <w:r>
              <w:rPr>
                <w:rFonts w:ascii="宋体" w:hAnsi="宋体"/>
                <w:color w:val="000000"/>
                <w:szCs w:val="21"/>
              </w:rPr>
              <w:t>危险固废</w:t>
            </w:r>
          </w:p>
        </w:tc>
        <w:tc>
          <w:tcPr>
            <w:tcW w:w="2439" w:type="dxa"/>
            <w:noWrap w:val="0"/>
            <w:vAlign w:val="center"/>
          </w:tcPr>
          <w:p w14:paraId="0D24CE16">
            <w:pPr>
              <w:spacing w:line="360" w:lineRule="exact"/>
              <w:jc w:val="center"/>
              <w:rPr>
                <w:rFonts w:hint="eastAsia" w:ascii="宋体" w:hAnsi="宋体"/>
                <w:color w:val="000000"/>
                <w:szCs w:val="21"/>
              </w:rPr>
            </w:pPr>
            <w:r>
              <w:rPr>
                <w:rFonts w:ascii="宋体" w:hAnsi="宋体"/>
                <w:color w:val="000000"/>
                <w:szCs w:val="21"/>
              </w:rPr>
              <w:t>污水处理站</w:t>
            </w:r>
            <w:r>
              <w:rPr>
                <w:rFonts w:hint="eastAsia" w:ascii="宋体" w:hAnsi="宋体"/>
                <w:color w:val="000000"/>
                <w:szCs w:val="21"/>
              </w:rPr>
              <w:t>、化粪池</w:t>
            </w:r>
            <w:r>
              <w:rPr>
                <w:rFonts w:ascii="宋体" w:hAnsi="宋体"/>
                <w:color w:val="000000"/>
                <w:szCs w:val="21"/>
              </w:rPr>
              <w:t>污泥</w:t>
            </w:r>
          </w:p>
        </w:tc>
        <w:tc>
          <w:tcPr>
            <w:tcW w:w="1196" w:type="dxa"/>
            <w:noWrap w:val="0"/>
            <w:vAlign w:val="center"/>
          </w:tcPr>
          <w:p w14:paraId="0C9BC7DF">
            <w:pPr>
              <w:pStyle w:val="273"/>
              <w:rPr>
                <w:rFonts w:hint="eastAsia" w:ascii="宋体" w:hAnsi="宋体"/>
                <w:color w:val="000000"/>
                <w:szCs w:val="21"/>
              </w:rPr>
            </w:pPr>
            <w:r>
              <w:rPr>
                <w:rFonts w:hint="eastAsia" w:ascii="宋体" w:hAnsi="宋体"/>
                <w:color w:val="000000"/>
                <w:szCs w:val="21"/>
              </w:rPr>
              <w:t>14.97</w:t>
            </w:r>
          </w:p>
        </w:tc>
        <w:tc>
          <w:tcPr>
            <w:tcW w:w="2739" w:type="dxa"/>
            <w:noWrap w:val="0"/>
            <w:vAlign w:val="center"/>
          </w:tcPr>
          <w:p w14:paraId="7FB3F84B">
            <w:pPr>
              <w:spacing w:line="360" w:lineRule="exact"/>
              <w:jc w:val="center"/>
              <w:rPr>
                <w:rFonts w:hint="eastAsia" w:ascii="宋体" w:hAnsi="宋体"/>
                <w:color w:val="000000"/>
                <w:szCs w:val="21"/>
              </w:rPr>
            </w:pPr>
            <w:r>
              <w:rPr>
                <w:rFonts w:hint="eastAsia" w:ascii="宋体" w:hAnsi="宋体"/>
                <w:color w:val="000000"/>
                <w:szCs w:val="21"/>
              </w:rPr>
              <w:t>委托“</w:t>
            </w:r>
            <w:r>
              <w:rPr>
                <w:color w:val="000000"/>
                <w:szCs w:val="21"/>
              </w:rPr>
              <w:t>有资质的</w:t>
            </w:r>
            <w:r>
              <w:rPr>
                <w:rFonts w:hint="eastAsia"/>
                <w:color w:val="000000"/>
                <w:szCs w:val="21"/>
              </w:rPr>
              <w:t>相关</w:t>
            </w:r>
            <w:r>
              <w:rPr>
                <w:color w:val="000000"/>
                <w:szCs w:val="21"/>
              </w:rPr>
              <w:t>单位</w:t>
            </w:r>
            <w:r>
              <w:rPr>
                <w:rFonts w:hint="eastAsia" w:ascii="宋体" w:hAnsi="宋体"/>
                <w:color w:val="000000"/>
                <w:szCs w:val="21"/>
              </w:rPr>
              <w:t>”来承担处置</w:t>
            </w:r>
          </w:p>
        </w:tc>
      </w:tr>
      <w:tr w14:paraId="03FD2C5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186" w:hRule="atLeast"/>
          <w:jc w:val="center"/>
        </w:trPr>
        <w:tc>
          <w:tcPr>
            <w:tcW w:w="752" w:type="dxa"/>
            <w:noWrap w:val="0"/>
            <w:vAlign w:val="center"/>
          </w:tcPr>
          <w:p w14:paraId="41C5AB11">
            <w:pPr>
              <w:spacing w:line="360" w:lineRule="exact"/>
              <w:jc w:val="center"/>
              <w:rPr>
                <w:rFonts w:hint="eastAsia" w:ascii="宋体" w:hAnsi="宋体"/>
                <w:color w:val="000000"/>
                <w:szCs w:val="21"/>
              </w:rPr>
            </w:pPr>
            <w:r>
              <w:rPr>
                <w:rFonts w:hint="eastAsia" w:ascii="宋体" w:hAnsi="宋体"/>
                <w:color w:val="000000"/>
                <w:szCs w:val="21"/>
              </w:rPr>
              <w:t>4</w:t>
            </w:r>
          </w:p>
        </w:tc>
        <w:tc>
          <w:tcPr>
            <w:tcW w:w="1402" w:type="dxa"/>
            <w:noWrap w:val="0"/>
            <w:vAlign w:val="center"/>
          </w:tcPr>
          <w:p w14:paraId="5B5E60E0">
            <w:pPr>
              <w:spacing w:line="360" w:lineRule="exact"/>
              <w:jc w:val="center"/>
              <w:rPr>
                <w:rFonts w:hint="eastAsia" w:ascii="宋体" w:hAnsi="宋体"/>
                <w:color w:val="000000"/>
                <w:szCs w:val="21"/>
              </w:rPr>
            </w:pPr>
            <w:r>
              <w:rPr>
                <w:rFonts w:hint="eastAsia" w:ascii="宋体" w:hAnsi="宋体"/>
                <w:color w:val="000000"/>
                <w:szCs w:val="21"/>
              </w:rPr>
              <w:t>废油脂</w:t>
            </w:r>
          </w:p>
        </w:tc>
        <w:tc>
          <w:tcPr>
            <w:tcW w:w="2439" w:type="dxa"/>
            <w:noWrap w:val="0"/>
            <w:vAlign w:val="center"/>
          </w:tcPr>
          <w:p w14:paraId="2FF9674C">
            <w:pPr>
              <w:spacing w:line="360" w:lineRule="exact"/>
              <w:jc w:val="center"/>
              <w:rPr>
                <w:rFonts w:hint="eastAsia" w:ascii="宋体" w:hAnsi="宋体"/>
                <w:color w:val="000000"/>
                <w:szCs w:val="21"/>
              </w:rPr>
            </w:pPr>
            <w:r>
              <w:rPr>
                <w:rFonts w:hint="eastAsia" w:ascii="宋体" w:hAnsi="宋体"/>
                <w:color w:val="000000"/>
                <w:szCs w:val="21"/>
              </w:rPr>
              <w:t>隔油池</w:t>
            </w:r>
          </w:p>
        </w:tc>
        <w:tc>
          <w:tcPr>
            <w:tcW w:w="1196" w:type="dxa"/>
            <w:noWrap w:val="0"/>
            <w:vAlign w:val="center"/>
          </w:tcPr>
          <w:p w14:paraId="2F6C3119">
            <w:pPr>
              <w:pStyle w:val="273"/>
              <w:rPr>
                <w:rFonts w:hint="eastAsia" w:ascii="宋体" w:hAnsi="宋体"/>
                <w:color w:val="000000"/>
                <w:szCs w:val="21"/>
              </w:rPr>
            </w:pPr>
            <w:r>
              <w:rPr>
                <w:rFonts w:hint="eastAsia" w:ascii="宋体" w:hAnsi="宋体"/>
                <w:color w:val="000000"/>
                <w:szCs w:val="21"/>
              </w:rPr>
              <w:t>1.55</w:t>
            </w:r>
          </w:p>
        </w:tc>
        <w:tc>
          <w:tcPr>
            <w:tcW w:w="2739" w:type="dxa"/>
            <w:noWrap w:val="0"/>
            <w:vAlign w:val="center"/>
          </w:tcPr>
          <w:p w14:paraId="25EEE07D">
            <w:pPr>
              <w:spacing w:line="360" w:lineRule="exact"/>
              <w:jc w:val="center"/>
              <w:rPr>
                <w:rFonts w:hint="eastAsia" w:ascii="宋体" w:hAnsi="宋体"/>
                <w:color w:val="000000"/>
                <w:szCs w:val="21"/>
              </w:rPr>
            </w:pPr>
            <w:r>
              <w:rPr>
                <w:rFonts w:hint="eastAsia" w:ascii="宋体" w:hAnsi="宋体"/>
                <w:color w:val="000000"/>
                <w:szCs w:val="21"/>
              </w:rPr>
              <w:t>委托有资质单位打捞、清运</w:t>
            </w:r>
          </w:p>
        </w:tc>
      </w:tr>
      <w:tr w14:paraId="1A892EA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4593" w:type="dxa"/>
            <w:gridSpan w:val="3"/>
            <w:noWrap w:val="0"/>
            <w:vAlign w:val="center"/>
          </w:tcPr>
          <w:p w14:paraId="0F7CDDEF">
            <w:pPr>
              <w:spacing w:line="360" w:lineRule="exact"/>
              <w:jc w:val="center"/>
              <w:rPr>
                <w:rFonts w:ascii="宋体" w:hAnsi="宋体"/>
                <w:color w:val="000000"/>
                <w:szCs w:val="21"/>
              </w:rPr>
            </w:pPr>
            <w:r>
              <w:rPr>
                <w:rFonts w:ascii="宋体" w:hAnsi="宋体"/>
                <w:color w:val="000000"/>
                <w:szCs w:val="21"/>
              </w:rPr>
              <w:t>合计</w:t>
            </w:r>
          </w:p>
        </w:tc>
        <w:tc>
          <w:tcPr>
            <w:tcW w:w="1196" w:type="dxa"/>
            <w:noWrap w:val="0"/>
            <w:vAlign w:val="center"/>
          </w:tcPr>
          <w:p w14:paraId="14A244F8">
            <w:pPr>
              <w:spacing w:line="360" w:lineRule="exact"/>
              <w:jc w:val="center"/>
              <w:rPr>
                <w:rFonts w:hint="eastAsia" w:ascii="宋体" w:hAnsi="宋体"/>
                <w:color w:val="000000"/>
                <w:szCs w:val="21"/>
              </w:rPr>
            </w:pPr>
            <w:r>
              <w:rPr>
                <w:rFonts w:hint="eastAsia" w:ascii="宋体" w:hAnsi="宋体"/>
                <w:color w:val="000000"/>
                <w:szCs w:val="21"/>
              </w:rPr>
              <w:t>226.249</w:t>
            </w:r>
          </w:p>
        </w:tc>
        <w:tc>
          <w:tcPr>
            <w:tcW w:w="2739" w:type="dxa"/>
            <w:noWrap w:val="0"/>
            <w:vAlign w:val="center"/>
          </w:tcPr>
          <w:p w14:paraId="117E353E">
            <w:pPr>
              <w:spacing w:line="360" w:lineRule="exact"/>
              <w:jc w:val="center"/>
              <w:rPr>
                <w:rFonts w:ascii="宋体" w:hAnsi="宋体"/>
                <w:color w:val="000000"/>
                <w:szCs w:val="21"/>
              </w:rPr>
            </w:pPr>
            <w:r>
              <w:rPr>
                <w:rFonts w:ascii="宋体" w:hAnsi="宋体"/>
                <w:color w:val="000000"/>
                <w:szCs w:val="21"/>
              </w:rPr>
              <w:t>/</w:t>
            </w:r>
          </w:p>
        </w:tc>
      </w:tr>
    </w:tbl>
    <w:p w14:paraId="3BF56789">
      <w:pPr>
        <w:pStyle w:val="183"/>
        <w:ind w:firstLine="472"/>
        <w:rPr>
          <w:rFonts w:hint="eastAsia" w:eastAsia="仿宋_GB2312"/>
          <w:color w:val="000000"/>
          <w:sz w:val="24"/>
          <w:szCs w:val="24"/>
        </w:rPr>
      </w:pPr>
      <w:bookmarkStart w:id="366" w:name="_Toc391909871"/>
      <w:bookmarkStart w:id="367" w:name="_Toc495500073"/>
      <w:r>
        <w:rPr>
          <w:rFonts w:hint="eastAsia" w:eastAsia="仿宋_GB2312"/>
          <w:color w:val="000000"/>
          <w:sz w:val="24"/>
          <w:szCs w:val="24"/>
        </w:rPr>
        <w:t xml:space="preserve">3.7.7 </w:t>
      </w:r>
      <w:r>
        <w:rPr>
          <w:rFonts w:eastAsia="仿宋_GB2312"/>
          <w:color w:val="000000"/>
          <w:sz w:val="24"/>
          <w:szCs w:val="24"/>
        </w:rPr>
        <w:t>非正常排放污染源分析</w:t>
      </w:r>
      <w:bookmarkEnd w:id="366"/>
      <w:bookmarkEnd w:id="367"/>
    </w:p>
    <w:p w14:paraId="152B9AA1">
      <w:pPr>
        <w:spacing w:line="500" w:lineRule="exact"/>
        <w:ind w:firstLine="480"/>
        <w:rPr>
          <w:color w:val="000000"/>
          <w:sz w:val="24"/>
        </w:rPr>
      </w:pPr>
      <w:r>
        <w:rPr>
          <w:color w:val="000000"/>
          <w:sz w:val="24"/>
        </w:rPr>
        <w:t>本项目可能出现的非正常污染物排放情况是</w:t>
      </w:r>
      <w:r>
        <w:rPr>
          <w:rFonts w:hint="eastAsia"/>
          <w:color w:val="000000"/>
          <w:sz w:val="24"/>
        </w:rPr>
        <w:t>污</w:t>
      </w:r>
      <w:r>
        <w:rPr>
          <w:color w:val="000000"/>
          <w:sz w:val="24"/>
        </w:rPr>
        <w:t>水处理站</w:t>
      </w:r>
      <w:r>
        <w:rPr>
          <w:rFonts w:hint="eastAsia"/>
          <w:color w:val="000000"/>
          <w:sz w:val="24"/>
        </w:rPr>
        <w:t>污</w:t>
      </w:r>
      <w:r>
        <w:rPr>
          <w:color w:val="000000"/>
          <w:sz w:val="24"/>
        </w:rPr>
        <w:t>水处理设备非正常运行时，可能会使</w:t>
      </w:r>
      <w:r>
        <w:rPr>
          <w:rFonts w:hint="eastAsia"/>
          <w:color w:val="000000"/>
          <w:sz w:val="24"/>
        </w:rPr>
        <w:t>污水</w:t>
      </w:r>
      <w:r>
        <w:rPr>
          <w:color w:val="000000"/>
          <w:sz w:val="24"/>
        </w:rPr>
        <w:t>处理水质不合格，甚至将未经处理的</w:t>
      </w:r>
      <w:r>
        <w:rPr>
          <w:rFonts w:hint="eastAsia"/>
          <w:color w:val="000000"/>
          <w:sz w:val="24"/>
        </w:rPr>
        <w:t>污</w:t>
      </w:r>
      <w:r>
        <w:rPr>
          <w:color w:val="000000"/>
          <w:sz w:val="24"/>
        </w:rPr>
        <w:t>水排</w:t>
      </w:r>
      <w:r>
        <w:rPr>
          <w:rFonts w:hint="eastAsia"/>
          <w:color w:val="000000"/>
          <w:sz w:val="24"/>
        </w:rPr>
        <w:t>入</w:t>
      </w:r>
      <w:r>
        <w:rPr>
          <w:color w:val="000000"/>
          <w:sz w:val="24"/>
        </w:rPr>
        <w:t>市政污水</w:t>
      </w:r>
      <w:r>
        <w:rPr>
          <w:rFonts w:hint="eastAsia"/>
          <w:color w:val="000000"/>
          <w:sz w:val="24"/>
        </w:rPr>
        <w:t>管网</w:t>
      </w:r>
      <w:r>
        <w:rPr>
          <w:color w:val="000000"/>
          <w:sz w:val="24"/>
        </w:rPr>
        <w:t>。项目非正常排放情况下废水的源强如下。</w:t>
      </w:r>
    </w:p>
    <w:p w14:paraId="7593E142">
      <w:pPr>
        <w:pStyle w:val="307"/>
        <w:rPr>
          <w:color w:val="000000"/>
        </w:rPr>
      </w:pPr>
      <w:r>
        <w:rPr>
          <w:color w:val="000000"/>
        </w:rPr>
        <w:t>表</w:t>
      </w:r>
      <w:r>
        <w:rPr>
          <w:rFonts w:hint="eastAsia"/>
          <w:color w:val="000000"/>
        </w:rPr>
        <w:t>3</w:t>
      </w:r>
      <w:r>
        <w:rPr>
          <w:color w:val="000000"/>
        </w:rPr>
        <w:t>.</w:t>
      </w:r>
      <w:r>
        <w:rPr>
          <w:rFonts w:hint="eastAsia"/>
          <w:color w:val="000000"/>
        </w:rPr>
        <w:t>7</w:t>
      </w:r>
      <w:r>
        <w:rPr>
          <w:color w:val="000000"/>
        </w:rPr>
        <w:t>-</w:t>
      </w:r>
      <w:r>
        <w:rPr>
          <w:rFonts w:hint="eastAsia"/>
          <w:color w:val="000000"/>
        </w:rPr>
        <w:t>8</w:t>
      </w:r>
      <w:r>
        <w:rPr>
          <w:color w:val="000000"/>
        </w:rPr>
        <w:t xml:space="preserve">  项目污水处理站事故排放废水源强</w:t>
      </w:r>
    </w:p>
    <w:tbl>
      <w:tblPr>
        <w:tblStyle w:val="27"/>
        <w:tblW w:w="0" w:type="auto"/>
        <w:tblInd w:w="-108" w:type="dxa"/>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Layout w:type="fixed"/>
        <w:tblCellMar>
          <w:top w:w="0" w:type="dxa"/>
          <w:left w:w="108" w:type="dxa"/>
          <w:bottom w:w="0" w:type="dxa"/>
          <w:right w:w="108" w:type="dxa"/>
        </w:tblCellMar>
      </w:tblPr>
      <w:tblGrid>
        <w:gridCol w:w="1499"/>
        <w:gridCol w:w="1296"/>
        <w:gridCol w:w="906"/>
        <w:gridCol w:w="1197"/>
        <w:gridCol w:w="2396"/>
        <w:gridCol w:w="1234"/>
      </w:tblGrid>
      <w:tr w14:paraId="7CD1B263">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c>
          <w:tcPr>
            <w:tcW w:w="1499" w:type="dxa"/>
            <w:noWrap w:val="0"/>
            <w:vAlign w:val="center"/>
          </w:tcPr>
          <w:p w14:paraId="206F636B">
            <w:pPr>
              <w:jc w:val="center"/>
              <w:rPr>
                <w:color w:val="000000"/>
                <w:szCs w:val="21"/>
              </w:rPr>
            </w:pPr>
            <w:r>
              <w:rPr>
                <w:color w:val="000000"/>
                <w:szCs w:val="21"/>
              </w:rPr>
              <w:t>排放源</w:t>
            </w:r>
          </w:p>
        </w:tc>
        <w:tc>
          <w:tcPr>
            <w:tcW w:w="1296" w:type="dxa"/>
            <w:noWrap w:val="0"/>
            <w:vAlign w:val="center"/>
          </w:tcPr>
          <w:p w14:paraId="4D88EB93">
            <w:pPr>
              <w:jc w:val="center"/>
              <w:rPr>
                <w:color w:val="000000"/>
                <w:szCs w:val="21"/>
              </w:rPr>
            </w:pPr>
            <w:r>
              <w:rPr>
                <w:color w:val="000000"/>
                <w:szCs w:val="21"/>
              </w:rPr>
              <w:t>废水量</w:t>
            </w:r>
          </w:p>
        </w:tc>
        <w:tc>
          <w:tcPr>
            <w:tcW w:w="906" w:type="dxa"/>
            <w:noWrap w:val="0"/>
            <w:vAlign w:val="center"/>
          </w:tcPr>
          <w:p w14:paraId="6FE6F6D5">
            <w:pPr>
              <w:jc w:val="center"/>
              <w:rPr>
                <w:color w:val="000000"/>
                <w:szCs w:val="21"/>
              </w:rPr>
            </w:pPr>
            <w:r>
              <w:rPr>
                <w:color w:val="000000"/>
                <w:szCs w:val="21"/>
              </w:rPr>
              <w:t>污染物</w:t>
            </w:r>
          </w:p>
        </w:tc>
        <w:tc>
          <w:tcPr>
            <w:tcW w:w="1197" w:type="dxa"/>
            <w:noWrap w:val="0"/>
            <w:vAlign w:val="center"/>
          </w:tcPr>
          <w:p w14:paraId="41DD4262">
            <w:pPr>
              <w:jc w:val="center"/>
              <w:rPr>
                <w:color w:val="000000"/>
                <w:szCs w:val="21"/>
              </w:rPr>
            </w:pPr>
            <w:r>
              <w:rPr>
                <w:color w:val="000000"/>
                <w:szCs w:val="21"/>
              </w:rPr>
              <w:t>排放浓度</w:t>
            </w:r>
          </w:p>
          <w:p w14:paraId="172C6C94">
            <w:pPr>
              <w:jc w:val="center"/>
              <w:rPr>
                <w:color w:val="000000"/>
                <w:szCs w:val="21"/>
              </w:rPr>
            </w:pPr>
            <w:r>
              <w:rPr>
                <w:color w:val="000000"/>
                <w:szCs w:val="21"/>
              </w:rPr>
              <w:t>（mg/m</w:t>
            </w:r>
            <w:r>
              <w:rPr>
                <w:color w:val="000000"/>
                <w:szCs w:val="21"/>
                <w:vertAlign w:val="superscript"/>
              </w:rPr>
              <w:t>3</w:t>
            </w:r>
            <w:r>
              <w:rPr>
                <w:color w:val="000000"/>
                <w:szCs w:val="21"/>
              </w:rPr>
              <w:t>）</w:t>
            </w:r>
          </w:p>
        </w:tc>
        <w:tc>
          <w:tcPr>
            <w:tcW w:w="2396" w:type="dxa"/>
            <w:noWrap w:val="0"/>
            <w:vAlign w:val="center"/>
          </w:tcPr>
          <w:p w14:paraId="70EDF144">
            <w:pPr>
              <w:jc w:val="center"/>
              <w:rPr>
                <w:rFonts w:hint="eastAsia" w:hAnsi="宋体"/>
                <w:color w:val="000000"/>
                <w:szCs w:val="21"/>
              </w:rPr>
            </w:pPr>
            <w:r>
              <w:rPr>
                <w:color w:val="000000"/>
                <w:szCs w:val="21"/>
              </w:rPr>
              <w:t>(GB18466-2005)</w:t>
            </w:r>
            <w:r>
              <w:rPr>
                <w:rFonts w:hAnsi="宋体"/>
                <w:color w:val="000000"/>
                <w:szCs w:val="21"/>
              </w:rPr>
              <w:t>预处理</w:t>
            </w:r>
          </w:p>
          <w:p w14:paraId="7EEA8FB7">
            <w:pPr>
              <w:jc w:val="center"/>
              <w:rPr>
                <w:color w:val="000000"/>
                <w:szCs w:val="21"/>
              </w:rPr>
            </w:pPr>
            <w:r>
              <w:rPr>
                <w:rFonts w:hAnsi="宋体"/>
                <w:color w:val="000000"/>
                <w:szCs w:val="21"/>
              </w:rPr>
              <w:t>标准</w:t>
            </w:r>
          </w:p>
        </w:tc>
        <w:tc>
          <w:tcPr>
            <w:tcW w:w="1234" w:type="dxa"/>
            <w:noWrap w:val="0"/>
            <w:vAlign w:val="center"/>
          </w:tcPr>
          <w:p w14:paraId="076431F4">
            <w:pPr>
              <w:jc w:val="center"/>
              <w:rPr>
                <w:color w:val="000000"/>
                <w:szCs w:val="21"/>
              </w:rPr>
            </w:pPr>
            <w:r>
              <w:rPr>
                <w:color w:val="000000"/>
                <w:szCs w:val="21"/>
              </w:rPr>
              <w:t>超标情况</w:t>
            </w:r>
          </w:p>
        </w:tc>
      </w:tr>
      <w:tr w14:paraId="2A81418F">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c>
          <w:tcPr>
            <w:tcW w:w="1499" w:type="dxa"/>
            <w:vMerge w:val="restart"/>
            <w:noWrap w:val="0"/>
            <w:vAlign w:val="center"/>
          </w:tcPr>
          <w:p w14:paraId="3AED0F2F">
            <w:pPr>
              <w:jc w:val="center"/>
              <w:rPr>
                <w:color w:val="000000"/>
                <w:szCs w:val="21"/>
              </w:rPr>
            </w:pPr>
            <w:r>
              <w:rPr>
                <w:color w:val="000000"/>
                <w:szCs w:val="21"/>
              </w:rPr>
              <w:t>污水处理站</w:t>
            </w:r>
          </w:p>
        </w:tc>
        <w:tc>
          <w:tcPr>
            <w:tcW w:w="1296" w:type="dxa"/>
            <w:vMerge w:val="restart"/>
            <w:noWrap w:val="0"/>
            <w:vAlign w:val="center"/>
          </w:tcPr>
          <w:p w14:paraId="6F4D1D4E">
            <w:pPr>
              <w:jc w:val="center"/>
              <w:rPr>
                <w:color w:val="000000"/>
                <w:szCs w:val="21"/>
              </w:rPr>
            </w:pPr>
            <w:r>
              <w:rPr>
                <w:rFonts w:hint="eastAsia"/>
                <w:color w:val="000000"/>
                <w:szCs w:val="21"/>
              </w:rPr>
              <w:t>102.553</w:t>
            </w:r>
            <w:r>
              <w:rPr>
                <w:color w:val="000000"/>
                <w:szCs w:val="21"/>
              </w:rPr>
              <w:t>m</w:t>
            </w:r>
            <w:r>
              <w:rPr>
                <w:color w:val="000000"/>
                <w:szCs w:val="21"/>
                <w:vertAlign w:val="superscript"/>
              </w:rPr>
              <w:t>3</w:t>
            </w:r>
            <w:r>
              <w:rPr>
                <w:color w:val="000000"/>
                <w:szCs w:val="21"/>
              </w:rPr>
              <w:t>/d</w:t>
            </w:r>
          </w:p>
        </w:tc>
        <w:tc>
          <w:tcPr>
            <w:tcW w:w="906" w:type="dxa"/>
            <w:noWrap w:val="0"/>
            <w:vAlign w:val="center"/>
          </w:tcPr>
          <w:p w14:paraId="5A8B3C8D">
            <w:pPr>
              <w:jc w:val="center"/>
              <w:rPr>
                <w:color w:val="000000"/>
                <w:szCs w:val="21"/>
                <w:vertAlign w:val="subscript"/>
              </w:rPr>
            </w:pPr>
            <w:r>
              <w:rPr>
                <w:color w:val="000000"/>
                <w:szCs w:val="21"/>
              </w:rPr>
              <w:t>COD</w:t>
            </w:r>
            <w:r>
              <w:rPr>
                <w:rFonts w:hint="eastAsia"/>
                <w:color w:val="000000"/>
                <w:szCs w:val="21"/>
                <w:vertAlign w:val="subscript"/>
              </w:rPr>
              <w:t>cr</w:t>
            </w:r>
            <w:r>
              <w:rPr>
                <w:color w:val="000000"/>
                <w:szCs w:val="21"/>
              </w:rPr>
              <w:t xml:space="preserve"> </w:t>
            </w:r>
          </w:p>
        </w:tc>
        <w:tc>
          <w:tcPr>
            <w:tcW w:w="1197" w:type="dxa"/>
            <w:noWrap w:val="0"/>
            <w:vAlign w:val="center"/>
          </w:tcPr>
          <w:p w14:paraId="054F91FF">
            <w:pPr>
              <w:jc w:val="center"/>
              <w:rPr>
                <w:color w:val="000000"/>
                <w:szCs w:val="21"/>
              </w:rPr>
            </w:pPr>
            <w:r>
              <w:rPr>
                <w:color w:val="000000"/>
                <w:szCs w:val="21"/>
              </w:rPr>
              <w:t>322</w:t>
            </w:r>
          </w:p>
        </w:tc>
        <w:tc>
          <w:tcPr>
            <w:tcW w:w="2396" w:type="dxa"/>
            <w:noWrap w:val="0"/>
            <w:vAlign w:val="center"/>
          </w:tcPr>
          <w:p w14:paraId="7CB08117">
            <w:pPr>
              <w:jc w:val="center"/>
              <w:rPr>
                <w:color w:val="000000"/>
                <w:szCs w:val="21"/>
              </w:rPr>
            </w:pPr>
            <w:r>
              <w:rPr>
                <w:color w:val="000000"/>
                <w:szCs w:val="21"/>
              </w:rPr>
              <w:t>250</w:t>
            </w:r>
          </w:p>
        </w:tc>
        <w:tc>
          <w:tcPr>
            <w:tcW w:w="1234" w:type="dxa"/>
            <w:noWrap w:val="0"/>
            <w:vAlign w:val="center"/>
          </w:tcPr>
          <w:p w14:paraId="56002603">
            <w:pPr>
              <w:jc w:val="center"/>
              <w:rPr>
                <w:color w:val="000000"/>
                <w:szCs w:val="21"/>
              </w:rPr>
            </w:pPr>
            <w:r>
              <w:rPr>
                <w:color w:val="000000"/>
                <w:szCs w:val="21"/>
              </w:rPr>
              <w:t>超标1.288倍</w:t>
            </w:r>
          </w:p>
        </w:tc>
      </w:tr>
      <w:tr w14:paraId="144066A5">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c>
          <w:tcPr>
            <w:tcW w:w="1499" w:type="dxa"/>
            <w:vMerge w:val="continue"/>
            <w:noWrap w:val="0"/>
            <w:vAlign w:val="center"/>
          </w:tcPr>
          <w:p w14:paraId="5C1DA5A0">
            <w:pPr>
              <w:jc w:val="center"/>
              <w:rPr>
                <w:color w:val="000000"/>
                <w:szCs w:val="21"/>
              </w:rPr>
            </w:pPr>
          </w:p>
        </w:tc>
        <w:tc>
          <w:tcPr>
            <w:tcW w:w="1296" w:type="dxa"/>
            <w:vMerge w:val="continue"/>
            <w:noWrap w:val="0"/>
            <w:vAlign w:val="center"/>
          </w:tcPr>
          <w:p w14:paraId="0010F4A8">
            <w:pPr>
              <w:jc w:val="center"/>
              <w:rPr>
                <w:color w:val="000000"/>
                <w:szCs w:val="21"/>
              </w:rPr>
            </w:pPr>
          </w:p>
        </w:tc>
        <w:tc>
          <w:tcPr>
            <w:tcW w:w="906" w:type="dxa"/>
            <w:noWrap w:val="0"/>
            <w:vAlign w:val="center"/>
          </w:tcPr>
          <w:p w14:paraId="5ED0202E">
            <w:pPr>
              <w:jc w:val="center"/>
              <w:rPr>
                <w:color w:val="000000"/>
                <w:szCs w:val="21"/>
              </w:rPr>
            </w:pPr>
            <w:r>
              <w:rPr>
                <w:color w:val="000000"/>
                <w:szCs w:val="21"/>
              </w:rPr>
              <w:t>BOD</w:t>
            </w:r>
            <w:r>
              <w:rPr>
                <w:color w:val="000000"/>
                <w:szCs w:val="21"/>
                <w:vertAlign w:val="subscript"/>
              </w:rPr>
              <w:t>5</w:t>
            </w:r>
          </w:p>
        </w:tc>
        <w:tc>
          <w:tcPr>
            <w:tcW w:w="1197" w:type="dxa"/>
            <w:noWrap w:val="0"/>
            <w:vAlign w:val="center"/>
          </w:tcPr>
          <w:p w14:paraId="262E3D90">
            <w:pPr>
              <w:jc w:val="center"/>
              <w:rPr>
                <w:color w:val="000000"/>
                <w:szCs w:val="21"/>
              </w:rPr>
            </w:pPr>
            <w:r>
              <w:rPr>
                <w:color w:val="000000"/>
                <w:szCs w:val="21"/>
              </w:rPr>
              <w:t>131</w:t>
            </w:r>
          </w:p>
        </w:tc>
        <w:tc>
          <w:tcPr>
            <w:tcW w:w="2396" w:type="dxa"/>
            <w:noWrap w:val="0"/>
            <w:vAlign w:val="center"/>
          </w:tcPr>
          <w:p w14:paraId="5AD604EF">
            <w:pPr>
              <w:jc w:val="center"/>
              <w:rPr>
                <w:color w:val="000000"/>
                <w:szCs w:val="21"/>
              </w:rPr>
            </w:pPr>
            <w:r>
              <w:rPr>
                <w:color w:val="000000"/>
                <w:szCs w:val="21"/>
              </w:rPr>
              <w:t>100</w:t>
            </w:r>
          </w:p>
        </w:tc>
        <w:tc>
          <w:tcPr>
            <w:tcW w:w="1234" w:type="dxa"/>
            <w:noWrap w:val="0"/>
            <w:vAlign w:val="center"/>
          </w:tcPr>
          <w:p w14:paraId="381346AB">
            <w:pPr>
              <w:jc w:val="center"/>
              <w:rPr>
                <w:color w:val="000000"/>
                <w:szCs w:val="21"/>
              </w:rPr>
            </w:pPr>
            <w:r>
              <w:rPr>
                <w:color w:val="000000"/>
                <w:szCs w:val="21"/>
              </w:rPr>
              <w:t>超标1.31倍</w:t>
            </w:r>
          </w:p>
        </w:tc>
      </w:tr>
      <w:tr w14:paraId="5AA59EDF">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c>
          <w:tcPr>
            <w:tcW w:w="1499" w:type="dxa"/>
            <w:vMerge w:val="continue"/>
            <w:noWrap w:val="0"/>
            <w:vAlign w:val="center"/>
          </w:tcPr>
          <w:p w14:paraId="6D8319F3">
            <w:pPr>
              <w:jc w:val="center"/>
              <w:rPr>
                <w:color w:val="000000"/>
                <w:szCs w:val="21"/>
              </w:rPr>
            </w:pPr>
          </w:p>
        </w:tc>
        <w:tc>
          <w:tcPr>
            <w:tcW w:w="1296" w:type="dxa"/>
            <w:vMerge w:val="continue"/>
            <w:noWrap w:val="0"/>
            <w:vAlign w:val="center"/>
          </w:tcPr>
          <w:p w14:paraId="01159CD2">
            <w:pPr>
              <w:jc w:val="center"/>
              <w:rPr>
                <w:color w:val="000000"/>
                <w:szCs w:val="21"/>
              </w:rPr>
            </w:pPr>
          </w:p>
        </w:tc>
        <w:tc>
          <w:tcPr>
            <w:tcW w:w="906" w:type="dxa"/>
            <w:noWrap w:val="0"/>
            <w:vAlign w:val="center"/>
          </w:tcPr>
          <w:p w14:paraId="56B6F2A5">
            <w:pPr>
              <w:jc w:val="center"/>
              <w:rPr>
                <w:color w:val="000000"/>
                <w:szCs w:val="21"/>
              </w:rPr>
            </w:pPr>
            <w:r>
              <w:rPr>
                <w:color w:val="000000"/>
                <w:szCs w:val="21"/>
              </w:rPr>
              <w:t>SS</w:t>
            </w:r>
          </w:p>
        </w:tc>
        <w:tc>
          <w:tcPr>
            <w:tcW w:w="1197" w:type="dxa"/>
            <w:noWrap w:val="0"/>
            <w:vAlign w:val="center"/>
          </w:tcPr>
          <w:p w14:paraId="3B3724CE">
            <w:pPr>
              <w:jc w:val="center"/>
              <w:rPr>
                <w:color w:val="000000"/>
                <w:szCs w:val="21"/>
              </w:rPr>
            </w:pPr>
            <w:r>
              <w:rPr>
                <w:color w:val="000000"/>
                <w:szCs w:val="21"/>
              </w:rPr>
              <w:t>283</w:t>
            </w:r>
          </w:p>
        </w:tc>
        <w:tc>
          <w:tcPr>
            <w:tcW w:w="2396" w:type="dxa"/>
            <w:noWrap w:val="0"/>
            <w:vAlign w:val="center"/>
          </w:tcPr>
          <w:p w14:paraId="4F81279A">
            <w:pPr>
              <w:jc w:val="center"/>
              <w:rPr>
                <w:color w:val="000000"/>
                <w:szCs w:val="21"/>
              </w:rPr>
            </w:pPr>
            <w:r>
              <w:rPr>
                <w:color w:val="000000"/>
                <w:szCs w:val="21"/>
              </w:rPr>
              <w:t>60</w:t>
            </w:r>
          </w:p>
        </w:tc>
        <w:tc>
          <w:tcPr>
            <w:tcW w:w="1234" w:type="dxa"/>
            <w:noWrap w:val="0"/>
            <w:vAlign w:val="center"/>
          </w:tcPr>
          <w:p w14:paraId="74D1764E">
            <w:pPr>
              <w:jc w:val="center"/>
              <w:rPr>
                <w:color w:val="000000"/>
                <w:szCs w:val="21"/>
              </w:rPr>
            </w:pPr>
            <w:r>
              <w:rPr>
                <w:color w:val="000000"/>
                <w:szCs w:val="21"/>
              </w:rPr>
              <w:t>超标4.72倍</w:t>
            </w:r>
          </w:p>
        </w:tc>
      </w:tr>
      <w:tr w14:paraId="79378A14">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c>
          <w:tcPr>
            <w:tcW w:w="1499" w:type="dxa"/>
            <w:vMerge w:val="continue"/>
            <w:noWrap w:val="0"/>
            <w:vAlign w:val="center"/>
          </w:tcPr>
          <w:p w14:paraId="686442CD">
            <w:pPr>
              <w:jc w:val="center"/>
              <w:rPr>
                <w:color w:val="000000"/>
                <w:szCs w:val="21"/>
              </w:rPr>
            </w:pPr>
          </w:p>
        </w:tc>
        <w:tc>
          <w:tcPr>
            <w:tcW w:w="1296" w:type="dxa"/>
            <w:vMerge w:val="continue"/>
            <w:noWrap w:val="0"/>
            <w:vAlign w:val="center"/>
          </w:tcPr>
          <w:p w14:paraId="4F86568D">
            <w:pPr>
              <w:jc w:val="center"/>
              <w:rPr>
                <w:color w:val="000000"/>
                <w:szCs w:val="21"/>
              </w:rPr>
            </w:pPr>
          </w:p>
        </w:tc>
        <w:tc>
          <w:tcPr>
            <w:tcW w:w="906" w:type="dxa"/>
            <w:noWrap w:val="0"/>
            <w:vAlign w:val="center"/>
          </w:tcPr>
          <w:p w14:paraId="7BB54A3B">
            <w:pPr>
              <w:jc w:val="center"/>
              <w:rPr>
                <w:color w:val="000000"/>
                <w:szCs w:val="21"/>
              </w:rPr>
            </w:pPr>
            <w:r>
              <w:rPr>
                <w:color w:val="000000"/>
                <w:szCs w:val="21"/>
              </w:rPr>
              <w:t>NH</w:t>
            </w:r>
            <w:r>
              <w:rPr>
                <w:color w:val="000000"/>
                <w:szCs w:val="21"/>
                <w:vertAlign w:val="subscript"/>
              </w:rPr>
              <w:t>3</w:t>
            </w:r>
            <w:r>
              <w:rPr>
                <w:color w:val="000000"/>
                <w:szCs w:val="21"/>
              </w:rPr>
              <w:t>-N</w:t>
            </w:r>
          </w:p>
        </w:tc>
        <w:tc>
          <w:tcPr>
            <w:tcW w:w="1197" w:type="dxa"/>
            <w:noWrap w:val="0"/>
            <w:vAlign w:val="center"/>
          </w:tcPr>
          <w:p w14:paraId="0FF8E8B3">
            <w:pPr>
              <w:jc w:val="center"/>
              <w:rPr>
                <w:color w:val="000000"/>
                <w:szCs w:val="21"/>
              </w:rPr>
            </w:pPr>
            <w:r>
              <w:rPr>
                <w:color w:val="000000"/>
                <w:szCs w:val="21"/>
              </w:rPr>
              <w:t>29</w:t>
            </w:r>
          </w:p>
        </w:tc>
        <w:tc>
          <w:tcPr>
            <w:tcW w:w="2396" w:type="dxa"/>
            <w:noWrap w:val="0"/>
            <w:vAlign w:val="center"/>
          </w:tcPr>
          <w:p w14:paraId="12DBA222">
            <w:pPr>
              <w:jc w:val="center"/>
              <w:rPr>
                <w:color w:val="000000"/>
                <w:szCs w:val="21"/>
              </w:rPr>
            </w:pPr>
            <w:r>
              <w:rPr>
                <w:color w:val="000000"/>
                <w:szCs w:val="21"/>
              </w:rPr>
              <w:t>/</w:t>
            </w:r>
          </w:p>
        </w:tc>
        <w:tc>
          <w:tcPr>
            <w:tcW w:w="1234" w:type="dxa"/>
            <w:noWrap w:val="0"/>
            <w:vAlign w:val="center"/>
          </w:tcPr>
          <w:p w14:paraId="668D1755">
            <w:pPr>
              <w:jc w:val="center"/>
              <w:rPr>
                <w:color w:val="000000"/>
                <w:szCs w:val="21"/>
              </w:rPr>
            </w:pPr>
            <w:r>
              <w:rPr>
                <w:color w:val="000000"/>
                <w:szCs w:val="21"/>
              </w:rPr>
              <w:t>/</w:t>
            </w:r>
          </w:p>
        </w:tc>
      </w:tr>
      <w:tr w14:paraId="44D7E46C">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c>
          <w:tcPr>
            <w:tcW w:w="1499" w:type="dxa"/>
            <w:vMerge w:val="continue"/>
            <w:noWrap w:val="0"/>
            <w:vAlign w:val="center"/>
          </w:tcPr>
          <w:p w14:paraId="02528828">
            <w:pPr>
              <w:jc w:val="center"/>
              <w:rPr>
                <w:color w:val="000000"/>
                <w:szCs w:val="21"/>
              </w:rPr>
            </w:pPr>
          </w:p>
        </w:tc>
        <w:tc>
          <w:tcPr>
            <w:tcW w:w="1296" w:type="dxa"/>
            <w:vMerge w:val="continue"/>
            <w:noWrap w:val="0"/>
            <w:vAlign w:val="center"/>
          </w:tcPr>
          <w:p w14:paraId="6CEB76D9">
            <w:pPr>
              <w:jc w:val="center"/>
              <w:rPr>
                <w:color w:val="000000"/>
                <w:szCs w:val="21"/>
              </w:rPr>
            </w:pPr>
          </w:p>
        </w:tc>
        <w:tc>
          <w:tcPr>
            <w:tcW w:w="906" w:type="dxa"/>
            <w:noWrap w:val="0"/>
            <w:vAlign w:val="center"/>
          </w:tcPr>
          <w:p w14:paraId="22A06CC8">
            <w:pPr>
              <w:jc w:val="center"/>
              <w:rPr>
                <w:color w:val="000000"/>
                <w:szCs w:val="21"/>
              </w:rPr>
            </w:pPr>
            <w:r>
              <w:rPr>
                <w:color w:val="000000"/>
                <w:szCs w:val="21"/>
              </w:rPr>
              <w:t>粪大肠菌群数(个/L)</w:t>
            </w:r>
          </w:p>
        </w:tc>
        <w:tc>
          <w:tcPr>
            <w:tcW w:w="1197" w:type="dxa"/>
            <w:noWrap w:val="0"/>
            <w:vAlign w:val="center"/>
          </w:tcPr>
          <w:p w14:paraId="07B363D6">
            <w:pPr>
              <w:jc w:val="center"/>
              <w:rPr>
                <w:color w:val="000000"/>
                <w:szCs w:val="21"/>
              </w:rPr>
            </w:pPr>
            <w:r>
              <w:rPr>
                <w:color w:val="000000"/>
                <w:szCs w:val="21"/>
              </w:rPr>
              <w:t>1.1×10</w:t>
            </w:r>
            <w:r>
              <w:rPr>
                <w:color w:val="000000"/>
                <w:szCs w:val="21"/>
                <w:vertAlign w:val="superscript"/>
              </w:rPr>
              <w:t>8</w:t>
            </w:r>
          </w:p>
        </w:tc>
        <w:tc>
          <w:tcPr>
            <w:tcW w:w="2396" w:type="dxa"/>
            <w:noWrap w:val="0"/>
            <w:vAlign w:val="center"/>
          </w:tcPr>
          <w:p w14:paraId="667CF69D">
            <w:pPr>
              <w:jc w:val="center"/>
              <w:rPr>
                <w:color w:val="000000"/>
                <w:szCs w:val="21"/>
              </w:rPr>
            </w:pPr>
            <w:r>
              <w:rPr>
                <w:color w:val="000000"/>
                <w:szCs w:val="21"/>
              </w:rPr>
              <w:t>5000</w:t>
            </w:r>
          </w:p>
        </w:tc>
        <w:tc>
          <w:tcPr>
            <w:tcW w:w="1234" w:type="dxa"/>
            <w:noWrap w:val="0"/>
            <w:vAlign w:val="center"/>
          </w:tcPr>
          <w:p w14:paraId="621826ED">
            <w:pPr>
              <w:jc w:val="center"/>
              <w:rPr>
                <w:color w:val="000000"/>
                <w:szCs w:val="21"/>
              </w:rPr>
            </w:pPr>
            <w:r>
              <w:rPr>
                <w:color w:val="000000"/>
                <w:szCs w:val="21"/>
              </w:rPr>
              <w:t>超标22000倍</w:t>
            </w:r>
          </w:p>
        </w:tc>
      </w:tr>
    </w:tbl>
    <w:p w14:paraId="38CD265A">
      <w:pPr>
        <w:spacing w:line="500" w:lineRule="exact"/>
        <w:ind w:firstLine="480"/>
        <w:rPr>
          <w:color w:val="000000"/>
          <w:sz w:val="24"/>
        </w:rPr>
      </w:pPr>
      <w:r>
        <w:rPr>
          <w:color w:val="000000"/>
          <w:sz w:val="24"/>
        </w:rPr>
        <w:t>由表</w:t>
      </w:r>
      <w:r>
        <w:rPr>
          <w:rFonts w:hint="eastAsia"/>
          <w:color w:val="000000"/>
          <w:sz w:val="24"/>
        </w:rPr>
        <w:t>3</w:t>
      </w:r>
      <w:r>
        <w:rPr>
          <w:color w:val="000000"/>
          <w:sz w:val="24"/>
        </w:rPr>
        <w:t>.</w:t>
      </w:r>
      <w:r>
        <w:rPr>
          <w:rFonts w:hint="eastAsia"/>
          <w:color w:val="000000"/>
          <w:sz w:val="24"/>
        </w:rPr>
        <w:t>7</w:t>
      </w:r>
      <w:r>
        <w:rPr>
          <w:color w:val="000000"/>
          <w:sz w:val="24"/>
        </w:rPr>
        <w:t>-</w:t>
      </w:r>
      <w:r>
        <w:rPr>
          <w:rFonts w:hint="eastAsia"/>
          <w:color w:val="000000"/>
          <w:sz w:val="24"/>
        </w:rPr>
        <w:t>8</w:t>
      </w:r>
      <w:r>
        <w:rPr>
          <w:color w:val="000000"/>
          <w:sz w:val="24"/>
        </w:rPr>
        <w:t>可知，项目污水处理站事故排放废水时，COD</w:t>
      </w:r>
      <w:r>
        <w:rPr>
          <w:color w:val="000000"/>
          <w:sz w:val="24"/>
          <w:vertAlign w:val="subscript"/>
        </w:rPr>
        <w:t>cr</w:t>
      </w:r>
      <w:r>
        <w:rPr>
          <w:color w:val="000000"/>
          <w:sz w:val="24"/>
        </w:rPr>
        <w:t>、</w:t>
      </w:r>
      <w:r>
        <w:rPr>
          <w:bCs/>
          <w:color w:val="000000"/>
          <w:sz w:val="24"/>
        </w:rPr>
        <w:t>BOD</w:t>
      </w:r>
      <w:r>
        <w:rPr>
          <w:bCs/>
          <w:color w:val="000000"/>
          <w:sz w:val="24"/>
          <w:vertAlign w:val="subscript"/>
        </w:rPr>
        <w:t>5</w:t>
      </w:r>
      <w:r>
        <w:rPr>
          <w:color w:val="000000"/>
          <w:sz w:val="24"/>
        </w:rPr>
        <w:t>、SS和粪大肠菌群数都会超标。</w:t>
      </w:r>
    </w:p>
    <w:p w14:paraId="0C4ADDAD">
      <w:pPr>
        <w:spacing w:line="500" w:lineRule="exact"/>
        <w:ind w:firstLine="482"/>
        <w:rPr>
          <w:b/>
          <w:color w:val="000000"/>
          <w:sz w:val="24"/>
        </w:rPr>
      </w:pPr>
      <w:r>
        <w:rPr>
          <w:b/>
          <w:color w:val="000000"/>
          <w:sz w:val="24"/>
        </w:rPr>
        <w:t>污水处理</w:t>
      </w:r>
      <w:r>
        <w:rPr>
          <w:rFonts w:hint="eastAsia"/>
          <w:b/>
          <w:color w:val="000000"/>
          <w:sz w:val="24"/>
        </w:rPr>
        <w:t>非正常运行时</w:t>
      </w:r>
      <w:r>
        <w:rPr>
          <w:b/>
          <w:color w:val="000000"/>
          <w:sz w:val="24"/>
        </w:rPr>
        <w:t>防范措施：</w:t>
      </w:r>
    </w:p>
    <w:p w14:paraId="53FB55C9">
      <w:pPr>
        <w:spacing w:line="500" w:lineRule="exact"/>
        <w:ind w:firstLine="480"/>
        <w:rPr>
          <w:rFonts w:hint="eastAsia"/>
          <w:color w:val="000000"/>
          <w:sz w:val="24"/>
        </w:rPr>
      </w:pPr>
      <w:r>
        <w:rPr>
          <w:color w:val="000000"/>
          <w:sz w:val="24"/>
        </w:rPr>
        <w:t>在医院污水处理站发生事故或非正常</w:t>
      </w:r>
      <w:r>
        <w:rPr>
          <w:rFonts w:hint="eastAsia"/>
          <w:color w:val="000000"/>
          <w:sz w:val="24"/>
        </w:rPr>
        <w:t>运行</w:t>
      </w:r>
      <w:r>
        <w:rPr>
          <w:color w:val="000000"/>
          <w:sz w:val="24"/>
        </w:rPr>
        <w:t>时，本项目</w:t>
      </w:r>
      <w:r>
        <w:rPr>
          <w:rFonts w:hint="eastAsia"/>
          <w:color w:val="000000"/>
          <w:sz w:val="24"/>
        </w:rPr>
        <w:t>污</w:t>
      </w:r>
      <w:r>
        <w:rPr>
          <w:color w:val="000000"/>
          <w:sz w:val="24"/>
        </w:rPr>
        <w:t>水处理系统中将设1个事故应急池（位于污水处理站旁），该池</w:t>
      </w:r>
      <w:r>
        <w:rPr>
          <w:rFonts w:hint="eastAsia"/>
          <w:color w:val="000000"/>
          <w:sz w:val="24"/>
        </w:rPr>
        <w:t>可用来</w:t>
      </w:r>
      <w:r>
        <w:rPr>
          <w:color w:val="000000"/>
          <w:sz w:val="24"/>
        </w:rPr>
        <w:t>临时</w:t>
      </w:r>
      <w:r>
        <w:rPr>
          <w:rFonts w:hint="eastAsia"/>
          <w:color w:val="000000"/>
          <w:sz w:val="24"/>
        </w:rPr>
        <w:t>储存污水处理站非正常运行时产生的污水。根据前面工程分析，本项目每天产生的污水量为102.553</w:t>
      </w:r>
      <w:r>
        <w:rPr>
          <w:color w:val="000000"/>
          <w:sz w:val="24"/>
        </w:rPr>
        <w:t>m</w:t>
      </w:r>
      <w:r>
        <w:rPr>
          <w:color w:val="000000"/>
          <w:sz w:val="24"/>
          <w:vertAlign w:val="superscript"/>
        </w:rPr>
        <w:t>3</w:t>
      </w:r>
      <w:r>
        <w:rPr>
          <w:color w:val="000000"/>
          <w:sz w:val="24"/>
        </w:rPr>
        <w:t>/d</w:t>
      </w:r>
      <w:r>
        <w:rPr>
          <w:rFonts w:hint="eastAsia"/>
          <w:color w:val="000000"/>
          <w:sz w:val="24"/>
        </w:rPr>
        <w:t>，项目设置的事故应急池大小为110m</w:t>
      </w:r>
      <w:r>
        <w:rPr>
          <w:rFonts w:hint="eastAsia"/>
          <w:color w:val="000000"/>
          <w:sz w:val="24"/>
          <w:vertAlign w:val="superscript"/>
        </w:rPr>
        <w:t>3</w:t>
      </w:r>
      <w:r>
        <w:rPr>
          <w:rFonts w:hint="eastAsia"/>
          <w:color w:val="000000"/>
          <w:sz w:val="24"/>
        </w:rPr>
        <w:t>可</w:t>
      </w:r>
      <w:r>
        <w:rPr>
          <w:color w:val="000000"/>
          <w:sz w:val="24"/>
        </w:rPr>
        <w:t>临时</w:t>
      </w:r>
      <w:r>
        <w:rPr>
          <w:rFonts w:hint="eastAsia"/>
          <w:color w:val="000000"/>
          <w:sz w:val="24"/>
        </w:rPr>
        <w:t>储存一天以上</w:t>
      </w:r>
      <w:r>
        <w:rPr>
          <w:color w:val="000000"/>
          <w:sz w:val="24"/>
        </w:rPr>
        <w:t>的</w:t>
      </w:r>
      <w:r>
        <w:rPr>
          <w:rFonts w:hint="eastAsia"/>
          <w:color w:val="000000"/>
          <w:sz w:val="24"/>
        </w:rPr>
        <w:t>污水</w:t>
      </w:r>
      <w:r>
        <w:rPr>
          <w:color w:val="000000"/>
          <w:sz w:val="24"/>
        </w:rPr>
        <w:t>。待</w:t>
      </w:r>
      <w:r>
        <w:rPr>
          <w:rFonts w:hint="eastAsia"/>
          <w:color w:val="000000"/>
          <w:sz w:val="24"/>
        </w:rPr>
        <w:t>污水处理站正常运行时再把污水排入污水处理站进行处理，</w:t>
      </w:r>
      <w:r>
        <w:rPr>
          <w:color w:val="000000"/>
          <w:sz w:val="24"/>
        </w:rPr>
        <w:t>杜绝未经处理的医疗废水直接外排。</w:t>
      </w:r>
      <w:bookmarkStart w:id="368" w:name="_Toc257060365"/>
      <w:bookmarkStart w:id="369" w:name="_Toc257038694"/>
    </w:p>
    <w:bookmarkEnd w:id="368"/>
    <w:bookmarkEnd w:id="369"/>
    <w:p w14:paraId="71F4EC3B">
      <w:pPr>
        <w:pStyle w:val="183"/>
        <w:ind w:firstLine="472"/>
        <w:rPr>
          <w:rFonts w:hint="eastAsia" w:eastAsia="仿宋_GB2312"/>
          <w:color w:val="000000"/>
          <w:sz w:val="24"/>
          <w:szCs w:val="24"/>
        </w:rPr>
      </w:pPr>
      <w:bookmarkStart w:id="370" w:name="_Toc495500074"/>
      <w:bookmarkStart w:id="371" w:name="_Toc391909873"/>
      <w:r>
        <w:rPr>
          <w:rFonts w:eastAsia="仿宋_GB2312"/>
          <w:color w:val="000000"/>
          <w:sz w:val="24"/>
          <w:szCs w:val="24"/>
        </w:rPr>
        <w:t>3.</w:t>
      </w:r>
      <w:r>
        <w:rPr>
          <w:rFonts w:hint="eastAsia" w:eastAsia="仿宋_GB2312"/>
          <w:color w:val="000000"/>
          <w:sz w:val="24"/>
          <w:szCs w:val="24"/>
        </w:rPr>
        <w:t>7.8</w:t>
      </w:r>
      <w:r>
        <w:rPr>
          <w:rFonts w:eastAsia="仿宋_GB2312"/>
          <w:color w:val="000000"/>
          <w:sz w:val="24"/>
          <w:szCs w:val="24"/>
        </w:rPr>
        <w:t xml:space="preserve"> </w:t>
      </w:r>
      <w:r>
        <w:rPr>
          <w:rFonts w:hint="eastAsia" w:eastAsia="仿宋_GB2312"/>
          <w:color w:val="000000"/>
          <w:sz w:val="24"/>
          <w:szCs w:val="24"/>
        </w:rPr>
        <w:t>项目“三本</w:t>
      </w:r>
      <w:r>
        <w:rPr>
          <w:rFonts w:hint="eastAsia" w:eastAsia="仿宋_GB2312"/>
          <w:color w:val="000000"/>
          <w:sz w:val="24"/>
          <w:szCs w:val="24"/>
          <w:lang w:val="en-US" w:eastAsia="zh-CN"/>
        </w:rPr>
        <w:t>账</w:t>
      </w:r>
      <w:r>
        <w:rPr>
          <w:rFonts w:hint="eastAsia" w:eastAsia="仿宋_GB2312"/>
          <w:color w:val="000000"/>
          <w:sz w:val="24"/>
          <w:szCs w:val="24"/>
        </w:rPr>
        <w:t>”核算</w:t>
      </w:r>
      <w:bookmarkEnd w:id="370"/>
      <w:bookmarkEnd w:id="371"/>
    </w:p>
    <w:p w14:paraId="3862C990">
      <w:pPr>
        <w:spacing w:line="360" w:lineRule="auto"/>
        <w:ind w:firstLine="480"/>
        <w:rPr>
          <w:rFonts w:hint="eastAsia" w:ascii="宋体" w:hAnsi="宋体"/>
          <w:color w:val="000000"/>
          <w:sz w:val="24"/>
        </w:rPr>
      </w:pPr>
      <w:r>
        <w:rPr>
          <w:rFonts w:hint="eastAsia" w:ascii="宋体" w:hAnsi="宋体"/>
          <w:color w:val="000000"/>
          <w:sz w:val="24"/>
        </w:rPr>
        <w:t>项目在建成前、后的污染物排放情况见下表。</w:t>
      </w:r>
    </w:p>
    <w:p w14:paraId="08D17F38">
      <w:pPr>
        <w:pStyle w:val="307"/>
        <w:rPr>
          <w:rFonts w:hint="eastAsia"/>
          <w:color w:val="000000"/>
        </w:rPr>
      </w:pPr>
      <w:r>
        <w:rPr>
          <w:rFonts w:hint="eastAsia"/>
          <w:color w:val="000000"/>
        </w:rPr>
        <w:t>表3.7-9  建成前、后的污染物排放情况</w:t>
      </w:r>
    </w:p>
    <w:tbl>
      <w:tblPr>
        <w:tblStyle w:val="27"/>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705"/>
        <w:gridCol w:w="1705"/>
        <w:gridCol w:w="1706"/>
        <w:gridCol w:w="1706"/>
        <w:gridCol w:w="1706"/>
      </w:tblGrid>
      <w:tr w14:paraId="4688111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705" w:type="dxa"/>
            <w:noWrap w:val="0"/>
            <w:vAlign w:val="center"/>
          </w:tcPr>
          <w:p w14:paraId="2F543B2A">
            <w:pPr>
              <w:spacing w:line="360" w:lineRule="auto"/>
              <w:rPr>
                <w:rFonts w:hint="eastAsia" w:ascii="宋体" w:hAnsi="宋体"/>
                <w:color w:val="000000"/>
                <w:szCs w:val="21"/>
              </w:rPr>
            </w:pPr>
            <w:r>
              <w:rPr>
                <w:rFonts w:hint="eastAsia" w:ascii="宋体" w:hAnsi="宋体"/>
                <w:color w:val="000000"/>
                <w:szCs w:val="21"/>
              </w:rPr>
              <w:t>污染物类别</w:t>
            </w:r>
          </w:p>
        </w:tc>
        <w:tc>
          <w:tcPr>
            <w:tcW w:w="1705" w:type="dxa"/>
            <w:noWrap w:val="0"/>
            <w:vAlign w:val="center"/>
          </w:tcPr>
          <w:p w14:paraId="44874F6D">
            <w:pPr>
              <w:spacing w:line="360" w:lineRule="auto"/>
              <w:rPr>
                <w:rFonts w:hint="eastAsia" w:ascii="宋体" w:hAnsi="宋体"/>
                <w:color w:val="000000"/>
                <w:szCs w:val="21"/>
              </w:rPr>
            </w:pPr>
            <w:r>
              <w:rPr>
                <w:rFonts w:hint="eastAsia" w:ascii="宋体" w:hAnsi="宋体"/>
                <w:color w:val="000000"/>
                <w:szCs w:val="21"/>
              </w:rPr>
              <w:t>原项目排放量</w:t>
            </w:r>
          </w:p>
        </w:tc>
        <w:tc>
          <w:tcPr>
            <w:tcW w:w="1706" w:type="dxa"/>
            <w:noWrap w:val="0"/>
            <w:vAlign w:val="center"/>
          </w:tcPr>
          <w:p w14:paraId="11932810">
            <w:pPr>
              <w:spacing w:line="360" w:lineRule="auto"/>
              <w:rPr>
                <w:rFonts w:hint="eastAsia" w:ascii="宋体" w:hAnsi="宋体"/>
                <w:color w:val="000000"/>
                <w:szCs w:val="21"/>
              </w:rPr>
            </w:pPr>
            <w:r>
              <w:rPr>
                <w:rFonts w:hint="eastAsia" w:ascii="宋体" w:hAnsi="宋体"/>
                <w:color w:val="000000"/>
                <w:szCs w:val="21"/>
              </w:rPr>
              <w:t>本项目排放量</w:t>
            </w:r>
          </w:p>
        </w:tc>
        <w:tc>
          <w:tcPr>
            <w:tcW w:w="1706" w:type="dxa"/>
            <w:noWrap w:val="0"/>
            <w:vAlign w:val="center"/>
          </w:tcPr>
          <w:p w14:paraId="6CBDF68E">
            <w:pPr>
              <w:spacing w:line="360" w:lineRule="auto"/>
              <w:rPr>
                <w:rFonts w:hint="eastAsia" w:ascii="宋体" w:hAnsi="宋体"/>
                <w:color w:val="000000"/>
                <w:szCs w:val="21"/>
              </w:rPr>
            </w:pPr>
            <w:r>
              <w:rPr>
                <w:rFonts w:hint="eastAsia" w:ascii="宋体" w:hAnsi="宋体"/>
                <w:color w:val="000000"/>
                <w:szCs w:val="21"/>
              </w:rPr>
              <w:t>建成后排放量</w:t>
            </w:r>
          </w:p>
        </w:tc>
        <w:tc>
          <w:tcPr>
            <w:tcW w:w="1706" w:type="dxa"/>
            <w:noWrap w:val="0"/>
            <w:vAlign w:val="center"/>
          </w:tcPr>
          <w:p w14:paraId="7014B289">
            <w:pPr>
              <w:spacing w:line="360" w:lineRule="auto"/>
              <w:ind w:firstLine="420"/>
              <w:rPr>
                <w:rFonts w:hint="eastAsia" w:ascii="宋体" w:hAnsi="宋体"/>
                <w:color w:val="000000"/>
                <w:szCs w:val="21"/>
              </w:rPr>
            </w:pPr>
            <w:r>
              <w:rPr>
                <w:rFonts w:hint="eastAsia" w:ascii="宋体" w:hAnsi="宋体"/>
                <w:color w:val="000000"/>
                <w:szCs w:val="21"/>
              </w:rPr>
              <w:t>增减量</w:t>
            </w:r>
          </w:p>
        </w:tc>
      </w:tr>
      <w:tr w14:paraId="734FF7A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705" w:type="dxa"/>
            <w:noWrap w:val="0"/>
            <w:vAlign w:val="center"/>
          </w:tcPr>
          <w:p w14:paraId="449E8A3E">
            <w:pPr>
              <w:spacing w:line="360" w:lineRule="auto"/>
              <w:rPr>
                <w:rFonts w:hint="eastAsia" w:ascii="宋体" w:hAnsi="宋体"/>
                <w:color w:val="000000"/>
                <w:szCs w:val="21"/>
              </w:rPr>
            </w:pPr>
            <w:r>
              <w:rPr>
                <w:rFonts w:hint="eastAsia" w:ascii="宋体" w:hAnsi="宋体"/>
                <w:color w:val="000000"/>
                <w:szCs w:val="21"/>
              </w:rPr>
              <w:t>固废(t/a)</w:t>
            </w:r>
          </w:p>
        </w:tc>
        <w:tc>
          <w:tcPr>
            <w:tcW w:w="1705" w:type="dxa"/>
            <w:noWrap w:val="0"/>
            <w:vAlign w:val="center"/>
          </w:tcPr>
          <w:p w14:paraId="2629D9F4">
            <w:pPr>
              <w:spacing w:line="360" w:lineRule="auto"/>
              <w:ind w:firstLine="420"/>
              <w:rPr>
                <w:rFonts w:hint="eastAsia" w:ascii="宋体" w:hAnsi="宋体"/>
                <w:color w:val="000000"/>
                <w:szCs w:val="21"/>
              </w:rPr>
            </w:pPr>
            <w:r>
              <w:rPr>
                <w:rFonts w:hint="eastAsia" w:ascii="宋体" w:hAnsi="宋体"/>
                <w:color w:val="000000"/>
                <w:szCs w:val="21"/>
              </w:rPr>
              <w:t>0</w:t>
            </w:r>
          </w:p>
        </w:tc>
        <w:tc>
          <w:tcPr>
            <w:tcW w:w="1706" w:type="dxa"/>
            <w:noWrap w:val="0"/>
            <w:vAlign w:val="center"/>
          </w:tcPr>
          <w:p w14:paraId="33D41114">
            <w:pPr>
              <w:spacing w:line="360" w:lineRule="auto"/>
              <w:ind w:firstLine="420"/>
              <w:rPr>
                <w:rFonts w:hint="eastAsia" w:ascii="宋体" w:hAnsi="宋体"/>
                <w:color w:val="000000"/>
                <w:szCs w:val="21"/>
              </w:rPr>
            </w:pPr>
            <w:r>
              <w:rPr>
                <w:rFonts w:hint="eastAsia" w:ascii="宋体" w:hAnsi="宋体"/>
                <w:color w:val="000000"/>
                <w:szCs w:val="21"/>
              </w:rPr>
              <w:t>0</w:t>
            </w:r>
          </w:p>
        </w:tc>
        <w:tc>
          <w:tcPr>
            <w:tcW w:w="1706" w:type="dxa"/>
            <w:noWrap w:val="0"/>
            <w:vAlign w:val="center"/>
          </w:tcPr>
          <w:p w14:paraId="6E894E80">
            <w:pPr>
              <w:spacing w:line="360" w:lineRule="auto"/>
              <w:ind w:firstLine="420"/>
              <w:rPr>
                <w:rFonts w:hint="eastAsia" w:ascii="宋体" w:hAnsi="宋体"/>
                <w:color w:val="000000"/>
                <w:szCs w:val="21"/>
              </w:rPr>
            </w:pPr>
            <w:r>
              <w:rPr>
                <w:rFonts w:hint="eastAsia" w:ascii="宋体" w:hAnsi="宋体"/>
                <w:color w:val="000000"/>
                <w:szCs w:val="21"/>
              </w:rPr>
              <w:t>0</w:t>
            </w:r>
          </w:p>
        </w:tc>
        <w:tc>
          <w:tcPr>
            <w:tcW w:w="1706" w:type="dxa"/>
            <w:noWrap w:val="0"/>
            <w:vAlign w:val="center"/>
          </w:tcPr>
          <w:p w14:paraId="7CF47B26">
            <w:pPr>
              <w:spacing w:line="360" w:lineRule="auto"/>
              <w:ind w:firstLine="420"/>
              <w:rPr>
                <w:rFonts w:hint="eastAsia" w:ascii="宋体" w:hAnsi="宋体"/>
                <w:color w:val="000000"/>
                <w:szCs w:val="21"/>
              </w:rPr>
            </w:pPr>
            <w:r>
              <w:rPr>
                <w:rFonts w:hint="eastAsia" w:ascii="宋体" w:hAnsi="宋体"/>
                <w:color w:val="000000"/>
                <w:szCs w:val="21"/>
              </w:rPr>
              <w:t>0</w:t>
            </w:r>
          </w:p>
        </w:tc>
      </w:tr>
      <w:tr w14:paraId="3931977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705" w:type="dxa"/>
            <w:noWrap w:val="0"/>
            <w:vAlign w:val="center"/>
          </w:tcPr>
          <w:p w14:paraId="3DFA4FC1">
            <w:pPr>
              <w:spacing w:line="360" w:lineRule="auto"/>
              <w:rPr>
                <w:rFonts w:hint="eastAsia" w:ascii="宋体" w:hAnsi="宋体"/>
                <w:color w:val="000000"/>
                <w:szCs w:val="21"/>
              </w:rPr>
            </w:pPr>
            <w:r>
              <w:rPr>
                <w:rFonts w:hint="eastAsia" w:ascii="宋体" w:hAnsi="宋体"/>
                <w:color w:val="000000"/>
                <w:szCs w:val="21"/>
              </w:rPr>
              <w:t>废水(m</w:t>
            </w:r>
            <w:r>
              <w:rPr>
                <w:rFonts w:hint="eastAsia" w:ascii="宋体" w:hAnsi="宋体"/>
                <w:color w:val="000000"/>
                <w:szCs w:val="21"/>
                <w:vertAlign w:val="superscript"/>
              </w:rPr>
              <w:t>3</w:t>
            </w:r>
            <w:r>
              <w:rPr>
                <w:rFonts w:hint="eastAsia" w:ascii="宋体" w:hAnsi="宋体"/>
                <w:color w:val="000000"/>
                <w:szCs w:val="21"/>
              </w:rPr>
              <w:t>/a)</w:t>
            </w:r>
          </w:p>
        </w:tc>
        <w:tc>
          <w:tcPr>
            <w:tcW w:w="1705" w:type="dxa"/>
            <w:noWrap w:val="0"/>
            <w:vAlign w:val="center"/>
          </w:tcPr>
          <w:p w14:paraId="017A3A62">
            <w:pPr>
              <w:spacing w:line="360" w:lineRule="auto"/>
              <w:ind w:firstLine="420"/>
              <w:rPr>
                <w:rFonts w:hint="eastAsia" w:ascii="宋体" w:hAnsi="宋体"/>
                <w:color w:val="000000"/>
                <w:szCs w:val="21"/>
              </w:rPr>
            </w:pPr>
            <w:r>
              <w:rPr>
                <w:rFonts w:hint="eastAsia" w:ascii="宋体" w:hAnsi="宋体"/>
                <w:color w:val="000000"/>
                <w:szCs w:val="21"/>
              </w:rPr>
              <w:t>0.94万</w:t>
            </w:r>
          </w:p>
        </w:tc>
        <w:tc>
          <w:tcPr>
            <w:tcW w:w="1706" w:type="dxa"/>
            <w:noWrap w:val="0"/>
            <w:vAlign w:val="center"/>
          </w:tcPr>
          <w:p w14:paraId="5DB801E9">
            <w:pPr>
              <w:spacing w:line="360" w:lineRule="auto"/>
              <w:ind w:firstLine="420"/>
              <w:rPr>
                <w:rFonts w:hint="eastAsia" w:ascii="宋体" w:hAnsi="宋体"/>
                <w:color w:val="000000"/>
                <w:szCs w:val="21"/>
              </w:rPr>
            </w:pPr>
            <w:r>
              <w:rPr>
                <w:rFonts w:hint="eastAsia" w:ascii="宋体" w:hAnsi="宋体"/>
                <w:color w:val="000000"/>
                <w:szCs w:val="21"/>
              </w:rPr>
              <w:t>3.7432万</w:t>
            </w:r>
          </w:p>
        </w:tc>
        <w:tc>
          <w:tcPr>
            <w:tcW w:w="1706" w:type="dxa"/>
            <w:noWrap w:val="0"/>
            <w:vAlign w:val="center"/>
          </w:tcPr>
          <w:p w14:paraId="455EC23E">
            <w:pPr>
              <w:spacing w:line="360" w:lineRule="auto"/>
              <w:ind w:firstLine="420"/>
              <w:rPr>
                <w:rFonts w:hint="eastAsia" w:ascii="宋体" w:hAnsi="宋体"/>
                <w:color w:val="000000"/>
                <w:szCs w:val="21"/>
              </w:rPr>
            </w:pPr>
            <w:r>
              <w:rPr>
                <w:rFonts w:hint="eastAsia" w:ascii="宋体" w:hAnsi="宋体"/>
                <w:color w:val="000000"/>
                <w:szCs w:val="21"/>
              </w:rPr>
              <w:t>3.7432万</w:t>
            </w:r>
          </w:p>
        </w:tc>
        <w:tc>
          <w:tcPr>
            <w:tcW w:w="1706" w:type="dxa"/>
            <w:noWrap w:val="0"/>
            <w:vAlign w:val="center"/>
          </w:tcPr>
          <w:p w14:paraId="6DACC4BA">
            <w:pPr>
              <w:spacing w:line="360" w:lineRule="auto"/>
              <w:ind w:firstLine="420"/>
              <w:rPr>
                <w:rFonts w:hint="eastAsia" w:ascii="宋体" w:hAnsi="宋体"/>
                <w:color w:val="000000"/>
                <w:szCs w:val="21"/>
              </w:rPr>
            </w:pPr>
            <w:r>
              <w:rPr>
                <w:rFonts w:hint="eastAsia" w:ascii="宋体" w:hAnsi="宋体"/>
                <w:color w:val="000000"/>
                <w:szCs w:val="21"/>
              </w:rPr>
              <w:t>+2.8032万</w:t>
            </w:r>
          </w:p>
        </w:tc>
      </w:tr>
      <w:tr w14:paraId="3E752A5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705" w:type="dxa"/>
            <w:noWrap w:val="0"/>
            <w:vAlign w:val="center"/>
          </w:tcPr>
          <w:p w14:paraId="29E22DCC">
            <w:pPr>
              <w:spacing w:line="360" w:lineRule="auto"/>
              <w:rPr>
                <w:rFonts w:hint="eastAsia" w:ascii="宋体" w:hAnsi="宋体"/>
                <w:color w:val="000000"/>
                <w:szCs w:val="21"/>
              </w:rPr>
            </w:pPr>
            <w:r>
              <w:rPr>
                <w:rFonts w:hint="eastAsia" w:ascii="宋体" w:hAnsi="宋体"/>
                <w:color w:val="000000"/>
                <w:szCs w:val="21"/>
              </w:rPr>
              <w:t>COD</w:t>
            </w:r>
            <w:r>
              <w:rPr>
                <w:rFonts w:hint="eastAsia" w:ascii="宋体" w:hAnsi="宋体"/>
                <w:color w:val="000000"/>
                <w:szCs w:val="21"/>
                <w:vertAlign w:val="subscript"/>
              </w:rPr>
              <w:t>cr</w:t>
            </w:r>
            <w:r>
              <w:rPr>
                <w:rFonts w:hint="eastAsia" w:ascii="宋体" w:hAnsi="宋体"/>
                <w:color w:val="000000"/>
                <w:szCs w:val="21"/>
              </w:rPr>
              <w:t xml:space="preserve"> (t/a)</w:t>
            </w:r>
          </w:p>
        </w:tc>
        <w:tc>
          <w:tcPr>
            <w:tcW w:w="1705" w:type="dxa"/>
            <w:noWrap w:val="0"/>
            <w:vAlign w:val="center"/>
          </w:tcPr>
          <w:p w14:paraId="19F8F222">
            <w:pPr>
              <w:spacing w:line="360" w:lineRule="auto"/>
              <w:ind w:firstLine="420"/>
              <w:rPr>
                <w:rFonts w:hint="eastAsia" w:ascii="宋体" w:hAnsi="宋体"/>
                <w:color w:val="000000"/>
                <w:szCs w:val="21"/>
              </w:rPr>
            </w:pPr>
            <w:r>
              <w:rPr>
                <w:rFonts w:hint="eastAsia" w:ascii="宋体" w:hAnsi="宋体"/>
                <w:color w:val="000000"/>
                <w:szCs w:val="21"/>
              </w:rPr>
              <w:t>0.1974</w:t>
            </w:r>
          </w:p>
        </w:tc>
        <w:tc>
          <w:tcPr>
            <w:tcW w:w="1706" w:type="dxa"/>
            <w:noWrap w:val="0"/>
            <w:vAlign w:val="center"/>
          </w:tcPr>
          <w:p w14:paraId="1A255CA1">
            <w:pPr>
              <w:spacing w:line="360" w:lineRule="auto"/>
              <w:ind w:firstLine="420"/>
              <w:rPr>
                <w:rFonts w:hint="eastAsia" w:ascii="宋体" w:hAnsi="宋体"/>
                <w:color w:val="000000"/>
                <w:szCs w:val="21"/>
              </w:rPr>
            </w:pPr>
            <w:r>
              <w:rPr>
                <w:rFonts w:hint="eastAsia" w:ascii="宋体" w:hAnsi="宋体"/>
                <w:color w:val="000000"/>
                <w:szCs w:val="21"/>
              </w:rPr>
              <w:t>0.78</w:t>
            </w:r>
          </w:p>
        </w:tc>
        <w:tc>
          <w:tcPr>
            <w:tcW w:w="1706" w:type="dxa"/>
            <w:noWrap w:val="0"/>
            <w:vAlign w:val="center"/>
          </w:tcPr>
          <w:p w14:paraId="1ADB3740">
            <w:pPr>
              <w:spacing w:line="360" w:lineRule="auto"/>
              <w:ind w:firstLine="420"/>
              <w:rPr>
                <w:rFonts w:hint="eastAsia" w:ascii="宋体" w:hAnsi="宋体"/>
                <w:color w:val="000000"/>
                <w:szCs w:val="21"/>
              </w:rPr>
            </w:pPr>
            <w:r>
              <w:rPr>
                <w:rFonts w:hint="eastAsia" w:ascii="宋体" w:hAnsi="宋体"/>
                <w:color w:val="000000"/>
                <w:szCs w:val="21"/>
              </w:rPr>
              <w:t>0.78</w:t>
            </w:r>
          </w:p>
        </w:tc>
        <w:tc>
          <w:tcPr>
            <w:tcW w:w="1706" w:type="dxa"/>
            <w:noWrap w:val="0"/>
            <w:vAlign w:val="center"/>
          </w:tcPr>
          <w:p w14:paraId="17F5B65E">
            <w:pPr>
              <w:spacing w:line="360" w:lineRule="auto"/>
              <w:ind w:firstLine="420"/>
              <w:rPr>
                <w:rFonts w:hint="eastAsia" w:ascii="宋体" w:hAnsi="宋体"/>
                <w:color w:val="000000"/>
                <w:szCs w:val="21"/>
              </w:rPr>
            </w:pPr>
            <w:r>
              <w:rPr>
                <w:rFonts w:hint="eastAsia" w:ascii="宋体" w:hAnsi="宋体"/>
                <w:color w:val="000000"/>
                <w:szCs w:val="21"/>
              </w:rPr>
              <w:t>+0.5826</w:t>
            </w:r>
          </w:p>
        </w:tc>
      </w:tr>
      <w:tr w14:paraId="2EA13E6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705" w:type="dxa"/>
            <w:noWrap w:val="0"/>
            <w:vAlign w:val="center"/>
          </w:tcPr>
          <w:p w14:paraId="0E72C02F">
            <w:pPr>
              <w:spacing w:line="360" w:lineRule="auto"/>
              <w:rPr>
                <w:rFonts w:hint="eastAsia" w:ascii="宋体" w:hAnsi="宋体"/>
                <w:color w:val="000000"/>
                <w:szCs w:val="21"/>
              </w:rPr>
            </w:pPr>
            <w:r>
              <w:rPr>
                <w:rFonts w:hint="eastAsia" w:ascii="宋体" w:hAnsi="宋体"/>
                <w:color w:val="000000"/>
                <w:szCs w:val="21"/>
              </w:rPr>
              <w:t>BOD</w:t>
            </w:r>
            <w:r>
              <w:rPr>
                <w:rFonts w:hint="eastAsia" w:ascii="宋体" w:hAnsi="宋体"/>
                <w:color w:val="000000"/>
                <w:szCs w:val="21"/>
                <w:vertAlign w:val="subscript"/>
              </w:rPr>
              <w:t>5</w:t>
            </w:r>
            <w:r>
              <w:rPr>
                <w:rFonts w:hint="eastAsia" w:ascii="宋体" w:hAnsi="宋体"/>
                <w:color w:val="000000"/>
                <w:szCs w:val="21"/>
              </w:rPr>
              <w:t xml:space="preserve"> (t/a)</w:t>
            </w:r>
          </w:p>
        </w:tc>
        <w:tc>
          <w:tcPr>
            <w:tcW w:w="1705" w:type="dxa"/>
            <w:noWrap w:val="0"/>
            <w:vAlign w:val="center"/>
          </w:tcPr>
          <w:p w14:paraId="70D96871">
            <w:pPr>
              <w:spacing w:line="360" w:lineRule="auto"/>
              <w:ind w:firstLine="420"/>
              <w:rPr>
                <w:rFonts w:hint="eastAsia" w:ascii="宋体" w:hAnsi="宋体"/>
                <w:color w:val="000000"/>
                <w:szCs w:val="21"/>
              </w:rPr>
            </w:pPr>
            <w:r>
              <w:rPr>
                <w:rFonts w:hint="eastAsia" w:ascii="宋体" w:hAnsi="宋体"/>
                <w:color w:val="000000"/>
                <w:szCs w:val="21"/>
              </w:rPr>
              <w:t>0.05076</w:t>
            </w:r>
          </w:p>
        </w:tc>
        <w:tc>
          <w:tcPr>
            <w:tcW w:w="1706" w:type="dxa"/>
            <w:noWrap w:val="0"/>
            <w:vAlign w:val="center"/>
          </w:tcPr>
          <w:p w14:paraId="05507FC3">
            <w:pPr>
              <w:spacing w:line="360" w:lineRule="auto"/>
              <w:ind w:firstLine="420"/>
              <w:rPr>
                <w:rFonts w:hint="eastAsia" w:ascii="宋体" w:hAnsi="宋体"/>
                <w:color w:val="000000"/>
                <w:szCs w:val="21"/>
              </w:rPr>
            </w:pPr>
            <w:r>
              <w:rPr>
                <w:rFonts w:hint="eastAsia" w:ascii="宋体" w:hAnsi="宋体"/>
                <w:color w:val="000000"/>
                <w:szCs w:val="21"/>
              </w:rPr>
              <w:t>0.2</w:t>
            </w:r>
          </w:p>
        </w:tc>
        <w:tc>
          <w:tcPr>
            <w:tcW w:w="1706" w:type="dxa"/>
            <w:noWrap w:val="0"/>
            <w:vAlign w:val="center"/>
          </w:tcPr>
          <w:p w14:paraId="0A22CC26">
            <w:pPr>
              <w:spacing w:line="360" w:lineRule="auto"/>
              <w:ind w:firstLine="420"/>
              <w:rPr>
                <w:rFonts w:hint="eastAsia" w:ascii="宋体" w:hAnsi="宋体"/>
                <w:color w:val="000000"/>
                <w:szCs w:val="21"/>
              </w:rPr>
            </w:pPr>
            <w:r>
              <w:rPr>
                <w:rFonts w:hint="eastAsia" w:ascii="宋体" w:hAnsi="宋体"/>
                <w:color w:val="000000"/>
                <w:szCs w:val="21"/>
              </w:rPr>
              <w:t>0.2</w:t>
            </w:r>
          </w:p>
        </w:tc>
        <w:tc>
          <w:tcPr>
            <w:tcW w:w="1706" w:type="dxa"/>
            <w:noWrap w:val="0"/>
            <w:vAlign w:val="center"/>
          </w:tcPr>
          <w:p w14:paraId="1695B2EE">
            <w:pPr>
              <w:spacing w:line="360" w:lineRule="auto"/>
              <w:ind w:firstLine="420"/>
              <w:rPr>
                <w:rFonts w:hint="eastAsia" w:ascii="宋体" w:hAnsi="宋体"/>
                <w:color w:val="000000"/>
                <w:szCs w:val="21"/>
              </w:rPr>
            </w:pPr>
            <w:r>
              <w:rPr>
                <w:rFonts w:hint="eastAsia" w:ascii="宋体" w:hAnsi="宋体"/>
                <w:color w:val="000000"/>
                <w:szCs w:val="21"/>
              </w:rPr>
              <w:t>+0.14924</w:t>
            </w:r>
          </w:p>
        </w:tc>
      </w:tr>
      <w:tr w14:paraId="677D47D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705" w:type="dxa"/>
            <w:noWrap w:val="0"/>
            <w:vAlign w:val="center"/>
          </w:tcPr>
          <w:p w14:paraId="0A77862A">
            <w:pPr>
              <w:spacing w:line="360" w:lineRule="auto"/>
              <w:rPr>
                <w:rFonts w:hint="eastAsia" w:ascii="宋体" w:hAnsi="宋体"/>
                <w:color w:val="000000"/>
                <w:szCs w:val="21"/>
              </w:rPr>
            </w:pPr>
            <w:r>
              <w:rPr>
                <w:rFonts w:hint="eastAsia" w:ascii="宋体" w:hAnsi="宋体"/>
                <w:color w:val="000000"/>
                <w:szCs w:val="21"/>
              </w:rPr>
              <w:t>氨氮(t/a)</w:t>
            </w:r>
          </w:p>
        </w:tc>
        <w:tc>
          <w:tcPr>
            <w:tcW w:w="1705" w:type="dxa"/>
            <w:noWrap w:val="0"/>
            <w:vAlign w:val="center"/>
          </w:tcPr>
          <w:p w14:paraId="769DB8A0">
            <w:pPr>
              <w:spacing w:line="360" w:lineRule="auto"/>
              <w:ind w:firstLine="420"/>
              <w:rPr>
                <w:rFonts w:hint="eastAsia" w:ascii="宋体" w:hAnsi="宋体"/>
                <w:color w:val="000000"/>
                <w:szCs w:val="21"/>
              </w:rPr>
            </w:pPr>
            <w:r>
              <w:rPr>
                <w:rFonts w:hint="eastAsia" w:ascii="宋体" w:hAnsi="宋体"/>
                <w:color w:val="000000"/>
                <w:szCs w:val="21"/>
              </w:rPr>
              <w:t>0.0194</w:t>
            </w:r>
          </w:p>
        </w:tc>
        <w:tc>
          <w:tcPr>
            <w:tcW w:w="1706" w:type="dxa"/>
            <w:noWrap w:val="0"/>
            <w:vAlign w:val="center"/>
          </w:tcPr>
          <w:p w14:paraId="5C812FE6">
            <w:pPr>
              <w:spacing w:line="360" w:lineRule="auto"/>
              <w:ind w:firstLine="420"/>
              <w:rPr>
                <w:rFonts w:hint="eastAsia" w:ascii="宋体" w:hAnsi="宋体"/>
                <w:color w:val="000000"/>
                <w:szCs w:val="21"/>
              </w:rPr>
            </w:pPr>
            <w:r>
              <w:rPr>
                <w:rFonts w:hint="eastAsia" w:ascii="宋体" w:hAnsi="宋体"/>
                <w:color w:val="000000"/>
                <w:szCs w:val="21"/>
              </w:rPr>
              <w:t>0.077</w:t>
            </w:r>
          </w:p>
        </w:tc>
        <w:tc>
          <w:tcPr>
            <w:tcW w:w="1706" w:type="dxa"/>
            <w:noWrap w:val="0"/>
            <w:vAlign w:val="center"/>
          </w:tcPr>
          <w:p w14:paraId="6E2CDFB3">
            <w:pPr>
              <w:spacing w:line="360" w:lineRule="auto"/>
              <w:ind w:firstLine="420"/>
              <w:rPr>
                <w:rFonts w:hint="eastAsia" w:ascii="宋体" w:hAnsi="宋体"/>
                <w:color w:val="000000"/>
                <w:szCs w:val="21"/>
              </w:rPr>
            </w:pPr>
            <w:r>
              <w:rPr>
                <w:rFonts w:hint="eastAsia" w:ascii="宋体" w:hAnsi="宋体"/>
                <w:color w:val="000000"/>
                <w:szCs w:val="21"/>
              </w:rPr>
              <w:t>0.077</w:t>
            </w:r>
          </w:p>
        </w:tc>
        <w:tc>
          <w:tcPr>
            <w:tcW w:w="1706" w:type="dxa"/>
            <w:noWrap w:val="0"/>
            <w:vAlign w:val="center"/>
          </w:tcPr>
          <w:p w14:paraId="7DDF1B9D">
            <w:pPr>
              <w:spacing w:line="360" w:lineRule="auto"/>
              <w:ind w:firstLine="420"/>
              <w:rPr>
                <w:rFonts w:hint="eastAsia" w:ascii="宋体" w:hAnsi="宋体"/>
                <w:color w:val="000000"/>
                <w:szCs w:val="21"/>
              </w:rPr>
            </w:pPr>
            <w:r>
              <w:rPr>
                <w:rFonts w:hint="eastAsia" w:ascii="宋体" w:hAnsi="宋体"/>
                <w:color w:val="000000"/>
                <w:szCs w:val="21"/>
              </w:rPr>
              <w:t>+0.0576</w:t>
            </w:r>
          </w:p>
        </w:tc>
      </w:tr>
      <w:tr w14:paraId="779D2DC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705" w:type="dxa"/>
            <w:noWrap w:val="0"/>
            <w:vAlign w:val="center"/>
          </w:tcPr>
          <w:p w14:paraId="16AD57C4">
            <w:pPr>
              <w:spacing w:line="360" w:lineRule="auto"/>
              <w:rPr>
                <w:rFonts w:hint="eastAsia" w:ascii="宋体" w:hAnsi="宋体"/>
                <w:color w:val="000000"/>
                <w:szCs w:val="21"/>
              </w:rPr>
            </w:pPr>
            <w:r>
              <w:rPr>
                <w:rFonts w:hint="eastAsia" w:ascii="宋体" w:hAnsi="宋体"/>
                <w:color w:val="000000"/>
                <w:szCs w:val="21"/>
              </w:rPr>
              <w:t>油烟废气(t/a)</w:t>
            </w:r>
          </w:p>
        </w:tc>
        <w:tc>
          <w:tcPr>
            <w:tcW w:w="1705" w:type="dxa"/>
            <w:noWrap w:val="0"/>
            <w:vAlign w:val="center"/>
          </w:tcPr>
          <w:p w14:paraId="31F29FFA">
            <w:pPr>
              <w:spacing w:line="360" w:lineRule="auto"/>
              <w:ind w:firstLine="420"/>
              <w:rPr>
                <w:rFonts w:hint="eastAsia" w:ascii="宋体" w:hAnsi="宋体"/>
                <w:color w:val="000000"/>
                <w:szCs w:val="21"/>
              </w:rPr>
            </w:pPr>
            <w:r>
              <w:rPr>
                <w:rFonts w:hint="eastAsia" w:ascii="宋体" w:hAnsi="宋体"/>
                <w:color w:val="000000"/>
                <w:szCs w:val="21"/>
              </w:rPr>
              <w:t>0</w:t>
            </w:r>
          </w:p>
        </w:tc>
        <w:tc>
          <w:tcPr>
            <w:tcW w:w="1706" w:type="dxa"/>
            <w:noWrap w:val="0"/>
            <w:vAlign w:val="center"/>
          </w:tcPr>
          <w:p w14:paraId="35BE9883">
            <w:pPr>
              <w:spacing w:line="360" w:lineRule="auto"/>
              <w:ind w:firstLine="420"/>
              <w:rPr>
                <w:rFonts w:hint="eastAsia" w:ascii="宋体" w:hAnsi="宋体"/>
                <w:color w:val="000000"/>
                <w:szCs w:val="21"/>
              </w:rPr>
            </w:pPr>
            <w:r>
              <w:rPr>
                <w:rFonts w:hint="eastAsia" w:ascii="宋体" w:hAnsi="宋体"/>
                <w:color w:val="000000"/>
                <w:szCs w:val="21"/>
              </w:rPr>
              <w:t>0.0165</w:t>
            </w:r>
          </w:p>
        </w:tc>
        <w:tc>
          <w:tcPr>
            <w:tcW w:w="1706" w:type="dxa"/>
            <w:noWrap w:val="0"/>
            <w:vAlign w:val="center"/>
          </w:tcPr>
          <w:p w14:paraId="5CF4DEE4">
            <w:pPr>
              <w:spacing w:line="360" w:lineRule="auto"/>
              <w:ind w:firstLine="420"/>
              <w:rPr>
                <w:rFonts w:hint="eastAsia" w:ascii="宋体" w:hAnsi="宋体"/>
                <w:color w:val="000000"/>
                <w:szCs w:val="21"/>
              </w:rPr>
            </w:pPr>
            <w:r>
              <w:rPr>
                <w:rFonts w:hint="eastAsia" w:ascii="宋体" w:hAnsi="宋体"/>
                <w:color w:val="000000"/>
                <w:szCs w:val="21"/>
              </w:rPr>
              <w:t>0.0165</w:t>
            </w:r>
          </w:p>
        </w:tc>
        <w:tc>
          <w:tcPr>
            <w:tcW w:w="1706" w:type="dxa"/>
            <w:noWrap w:val="0"/>
            <w:vAlign w:val="center"/>
          </w:tcPr>
          <w:p w14:paraId="446E093B">
            <w:pPr>
              <w:spacing w:line="360" w:lineRule="auto"/>
              <w:ind w:firstLine="420"/>
              <w:rPr>
                <w:rFonts w:hint="eastAsia" w:ascii="宋体" w:hAnsi="宋体"/>
                <w:color w:val="000000"/>
                <w:szCs w:val="21"/>
              </w:rPr>
            </w:pPr>
            <w:r>
              <w:rPr>
                <w:rFonts w:hint="eastAsia" w:ascii="宋体" w:hAnsi="宋体"/>
                <w:color w:val="000000"/>
                <w:szCs w:val="21"/>
              </w:rPr>
              <w:t>+0.0165</w:t>
            </w:r>
          </w:p>
        </w:tc>
      </w:tr>
      <w:tr w14:paraId="553340B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705" w:type="dxa"/>
            <w:noWrap w:val="0"/>
            <w:vAlign w:val="center"/>
          </w:tcPr>
          <w:p w14:paraId="569ABE8C">
            <w:pPr>
              <w:spacing w:line="360" w:lineRule="auto"/>
              <w:rPr>
                <w:rFonts w:hint="eastAsia" w:ascii="宋体" w:hAnsi="宋体"/>
                <w:color w:val="000000"/>
                <w:szCs w:val="21"/>
              </w:rPr>
            </w:pPr>
            <w:r>
              <w:rPr>
                <w:rFonts w:hint="eastAsia" w:ascii="宋体" w:hAnsi="宋体"/>
                <w:color w:val="000000"/>
                <w:szCs w:val="21"/>
              </w:rPr>
              <w:t>噪声</w:t>
            </w:r>
            <w:r>
              <w:rPr>
                <w:rFonts w:ascii="宋体" w:hAnsi="宋体"/>
                <w:color w:val="000000"/>
                <w:szCs w:val="21"/>
              </w:rPr>
              <w:t>dB（A）</w:t>
            </w:r>
          </w:p>
        </w:tc>
        <w:tc>
          <w:tcPr>
            <w:tcW w:w="1705" w:type="dxa"/>
            <w:noWrap w:val="0"/>
            <w:vAlign w:val="center"/>
          </w:tcPr>
          <w:p w14:paraId="313AAAE8">
            <w:pPr>
              <w:spacing w:line="360" w:lineRule="auto"/>
              <w:ind w:firstLine="420"/>
              <w:rPr>
                <w:rFonts w:hint="eastAsia" w:ascii="宋体" w:hAnsi="宋体"/>
                <w:color w:val="000000"/>
                <w:szCs w:val="21"/>
              </w:rPr>
            </w:pPr>
            <w:r>
              <w:rPr>
                <w:rFonts w:hint="eastAsia" w:ascii="宋体" w:hAnsi="宋体"/>
                <w:color w:val="000000"/>
                <w:szCs w:val="21"/>
              </w:rPr>
              <w:t>60-70</w:t>
            </w:r>
          </w:p>
        </w:tc>
        <w:tc>
          <w:tcPr>
            <w:tcW w:w="1706" w:type="dxa"/>
            <w:noWrap w:val="0"/>
            <w:vAlign w:val="center"/>
          </w:tcPr>
          <w:p w14:paraId="0D451D73">
            <w:pPr>
              <w:spacing w:line="360" w:lineRule="auto"/>
              <w:ind w:firstLine="420"/>
              <w:rPr>
                <w:rFonts w:hint="eastAsia" w:ascii="宋体" w:hAnsi="宋体"/>
                <w:color w:val="000000"/>
                <w:szCs w:val="21"/>
              </w:rPr>
            </w:pPr>
            <w:r>
              <w:rPr>
                <w:rFonts w:hint="eastAsia" w:ascii="宋体" w:hAnsi="宋体"/>
                <w:color w:val="000000"/>
                <w:szCs w:val="21"/>
              </w:rPr>
              <w:t>45-65</w:t>
            </w:r>
          </w:p>
        </w:tc>
        <w:tc>
          <w:tcPr>
            <w:tcW w:w="1706" w:type="dxa"/>
            <w:noWrap w:val="0"/>
            <w:vAlign w:val="center"/>
          </w:tcPr>
          <w:p w14:paraId="0F374E02">
            <w:pPr>
              <w:spacing w:line="360" w:lineRule="auto"/>
              <w:ind w:firstLine="420"/>
              <w:rPr>
                <w:rFonts w:hint="eastAsia" w:ascii="宋体" w:hAnsi="宋体"/>
                <w:color w:val="000000"/>
                <w:szCs w:val="21"/>
              </w:rPr>
            </w:pPr>
            <w:r>
              <w:rPr>
                <w:rFonts w:hint="eastAsia" w:ascii="宋体" w:hAnsi="宋体"/>
                <w:color w:val="000000"/>
                <w:szCs w:val="21"/>
              </w:rPr>
              <w:t>45-65</w:t>
            </w:r>
          </w:p>
        </w:tc>
        <w:tc>
          <w:tcPr>
            <w:tcW w:w="1706" w:type="dxa"/>
            <w:noWrap w:val="0"/>
            <w:vAlign w:val="center"/>
          </w:tcPr>
          <w:p w14:paraId="3326DB62">
            <w:pPr>
              <w:spacing w:line="360" w:lineRule="auto"/>
              <w:ind w:firstLine="420"/>
              <w:rPr>
                <w:rFonts w:hint="eastAsia" w:ascii="宋体" w:hAnsi="宋体"/>
                <w:color w:val="000000"/>
                <w:szCs w:val="21"/>
              </w:rPr>
            </w:pPr>
            <w:r>
              <w:rPr>
                <w:rFonts w:hint="eastAsia" w:ascii="宋体" w:hAnsi="宋体"/>
                <w:color w:val="000000"/>
                <w:szCs w:val="21"/>
              </w:rPr>
              <w:t>――</w:t>
            </w:r>
          </w:p>
        </w:tc>
      </w:tr>
    </w:tbl>
    <w:p w14:paraId="668FFCEA">
      <w:pPr>
        <w:pStyle w:val="181"/>
        <w:rPr>
          <w:rFonts w:hint="eastAsia" w:eastAsia="仿宋_GB2312"/>
          <w:color w:val="000000"/>
          <w:sz w:val="30"/>
          <w:szCs w:val="30"/>
        </w:rPr>
        <w:sectPr>
          <w:headerReference r:id="rId11" w:type="default"/>
          <w:footerReference r:id="rId12" w:type="default"/>
          <w:pgSz w:w="11906" w:h="16838" w:orient="landscape"/>
          <w:pgMar w:top="1440" w:right="1797" w:bottom="1440" w:left="1797" w:header="851" w:footer="992" w:gutter="0"/>
          <w:cols w:space="1701" w:num="1"/>
        </w:sectPr>
      </w:pPr>
    </w:p>
    <w:p w14:paraId="18B70406">
      <w:pPr>
        <w:pStyle w:val="181"/>
        <w:rPr>
          <w:rFonts w:eastAsia="仿宋_GB2312"/>
          <w:color w:val="000000"/>
          <w:sz w:val="30"/>
          <w:szCs w:val="30"/>
        </w:rPr>
      </w:pPr>
      <w:bookmarkStart w:id="372" w:name="_Toc495500075"/>
      <w:r>
        <w:rPr>
          <w:rFonts w:eastAsia="仿宋_GB2312"/>
          <w:color w:val="000000"/>
          <w:sz w:val="30"/>
          <w:szCs w:val="30"/>
        </w:rPr>
        <w:t>4、建设项目区域环境概况</w:t>
      </w:r>
      <w:bookmarkEnd w:id="372"/>
    </w:p>
    <w:p w14:paraId="637ADF03">
      <w:pPr>
        <w:pStyle w:val="182"/>
        <w:ind w:firstLine="275"/>
        <w:rPr>
          <w:rFonts w:ascii="Times New Roman" w:hAnsi="Times New Roman" w:eastAsia="仿宋_GB2312" w:cs="Times New Roman"/>
          <w:color w:val="000000"/>
          <w:sz w:val="28"/>
          <w:szCs w:val="28"/>
        </w:rPr>
      </w:pPr>
      <w:bookmarkStart w:id="373" w:name="_Toc495500076"/>
      <w:r>
        <w:rPr>
          <w:rFonts w:ascii="Times New Roman" w:hAnsi="Times New Roman" w:eastAsia="仿宋_GB2312" w:cs="Times New Roman"/>
          <w:color w:val="000000"/>
          <w:sz w:val="28"/>
          <w:szCs w:val="28"/>
        </w:rPr>
        <w:t>4.1自然环境概况</w:t>
      </w:r>
      <w:bookmarkEnd w:id="373"/>
    </w:p>
    <w:p w14:paraId="5770E9E6">
      <w:pPr>
        <w:pStyle w:val="183"/>
        <w:ind w:firstLine="472"/>
        <w:rPr>
          <w:rFonts w:eastAsia="仿宋_GB2312"/>
          <w:color w:val="000000"/>
          <w:sz w:val="24"/>
          <w:szCs w:val="24"/>
        </w:rPr>
      </w:pPr>
      <w:bookmarkStart w:id="374" w:name="_Toc495500077"/>
      <w:r>
        <w:rPr>
          <w:rFonts w:hint="eastAsia" w:eastAsia="仿宋_GB2312"/>
          <w:color w:val="000000"/>
          <w:sz w:val="24"/>
          <w:szCs w:val="24"/>
        </w:rPr>
        <w:t>4.1.1</w:t>
      </w:r>
      <w:r>
        <w:rPr>
          <w:rFonts w:eastAsia="仿宋_GB2312"/>
          <w:color w:val="000000"/>
          <w:sz w:val="24"/>
          <w:szCs w:val="24"/>
        </w:rPr>
        <w:t>地理位置</w:t>
      </w:r>
      <w:bookmarkEnd w:id="374"/>
    </w:p>
    <w:p w14:paraId="28635AF1">
      <w:pPr>
        <w:spacing w:line="360" w:lineRule="auto"/>
        <w:ind w:firstLine="480"/>
        <w:rPr>
          <w:rFonts w:ascii="宋体" w:hAnsi="宋体" w:cs="宋体"/>
          <w:color w:val="000000"/>
          <w:sz w:val="24"/>
        </w:rPr>
      </w:pPr>
      <w:r>
        <w:rPr>
          <w:rFonts w:ascii="宋体" w:hAnsi="宋体"/>
          <w:color w:val="000000"/>
          <w:sz w:val="24"/>
        </w:rPr>
        <w:t>芒市地处云南西部，德宏州东南部，位于东经98°05′—98°44′，北纬24°05′—24°39′之间。东西长约71千米，南北宽约62千米。总面积2987平方千米，其中山区占74%，坝区（含海拔在1000米以下的低热河谷）占26%。东、东北接</w:t>
      </w:r>
      <w:r>
        <w:rPr>
          <w:rFonts w:ascii="宋体" w:hAnsi="宋体"/>
          <w:color w:val="000000"/>
          <w:sz w:val="24"/>
        </w:rPr>
        <w:fldChar w:fldCharType="begin"/>
      </w:r>
      <w:r>
        <w:rPr>
          <w:rFonts w:ascii="宋体" w:hAnsi="宋体"/>
          <w:color w:val="000000"/>
          <w:sz w:val="24"/>
        </w:rPr>
        <w:instrText xml:space="preserve"> HYPERLINK "http://baike.baidu.com/view/20621.htm" \t "_blank" </w:instrText>
      </w:r>
      <w:r>
        <w:rPr>
          <w:rFonts w:ascii="宋体" w:hAnsi="宋体"/>
          <w:color w:val="000000"/>
          <w:sz w:val="24"/>
        </w:rPr>
        <w:fldChar w:fldCharType="separate"/>
      </w:r>
      <w:r>
        <w:rPr>
          <w:rFonts w:ascii="宋体" w:hAnsi="宋体"/>
          <w:color w:val="000000"/>
          <w:sz w:val="24"/>
        </w:rPr>
        <w:t>保山</w:t>
      </w:r>
      <w:r>
        <w:rPr>
          <w:rFonts w:ascii="宋体" w:hAnsi="宋体"/>
          <w:color w:val="000000"/>
          <w:sz w:val="24"/>
        </w:rPr>
        <w:fldChar w:fldCharType="end"/>
      </w:r>
      <w:r>
        <w:rPr>
          <w:rFonts w:ascii="宋体" w:hAnsi="宋体"/>
          <w:color w:val="000000"/>
          <w:sz w:val="24"/>
        </w:rPr>
        <w:t>市龙陵县，西南连瑞丽市、畹町经济开发区，西、西北与梁河县、陇川县隔龙江（陇川江）相望，南与缅甸交界，国境线长68..3千米。是德宏傣族景颇族自治州5个县市之一。市政府驻地芒市镇（城镇规划面积25平方千米），同时是州府驻地，陆距省会昆明679千米，空距427千米。境内</w:t>
      </w:r>
      <w:r>
        <w:rPr>
          <w:rFonts w:ascii="宋体" w:hAnsi="宋体"/>
          <w:color w:val="000000"/>
          <w:sz w:val="24"/>
        </w:rPr>
        <w:fldChar w:fldCharType="begin"/>
      </w:r>
      <w:r>
        <w:rPr>
          <w:rFonts w:ascii="宋体" w:hAnsi="宋体"/>
          <w:color w:val="000000"/>
          <w:sz w:val="24"/>
        </w:rPr>
        <w:instrText xml:space="preserve"> HYPERLINK "http://baike.baidu.com/view/157815.htm" \t "_blank" </w:instrText>
      </w:r>
      <w:r>
        <w:rPr>
          <w:rFonts w:ascii="宋体" w:hAnsi="宋体"/>
          <w:color w:val="000000"/>
          <w:sz w:val="24"/>
        </w:rPr>
        <w:fldChar w:fldCharType="separate"/>
      </w:r>
      <w:r>
        <w:rPr>
          <w:rFonts w:ascii="宋体" w:hAnsi="宋体"/>
          <w:color w:val="000000"/>
          <w:sz w:val="24"/>
        </w:rPr>
        <w:t>320国道</w:t>
      </w:r>
      <w:r>
        <w:rPr>
          <w:rFonts w:ascii="宋体" w:hAnsi="宋体"/>
          <w:color w:val="000000"/>
          <w:sz w:val="24"/>
        </w:rPr>
        <w:fldChar w:fldCharType="end"/>
      </w:r>
      <w:r>
        <w:rPr>
          <w:rFonts w:ascii="宋体" w:hAnsi="宋体"/>
          <w:color w:val="000000"/>
          <w:sz w:val="24"/>
        </w:rPr>
        <w:t>贯穿南北，有芒市至象滚塘，芒市至回贤等乡村道路，交通网络发</w:t>
      </w:r>
      <w:r>
        <w:rPr>
          <w:rFonts w:hint="eastAsia" w:ascii="宋体" w:hAnsi="宋体"/>
          <w:color w:val="000000"/>
          <w:sz w:val="24"/>
        </w:rPr>
        <w:t>达</w:t>
      </w:r>
      <w:r>
        <w:rPr>
          <w:rFonts w:ascii="宋体" w:hAnsi="宋体"/>
          <w:color w:val="000000"/>
          <w:sz w:val="24"/>
        </w:rPr>
        <w:t>。是云南西边的窗口，也是德宏的政治、经济、文化中心和中缅文化交流的窗口，更是中缅经济效益的门户。</w:t>
      </w:r>
    </w:p>
    <w:p w14:paraId="156925A1">
      <w:pPr>
        <w:spacing w:line="360" w:lineRule="auto"/>
        <w:ind w:firstLine="480"/>
        <w:rPr>
          <w:rFonts w:ascii="宋体" w:hAnsi="宋体"/>
          <w:color w:val="000000"/>
          <w:sz w:val="24"/>
        </w:rPr>
      </w:pPr>
      <w:r>
        <w:rPr>
          <w:rFonts w:ascii="宋体" w:hAnsi="宋体" w:cs="宋体"/>
          <w:color w:val="000000"/>
          <w:sz w:val="24"/>
        </w:rPr>
        <w:t>本项目建设用地位于</w:t>
      </w:r>
      <w:r>
        <w:rPr>
          <w:rFonts w:hint="eastAsia" w:ascii="宋体" w:hAnsi="宋体" w:cs="宋体"/>
          <w:color w:val="000000"/>
          <w:sz w:val="24"/>
        </w:rPr>
        <w:t>芒市机场大道环岛南侧，项目中</w:t>
      </w:r>
      <w:r>
        <w:rPr>
          <w:rFonts w:ascii="宋体" w:hAnsi="宋体" w:cs="宋体"/>
          <w:color w:val="000000"/>
          <w:sz w:val="24"/>
        </w:rPr>
        <w:t>心用地坐标为</w:t>
      </w:r>
      <w:r>
        <w:rPr>
          <w:rFonts w:ascii="宋体" w:hAnsi="宋体"/>
          <w:color w:val="000000"/>
          <w:sz w:val="24"/>
        </w:rPr>
        <w:t>北纬24º</w:t>
      </w:r>
      <w:r>
        <w:rPr>
          <w:rFonts w:hint="eastAsia" w:ascii="宋体" w:hAnsi="宋体"/>
          <w:color w:val="000000"/>
          <w:sz w:val="24"/>
        </w:rPr>
        <w:t>25</w:t>
      </w:r>
      <w:r>
        <w:rPr>
          <w:rFonts w:ascii="宋体" w:hAnsi="宋体"/>
          <w:color w:val="000000"/>
          <w:sz w:val="24"/>
        </w:rPr>
        <w:t>´</w:t>
      </w:r>
      <w:r>
        <w:rPr>
          <w:rFonts w:hint="eastAsia" w:ascii="宋体" w:hAnsi="宋体"/>
          <w:color w:val="000000"/>
          <w:sz w:val="24"/>
        </w:rPr>
        <w:t>23</w:t>
      </w:r>
      <w:r>
        <w:rPr>
          <w:rFonts w:ascii="宋体" w:hAnsi="宋体"/>
          <w:color w:val="000000"/>
          <w:sz w:val="24"/>
        </w:rPr>
        <w:t>"，东经9</w:t>
      </w:r>
      <w:r>
        <w:rPr>
          <w:rFonts w:hint="eastAsia" w:ascii="宋体" w:hAnsi="宋体"/>
          <w:color w:val="000000"/>
          <w:sz w:val="24"/>
        </w:rPr>
        <w:t>8</w:t>
      </w:r>
      <w:r>
        <w:rPr>
          <w:rFonts w:ascii="宋体" w:hAnsi="宋体"/>
          <w:color w:val="000000"/>
          <w:sz w:val="24"/>
        </w:rPr>
        <w:t>º</w:t>
      </w:r>
      <w:r>
        <w:rPr>
          <w:rFonts w:hint="eastAsia" w:ascii="宋体" w:hAnsi="宋体"/>
          <w:color w:val="000000"/>
          <w:sz w:val="24"/>
        </w:rPr>
        <w:t>33</w:t>
      </w:r>
      <w:r>
        <w:rPr>
          <w:rFonts w:ascii="宋体" w:hAnsi="宋体"/>
          <w:color w:val="000000"/>
          <w:sz w:val="24"/>
        </w:rPr>
        <w:t>´</w:t>
      </w:r>
      <w:r>
        <w:rPr>
          <w:rFonts w:hint="eastAsia" w:ascii="宋体" w:hAnsi="宋体"/>
          <w:color w:val="000000"/>
          <w:sz w:val="24"/>
        </w:rPr>
        <w:t>24</w:t>
      </w:r>
      <w:r>
        <w:rPr>
          <w:rFonts w:ascii="宋体" w:hAnsi="宋体"/>
          <w:color w:val="000000"/>
          <w:sz w:val="24"/>
        </w:rPr>
        <w:t>"）</w:t>
      </w:r>
      <w:r>
        <w:rPr>
          <w:rFonts w:hint="eastAsia" w:ascii="宋体" w:hAnsi="宋体"/>
          <w:color w:val="000000"/>
          <w:sz w:val="24"/>
        </w:rPr>
        <w:t>。</w:t>
      </w:r>
      <w:r>
        <w:rPr>
          <w:rFonts w:ascii="宋体" w:hAnsi="宋体" w:cs="宋体"/>
          <w:color w:val="000000"/>
          <w:sz w:val="24"/>
        </w:rPr>
        <w:t>占地面积</w:t>
      </w:r>
      <w:r>
        <w:rPr>
          <w:rFonts w:hint="eastAsia" w:ascii="宋体" w:hAnsi="宋体"/>
          <w:color w:val="000000"/>
          <w:sz w:val="24"/>
        </w:rPr>
        <w:t>20989</w:t>
      </w:r>
      <w:r>
        <w:rPr>
          <w:rFonts w:ascii="宋体" w:hAnsi="宋体" w:cs="宋体"/>
          <w:color w:val="000000"/>
          <w:sz w:val="24"/>
        </w:rPr>
        <w:t>㎡，该宗土地现状地势平坦，城市公用设施较完备，交通方便、供水、供电、通讯设施完备，适宜建筑。</w:t>
      </w:r>
    </w:p>
    <w:p w14:paraId="2148ED89">
      <w:pPr>
        <w:spacing w:line="360" w:lineRule="auto"/>
        <w:ind w:firstLine="480"/>
        <w:rPr>
          <w:rFonts w:hint="eastAsia" w:ascii="宋体" w:hAnsi="宋体" w:cs="宋体"/>
          <w:color w:val="000000"/>
          <w:sz w:val="24"/>
        </w:rPr>
      </w:pPr>
      <w:r>
        <w:rPr>
          <w:rFonts w:ascii="宋体" w:hAnsi="宋体" w:cs="宋体"/>
          <w:color w:val="000000"/>
          <w:sz w:val="24"/>
        </w:rPr>
        <w:t>项目地理位置图见附图</w:t>
      </w:r>
      <w:r>
        <w:rPr>
          <w:rFonts w:hint="eastAsia" w:ascii="宋体" w:hAnsi="宋体" w:cs="宋体"/>
          <w:color w:val="000000"/>
          <w:sz w:val="24"/>
        </w:rPr>
        <w:t>1</w:t>
      </w:r>
      <w:r>
        <w:rPr>
          <w:rFonts w:ascii="宋体" w:hAnsi="宋体" w:cs="宋体"/>
          <w:color w:val="000000"/>
          <w:sz w:val="24"/>
        </w:rPr>
        <w:t>。</w:t>
      </w:r>
    </w:p>
    <w:p w14:paraId="2491AFE0">
      <w:pPr>
        <w:pStyle w:val="183"/>
        <w:ind w:firstLine="472"/>
        <w:rPr>
          <w:rFonts w:eastAsia="仿宋_GB2312"/>
          <w:color w:val="000000"/>
          <w:sz w:val="24"/>
          <w:szCs w:val="24"/>
        </w:rPr>
      </w:pPr>
      <w:bookmarkStart w:id="375" w:name="_Toc241904958"/>
      <w:bookmarkEnd w:id="375"/>
      <w:bookmarkStart w:id="376" w:name="_Toc226608386"/>
      <w:bookmarkEnd w:id="376"/>
      <w:bookmarkStart w:id="377" w:name="_Toc495500078"/>
      <w:r>
        <w:rPr>
          <w:rFonts w:eastAsia="仿宋_GB2312"/>
          <w:color w:val="000000"/>
          <w:sz w:val="24"/>
          <w:szCs w:val="24"/>
        </w:rPr>
        <w:t>4.1.2 地形、地貌</w:t>
      </w:r>
      <w:bookmarkEnd w:id="377"/>
    </w:p>
    <w:p w14:paraId="722338A4">
      <w:pPr>
        <w:spacing w:line="360" w:lineRule="auto"/>
        <w:ind w:firstLine="480"/>
        <w:rPr>
          <w:rFonts w:hint="eastAsia" w:ascii="宋体" w:hAnsi="宋体"/>
          <w:color w:val="000000"/>
          <w:spacing w:val="8"/>
          <w:sz w:val="24"/>
        </w:rPr>
      </w:pPr>
      <w:bookmarkStart w:id="378" w:name="_Toc226608387"/>
      <w:bookmarkEnd w:id="378"/>
      <w:bookmarkStart w:id="379" w:name="_Toc241904959"/>
      <w:bookmarkEnd w:id="379"/>
      <w:r>
        <w:rPr>
          <w:rFonts w:ascii="宋体" w:hAnsi="宋体"/>
          <w:color w:val="000000"/>
          <w:spacing w:val="8"/>
          <w:sz w:val="24"/>
        </w:rPr>
        <w:t>德宏傣族景颇族自治州是横断山脉西南部、高黎贡山以西的一块自东北向南西倾斜的切割山原。地势的基本特点是东北高而陡峻，西南低而宽缓；峻岭峡谷相间排列，高山大河平行急下。全州最高点是盈江县北部的大娘山（大雪山），海拔3404.6</w:t>
      </w:r>
      <w:r>
        <w:rPr>
          <w:rFonts w:hint="eastAsia" w:ascii="宋体" w:hAnsi="宋体"/>
          <w:color w:val="000000"/>
          <w:spacing w:val="8"/>
          <w:sz w:val="24"/>
        </w:rPr>
        <w:t>米</w:t>
      </w:r>
      <w:r>
        <w:rPr>
          <w:rFonts w:ascii="宋体" w:hAnsi="宋体"/>
          <w:color w:val="000000"/>
          <w:spacing w:val="8"/>
          <w:sz w:val="24"/>
        </w:rPr>
        <w:t>；最低点是盈江县西部的羯羊河谷（那邦坝的拉沙河与穆雷江交汇处），海拔210</w:t>
      </w:r>
      <w:r>
        <w:rPr>
          <w:rFonts w:hint="eastAsia" w:ascii="宋体" w:hAnsi="宋体"/>
          <w:color w:val="000000"/>
          <w:spacing w:val="8"/>
          <w:sz w:val="24"/>
        </w:rPr>
        <w:t>米</w:t>
      </w:r>
      <w:r>
        <w:rPr>
          <w:rFonts w:ascii="宋体" w:hAnsi="宋体"/>
          <w:color w:val="000000"/>
          <w:spacing w:val="8"/>
          <w:sz w:val="24"/>
        </w:rPr>
        <w:t>；一般海拔800至2100</w:t>
      </w:r>
      <w:r>
        <w:rPr>
          <w:rFonts w:hint="eastAsia" w:ascii="宋体" w:hAnsi="宋体"/>
          <w:color w:val="000000"/>
          <w:spacing w:val="8"/>
          <w:sz w:val="24"/>
        </w:rPr>
        <w:t>米</w:t>
      </w:r>
      <w:r>
        <w:rPr>
          <w:rFonts w:ascii="宋体" w:hAnsi="宋体"/>
          <w:color w:val="000000"/>
          <w:spacing w:val="8"/>
          <w:sz w:val="24"/>
        </w:rPr>
        <w:t>。州府驻地芒市，海拔920</w:t>
      </w:r>
      <w:r>
        <w:rPr>
          <w:rFonts w:hint="eastAsia" w:ascii="宋体" w:hAnsi="宋体"/>
          <w:color w:val="000000"/>
          <w:spacing w:val="8"/>
          <w:sz w:val="24"/>
        </w:rPr>
        <w:t>米</w:t>
      </w:r>
      <w:r>
        <w:rPr>
          <w:rFonts w:ascii="宋体" w:hAnsi="宋体"/>
          <w:color w:val="000000"/>
          <w:spacing w:val="8"/>
          <w:sz w:val="24"/>
        </w:rPr>
        <w:t>。其地表景观主要由高黎贡山山脉南延的“三山”与“三江四河”构成。“三山”即大娘山、打鹰山和高黎贡山尾部主脉，“三江”即怒江、大盈江和瑞丽江，“四河”即芒市河、南畹河、户撒河与芒东河</w:t>
      </w:r>
      <w:r>
        <w:rPr>
          <w:rFonts w:hint="eastAsia" w:ascii="宋体" w:hAnsi="宋体"/>
          <w:color w:val="000000"/>
          <w:spacing w:val="8"/>
          <w:sz w:val="24"/>
        </w:rPr>
        <w:t>。</w:t>
      </w:r>
    </w:p>
    <w:p w14:paraId="6EBF0741">
      <w:pPr>
        <w:pStyle w:val="183"/>
        <w:ind w:firstLine="472"/>
        <w:rPr>
          <w:rFonts w:hint="eastAsia" w:ascii="仿宋_GB2312" w:eastAsia="仿宋_GB2312"/>
          <w:color w:val="000000"/>
          <w:sz w:val="24"/>
          <w:szCs w:val="24"/>
        </w:rPr>
      </w:pPr>
      <w:bookmarkStart w:id="380" w:name="_Toc495500079"/>
      <w:bookmarkStart w:id="381" w:name="_Toc406601018"/>
      <w:r>
        <w:rPr>
          <w:rFonts w:ascii="仿宋_GB2312" w:eastAsia="仿宋_GB2312"/>
          <w:color w:val="000000"/>
          <w:sz w:val="24"/>
          <w:szCs w:val="24"/>
        </w:rPr>
        <w:t>4.</w:t>
      </w:r>
      <w:r>
        <w:rPr>
          <w:rFonts w:hint="eastAsia" w:ascii="仿宋_GB2312" w:eastAsia="仿宋_GB2312"/>
          <w:color w:val="000000"/>
          <w:sz w:val="24"/>
          <w:szCs w:val="24"/>
        </w:rPr>
        <w:t>1</w:t>
      </w:r>
      <w:r>
        <w:rPr>
          <w:rFonts w:ascii="仿宋_GB2312" w:eastAsia="仿宋_GB2312"/>
          <w:color w:val="000000"/>
          <w:sz w:val="24"/>
          <w:szCs w:val="24"/>
        </w:rPr>
        <w:t>.</w:t>
      </w:r>
      <w:r>
        <w:rPr>
          <w:rFonts w:hint="eastAsia" w:ascii="仿宋_GB2312" w:eastAsia="仿宋_GB2312"/>
          <w:color w:val="000000"/>
          <w:sz w:val="24"/>
          <w:szCs w:val="24"/>
        </w:rPr>
        <w:t>3地质构造与</w:t>
      </w:r>
      <w:r>
        <w:rPr>
          <w:rFonts w:ascii="仿宋_GB2312" w:eastAsia="仿宋_GB2312"/>
          <w:color w:val="000000"/>
          <w:sz w:val="24"/>
          <w:szCs w:val="24"/>
        </w:rPr>
        <w:t>地震</w:t>
      </w:r>
      <w:bookmarkEnd w:id="380"/>
      <w:bookmarkEnd w:id="381"/>
    </w:p>
    <w:p w14:paraId="3D107F88">
      <w:pPr>
        <w:spacing w:line="360" w:lineRule="auto"/>
        <w:ind w:firstLine="480"/>
        <w:rPr>
          <w:rFonts w:hint="eastAsia" w:ascii="宋体" w:hAnsi="宋体"/>
          <w:color w:val="000000"/>
          <w:sz w:val="24"/>
        </w:rPr>
      </w:pPr>
      <w:r>
        <w:rPr>
          <w:rFonts w:hint="eastAsia" w:ascii="宋体" w:hAnsi="宋体"/>
          <w:color w:val="000000"/>
          <w:sz w:val="24"/>
        </w:rPr>
        <w:t>项目所在区属于中硬场地土，Ⅱ类建筑场地，局部地段属中软场地土，Ⅱ类建筑场地，等效剪切波速为250（m/s）－500（m/s），地震烈度为8.0度，地震设计组为第一组，设计基本地震加速度值为0.30g，对II类场地而言，设计特征周期为0.35s。在砾卵石层中，一般夹有地震液化砂土透镜体，经详细勘察分层后，应视其层体的规模来确定处理方案。该区无洞穴、断层、泥石流、滑坡等不良地质现象存在。属对抗震有利地段，平均地耐力达160KPa，适宜建筑。</w:t>
      </w:r>
    </w:p>
    <w:p w14:paraId="1FBB5D26">
      <w:pPr>
        <w:pStyle w:val="183"/>
        <w:ind w:firstLine="472"/>
        <w:rPr>
          <w:rFonts w:ascii="仿宋_GB2312" w:eastAsia="仿宋_GB2312"/>
          <w:color w:val="000000"/>
          <w:sz w:val="24"/>
          <w:szCs w:val="24"/>
        </w:rPr>
      </w:pPr>
      <w:bookmarkStart w:id="382" w:name="_Toc406601019"/>
      <w:bookmarkStart w:id="383" w:name="_Toc495500080"/>
      <w:r>
        <w:rPr>
          <w:rFonts w:hint="eastAsia" w:ascii="仿宋_GB2312" w:eastAsia="仿宋_GB2312"/>
          <w:color w:val="000000"/>
          <w:sz w:val="24"/>
          <w:szCs w:val="24"/>
        </w:rPr>
        <w:t>4.1.4</w:t>
      </w:r>
      <w:r>
        <w:rPr>
          <w:rFonts w:ascii="仿宋_GB2312" w:eastAsia="仿宋_GB2312"/>
          <w:color w:val="000000"/>
          <w:sz w:val="24"/>
          <w:szCs w:val="24"/>
        </w:rPr>
        <w:t>河流、湖泊水系</w:t>
      </w:r>
      <w:bookmarkEnd w:id="382"/>
      <w:bookmarkEnd w:id="383"/>
    </w:p>
    <w:p w14:paraId="697EC454">
      <w:pPr>
        <w:spacing w:line="360" w:lineRule="auto"/>
        <w:ind w:firstLine="512"/>
        <w:rPr>
          <w:rFonts w:hint="eastAsia" w:ascii="宋体" w:hAnsi="宋体"/>
          <w:color w:val="000000"/>
          <w:spacing w:val="8"/>
          <w:sz w:val="24"/>
        </w:rPr>
      </w:pPr>
      <w:r>
        <w:rPr>
          <w:rFonts w:ascii="宋体" w:hAnsi="宋体"/>
          <w:color w:val="000000"/>
          <w:spacing w:val="8"/>
          <w:sz w:val="24"/>
        </w:rPr>
        <w:t>芒市两条主要的河流是龙江和芒市</w:t>
      </w:r>
      <w:r>
        <w:rPr>
          <w:rFonts w:hint="eastAsia" w:ascii="宋体" w:hAnsi="宋体"/>
          <w:color w:val="000000"/>
          <w:spacing w:val="8"/>
          <w:sz w:val="24"/>
        </w:rPr>
        <w:t>大</w:t>
      </w:r>
      <w:r>
        <w:rPr>
          <w:rFonts w:ascii="宋体" w:hAnsi="宋体"/>
          <w:color w:val="000000"/>
          <w:spacing w:val="8"/>
          <w:sz w:val="24"/>
        </w:rPr>
        <w:t>河</w:t>
      </w:r>
      <w:r>
        <w:rPr>
          <w:rFonts w:hint="eastAsia" w:ascii="宋体" w:hAnsi="宋体"/>
          <w:color w:val="000000"/>
          <w:spacing w:val="8"/>
          <w:sz w:val="24"/>
        </w:rPr>
        <w:t>，本项目周边水系为芒市大河。</w:t>
      </w:r>
    </w:p>
    <w:p w14:paraId="19E79E6C">
      <w:pPr>
        <w:spacing w:line="360" w:lineRule="auto"/>
        <w:ind w:firstLine="512"/>
        <w:rPr>
          <w:rFonts w:hint="eastAsia" w:ascii="宋体" w:hAnsi="宋体"/>
          <w:color w:val="000000"/>
          <w:sz w:val="24"/>
        </w:rPr>
      </w:pPr>
      <w:r>
        <w:rPr>
          <w:rFonts w:ascii="宋体" w:hAnsi="宋体"/>
          <w:color w:val="000000"/>
          <w:spacing w:val="8"/>
          <w:sz w:val="24"/>
        </w:rPr>
        <w:t>芒市多年平场总产水量31.8亿立方米，年均地表水量为23.11亿立方米，河流分别属伊洛瓦底江和怒江水系。其中属伊洛瓦底江水</w:t>
      </w:r>
      <w:r>
        <w:rPr>
          <w:rFonts w:hint="eastAsia" w:ascii="宋体" w:hAnsi="宋体"/>
          <w:color w:val="000000"/>
          <w:spacing w:val="8"/>
          <w:sz w:val="24"/>
        </w:rPr>
        <w:t>系</w:t>
      </w:r>
      <w:r>
        <w:rPr>
          <w:rFonts w:ascii="宋体" w:hAnsi="宋体"/>
          <w:color w:val="000000"/>
          <w:spacing w:val="8"/>
          <w:sz w:val="24"/>
        </w:rPr>
        <w:t>河流139条</w:t>
      </w:r>
      <w:r>
        <w:rPr>
          <w:rFonts w:hint="eastAsia" w:ascii="宋体" w:hAnsi="宋体"/>
          <w:color w:val="000000"/>
          <w:spacing w:val="8"/>
          <w:sz w:val="24"/>
        </w:rPr>
        <w:t>，</w:t>
      </w:r>
      <w:r>
        <w:rPr>
          <w:rFonts w:ascii="宋体" w:hAnsi="宋体"/>
          <w:color w:val="000000"/>
          <w:spacing w:val="8"/>
          <w:sz w:val="24"/>
        </w:rPr>
        <w:t>流域面积约2360平方千米，主要河流有龙江、芒市</w:t>
      </w:r>
      <w:r>
        <w:rPr>
          <w:rFonts w:hint="eastAsia" w:ascii="宋体" w:hAnsi="宋体"/>
          <w:color w:val="000000"/>
          <w:spacing w:val="8"/>
          <w:sz w:val="24"/>
        </w:rPr>
        <w:t>大</w:t>
      </w:r>
      <w:r>
        <w:rPr>
          <w:rFonts w:ascii="宋体" w:hAnsi="宋体"/>
          <w:color w:val="000000"/>
          <w:spacing w:val="8"/>
          <w:sz w:val="24"/>
        </w:rPr>
        <w:t>河、二级支流主要有放马桥河、中河、户养河、轩岗河等，属怒江水系有大小河流90多条，流域面积570平方千米，主要支流有：朗油河、即毕河、万马河、清水河等。</w:t>
      </w:r>
      <w:r>
        <w:rPr>
          <w:rFonts w:hint="eastAsia" w:ascii="宋体" w:cs="宋体"/>
          <w:color w:val="000000"/>
          <w:sz w:val="24"/>
          <w:lang w:val="zh-CN"/>
        </w:rPr>
        <w:t>本项目的纳污水体为芒市大河</w:t>
      </w:r>
      <w:r>
        <w:rPr>
          <w:rFonts w:ascii="宋体" w:cs="宋体"/>
          <w:color w:val="000000"/>
          <w:sz w:val="24"/>
          <w:lang w:val="zh-CN"/>
        </w:rPr>
        <w:t>。</w:t>
      </w:r>
    </w:p>
    <w:p w14:paraId="44E70086">
      <w:pPr>
        <w:spacing w:line="360" w:lineRule="auto"/>
        <w:ind w:firstLine="540"/>
        <w:rPr>
          <w:rFonts w:hint="eastAsia" w:ascii="宋体" w:hAnsi="宋体"/>
          <w:color w:val="000000"/>
          <w:sz w:val="24"/>
        </w:rPr>
      </w:pPr>
      <w:r>
        <w:rPr>
          <w:rFonts w:hint="eastAsia" w:ascii="宋体" w:hAnsi="宋体"/>
          <w:color w:val="000000"/>
          <w:sz w:val="24"/>
        </w:rPr>
        <w:t>根据业主提供的芒市地下水资料，项目所在区，水网密布，水资源极其丰富，潜水埋深大于15米，水质优良。一般距自然地平下2.00－4.00米。其中砾卵石等碎石土层为主要含水层，低于芒市大河水面时，水量较大。据临近水质分析资料，该地区的地下水对砼及钢结构均不具有腐蚀性。</w:t>
      </w:r>
      <w:r>
        <w:rPr>
          <w:rFonts w:hint="eastAsia" w:ascii="宋体" w:hAnsi="宋体" w:cs="宋体"/>
          <w:color w:val="000000"/>
          <w:sz w:val="24"/>
        </w:rPr>
        <w:t>项目区域水系见附图4。</w:t>
      </w:r>
    </w:p>
    <w:p w14:paraId="49CC700D">
      <w:pPr>
        <w:pStyle w:val="183"/>
        <w:ind w:firstLine="472"/>
        <w:rPr>
          <w:rFonts w:ascii="仿宋_GB2312" w:eastAsia="仿宋_GB2312"/>
          <w:color w:val="000000"/>
          <w:sz w:val="24"/>
          <w:szCs w:val="24"/>
        </w:rPr>
      </w:pPr>
      <w:bookmarkStart w:id="384" w:name="_Toc495500081"/>
      <w:bookmarkStart w:id="385" w:name="_Toc406601020"/>
      <w:r>
        <w:rPr>
          <w:rFonts w:ascii="仿宋_GB2312" w:eastAsia="仿宋_GB2312"/>
          <w:color w:val="000000"/>
          <w:sz w:val="24"/>
          <w:szCs w:val="24"/>
        </w:rPr>
        <w:t>4.</w:t>
      </w:r>
      <w:r>
        <w:rPr>
          <w:rFonts w:hint="eastAsia" w:ascii="仿宋_GB2312" w:eastAsia="仿宋_GB2312"/>
          <w:color w:val="000000"/>
          <w:sz w:val="24"/>
          <w:szCs w:val="24"/>
        </w:rPr>
        <w:t>1</w:t>
      </w:r>
      <w:r>
        <w:rPr>
          <w:rFonts w:ascii="仿宋_GB2312" w:eastAsia="仿宋_GB2312"/>
          <w:color w:val="000000"/>
          <w:sz w:val="24"/>
          <w:szCs w:val="24"/>
        </w:rPr>
        <w:t>.</w:t>
      </w:r>
      <w:r>
        <w:rPr>
          <w:rFonts w:hint="eastAsia" w:ascii="仿宋_GB2312" w:eastAsia="仿宋_GB2312"/>
          <w:color w:val="000000"/>
          <w:sz w:val="24"/>
          <w:szCs w:val="24"/>
        </w:rPr>
        <w:t>5</w:t>
      </w:r>
      <w:r>
        <w:rPr>
          <w:rFonts w:ascii="仿宋_GB2312" w:eastAsia="仿宋_GB2312"/>
          <w:color w:val="000000"/>
          <w:sz w:val="24"/>
          <w:szCs w:val="24"/>
        </w:rPr>
        <w:t>气候、气象</w:t>
      </w:r>
      <w:bookmarkEnd w:id="384"/>
      <w:bookmarkEnd w:id="385"/>
    </w:p>
    <w:p w14:paraId="6C9C30D5">
      <w:pPr>
        <w:spacing w:line="360" w:lineRule="auto"/>
        <w:ind w:firstLine="480"/>
        <w:rPr>
          <w:rFonts w:hint="eastAsia" w:ascii="宋体" w:hAnsi="宋体"/>
          <w:color w:val="000000"/>
          <w:spacing w:val="8"/>
          <w:sz w:val="24"/>
        </w:rPr>
      </w:pPr>
      <w:r>
        <w:rPr>
          <w:rFonts w:hint="eastAsia" w:ascii="宋体" w:hAnsi="宋体"/>
          <w:color w:val="000000"/>
          <w:sz w:val="24"/>
        </w:rPr>
        <w:t>芒市地处低纬高原，太阳高度角大，太阳辐射较强，热量丰富；又由于南濒海洋，受南亚季风影响，夏季水气丰沛，湿润多雨，而冬季受西方干暖气团影响，温暖少雨，干雨季分明，主体属南亚热带季风气候。芒市历年平均气温</w:t>
      </w:r>
      <w:r>
        <w:rPr>
          <w:rFonts w:ascii="宋体" w:hAnsi="宋体"/>
          <w:color w:val="000000"/>
          <w:sz w:val="24"/>
        </w:rPr>
        <w:t>19.5</w:t>
      </w:r>
      <w:r>
        <w:rPr>
          <w:rFonts w:hint="eastAsia" w:ascii="宋体" w:hAnsi="宋体"/>
          <w:color w:val="000000"/>
          <w:sz w:val="24"/>
        </w:rPr>
        <w:t>摄氏度，历年极端最高气温</w:t>
      </w:r>
      <w:r>
        <w:rPr>
          <w:rFonts w:ascii="宋体" w:hAnsi="宋体"/>
          <w:color w:val="000000"/>
          <w:sz w:val="24"/>
        </w:rPr>
        <w:t>36.2</w:t>
      </w:r>
      <w:r>
        <w:rPr>
          <w:rFonts w:hint="eastAsia" w:ascii="宋体" w:hAnsi="宋体"/>
          <w:color w:val="000000"/>
          <w:sz w:val="24"/>
        </w:rPr>
        <w:t>摄氏度，极端最低气温</w:t>
      </w:r>
      <w:r>
        <w:rPr>
          <w:rFonts w:ascii="宋体" w:hAnsi="宋体"/>
          <w:color w:val="000000"/>
          <w:sz w:val="24"/>
        </w:rPr>
        <w:t>-0.6</w:t>
      </w:r>
      <w:r>
        <w:rPr>
          <w:rFonts w:hint="eastAsia" w:ascii="宋体" w:hAnsi="宋体"/>
          <w:color w:val="000000"/>
          <w:sz w:val="24"/>
        </w:rPr>
        <w:t>摄氏度；历年平均相对湿度</w:t>
      </w:r>
      <w:r>
        <w:rPr>
          <w:rFonts w:ascii="宋体" w:hAnsi="宋体"/>
          <w:color w:val="000000"/>
          <w:sz w:val="24"/>
        </w:rPr>
        <w:t>79%</w:t>
      </w:r>
      <w:r>
        <w:rPr>
          <w:rFonts w:hint="eastAsia" w:ascii="宋体" w:hAnsi="宋体"/>
          <w:color w:val="000000"/>
          <w:sz w:val="24"/>
        </w:rPr>
        <w:t>；历年平均降雨量</w:t>
      </w:r>
      <w:r>
        <w:rPr>
          <w:rFonts w:ascii="宋体" w:hAnsi="宋体"/>
          <w:color w:val="000000"/>
          <w:sz w:val="24"/>
        </w:rPr>
        <w:t>1626.1</w:t>
      </w:r>
      <w:r>
        <w:rPr>
          <w:rFonts w:hint="eastAsia" w:ascii="宋体" w:hAnsi="宋体"/>
          <w:color w:val="000000"/>
          <w:sz w:val="24"/>
        </w:rPr>
        <w:t>毫米，年最大降雨量</w:t>
      </w:r>
      <w:r>
        <w:rPr>
          <w:rFonts w:ascii="宋体" w:hAnsi="宋体"/>
          <w:color w:val="000000"/>
          <w:sz w:val="24"/>
        </w:rPr>
        <w:t>1959.8</w:t>
      </w:r>
      <w:r>
        <w:rPr>
          <w:rFonts w:hint="eastAsia" w:ascii="宋体" w:hAnsi="宋体"/>
          <w:color w:val="000000"/>
          <w:sz w:val="24"/>
        </w:rPr>
        <w:t>毫米，年最小降雨</w:t>
      </w:r>
      <w:r>
        <w:rPr>
          <w:rFonts w:ascii="宋体" w:hAnsi="宋体"/>
          <w:color w:val="000000"/>
          <w:sz w:val="24"/>
        </w:rPr>
        <w:t>1309.7</w:t>
      </w:r>
      <w:r>
        <w:rPr>
          <w:rFonts w:hint="eastAsia" w:ascii="宋体" w:hAnsi="宋体"/>
          <w:color w:val="000000"/>
          <w:sz w:val="24"/>
        </w:rPr>
        <w:t>毫米；历年平均日照</w:t>
      </w:r>
      <w:r>
        <w:rPr>
          <w:rFonts w:ascii="宋体" w:hAnsi="宋体"/>
          <w:color w:val="000000"/>
          <w:sz w:val="24"/>
        </w:rPr>
        <w:t>2352.3</w:t>
      </w:r>
      <w:r>
        <w:rPr>
          <w:rFonts w:hint="eastAsia" w:ascii="宋体" w:hAnsi="宋体"/>
          <w:color w:val="000000"/>
          <w:sz w:val="24"/>
        </w:rPr>
        <w:t>小时，年最大日照</w:t>
      </w:r>
      <w:r>
        <w:rPr>
          <w:rFonts w:ascii="宋体" w:hAnsi="宋体"/>
          <w:color w:val="000000"/>
          <w:sz w:val="24"/>
        </w:rPr>
        <w:t>2713.3</w:t>
      </w:r>
      <w:r>
        <w:rPr>
          <w:rFonts w:hint="eastAsia" w:ascii="宋体" w:hAnsi="宋体"/>
          <w:color w:val="000000"/>
          <w:sz w:val="24"/>
        </w:rPr>
        <w:t>小时，年最小日照</w:t>
      </w:r>
      <w:r>
        <w:rPr>
          <w:rFonts w:ascii="宋体" w:hAnsi="宋体"/>
          <w:color w:val="000000"/>
          <w:sz w:val="24"/>
        </w:rPr>
        <w:t>1834.9</w:t>
      </w:r>
      <w:r>
        <w:rPr>
          <w:rFonts w:hint="eastAsia" w:ascii="宋体" w:hAnsi="宋体"/>
          <w:color w:val="000000"/>
          <w:sz w:val="24"/>
        </w:rPr>
        <w:t>小时；历年平均有霜期</w:t>
      </w:r>
      <w:r>
        <w:rPr>
          <w:rFonts w:ascii="宋体" w:hAnsi="宋体"/>
          <w:color w:val="000000"/>
          <w:sz w:val="24"/>
        </w:rPr>
        <w:t>19</w:t>
      </w:r>
      <w:r>
        <w:rPr>
          <w:rFonts w:hint="eastAsia" w:ascii="宋体" w:hAnsi="宋体"/>
          <w:color w:val="000000"/>
          <w:sz w:val="24"/>
        </w:rPr>
        <w:t>天，年最大有霜期54天，年最小有霜期</w:t>
      </w:r>
      <w:r>
        <w:rPr>
          <w:rFonts w:ascii="宋体" w:hAnsi="宋体"/>
          <w:color w:val="000000"/>
          <w:sz w:val="24"/>
        </w:rPr>
        <w:t>2</w:t>
      </w:r>
      <w:r>
        <w:rPr>
          <w:rFonts w:hint="eastAsia" w:ascii="宋体" w:hAnsi="宋体"/>
          <w:color w:val="000000"/>
          <w:sz w:val="24"/>
        </w:rPr>
        <w:t>天</w:t>
      </w:r>
      <w:r>
        <w:rPr>
          <w:rFonts w:hint="eastAsia"/>
          <w:color w:val="000000"/>
          <w:sz w:val="24"/>
        </w:rPr>
        <w:t>。</w:t>
      </w:r>
    </w:p>
    <w:p w14:paraId="6DA67980">
      <w:pPr>
        <w:pStyle w:val="183"/>
        <w:ind w:firstLine="472"/>
        <w:rPr>
          <w:rFonts w:cs="宋体"/>
          <w:color w:val="000000"/>
          <w:sz w:val="24"/>
        </w:rPr>
      </w:pPr>
      <w:bookmarkStart w:id="386" w:name="_Toc495500082"/>
      <w:r>
        <w:rPr>
          <w:rFonts w:eastAsia="仿宋_GB2312"/>
          <w:color w:val="000000"/>
          <w:sz w:val="24"/>
          <w:szCs w:val="24"/>
        </w:rPr>
        <w:t>4.1.</w:t>
      </w:r>
      <w:r>
        <w:rPr>
          <w:rFonts w:hint="eastAsia" w:eastAsia="仿宋_GB2312"/>
          <w:color w:val="000000"/>
          <w:sz w:val="24"/>
          <w:szCs w:val="24"/>
        </w:rPr>
        <w:t>6</w:t>
      </w:r>
      <w:r>
        <w:rPr>
          <w:rFonts w:eastAsia="仿宋_GB2312"/>
          <w:color w:val="000000"/>
          <w:sz w:val="24"/>
          <w:szCs w:val="24"/>
        </w:rPr>
        <w:t>土壤</w:t>
      </w:r>
      <w:bookmarkEnd w:id="386"/>
    </w:p>
    <w:p w14:paraId="31819DC5">
      <w:pPr>
        <w:spacing w:line="360" w:lineRule="auto"/>
        <w:ind w:firstLine="480"/>
        <w:rPr>
          <w:rFonts w:hint="eastAsia" w:ascii="宋体" w:hAnsi="宋体"/>
          <w:color w:val="000000"/>
          <w:spacing w:val="8"/>
          <w:sz w:val="24"/>
        </w:rPr>
      </w:pPr>
      <w:r>
        <w:rPr>
          <w:rFonts w:hint="eastAsia" w:ascii="宋体" w:hAnsi="宋体"/>
          <w:color w:val="000000"/>
          <w:spacing w:val="8"/>
          <w:sz w:val="24"/>
        </w:rPr>
        <w:t>芒市</w:t>
      </w:r>
      <w:r>
        <w:rPr>
          <w:rFonts w:ascii="宋体" w:hAnsi="宋体"/>
          <w:color w:val="000000"/>
          <w:spacing w:val="8"/>
          <w:sz w:val="24"/>
        </w:rPr>
        <w:t>土壤受纬度、海拔高度及特殊气候条件的影响，具有种类多，分布复杂的特点</w:t>
      </w:r>
      <w:r>
        <w:rPr>
          <w:rFonts w:hint="eastAsia" w:ascii="宋体" w:hAnsi="宋体"/>
          <w:color w:val="000000"/>
          <w:spacing w:val="8"/>
          <w:sz w:val="24"/>
        </w:rPr>
        <w:t>。项目所在区遮放镇土壤多为黏性土壤。</w:t>
      </w:r>
    </w:p>
    <w:p w14:paraId="6B34A878">
      <w:pPr>
        <w:pStyle w:val="183"/>
        <w:ind w:firstLine="472"/>
        <w:rPr>
          <w:rFonts w:hint="eastAsia" w:ascii="仿宋_GB2312" w:eastAsia="仿宋_GB2312"/>
          <w:color w:val="000000"/>
          <w:sz w:val="24"/>
          <w:szCs w:val="24"/>
        </w:rPr>
      </w:pPr>
      <w:bookmarkStart w:id="387" w:name="_Toc495500083"/>
      <w:bookmarkStart w:id="388" w:name="_Toc406601022"/>
      <w:r>
        <w:rPr>
          <w:rFonts w:ascii="仿宋_GB2312" w:eastAsia="仿宋_GB2312"/>
          <w:color w:val="000000"/>
          <w:sz w:val="24"/>
          <w:szCs w:val="24"/>
        </w:rPr>
        <w:t>4.</w:t>
      </w:r>
      <w:r>
        <w:rPr>
          <w:rFonts w:hint="eastAsia" w:ascii="仿宋_GB2312" w:eastAsia="仿宋_GB2312"/>
          <w:color w:val="000000"/>
          <w:sz w:val="24"/>
          <w:szCs w:val="24"/>
        </w:rPr>
        <w:t>1</w:t>
      </w:r>
      <w:r>
        <w:rPr>
          <w:rFonts w:ascii="仿宋_GB2312" w:eastAsia="仿宋_GB2312"/>
          <w:color w:val="000000"/>
          <w:sz w:val="24"/>
          <w:szCs w:val="24"/>
        </w:rPr>
        <w:t>.</w:t>
      </w:r>
      <w:r>
        <w:rPr>
          <w:rFonts w:hint="eastAsia" w:ascii="仿宋_GB2312" w:eastAsia="仿宋_GB2312"/>
          <w:color w:val="000000"/>
          <w:sz w:val="24"/>
          <w:szCs w:val="24"/>
        </w:rPr>
        <w:t>7</w:t>
      </w:r>
      <w:r>
        <w:rPr>
          <w:rFonts w:ascii="仿宋_GB2312" w:eastAsia="仿宋_GB2312"/>
          <w:color w:val="000000"/>
          <w:sz w:val="24"/>
          <w:szCs w:val="24"/>
        </w:rPr>
        <w:t xml:space="preserve"> </w:t>
      </w:r>
      <w:r>
        <w:rPr>
          <w:rFonts w:hint="eastAsia" w:ascii="仿宋_GB2312" w:eastAsia="仿宋_GB2312"/>
          <w:color w:val="000000"/>
          <w:sz w:val="24"/>
          <w:szCs w:val="24"/>
        </w:rPr>
        <w:t>植被</w:t>
      </w:r>
      <w:bookmarkEnd w:id="387"/>
      <w:bookmarkEnd w:id="388"/>
    </w:p>
    <w:p w14:paraId="06974855">
      <w:pPr>
        <w:spacing w:line="360" w:lineRule="auto"/>
        <w:ind w:firstLine="512"/>
        <w:rPr>
          <w:rFonts w:hint="eastAsia" w:ascii="宋体" w:hAnsi="宋体"/>
          <w:color w:val="000000"/>
          <w:spacing w:val="8"/>
          <w:sz w:val="24"/>
        </w:rPr>
      </w:pPr>
      <w:r>
        <w:rPr>
          <w:rFonts w:hint="eastAsia" w:ascii="宋体" w:hAnsi="宋体"/>
          <w:color w:val="000000"/>
          <w:spacing w:val="8"/>
          <w:sz w:val="24"/>
        </w:rPr>
        <w:t>据芒市林业局资料：芒</w:t>
      </w:r>
      <w:r>
        <w:rPr>
          <w:rFonts w:ascii="宋体" w:hAnsi="宋体"/>
          <w:color w:val="000000"/>
          <w:spacing w:val="8"/>
          <w:sz w:val="24"/>
        </w:rPr>
        <w:t>市</w:t>
      </w:r>
      <w:r>
        <w:rPr>
          <w:rFonts w:ascii="宋体" w:hAnsi="宋体"/>
          <w:color w:val="000000"/>
          <w:spacing w:val="8"/>
          <w:sz w:val="24"/>
        </w:rPr>
        <w:fldChar w:fldCharType="begin"/>
      </w:r>
      <w:r>
        <w:rPr>
          <w:rFonts w:ascii="宋体" w:hAnsi="宋体"/>
          <w:color w:val="000000"/>
          <w:spacing w:val="8"/>
          <w:sz w:val="24"/>
        </w:rPr>
        <w:instrText xml:space="preserve"> HYPERLINK "http://baike.baidu.com/view/1195703.htm" \t "_blank" </w:instrText>
      </w:r>
      <w:r>
        <w:rPr>
          <w:rFonts w:ascii="宋体" w:hAnsi="宋体"/>
          <w:color w:val="000000"/>
          <w:spacing w:val="8"/>
          <w:sz w:val="24"/>
        </w:rPr>
        <w:fldChar w:fldCharType="separate"/>
      </w:r>
      <w:r>
        <w:rPr>
          <w:rFonts w:ascii="宋体" w:hAnsi="宋体"/>
          <w:color w:val="000000"/>
          <w:sz w:val="24"/>
        </w:rPr>
        <w:t>林业用地面积</w:t>
      </w:r>
      <w:r>
        <w:rPr>
          <w:rFonts w:ascii="宋体" w:hAnsi="宋体"/>
          <w:color w:val="000000"/>
          <w:spacing w:val="8"/>
          <w:sz w:val="24"/>
        </w:rPr>
        <w:fldChar w:fldCharType="end"/>
      </w:r>
      <w:r>
        <w:rPr>
          <w:rFonts w:ascii="宋体" w:hAnsi="宋体"/>
          <w:color w:val="000000"/>
          <w:spacing w:val="8"/>
          <w:sz w:val="24"/>
        </w:rPr>
        <w:t>211300公顷，其中：有林地172700公顷，蔬林地1800公顷，灌木林地920公顷，未成林造林地6500公顷，</w:t>
      </w:r>
      <w:r>
        <w:rPr>
          <w:rFonts w:ascii="宋体" w:hAnsi="宋体"/>
          <w:color w:val="000000"/>
          <w:spacing w:val="8"/>
          <w:sz w:val="24"/>
        </w:rPr>
        <w:fldChar w:fldCharType="begin"/>
      </w:r>
      <w:r>
        <w:rPr>
          <w:rFonts w:ascii="宋体" w:hAnsi="宋体"/>
          <w:color w:val="000000"/>
          <w:spacing w:val="8"/>
          <w:sz w:val="24"/>
        </w:rPr>
        <w:instrText xml:space="preserve"> HYPERLINK "http://baike.baidu.com/view/3628387.htm" \t "_blank" </w:instrText>
      </w:r>
      <w:r>
        <w:rPr>
          <w:rFonts w:ascii="宋体" w:hAnsi="宋体"/>
          <w:color w:val="000000"/>
          <w:spacing w:val="8"/>
          <w:sz w:val="24"/>
        </w:rPr>
        <w:fldChar w:fldCharType="separate"/>
      </w:r>
      <w:r>
        <w:rPr>
          <w:rFonts w:ascii="宋体" w:hAnsi="宋体"/>
          <w:color w:val="000000"/>
          <w:sz w:val="24"/>
        </w:rPr>
        <w:t>无立木林地</w:t>
      </w:r>
      <w:r>
        <w:rPr>
          <w:rFonts w:ascii="宋体" w:hAnsi="宋体"/>
          <w:color w:val="000000"/>
          <w:spacing w:val="8"/>
          <w:sz w:val="24"/>
        </w:rPr>
        <w:fldChar w:fldCharType="end"/>
      </w:r>
      <w:r>
        <w:rPr>
          <w:rFonts w:ascii="宋体" w:hAnsi="宋体"/>
          <w:color w:val="000000"/>
          <w:spacing w:val="8"/>
          <w:sz w:val="24"/>
        </w:rPr>
        <w:t>1900公顷，宜林荒山荒地1920公顷，森林覆盖率61.2%。活立木总蓄1707.07万立方米（不包括经济林橡胶），其中：有林地蓄积1600.2万立方米，蔬林地蓄积3.7万立方米，散生木蓄积84.44万立方米，四旁树蓄积18.41万立方米。市境内有高等植物257科，2564种，主要优势树种为思茅松、</w:t>
      </w:r>
      <w:r>
        <w:rPr>
          <w:rFonts w:ascii="宋体" w:hAnsi="宋体"/>
          <w:color w:val="000000"/>
          <w:spacing w:val="8"/>
          <w:sz w:val="24"/>
        </w:rPr>
        <w:fldChar w:fldCharType="begin"/>
      </w:r>
      <w:r>
        <w:rPr>
          <w:rFonts w:ascii="宋体" w:hAnsi="宋体"/>
          <w:color w:val="000000"/>
          <w:spacing w:val="8"/>
          <w:sz w:val="24"/>
        </w:rPr>
        <w:instrText xml:space="preserve"> HYPERLINK "http://baike.baidu.com/view/1020351.htm" \t "_blank" </w:instrText>
      </w:r>
      <w:r>
        <w:rPr>
          <w:rFonts w:ascii="宋体" w:hAnsi="宋体"/>
          <w:color w:val="000000"/>
          <w:spacing w:val="8"/>
          <w:sz w:val="24"/>
        </w:rPr>
        <w:fldChar w:fldCharType="separate"/>
      </w:r>
      <w:r>
        <w:rPr>
          <w:rFonts w:ascii="宋体" w:hAnsi="宋体"/>
          <w:color w:val="000000"/>
          <w:sz w:val="24"/>
        </w:rPr>
        <w:t>西南桦</w:t>
      </w:r>
      <w:r>
        <w:rPr>
          <w:rFonts w:ascii="宋体" w:hAnsi="宋体"/>
          <w:color w:val="000000"/>
          <w:spacing w:val="8"/>
          <w:sz w:val="24"/>
        </w:rPr>
        <w:fldChar w:fldCharType="end"/>
      </w:r>
      <w:r>
        <w:rPr>
          <w:rFonts w:ascii="宋体" w:hAnsi="宋体"/>
          <w:color w:val="000000"/>
          <w:spacing w:val="8"/>
          <w:sz w:val="24"/>
        </w:rPr>
        <w:t>、旱冬瓜、木荷、栎类。</w:t>
      </w:r>
    </w:p>
    <w:p w14:paraId="7305B2ED">
      <w:pPr>
        <w:spacing w:line="360" w:lineRule="auto"/>
        <w:ind w:firstLine="512"/>
        <w:rPr>
          <w:rFonts w:ascii="宋体" w:hAnsi="宋体"/>
          <w:color w:val="000000"/>
          <w:spacing w:val="8"/>
          <w:sz w:val="24"/>
        </w:rPr>
      </w:pPr>
      <w:r>
        <w:rPr>
          <w:rFonts w:hint="eastAsia" w:ascii="宋体" w:hAnsi="宋体"/>
          <w:color w:val="000000"/>
          <w:spacing w:val="8"/>
          <w:sz w:val="24"/>
        </w:rPr>
        <w:t>芒市</w:t>
      </w:r>
      <w:r>
        <w:rPr>
          <w:rFonts w:ascii="宋体" w:hAnsi="宋体"/>
          <w:color w:val="000000"/>
          <w:spacing w:val="8"/>
          <w:sz w:val="24"/>
        </w:rPr>
        <w:t>地处</w:t>
      </w:r>
      <w:r>
        <w:rPr>
          <w:rFonts w:ascii="宋体" w:hAnsi="宋体"/>
          <w:color w:val="000000"/>
          <w:spacing w:val="8"/>
          <w:sz w:val="24"/>
        </w:rPr>
        <w:fldChar w:fldCharType="begin"/>
      </w:r>
      <w:r>
        <w:rPr>
          <w:rFonts w:ascii="宋体" w:hAnsi="宋体"/>
          <w:color w:val="000000"/>
          <w:spacing w:val="8"/>
          <w:sz w:val="24"/>
        </w:rPr>
        <w:instrText xml:space="preserve"> HYPERLINK "http://baike.baidu.com/view/4445232.htm" \t "_blank" </w:instrText>
      </w:r>
      <w:r>
        <w:rPr>
          <w:rFonts w:ascii="宋体" w:hAnsi="宋体"/>
          <w:color w:val="000000"/>
          <w:spacing w:val="8"/>
          <w:sz w:val="24"/>
        </w:rPr>
        <w:fldChar w:fldCharType="separate"/>
      </w:r>
      <w:r>
        <w:rPr>
          <w:rFonts w:ascii="宋体" w:hAnsi="宋体"/>
          <w:color w:val="000000"/>
          <w:spacing w:val="8"/>
          <w:sz w:val="24"/>
        </w:rPr>
        <w:t>亚热带地区</w:t>
      </w:r>
      <w:r>
        <w:rPr>
          <w:rFonts w:ascii="宋体" w:hAnsi="宋体"/>
          <w:color w:val="000000"/>
          <w:spacing w:val="8"/>
          <w:sz w:val="24"/>
        </w:rPr>
        <w:fldChar w:fldCharType="end"/>
      </w:r>
      <w:r>
        <w:rPr>
          <w:rFonts w:ascii="宋体" w:hAnsi="宋体"/>
          <w:color w:val="000000"/>
          <w:spacing w:val="8"/>
          <w:sz w:val="24"/>
        </w:rPr>
        <w:t>，终年丰富的热量和充沛的降雨量形成了复杂的植被类型。据1999年高等植物调查统计，全市高等植物257科，2564种。属国家级重点保护植物39种，其中国家Ⅰ级保护植物4种，国家Ⅱ级保护植物17种，国家Ⅲ级保护植物18种。主要是：南方红豆杉、银杏、</w:t>
      </w:r>
      <w:r>
        <w:rPr>
          <w:rFonts w:ascii="宋体" w:hAnsi="宋体"/>
          <w:color w:val="000000"/>
          <w:spacing w:val="8"/>
          <w:sz w:val="24"/>
        </w:rPr>
        <w:fldChar w:fldCharType="begin"/>
      </w:r>
      <w:r>
        <w:rPr>
          <w:rFonts w:ascii="宋体" w:hAnsi="宋体"/>
          <w:color w:val="000000"/>
          <w:spacing w:val="8"/>
          <w:sz w:val="24"/>
        </w:rPr>
        <w:instrText xml:space="preserve"> HYPERLINK "http://baike.baidu.com/view/7242.htm" \t "_blank" </w:instrText>
      </w:r>
      <w:r>
        <w:rPr>
          <w:rFonts w:ascii="宋体" w:hAnsi="宋体"/>
          <w:color w:val="000000"/>
          <w:spacing w:val="8"/>
          <w:sz w:val="24"/>
        </w:rPr>
        <w:fldChar w:fldCharType="separate"/>
      </w:r>
      <w:r>
        <w:rPr>
          <w:rFonts w:ascii="宋体" w:hAnsi="宋体"/>
          <w:color w:val="000000"/>
          <w:spacing w:val="8"/>
          <w:sz w:val="24"/>
        </w:rPr>
        <w:t>云南</w:t>
      </w:r>
      <w:r>
        <w:rPr>
          <w:rFonts w:ascii="宋体" w:hAnsi="宋体"/>
          <w:color w:val="000000"/>
          <w:spacing w:val="8"/>
          <w:sz w:val="24"/>
        </w:rPr>
        <w:fldChar w:fldCharType="end"/>
      </w:r>
      <w:r>
        <w:rPr>
          <w:rFonts w:ascii="宋体" w:hAnsi="宋体"/>
          <w:color w:val="000000"/>
          <w:spacing w:val="8"/>
          <w:sz w:val="24"/>
        </w:rPr>
        <w:t>苏铁、长蕊</w:t>
      </w:r>
      <w:r>
        <w:rPr>
          <w:rFonts w:ascii="宋体" w:hAnsi="宋体"/>
          <w:color w:val="000000"/>
          <w:spacing w:val="8"/>
          <w:sz w:val="24"/>
        </w:rPr>
        <w:fldChar w:fldCharType="begin"/>
      </w:r>
      <w:r>
        <w:rPr>
          <w:rFonts w:ascii="宋体" w:hAnsi="宋体"/>
          <w:color w:val="000000"/>
          <w:spacing w:val="8"/>
          <w:sz w:val="24"/>
        </w:rPr>
        <w:instrText xml:space="preserve"> HYPERLINK "http://baike.baidu.com/view/21477.htm" \t "_blank" </w:instrText>
      </w:r>
      <w:r>
        <w:rPr>
          <w:rFonts w:ascii="宋体" w:hAnsi="宋体"/>
          <w:color w:val="000000"/>
          <w:spacing w:val="8"/>
          <w:sz w:val="24"/>
        </w:rPr>
        <w:fldChar w:fldCharType="separate"/>
      </w:r>
      <w:r>
        <w:rPr>
          <w:rFonts w:ascii="宋体" w:hAnsi="宋体"/>
          <w:color w:val="000000"/>
          <w:spacing w:val="8"/>
          <w:sz w:val="24"/>
        </w:rPr>
        <w:t>木兰</w:t>
      </w:r>
      <w:r>
        <w:rPr>
          <w:rFonts w:ascii="宋体" w:hAnsi="宋体"/>
          <w:color w:val="000000"/>
          <w:spacing w:val="8"/>
          <w:sz w:val="24"/>
        </w:rPr>
        <w:fldChar w:fldCharType="end"/>
      </w:r>
      <w:r>
        <w:rPr>
          <w:rFonts w:ascii="宋体" w:hAnsi="宋体"/>
          <w:color w:val="000000"/>
          <w:spacing w:val="8"/>
          <w:sz w:val="24"/>
        </w:rPr>
        <w:t>、水青树、</w:t>
      </w:r>
      <w:r>
        <w:rPr>
          <w:rFonts w:ascii="宋体" w:hAnsi="宋体"/>
          <w:color w:val="000000"/>
          <w:spacing w:val="8"/>
          <w:sz w:val="24"/>
        </w:rPr>
        <w:fldChar w:fldCharType="begin"/>
      </w:r>
      <w:r>
        <w:rPr>
          <w:rFonts w:ascii="宋体" w:hAnsi="宋体"/>
          <w:color w:val="000000"/>
          <w:spacing w:val="8"/>
          <w:sz w:val="24"/>
        </w:rPr>
        <w:instrText xml:space="preserve"> HYPERLINK "http://baike.baidu.com/view/133677.htm" \t "_blank" </w:instrText>
      </w:r>
      <w:r>
        <w:rPr>
          <w:rFonts w:ascii="宋体" w:hAnsi="宋体"/>
          <w:color w:val="000000"/>
          <w:spacing w:val="8"/>
          <w:sz w:val="24"/>
        </w:rPr>
        <w:fldChar w:fldCharType="separate"/>
      </w:r>
      <w:r>
        <w:rPr>
          <w:rFonts w:ascii="宋体" w:hAnsi="宋体"/>
          <w:color w:val="000000"/>
          <w:spacing w:val="8"/>
          <w:sz w:val="24"/>
        </w:rPr>
        <w:t>云南石梓</w:t>
      </w:r>
      <w:r>
        <w:rPr>
          <w:rFonts w:ascii="宋体" w:hAnsi="宋体"/>
          <w:color w:val="000000"/>
          <w:spacing w:val="8"/>
          <w:sz w:val="24"/>
        </w:rPr>
        <w:fldChar w:fldCharType="end"/>
      </w:r>
      <w:r>
        <w:rPr>
          <w:rFonts w:ascii="宋体" w:hAnsi="宋体"/>
          <w:color w:val="000000"/>
          <w:spacing w:val="8"/>
          <w:sz w:val="24"/>
        </w:rPr>
        <w:t>、荔枝、杜仲、红椿、桫椤、滇桐、云南梧桐、云南樟、</w:t>
      </w:r>
      <w:r>
        <w:rPr>
          <w:rFonts w:ascii="宋体" w:hAnsi="宋体"/>
          <w:color w:val="000000"/>
          <w:spacing w:val="8"/>
          <w:sz w:val="24"/>
        </w:rPr>
        <w:fldChar w:fldCharType="begin"/>
      </w:r>
      <w:r>
        <w:rPr>
          <w:rFonts w:ascii="宋体" w:hAnsi="宋体"/>
          <w:color w:val="000000"/>
          <w:spacing w:val="8"/>
          <w:sz w:val="24"/>
        </w:rPr>
        <w:instrText xml:space="preserve"> HYPERLINK "http://baike.baidu.com/view/20535.htm" \t "_blank" </w:instrText>
      </w:r>
      <w:r>
        <w:rPr>
          <w:rFonts w:ascii="宋体" w:hAnsi="宋体"/>
          <w:color w:val="000000"/>
          <w:spacing w:val="8"/>
          <w:sz w:val="24"/>
        </w:rPr>
        <w:fldChar w:fldCharType="separate"/>
      </w:r>
      <w:r>
        <w:rPr>
          <w:rFonts w:ascii="宋体" w:hAnsi="宋体"/>
          <w:color w:val="000000"/>
          <w:spacing w:val="8"/>
          <w:sz w:val="24"/>
        </w:rPr>
        <w:t>铁力木</w:t>
      </w:r>
      <w:r>
        <w:rPr>
          <w:rFonts w:ascii="宋体" w:hAnsi="宋体"/>
          <w:color w:val="000000"/>
          <w:spacing w:val="8"/>
          <w:sz w:val="24"/>
        </w:rPr>
        <w:fldChar w:fldCharType="end"/>
      </w:r>
      <w:r>
        <w:rPr>
          <w:rFonts w:ascii="宋体" w:hAnsi="宋体"/>
          <w:color w:val="000000"/>
          <w:spacing w:val="8"/>
          <w:sz w:val="24"/>
        </w:rPr>
        <w:t>、合果木、董棕、普洱茶、金毛狗、翠柏、</w:t>
      </w:r>
      <w:r>
        <w:rPr>
          <w:rFonts w:ascii="宋体" w:hAnsi="宋体"/>
          <w:color w:val="000000"/>
          <w:spacing w:val="8"/>
          <w:sz w:val="24"/>
        </w:rPr>
        <w:fldChar w:fldCharType="begin"/>
      </w:r>
      <w:r>
        <w:rPr>
          <w:rFonts w:ascii="宋体" w:hAnsi="宋体"/>
          <w:color w:val="000000"/>
          <w:spacing w:val="8"/>
          <w:sz w:val="24"/>
        </w:rPr>
        <w:instrText xml:space="preserve"> HYPERLINK "http://baike.baidu.com/view/127004.htm" \t "_blank" </w:instrText>
      </w:r>
      <w:r>
        <w:rPr>
          <w:rFonts w:ascii="宋体" w:hAnsi="宋体"/>
          <w:color w:val="000000"/>
          <w:spacing w:val="8"/>
          <w:sz w:val="24"/>
        </w:rPr>
        <w:fldChar w:fldCharType="separate"/>
      </w:r>
      <w:r>
        <w:rPr>
          <w:rFonts w:ascii="宋体" w:hAnsi="宋体"/>
          <w:color w:val="000000"/>
          <w:spacing w:val="8"/>
          <w:sz w:val="24"/>
        </w:rPr>
        <w:t>云南拟单性木兰</w:t>
      </w:r>
      <w:r>
        <w:rPr>
          <w:rFonts w:ascii="宋体" w:hAnsi="宋体"/>
          <w:color w:val="000000"/>
          <w:spacing w:val="8"/>
          <w:sz w:val="24"/>
        </w:rPr>
        <w:fldChar w:fldCharType="end"/>
      </w:r>
      <w:r>
        <w:rPr>
          <w:rFonts w:ascii="宋体" w:hAnsi="宋体"/>
          <w:color w:val="000000"/>
          <w:spacing w:val="8"/>
          <w:sz w:val="24"/>
        </w:rPr>
        <w:t>、干果榄仁、</w:t>
      </w:r>
      <w:r>
        <w:rPr>
          <w:rFonts w:ascii="宋体" w:hAnsi="宋体"/>
          <w:color w:val="000000"/>
          <w:spacing w:val="8"/>
          <w:sz w:val="24"/>
        </w:rPr>
        <w:fldChar w:fldCharType="begin"/>
      </w:r>
      <w:r>
        <w:rPr>
          <w:rFonts w:ascii="宋体" w:hAnsi="宋体"/>
          <w:color w:val="000000"/>
          <w:spacing w:val="8"/>
          <w:sz w:val="24"/>
        </w:rPr>
        <w:instrText xml:space="preserve"> HYPERLINK "http://baike.baidu.com/view/140501.htm" \t "_blank" </w:instrText>
      </w:r>
      <w:r>
        <w:rPr>
          <w:rFonts w:ascii="宋体" w:hAnsi="宋体"/>
          <w:color w:val="000000"/>
          <w:spacing w:val="8"/>
          <w:sz w:val="24"/>
        </w:rPr>
        <w:fldChar w:fldCharType="separate"/>
      </w:r>
      <w:r>
        <w:rPr>
          <w:rFonts w:ascii="宋体" w:hAnsi="宋体"/>
          <w:color w:val="000000"/>
          <w:spacing w:val="8"/>
          <w:sz w:val="24"/>
        </w:rPr>
        <w:t>林生芒果</w:t>
      </w:r>
      <w:r>
        <w:rPr>
          <w:rFonts w:ascii="宋体" w:hAnsi="宋体"/>
          <w:color w:val="000000"/>
          <w:spacing w:val="8"/>
          <w:sz w:val="24"/>
        </w:rPr>
        <w:fldChar w:fldCharType="end"/>
      </w:r>
      <w:r>
        <w:rPr>
          <w:rFonts w:ascii="宋体" w:hAnsi="宋体"/>
          <w:color w:val="000000"/>
          <w:spacing w:val="8"/>
          <w:sz w:val="24"/>
        </w:rPr>
        <w:t>、云南七叶树、龙眼、顶果木、云南菠萝蜜、琴叶风吹楠、红花木莲、蒟蒻薯、假山龙眼、瑞丽山龙眼、</w:t>
      </w:r>
      <w:r>
        <w:rPr>
          <w:rFonts w:ascii="宋体" w:hAnsi="宋体"/>
          <w:color w:val="000000"/>
          <w:spacing w:val="8"/>
          <w:sz w:val="24"/>
        </w:rPr>
        <w:fldChar w:fldCharType="begin"/>
      </w:r>
      <w:r>
        <w:rPr>
          <w:rFonts w:ascii="宋体" w:hAnsi="宋体"/>
          <w:color w:val="000000"/>
          <w:spacing w:val="8"/>
          <w:sz w:val="24"/>
        </w:rPr>
        <w:instrText xml:space="preserve"> HYPERLINK "http://baike.baidu.com/view/133715.htm" \t "_blank" </w:instrText>
      </w:r>
      <w:r>
        <w:rPr>
          <w:rFonts w:ascii="宋体" w:hAnsi="宋体"/>
          <w:color w:val="000000"/>
          <w:spacing w:val="8"/>
          <w:sz w:val="24"/>
        </w:rPr>
        <w:fldChar w:fldCharType="separate"/>
      </w:r>
      <w:r>
        <w:rPr>
          <w:rFonts w:ascii="宋体" w:hAnsi="宋体"/>
          <w:color w:val="000000"/>
          <w:spacing w:val="8"/>
          <w:sz w:val="24"/>
        </w:rPr>
        <w:t>盈江龙脑香</w:t>
      </w:r>
      <w:r>
        <w:rPr>
          <w:rFonts w:ascii="宋体" w:hAnsi="宋体"/>
          <w:color w:val="000000"/>
          <w:spacing w:val="8"/>
          <w:sz w:val="24"/>
        </w:rPr>
        <w:fldChar w:fldCharType="end"/>
      </w:r>
      <w:r>
        <w:rPr>
          <w:rFonts w:ascii="宋体" w:hAnsi="宋体"/>
          <w:color w:val="000000"/>
          <w:spacing w:val="8"/>
          <w:sz w:val="24"/>
        </w:rPr>
        <w:t xml:space="preserve">、龙血树、锥头麻、天麻、火麻、光叶天科木、短穗竹、岩棕。其中，红豆杉主要分布在风平镇的平河等高寒山区；合果木主要分布在中山乡；芒海镇帕压山有一片桫椤树群，占地约400亩，平均树高4米以上，平均胸径约10厘米以上，是潞西比较重要的桫椤树群。 </w:t>
      </w:r>
    </w:p>
    <w:p w14:paraId="4ECD0DF7">
      <w:pPr>
        <w:spacing w:line="360" w:lineRule="auto"/>
        <w:ind w:firstLine="512"/>
        <w:rPr>
          <w:rFonts w:hint="eastAsia" w:ascii="宋体" w:hAnsi="宋体"/>
          <w:color w:val="000000"/>
          <w:spacing w:val="8"/>
          <w:sz w:val="24"/>
        </w:rPr>
      </w:pPr>
      <w:r>
        <w:rPr>
          <w:rFonts w:ascii="宋体" w:hAnsi="宋体"/>
          <w:color w:val="000000"/>
          <w:spacing w:val="8"/>
          <w:sz w:val="24"/>
        </w:rPr>
        <w:t>省级重点保护植物19种，其中省Ⅱ级保护植物5种，省Ⅲ保护植物14种，包括：</w:t>
      </w:r>
      <w:r>
        <w:rPr>
          <w:rFonts w:ascii="宋体" w:hAnsi="宋体"/>
          <w:color w:val="000000"/>
          <w:spacing w:val="8"/>
          <w:sz w:val="24"/>
        </w:rPr>
        <w:fldChar w:fldCharType="begin"/>
      </w:r>
      <w:r>
        <w:rPr>
          <w:rFonts w:ascii="宋体" w:hAnsi="宋体"/>
          <w:color w:val="000000"/>
          <w:spacing w:val="8"/>
          <w:sz w:val="24"/>
        </w:rPr>
        <w:instrText xml:space="preserve"> HYPERLINK "http://baike.baidu.com/view/800701.htm" \t "_blank" </w:instrText>
      </w:r>
      <w:r>
        <w:rPr>
          <w:rFonts w:ascii="宋体" w:hAnsi="宋体"/>
          <w:color w:val="000000"/>
          <w:spacing w:val="8"/>
          <w:sz w:val="24"/>
        </w:rPr>
        <w:fldChar w:fldCharType="separate"/>
      </w:r>
      <w:r>
        <w:rPr>
          <w:rFonts w:ascii="宋体" w:hAnsi="宋体"/>
          <w:color w:val="000000"/>
          <w:spacing w:val="8"/>
          <w:sz w:val="24"/>
        </w:rPr>
        <w:t>常春木</w:t>
      </w:r>
      <w:r>
        <w:rPr>
          <w:rFonts w:ascii="宋体" w:hAnsi="宋体"/>
          <w:color w:val="000000"/>
          <w:spacing w:val="8"/>
          <w:sz w:val="24"/>
        </w:rPr>
        <w:fldChar w:fldCharType="end"/>
      </w:r>
      <w:r>
        <w:rPr>
          <w:rFonts w:ascii="宋体" w:hAnsi="宋体"/>
          <w:color w:val="000000"/>
          <w:spacing w:val="8"/>
          <w:sz w:val="24"/>
        </w:rPr>
        <w:t>、</w:t>
      </w:r>
      <w:r>
        <w:rPr>
          <w:rFonts w:ascii="宋体" w:hAnsi="宋体"/>
          <w:color w:val="000000"/>
          <w:spacing w:val="8"/>
          <w:sz w:val="24"/>
        </w:rPr>
        <w:fldChar w:fldCharType="begin"/>
      </w:r>
      <w:r>
        <w:rPr>
          <w:rFonts w:ascii="宋体" w:hAnsi="宋体"/>
          <w:color w:val="000000"/>
          <w:spacing w:val="8"/>
          <w:sz w:val="24"/>
        </w:rPr>
        <w:instrText xml:space="preserve"> HYPERLINK "http://baike.baidu.com/view/802383.htm" \t "_blank" </w:instrText>
      </w:r>
      <w:r>
        <w:rPr>
          <w:rFonts w:ascii="宋体" w:hAnsi="宋体"/>
          <w:color w:val="000000"/>
          <w:spacing w:val="8"/>
          <w:sz w:val="24"/>
        </w:rPr>
        <w:fldChar w:fldCharType="separate"/>
      </w:r>
      <w:r>
        <w:rPr>
          <w:rFonts w:ascii="宋体" w:hAnsi="宋体"/>
          <w:color w:val="000000"/>
          <w:spacing w:val="8"/>
          <w:sz w:val="24"/>
        </w:rPr>
        <w:t>大叶崖角藤</w:t>
      </w:r>
      <w:r>
        <w:rPr>
          <w:rFonts w:ascii="宋体" w:hAnsi="宋体"/>
          <w:color w:val="000000"/>
          <w:spacing w:val="8"/>
          <w:sz w:val="24"/>
        </w:rPr>
        <w:fldChar w:fldCharType="end"/>
      </w:r>
      <w:r>
        <w:rPr>
          <w:rFonts w:ascii="宋体" w:hAnsi="宋体"/>
          <w:color w:val="000000"/>
          <w:spacing w:val="8"/>
          <w:sz w:val="24"/>
        </w:rPr>
        <w:t>、云南核桃茶、沧江新樟、冬樱桃、细毛润楠、长柄油丹、</w:t>
      </w:r>
      <w:r>
        <w:rPr>
          <w:rFonts w:ascii="宋体" w:hAnsi="宋体"/>
          <w:color w:val="000000"/>
          <w:spacing w:val="8"/>
          <w:sz w:val="24"/>
        </w:rPr>
        <w:fldChar w:fldCharType="begin"/>
      </w:r>
      <w:r>
        <w:rPr>
          <w:rFonts w:ascii="宋体" w:hAnsi="宋体"/>
          <w:color w:val="000000"/>
          <w:spacing w:val="8"/>
          <w:sz w:val="24"/>
        </w:rPr>
        <w:instrText xml:space="preserve"> HYPERLINK "http://baike.baidu.com/view/795474.htm" \t "_blank" </w:instrText>
      </w:r>
      <w:r>
        <w:rPr>
          <w:rFonts w:ascii="宋体" w:hAnsi="宋体"/>
          <w:color w:val="000000"/>
          <w:spacing w:val="8"/>
          <w:sz w:val="24"/>
        </w:rPr>
        <w:fldChar w:fldCharType="separate"/>
      </w:r>
      <w:r>
        <w:rPr>
          <w:rFonts w:ascii="宋体" w:hAnsi="宋体"/>
          <w:color w:val="000000"/>
          <w:spacing w:val="8"/>
          <w:sz w:val="24"/>
        </w:rPr>
        <w:t>云南萝芙木</w:t>
      </w:r>
      <w:r>
        <w:rPr>
          <w:rFonts w:ascii="宋体" w:hAnsi="宋体"/>
          <w:color w:val="000000"/>
          <w:spacing w:val="8"/>
          <w:sz w:val="24"/>
        </w:rPr>
        <w:fldChar w:fldCharType="end"/>
      </w:r>
      <w:r>
        <w:rPr>
          <w:rFonts w:ascii="宋体" w:hAnsi="宋体"/>
          <w:color w:val="000000"/>
          <w:spacing w:val="8"/>
          <w:sz w:val="24"/>
        </w:rPr>
        <w:t>、小花使君子、大萼葵、</w:t>
      </w:r>
      <w:r>
        <w:rPr>
          <w:rFonts w:ascii="宋体" w:hAnsi="宋体"/>
          <w:color w:val="000000"/>
          <w:spacing w:val="8"/>
          <w:sz w:val="24"/>
        </w:rPr>
        <w:fldChar w:fldCharType="begin"/>
      </w:r>
      <w:r>
        <w:rPr>
          <w:rFonts w:ascii="宋体" w:hAnsi="宋体"/>
          <w:color w:val="000000"/>
          <w:spacing w:val="8"/>
          <w:sz w:val="24"/>
        </w:rPr>
        <w:instrText xml:space="preserve"> HYPERLINK "http://baike.baidu.com/view/316681.htm" \t "_blank" </w:instrText>
      </w:r>
      <w:r>
        <w:rPr>
          <w:rFonts w:ascii="宋体" w:hAnsi="宋体"/>
          <w:color w:val="000000"/>
          <w:spacing w:val="8"/>
          <w:sz w:val="24"/>
        </w:rPr>
        <w:fldChar w:fldCharType="separate"/>
      </w:r>
      <w:r>
        <w:rPr>
          <w:rFonts w:ascii="宋体" w:hAnsi="宋体"/>
          <w:color w:val="000000"/>
          <w:spacing w:val="8"/>
          <w:sz w:val="24"/>
        </w:rPr>
        <w:t>勐腊</w:t>
      </w:r>
      <w:r>
        <w:rPr>
          <w:rFonts w:ascii="宋体" w:hAnsi="宋体"/>
          <w:color w:val="000000"/>
          <w:spacing w:val="8"/>
          <w:sz w:val="24"/>
        </w:rPr>
        <w:fldChar w:fldCharType="end"/>
      </w:r>
      <w:r>
        <w:rPr>
          <w:rFonts w:ascii="宋体" w:hAnsi="宋体"/>
          <w:color w:val="000000"/>
          <w:spacing w:val="8"/>
          <w:sz w:val="24"/>
        </w:rPr>
        <w:t>新木姜子、云南崖摩、镰叶扁担杆、毛尖树、大花大角，潞西小龙眼、厚果鸡血藤、紫铆树、萝芙木等。</w:t>
      </w:r>
    </w:p>
    <w:p w14:paraId="18DA8DDA">
      <w:pPr>
        <w:spacing w:line="360" w:lineRule="auto"/>
        <w:ind w:firstLine="480"/>
        <w:rPr>
          <w:rFonts w:hint="eastAsia"/>
          <w:color w:val="000000"/>
          <w:sz w:val="24"/>
        </w:rPr>
      </w:pPr>
      <w:r>
        <w:rPr>
          <w:rFonts w:hint="eastAsia"/>
          <w:color w:val="000000"/>
          <w:sz w:val="24"/>
        </w:rPr>
        <w:t>根据现场调查，项目所在区主要以种植经济农作物为主，域内已无天然植被，</w:t>
      </w:r>
      <w:r>
        <w:rPr>
          <w:rFonts w:hint="eastAsia" w:hAnsi="宋体"/>
          <w:color w:val="000000"/>
          <w:sz w:val="24"/>
        </w:rPr>
        <w:t>无省级、国家级保护的动植物。</w:t>
      </w:r>
    </w:p>
    <w:p w14:paraId="0D4E4CA6">
      <w:pPr>
        <w:pStyle w:val="183"/>
        <w:ind w:firstLine="472"/>
        <w:rPr>
          <w:rFonts w:hint="eastAsia" w:ascii="仿宋_GB2312" w:eastAsia="仿宋_GB2312"/>
          <w:color w:val="000000"/>
          <w:sz w:val="24"/>
          <w:szCs w:val="24"/>
        </w:rPr>
      </w:pPr>
      <w:bookmarkStart w:id="389" w:name="_Toc406601023"/>
      <w:bookmarkStart w:id="390" w:name="_Toc495500084"/>
      <w:r>
        <w:rPr>
          <w:rFonts w:ascii="仿宋_GB2312" w:eastAsia="仿宋_GB2312"/>
          <w:color w:val="000000"/>
          <w:sz w:val="24"/>
          <w:szCs w:val="24"/>
        </w:rPr>
        <w:t>4.</w:t>
      </w:r>
      <w:r>
        <w:rPr>
          <w:rFonts w:hint="eastAsia" w:ascii="仿宋_GB2312" w:eastAsia="仿宋_GB2312"/>
          <w:color w:val="000000"/>
          <w:sz w:val="24"/>
          <w:szCs w:val="24"/>
        </w:rPr>
        <w:t>1</w:t>
      </w:r>
      <w:r>
        <w:rPr>
          <w:rFonts w:ascii="仿宋_GB2312" w:eastAsia="仿宋_GB2312"/>
          <w:color w:val="000000"/>
          <w:sz w:val="24"/>
          <w:szCs w:val="24"/>
        </w:rPr>
        <w:t>.</w:t>
      </w:r>
      <w:r>
        <w:rPr>
          <w:rFonts w:hint="eastAsia" w:ascii="仿宋_GB2312" w:eastAsia="仿宋_GB2312"/>
          <w:color w:val="000000"/>
          <w:sz w:val="24"/>
          <w:szCs w:val="24"/>
        </w:rPr>
        <w:t>8动物资源</w:t>
      </w:r>
      <w:bookmarkEnd w:id="389"/>
      <w:bookmarkEnd w:id="390"/>
    </w:p>
    <w:p w14:paraId="13977330">
      <w:pPr>
        <w:spacing w:line="360" w:lineRule="auto"/>
        <w:ind w:firstLine="480"/>
        <w:rPr>
          <w:rFonts w:hint="eastAsia" w:ascii="宋体" w:hAnsi="宋体"/>
          <w:color w:val="000000"/>
          <w:sz w:val="24"/>
        </w:rPr>
      </w:pPr>
      <w:r>
        <w:rPr>
          <w:rFonts w:hint="eastAsia" w:ascii="宋体" w:hAnsi="宋体"/>
          <w:color w:val="000000"/>
          <w:sz w:val="24"/>
        </w:rPr>
        <w:t>根据实地调查和对植被、生境条件、文献数据及动物分布特征分析，随着城镇建设的不断扩大，生产、生活方式发生了较大的变化，在评价范围内野生动物栖息地基本遭到破坏，已无栖身之地，一些野生动物多迁徙异地，远离人为活动区。区域内无大型兽类、鸟类的隐蔽地、栖息地和生活场所。因此，可以排除评价范围内有大型野生动物。</w:t>
      </w:r>
    </w:p>
    <w:p w14:paraId="3BC3953B">
      <w:pPr>
        <w:spacing w:line="360" w:lineRule="auto"/>
        <w:ind w:firstLine="480"/>
        <w:rPr>
          <w:rFonts w:hint="eastAsia" w:ascii="宋体" w:hAnsi="宋体"/>
          <w:color w:val="000000"/>
          <w:spacing w:val="8"/>
          <w:sz w:val="24"/>
        </w:rPr>
      </w:pPr>
      <w:r>
        <w:rPr>
          <w:rFonts w:hint="eastAsia" w:ascii="宋体" w:hAnsi="宋体"/>
          <w:bCs/>
          <w:color w:val="000000"/>
          <w:sz w:val="24"/>
        </w:rPr>
        <w:t>区域内只有一些常见的</w:t>
      </w:r>
      <w:r>
        <w:rPr>
          <w:rFonts w:hint="eastAsia" w:ascii="宋体" w:hAnsi="宋体"/>
          <w:color w:val="000000"/>
          <w:sz w:val="24"/>
        </w:rPr>
        <w:t>田鼠、山雀、蛇、家燕等种类。项目区无重点保护动物。</w:t>
      </w:r>
    </w:p>
    <w:p w14:paraId="528995FB">
      <w:pPr>
        <w:pStyle w:val="182"/>
        <w:ind w:firstLine="275"/>
        <w:rPr>
          <w:rFonts w:ascii="Times New Roman" w:hAnsi="Times New Roman" w:eastAsia="仿宋_GB2312" w:cs="Times New Roman"/>
          <w:color w:val="000000"/>
          <w:sz w:val="28"/>
          <w:szCs w:val="28"/>
        </w:rPr>
      </w:pPr>
      <w:bookmarkStart w:id="391" w:name="_Toc241904963"/>
      <w:bookmarkEnd w:id="391"/>
      <w:bookmarkStart w:id="392" w:name="_Toc226608391"/>
      <w:bookmarkEnd w:id="392"/>
      <w:bookmarkStart w:id="393" w:name="_Toc495500085"/>
      <w:r>
        <w:rPr>
          <w:rFonts w:ascii="Times New Roman" w:hAnsi="Times New Roman" w:eastAsia="仿宋_GB2312" w:cs="Times New Roman"/>
          <w:color w:val="000000"/>
          <w:sz w:val="28"/>
          <w:szCs w:val="28"/>
        </w:rPr>
        <w:t>4.</w:t>
      </w:r>
      <w:r>
        <w:rPr>
          <w:rFonts w:hint="eastAsia" w:ascii="Times New Roman" w:hAnsi="Times New Roman" w:eastAsia="仿宋_GB2312" w:cs="Times New Roman"/>
          <w:color w:val="000000"/>
          <w:sz w:val="28"/>
          <w:szCs w:val="28"/>
        </w:rPr>
        <w:t>2</w:t>
      </w:r>
      <w:r>
        <w:rPr>
          <w:rFonts w:ascii="Times New Roman" w:hAnsi="Times New Roman" w:eastAsia="仿宋_GB2312" w:cs="Times New Roman"/>
          <w:color w:val="000000"/>
          <w:sz w:val="28"/>
          <w:szCs w:val="28"/>
        </w:rPr>
        <w:t xml:space="preserve"> 社会</w:t>
      </w:r>
      <w:r>
        <w:rPr>
          <w:rFonts w:hint="eastAsia" w:ascii="Times New Roman" w:hAnsi="Times New Roman" w:eastAsia="仿宋_GB2312" w:cs="Times New Roman"/>
          <w:color w:val="000000"/>
          <w:sz w:val="28"/>
          <w:szCs w:val="28"/>
        </w:rPr>
        <w:t>环境</w:t>
      </w:r>
      <w:r>
        <w:rPr>
          <w:rFonts w:ascii="Times New Roman" w:hAnsi="Times New Roman" w:eastAsia="仿宋_GB2312" w:cs="Times New Roman"/>
          <w:color w:val="000000"/>
          <w:sz w:val="28"/>
          <w:szCs w:val="28"/>
        </w:rPr>
        <w:t>概况</w:t>
      </w:r>
      <w:bookmarkEnd w:id="393"/>
    </w:p>
    <w:p w14:paraId="54FC464C">
      <w:pPr>
        <w:pStyle w:val="183"/>
        <w:ind w:firstLine="472"/>
        <w:rPr>
          <w:rFonts w:eastAsia="仿宋_GB2312"/>
          <w:color w:val="000000"/>
          <w:sz w:val="24"/>
          <w:szCs w:val="24"/>
        </w:rPr>
      </w:pPr>
      <w:bookmarkStart w:id="394" w:name="_Toc495500086"/>
      <w:r>
        <w:rPr>
          <w:rFonts w:eastAsia="仿宋_GB2312"/>
          <w:color w:val="000000"/>
          <w:sz w:val="24"/>
          <w:szCs w:val="24"/>
        </w:rPr>
        <w:t>4.2.1行政区划、人口</w:t>
      </w:r>
      <w:bookmarkEnd w:id="394"/>
    </w:p>
    <w:p w14:paraId="02AAD359">
      <w:pPr>
        <w:spacing w:line="360" w:lineRule="auto"/>
        <w:ind w:firstLine="480"/>
        <w:rPr>
          <w:rFonts w:hint="eastAsia" w:ascii="宋体" w:hAnsi="宋体"/>
          <w:color w:val="000000"/>
          <w:sz w:val="24"/>
        </w:rPr>
      </w:pPr>
      <w:r>
        <w:rPr>
          <w:rFonts w:hint="eastAsia" w:ascii="宋体" w:hAnsi="宋体"/>
          <w:color w:val="000000"/>
          <w:sz w:val="24"/>
        </w:rPr>
        <w:t>2013年，芒市辖区设有1个街道、5个乡、1个民族村：勐焕街道；芒市镇、遮放镇、勐嘎镇、芒海镇、风平镇；轩岗乡、江东乡、西山乡、中山乡、五岔路乡、三台山德昂族乡，80个村民委员会，13个社区委员会，719个自然村1008个村民小组，辖1个国营农场（遮放国营农场），遮放农场辖4个农业分场31个生产队，2个直属单位。</w:t>
      </w:r>
    </w:p>
    <w:p w14:paraId="7B6A40E8">
      <w:pPr>
        <w:spacing w:line="360" w:lineRule="auto"/>
        <w:ind w:firstLine="480"/>
        <w:rPr>
          <w:rFonts w:cs="宋体"/>
          <w:color w:val="000000"/>
          <w:sz w:val="24"/>
        </w:rPr>
      </w:pPr>
      <w:r>
        <w:rPr>
          <w:rFonts w:ascii="宋体" w:hAnsi="宋体"/>
          <w:color w:val="000000"/>
          <w:sz w:val="24"/>
        </w:rPr>
        <w:t>2013年底，芒市城镇、农村居民住户102798户，比上年增加8.3%；总人口390766人，比上年增加2.2%，其中：男性200539人，女性190227人。城镇人口147510人，农村人口243256人，城镇化率36%，人口自然增长率7.13%，出生率11.4%，死亡率7.02%。总人口总汉族204541人，占总人口的52.3%，傣族132718人，占34%，景颇族29274人，占7.5%，德昂族10008人，占2.6%，傈僳族3789人，占1%，阿昌族2530人，占0.6%，其它少数民族7906人，占2%，人口密度每平方公里130.8人。</w:t>
      </w:r>
    </w:p>
    <w:p w14:paraId="5AD08F4B">
      <w:pPr>
        <w:pStyle w:val="183"/>
        <w:ind w:firstLine="472"/>
        <w:rPr>
          <w:rFonts w:eastAsia="仿宋_GB2312"/>
          <w:color w:val="000000"/>
          <w:sz w:val="24"/>
          <w:szCs w:val="24"/>
        </w:rPr>
      </w:pPr>
      <w:bookmarkStart w:id="395" w:name="_Toc495500087"/>
      <w:r>
        <w:rPr>
          <w:rFonts w:eastAsia="仿宋_GB2312"/>
          <w:color w:val="000000"/>
          <w:sz w:val="24"/>
          <w:szCs w:val="24"/>
        </w:rPr>
        <w:t>4.2.2社会经济</w:t>
      </w:r>
      <w:bookmarkEnd w:id="395"/>
    </w:p>
    <w:p w14:paraId="5776E9CE">
      <w:pPr>
        <w:spacing w:line="360" w:lineRule="auto"/>
        <w:ind w:firstLine="480"/>
        <w:rPr>
          <w:rFonts w:hint="eastAsia" w:ascii="宋体" w:hAnsi="宋体"/>
          <w:color w:val="000000"/>
          <w:sz w:val="24"/>
        </w:rPr>
      </w:pPr>
      <w:r>
        <w:rPr>
          <w:rFonts w:hint="eastAsia" w:ascii="宋体" w:hAnsi="宋体"/>
          <w:color w:val="000000"/>
          <w:sz w:val="24"/>
        </w:rPr>
        <w:t>德宏州芒市委、市政府坚持以邓小平理论和“三个代表”重要思想为指导，按照科学发展观，全面贯彻落实中央、省、州的方针政策，积极抢抓发展机遇，抓住国家实施西部大开发战略、建立东盟自由贸易区、推进“澜沧江－湄公河”次区域经济合作以及省实施“兴边富民”行动计划、云南“桥头堡”和瑞丽开发开放试验区建设等重大历史机遇，与时俱进、求真务实、开拓创新，带领全市各族群众紧密团结，顽强拼搏，确保了“十一五”规划的胜利实现和“十二五”规划的良好开局。</w:t>
      </w:r>
    </w:p>
    <w:p w14:paraId="43881F09">
      <w:pPr>
        <w:spacing w:line="360" w:lineRule="auto"/>
        <w:ind w:firstLine="480"/>
        <w:rPr>
          <w:rFonts w:hint="eastAsia" w:ascii="宋体" w:hAnsi="宋体"/>
          <w:color w:val="000000"/>
          <w:sz w:val="24"/>
        </w:rPr>
      </w:pPr>
      <w:r>
        <w:rPr>
          <w:rFonts w:hint="eastAsia" w:ascii="宋体" w:hAnsi="宋体"/>
          <w:color w:val="000000"/>
          <w:sz w:val="24"/>
        </w:rPr>
        <w:t>2015年1-11月，芒市经济继续平稳运行。固定资产投资21个月来首次呈现两位数增长，金融机构人民币存贷款余额快速增长，工业生产增速连续两月回落，财政收入降幅有所收窄，外贸进出口降幅继续收窄，社会消费品和旅游业平稳增长，市场物价平稳低位运行。 </w:t>
      </w:r>
    </w:p>
    <w:p w14:paraId="6DA9F598">
      <w:pPr>
        <w:spacing w:line="360" w:lineRule="auto"/>
        <w:ind w:firstLine="480"/>
        <w:rPr>
          <w:rFonts w:hint="eastAsia" w:ascii="宋体" w:hAnsi="宋体"/>
          <w:color w:val="000000"/>
          <w:sz w:val="24"/>
        </w:rPr>
      </w:pPr>
      <w:r>
        <w:rPr>
          <w:rFonts w:hint="eastAsia" w:ascii="宋体" w:hAnsi="宋体"/>
          <w:color w:val="000000"/>
          <w:sz w:val="24"/>
        </w:rPr>
        <w:t>实现工业总产值487233万元，同比增长6.4%，比上月回落1.9个百分点，比1-9月回落3.7个百分点，比上年同期回落1.4个百分点。规模以上工业增加值105046万元，增长5.6%，比上月回落1.3个百分点，比1-9月回落2.1个百分点，比上年同期提高0.1个百分点。规模以上传统四大支柱产业增加值三增一降，累计实现增加值65390万元，增长2.6%，比上月回落2.4个百分点，比1-9月回落4.9个百分点。其中电力生产和供应业实现增加值33488万元，增长0.5%，比上月回落2.1个百分点，比1-9月回落3.8个百分点；制糖业实现增加值14977万元，增长18.1%，比上月回落0.4个百分点，比1-9月回落0.8个百分点；工业硅冶炼业实现增加值9479万元，增长20.7%，比上月回落7.3个百分点，比1-9月回落18.1个百分点；水泥制造业实现增加值7446万元，下降23.3%，比上月降幅扩大0.7个百分点，比1-9月降幅扩大1.8个百分点。其他主要行业有增有降，饮料制造业实现增加值13974万元，增长19.6%，比上月提高5.8个百分点，比1-9月提高7.7个百分点；谷物磨制业实现增加值2899万元，增长53.7%，比上月回落8.9个百分点，比1-9月回落19个百分点；人造板制造业实现增加值1883万元，增长41%，比上回落2.2个百分点，比1-9月回落9.8个百分点；贵金属冶炼业实现增加值11288万元，增长7.4%，比上月回落1.1个百分点，比1-9月提高3.1个百分点；精制茶加工业实现增加值2914万元，下降4.4%，比上月降幅收窄0.1个百分点，比1-9月降幅收窄1.6个百分点；橡胶制品业实现增加值3029万元，下降11.2%，比上月降幅扩大2.4个百分点，比1-9月降幅收窄1.4个百分点。 </w:t>
      </w:r>
    </w:p>
    <w:p w14:paraId="1BAB30FC">
      <w:pPr>
        <w:spacing w:line="360" w:lineRule="auto"/>
        <w:ind w:firstLine="480"/>
        <w:rPr>
          <w:rFonts w:hint="eastAsia" w:ascii="宋体" w:hAnsi="宋体"/>
          <w:color w:val="000000"/>
          <w:sz w:val="24"/>
        </w:rPr>
      </w:pPr>
      <w:r>
        <w:rPr>
          <w:rFonts w:hint="eastAsia" w:ascii="宋体" w:hAnsi="宋体"/>
          <w:color w:val="000000"/>
          <w:sz w:val="24"/>
        </w:rPr>
        <w:t>主要产品产量五增三降，橡胶20142吨，增长6.3%；工业硅65051吨，增长27.3%；贡米4767吨，增长75.5%；成品糖125715吨，增长4.6%；咖啡10273吨，增长13.3%；水泥997197吨，下降19%；精制茶6121吨，下降5.7%；发电量97947万千瓦小时，下降2.9%。 </w:t>
      </w:r>
    </w:p>
    <w:p w14:paraId="53794A58">
      <w:pPr>
        <w:spacing w:line="360" w:lineRule="auto"/>
        <w:ind w:firstLine="480"/>
        <w:rPr>
          <w:rFonts w:hint="eastAsia" w:ascii="宋体" w:hAnsi="宋体"/>
          <w:color w:val="000000"/>
          <w:sz w:val="24"/>
        </w:rPr>
      </w:pPr>
      <w:r>
        <w:rPr>
          <w:rFonts w:hint="eastAsia" w:ascii="宋体" w:hAnsi="宋体"/>
          <w:color w:val="000000"/>
          <w:sz w:val="24"/>
        </w:rPr>
        <w:t>财政收入下降。1-11月，财政总收入实现86544万元，按同口径计算同比下降3.4%，比上月降幅收窄8.4个百分点，比上年同期回落4.2个百分点。其中公共财政预算收入44639万元，下降8.1%，比上月降幅收窄12个百分点，比上年同期回落5.2个百分点，完成年计划5.8亿元的77%。 </w:t>
      </w:r>
      <w:r>
        <w:rPr>
          <w:rFonts w:hint="eastAsia" w:ascii="宋体" w:hAnsi="宋体"/>
          <w:color w:val="000000"/>
          <w:sz w:val="24"/>
        </w:rPr>
        <w:br w:type="textWrapping" w:clear="all"/>
      </w:r>
      <w:r>
        <w:rPr>
          <w:rFonts w:hint="eastAsia" w:ascii="宋体" w:hAnsi="宋体"/>
          <w:color w:val="000000"/>
          <w:sz w:val="24"/>
        </w:rPr>
        <w:t>财政支出增长。1-11月，财政总支出252063万元，增长9.4%，比上月提高7.7个百分点，比上年同期回落21.6个百分点。其中公共财政预算支出248795万元，增长11.4%，比上月提高8.1个百分点，比上年同期回落22.9个百分点。 </w:t>
      </w:r>
    </w:p>
    <w:p w14:paraId="1536F1C8">
      <w:pPr>
        <w:spacing w:line="360" w:lineRule="auto"/>
        <w:ind w:firstLine="480"/>
        <w:rPr>
          <w:rFonts w:hint="eastAsia" w:ascii="宋体" w:hAnsi="宋体"/>
          <w:color w:val="000000"/>
          <w:sz w:val="24"/>
        </w:rPr>
      </w:pPr>
      <w:r>
        <w:rPr>
          <w:rFonts w:hint="eastAsia" w:ascii="宋体" w:hAnsi="宋体"/>
          <w:color w:val="000000"/>
          <w:sz w:val="24"/>
        </w:rPr>
        <w:t>固定资产投资21个月来首次呈现两位数增长。1-11月，固定资产投资累计完成740089万元，同比增长13.8%，比上月提高8.8个百分点，比上年同期提高19.1个百分点，完成年计划84.2亿元的87.9%。其中项目投资完成647287万元，增长19.7%，比上月提高7.5个百分点，比上年同期提高18.3个百分点；房地产投资完成92802万元，下降15.5%，比上月降幅收窄16.2个百分点，比上年同期降幅收窄13个百分点。按产业分，第一产业完成投资27370万元，增长86.6%；第二产业完成投资89660万元，增长43.3%；第三产业完成投资623059万元，增长8.7%。按构成分，建筑工程500978万元，下降1.1%；安装工程85602万元，增长51%；设备工具购置48670万元，增长108.1%；其他费用104839万元，增长64.7%。 </w:t>
      </w:r>
    </w:p>
    <w:p w14:paraId="5A3EA13D">
      <w:pPr>
        <w:spacing w:line="360" w:lineRule="auto"/>
        <w:ind w:firstLine="480"/>
        <w:rPr>
          <w:rFonts w:hint="eastAsia" w:ascii="宋体" w:hAnsi="宋体"/>
          <w:color w:val="000000"/>
          <w:sz w:val="24"/>
        </w:rPr>
      </w:pPr>
      <w:r>
        <w:rPr>
          <w:rFonts w:hint="eastAsia" w:ascii="宋体" w:hAnsi="宋体"/>
          <w:color w:val="000000"/>
          <w:sz w:val="24"/>
        </w:rPr>
        <w:t>消费市场平稳增长。1-11月，实现社会消费品零售总额355193万元，同比增长12.1%，比上月提高0.6个百分点，比上年同期回落0.9个百分点，完成州政府下达的任务40.1亿元的88.6%。其中，城镇实现消费品零售额295231万元，增长12.6%；乡村</w:t>
      </w:r>
      <w:r>
        <w:rPr>
          <w:rFonts w:hint="eastAsia" w:ascii="宋体" w:hAnsi="宋体"/>
          <w:color w:val="000000"/>
          <w:sz w:val="24"/>
          <w:lang w:val="en-US" w:eastAsia="zh-CN"/>
        </w:rPr>
        <w:t>市场</w:t>
      </w:r>
      <w:bookmarkStart w:id="566" w:name="_GoBack"/>
      <w:bookmarkEnd w:id="566"/>
      <w:r>
        <w:rPr>
          <w:rFonts w:hint="eastAsia" w:ascii="宋体" w:hAnsi="宋体"/>
          <w:color w:val="000000"/>
          <w:sz w:val="24"/>
        </w:rPr>
        <w:t>实现消费品零售额59962万元，增长10%。按消费形态分，餐饮收入47875万元，增长11%；商品零售307318万元，增长12.3%。 </w:t>
      </w:r>
    </w:p>
    <w:p w14:paraId="093B3F84">
      <w:pPr>
        <w:spacing w:line="360" w:lineRule="auto"/>
        <w:ind w:firstLine="480"/>
        <w:rPr>
          <w:rFonts w:hint="eastAsia" w:ascii="宋体" w:hAnsi="宋体"/>
          <w:color w:val="000000"/>
          <w:sz w:val="24"/>
        </w:rPr>
      </w:pPr>
      <w:r>
        <w:rPr>
          <w:rFonts w:hint="eastAsia" w:ascii="宋体" w:hAnsi="宋体"/>
          <w:color w:val="000000"/>
          <w:sz w:val="24"/>
        </w:rPr>
        <w:t> 对外贸易下降幅度继续收窄。1-11月，实现外贸进出口总额34463万美元，同比下降1.5%，比上月降幅收窄20.6个百分点，比上年同期降幅收窄15.9个百分点，完成州政府下达的任务4.3亿美元的80.1%。其中，出口总额22476万美元，下降28.6%；进口总额11987万美元，增长240.7%。 </w:t>
      </w:r>
    </w:p>
    <w:p w14:paraId="2F5FF1F3">
      <w:pPr>
        <w:spacing w:line="360" w:lineRule="auto"/>
        <w:ind w:firstLine="480"/>
        <w:rPr>
          <w:rFonts w:hint="eastAsia" w:ascii="宋体" w:hAnsi="宋体"/>
          <w:color w:val="000000"/>
          <w:sz w:val="24"/>
        </w:rPr>
      </w:pPr>
      <w:r>
        <w:rPr>
          <w:rFonts w:hint="eastAsia" w:ascii="宋体" w:hAnsi="宋体"/>
          <w:color w:val="000000"/>
          <w:sz w:val="24"/>
        </w:rPr>
        <w:t> 市场物价平稳低位运行。1-11月，芒市居民消费价格总水平比去年同期上涨0.9%，从构成CPI的商品和服务类别看，价格水平呈“</w:t>
      </w:r>
      <w:r>
        <w:rPr>
          <w:rFonts w:ascii="宋体" w:hAnsi="宋体"/>
          <w:color w:val="000000"/>
          <w:sz w:val="24"/>
        </w:rPr>
        <w:t>五升</w:t>
      </w:r>
      <w:r>
        <w:rPr>
          <w:rFonts w:hint="eastAsia" w:ascii="宋体" w:hAnsi="宋体"/>
          <w:color w:val="000000"/>
          <w:sz w:val="24"/>
        </w:rPr>
        <w:t>三降”态势。价格上涨的有：食品类上涨2.4%、烟酒类上涨4.1%、医疗保健和个人用品上涨2.9%、衣着类价格上涨1.5％、居住类上涨1.5%；下降的有：交通和通信下降3.5％、娱乐教育文化用品及服务下降2.5%；家庭设备用品及维修服务下降0.1%。 </w:t>
      </w:r>
    </w:p>
    <w:p w14:paraId="3AE7D34A">
      <w:pPr>
        <w:spacing w:line="360" w:lineRule="auto"/>
        <w:ind w:firstLine="480"/>
        <w:rPr>
          <w:rFonts w:hint="eastAsia" w:ascii="宋体" w:hAnsi="宋体"/>
          <w:color w:val="000000"/>
          <w:sz w:val="24"/>
        </w:rPr>
      </w:pPr>
      <w:r>
        <w:rPr>
          <w:rFonts w:hint="eastAsia" w:ascii="宋体" w:hAnsi="宋体"/>
          <w:color w:val="000000"/>
          <w:sz w:val="24"/>
        </w:rPr>
        <w:t>旅游业平稳增长。1-11月，接待中外旅游者306.73万人次，同比增长6.5%，比上月回落3.1个百分点，比上年同期回落6.5个百分点，完成年计划301万人次的101.9%，提前一个月完成计划；实现旅游业总收入439725万元，增长12.5%，比上月回落0.1个百分点，比上年同期回落0.5个百分点，完成年计划41.3亿元的106.5%，提前一个月完成计划。 </w:t>
      </w:r>
    </w:p>
    <w:p w14:paraId="1CD75D42">
      <w:pPr>
        <w:spacing w:line="360" w:lineRule="auto"/>
        <w:ind w:firstLine="480"/>
        <w:rPr>
          <w:rFonts w:cs="宋体"/>
          <w:color w:val="000000"/>
          <w:sz w:val="24"/>
        </w:rPr>
      </w:pPr>
      <w:r>
        <w:rPr>
          <w:rFonts w:hint="eastAsia" w:ascii="宋体" w:hAnsi="宋体"/>
          <w:color w:val="000000"/>
          <w:sz w:val="24"/>
        </w:rPr>
        <w:t>金融机构人民币存贷款余额快速增长。11月末，全市金融机构人民币各项存款余额为1888658万元，比年初增长18.8%。其中，境内存款1886781万元，比年初增长18.8%；境外存款1876万元，比年初增长11.2%。境内存款中，住户存款917299万元，比年初增长7.5%；非金融企业存款306303万元，比年初增长48.9%；广义政府存款563045万元，比年初增长31.1%；非银行业金融机构存款100134万元，与年初持平%。金融机构人民币各项贷款余额1354433万元，比年初增长22%。其中，住户贷款495707万元，比年初增长9.8%；非金融企业及机关团体贷款858725万元，比年初增长30.4%。</w:t>
      </w:r>
    </w:p>
    <w:p w14:paraId="28E9F006">
      <w:pPr>
        <w:pStyle w:val="183"/>
        <w:ind w:firstLine="472"/>
        <w:rPr>
          <w:rFonts w:eastAsia="仿宋_GB2312"/>
          <w:color w:val="000000"/>
          <w:sz w:val="24"/>
          <w:szCs w:val="24"/>
        </w:rPr>
      </w:pPr>
      <w:bookmarkStart w:id="396" w:name="_Toc495500088"/>
      <w:r>
        <w:rPr>
          <w:rFonts w:eastAsia="仿宋_GB2312"/>
          <w:color w:val="000000"/>
          <w:sz w:val="24"/>
          <w:szCs w:val="24"/>
        </w:rPr>
        <w:t>4.2.3教育、科技</w:t>
      </w:r>
      <w:bookmarkEnd w:id="396"/>
    </w:p>
    <w:p w14:paraId="0715622F">
      <w:pPr>
        <w:spacing w:line="360" w:lineRule="auto"/>
        <w:ind w:firstLine="480"/>
        <w:rPr>
          <w:rFonts w:hint="eastAsia" w:ascii="宋体" w:hAnsi="宋体"/>
          <w:color w:val="000000"/>
          <w:sz w:val="24"/>
        </w:rPr>
      </w:pPr>
      <w:r>
        <w:rPr>
          <w:rFonts w:ascii="宋体" w:hAnsi="宋体"/>
          <w:color w:val="000000"/>
          <w:sz w:val="24"/>
        </w:rPr>
        <w:t>2012</w:t>
      </w:r>
      <w:r>
        <w:rPr>
          <w:rFonts w:hint="eastAsia" w:ascii="宋体" w:hAnsi="宋体"/>
          <w:color w:val="000000"/>
          <w:sz w:val="24"/>
        </w:rPr>
        <w:t>年，全市共有各级各类学校</w:t>
      </w:r>
      <w:r>
        <w:rPr>
          <w:rFonts w:ascii="宋体" w:hAnsi="宋体"/>
          <w:color w:val="000000"/>
          <w:sz w:val="24"/>
        </w:rPr>
        <w:t>141</w:t>
      </w:r>
      <w:r>
        <w:rPr>
          <w:rFonts w:hint="eastAsia" w:ascii="宋体" w:hAnsi="宋体"/>
          <w:color w:val="000000"/>
          <w:sz w:val="24"/>
        </w:rPr>
        <w:t>所，其中幼儿园</w:t>
      </w:r>
      <w:r>
        <w:rPr>
          <w:rFonts w:ascii="宋体" w:hAnsi="宋体"/>
          <w:color w:val="000000"/>
          <w:sz w:val="24"/>
        </w:rPr>
        <w:t>22</w:t>
      </w:r>
      <w:r>
        <w:rPr>
          <w:rFonts w:hint="eastAsia" w:ascii="宋体" w:hAnsi="宋体"/>
          <w:color w:val="000000"/>
          <w:sz w:val="24"/>
        </w:rPr>
        <w:t>所（含私立</w:t>
      </w:r>
      <w:r>
        <w:rPr>
          <w:rFonts w:ascii="宋体" w:hAnsi="宋体"/>
          <w:color w:val="000000"/>
          <w:sz w:val="24"/>
        </w:rPr>
        <w:t>6</w:t>
      </w:r>
      <w:r>
        <w:rPr>
          <w:rFonts w:hint="eastAsia" w:ascii="宋体" w:hAnsi="宋体"/>
          <w:color w:val="000000"/>
          <w:sz w:val="24"/>
        </w:rPr>
        <w:t>所）；小学</w:t>
      </w:r>
      <w:r>
        <w:rPr>
          <w:rFonts w:ascii="宋体" w:hAnsi="宋体"/>
          <w:color w:val="000000"/>
          <w:sz w:val="24"/>
        </w:rPr>
        <w:t>100</w:t>
      </w:r>
      <w:r>
        <w:rPr>
          <w:rFonts w:hint="eastAsia" w:ascii="宋体" w:hAnsi="宋体"/>
          <w:color w:val="000000"/>
          <w:sz w:val="24"/>
        </w:rPr>
        <w:t>所，其中</w:t>
      </w:r>
      <w:r>
        <w:rPr>
          <w:rFonts w:ascii="宋体" w:hAnsi="宋体"/>
          <w:color w:val="000000"/>
          <w:sz w:val="24"/>
        </w:rPr>
        <w:t>69</w:t>
      </w:r>
      <w:r>
        <w:rPr>
          <w:rFonts w:hint="eastAsia" w:ascii="宋体" w:hAnsi="宋体"/>
          <w:color w:val="000000"/>
          <w:sz w:val="24"/>
        </w:rPr>
        <w:t>所完小，</w:t>
      </w:r>
      <w:r>
        <w:rPr>
          <w:rFonts w:ascii="宋体" w:hAnsi="宋体"/>
          <w:color w:val="000000"/>
          <w:sz w:val="24"/>
        </w:rPr>
        <w:t>31</w:t>
      </w:r>
      <w:r>
        <w:rPr>
          <w:rFonts w:hint="eastAsia" w:ascii="宋体" w:hAnsi="宋体"/>
          <w:color w:val="000000"/>
          <w:sz w:val="24"/>
        </w:rPr>
        <w:t>个教学点；普通中学</w:t>
      </w:r>
      <w:r>
        <w:rPr>
          <w:rFonts w:ascii="宋体" w:hAnsi="宋体"/>
          <w:color w:val="000000"/>
          <w:sz w:val="24"/>
        </w:rPr>
        <w:t>15</w:t>
      </w:r>
      <w:r>
        <w:rPr>
          <w:rFonts w:hint="eastAsia" w:ascii="宋体" w:hAnsi="宋体"/>
          <w:color w:val="000000"/>
          <w:sz w:val="24"/>
        </w:rPr>
        <w:t>所，其中高级中学</w:t>
      </w:r>
      <w:r>
        <w:rPr>
          <w:rFonts w:ascii="宋体" w:hAnsi="宋体"/>
          <w:color w:val="000000"/>
          <w:sz w:val="24"/>
        </w:rPr>
        <w:t>1</w:t>
      </w:r>
      <w:r>
        <w:rPr>
          <w:rFonts w:hint="eastAsia" w:ascii="宋体" w:hAnsi="宋体"/>
          <w:color w:val="000000"/>
          <w:sz w:val="24"/>
        </w:rPr>
        <w:t>所，初级中学</w:t>
      </w:r>
      <w:r>
        <w:rPr>
          <w:rFonts w:ascii="宋体" w:hAnsi="宋体"/>
          <w:color w:val="000000"/>
          <w:sz w:val="24"/>
        </w:rPr>
        <w:t>12</w:t>
      </w:r>
      <w:r>
        <w:rPr>
          <w:rFonts w:hint="eastAsia" w:ascii="宋体" w:hAnsi="宋体"/>
          <w:color w:val="000000"/>
          <w:sz w:val="24"/>
        </w:rPr>
        <w:t>所，九年制学校初中部</w:t>
      </w:r>
      <w:r>
        <w:rPr>
          <w:rFonts w:ascii="宋体" w:hAnsi="宋体"/>
          <w:color w:val="000000"/>
          <w:sz w:val="24"/>
        </w:rPr>
        <w:t>2</w:t>
      </w:r>
      <w:r>
        <w:rPr>
          <w:rFonts w:hint="eastAsia" w:ascii="宋体" w:hAnsi="宋体"/>
          <w:color w:val="000000"/>
          <w:sz w:val="24"/>
        </w:rPr>
        <w:t>所；职业高中</w:t>
      </w:r>
      <w:r>
        <w:rPr>
          <w:rFonts w:ascii="宋体" w:hAnsi="宋体"/>
          <w:color w:val="000000"/>
          <w:sz w:val="24"/>
        </w:rPr>
        <w:t>1</w:t>
      </w:r>
      <w:r>
        <w:rPr>
          <w:rFonts w:hint="eastAsia" w:ascii="宋体" w:hAnsi="宋体"/>
          <w:color w:val="000000"/>
          <w:sz w:val="24"/>
        </w:rPr>
        <w:t>所；教育科研中心</w:t>
      </w:r>
      <w:r>
        <w:rPr>
          <w:rFonts w:ascii="宋体" w:hAnsi="宋体"/>
          <w:color w:val="000000"/>
          <w:sz w:val="24"/>
        </w:rPr>
        <w:t>1</w:t>
      </w:r>
      <w:r>
        <w:rPr>
          <w:rFonts w:hint="eastAsia" w:ascii="宋体" w:hAnsi="宋体"/>
          <w:color w:val="000000"/>
          <w:sz w:val="24"/>
        </w:rPr>
        <w:t>所，独立建制的成人文化技术学校</w:t>
      </w:r>
      <w:r>
        <w:rPr>
          <w:rFonts w:ascii="宋体" w:hAnsi="宋体"/>
          <w:color w:val="000000"/>
          <w:sz w:val="24"/>
        </w:rPr>
        <w:t>1</w:t>
      </w:r>
      <w:r>
        <w:rPr>
          <w:rFonts w:hint="eastAsia" w:ascii="宋体" w:hAnsi="宋体"/>
          <w:color w:val="000000"/>
          <w:sz w:val="24"/>
        </w:rPr>
        <w:t>所；青少年活动中心</w:t>
      </w:r>
      <w:r>
        <w:rPr>
          <w:rFonts w:ascii="宋体" w:hAnsi="宋体"/>
          <w:color w:val="000000"/>
          <w:sz w:val="24"/>
        </w:rPr>
        <w:t>1</w:t>
      </w:r>
      <w:r>
        <w:rPr>
          <w:rFonts w:hint="eastAsia" w:ascii="宋体" w:hAnsi="宋体"/>
          <w:color w:val="000000"/>
          <w:sz w:val="24"/>
        </w:rPr>
        <w:t>个。全市现有教职工</w:t>
      </w:r>
      <w:r>
        <w:rPr>
          <w:rFonts w:ascii="宋体" w:hAnsi="宋体"/>
          <w:color w:val="000000"/>
          <w:sz w:val="24"/>
        </w:rPr>
        <w:t>3909</w:t>
      </w:r>
      <w:r>
        <w:rPr>
          <w:rFonts w:hint="eastAsia" w:ascii="宋体" w:hAnsi="宋体"/>
          <w:color w:val="000000"/>
          <w:sz w:val="24"/>
        </w:rPr>
        <w:t>人；在校生</w:t>
      </w:r>
      <w:r>
        <w:rPr>
          <w:rFonts w:ascii="宋体" w:hAnsi="宋体"/>
          <w:color w:val="000000"/>
          <w:sz w:val="24"/>
        </w:rPr>
        <w:t>64432</w:t>
      </w:r>
      <w:r>
        <w:rPr>
          <w:rFonts w:hint="eastAsia" w:ascii="宋体" w:hAnsi="宋体"/>
          <w:color w:val="000000"/>
          <w:sz w:val="24"/>
        </w:rPr>
        <w:t>人；其中：幼儿园（班）</w:t>
      </w:r>
      <w:r>
        <w:rPr>
          <w:rFonts w:ascii="宋体" w:hAnsi="宋体"/>
          <w:color w:val="000000"/>
          <w:sz w:val="24"/>
        </w:rPr>
        <w:t>10779</w:t>
      </w:r>
      <w:r>
        <w:rPr>
          <w:rFonts w:hint="eastAsia" w:ascii="宋体" w:hAnsi="宋体"/>
          <w:color w:val="000000"/>
          <w:sz w:val="24"/>
        </w:rPr>
        <w:t>人，小学在校生</w:t>
      </w:r>
      <w:r>
        <w:rPr>
          <w:rFonts w:ascii="宋体" w:hAnsi="宋体"/>
          <w:color w:val="000000"/>
          <w:sz w:val="24"/>
        </w:rPr>
        <w:t>32199</w:t>
      </w:r>
      <w:r>
        <w:rPr>
          <w:rFonts w:hint="eastAsia" w:ascii="宋体" w:hAnsi="宋体"/>
          <w:color w:val="000000"/>
          <w:sz w:val="24"/>
        </w:rPr>
        <w:t>人，初中在校生</w:t>
      </w:r>
      <w:r>
        <w:rPr>
          <w:rFonts w:ascii="宋体" w:hAnsi="宋体"/>
          <w:color w:val="000000"/>
          <w:sz w:val="24"/>
        </w:rPr>
        <w:t>16002</w:t>
      </w:r>
      <w:r>
        <w:rPr>
          <w:rFonts w:hint="eastAsia" w:ascii="宋体" w:hAnsi="宋体"/>
          <w:color w:val="000000"/>
          <w:sz w:val="24"/>
        </w:rPr>
        <w:t>人，普通高中在校生</w:t>
      </w:r>
      <w:r>
        <w:rPr>
          <w:rFonts w:ascii="宋体" w:hAnsi="宋体"/>
          <w:color w:val="000000"/>
          <w:sz w:val="24"/>
        </w:rPr>
        <w:t>2269</w:t>
      </w:r>
      <w:r>
        <w:rPr>
          <w:rFonts w:hint="eastAsia" w:ascii="宋体" w:hAnsi="宋体"/>
          <w:color w:val="000000"/>
          <w:sz w:val="24"/>
        </w:rPr>
        <w:t>人，职业高中在校生</w:t>
      </w:r>
      <w:r>
        <w:rPr>
          <w:rFonts w:ascii="宋体" w:hAnsi="宋体"/>
          <w:color w:val="000000"/>
          <w:sz w:val="24"/>
        </w:rPr>
        <w:t>3183</w:t>
      </w:r>
      <w:r>
        <w:rPr>
          <w:rFonts w:hint="eastAsia" w:ascii="宋体" w:hAnsi="宋体"/>
          <w:color w:val="000000"/>
          <w:sz w:val="24"/>
        </w:rPr>
        <w:t>人。</w:t>
      </w:r>
    </w:p>
    <w:p w14:paraId="618BF041">
      <w:pPr>
        <w:spacing w:line="360" w:lineRule="auto"/>
        <w:ind w:firstLine="480"/>
        <w:rPr>
          <w:rFonts w:hint="eastAsia" w:ascii="宋体" w:hAnsi="宋体"/>
          <w:color w:val="000000"/>
          <w:sz w:val="24"/>
        </w:rPr>
      </w:pPr>
      <w:r>
        <w:rPr>
          <w:rFonts w:ascii="宋体" w:hAnsi="宋体"/>
          <w:color w:val="000000"/>
          <w:sz w:val="24"/>
        </w:rPr>
        <w:t>2013年，芒市镇继续大力实施“科技兴镇”战略，加大教育投入，改善办学条件，中小学教育教学质量稳步提高。一是继续加大对教育的支持力度，确保“两基”教育成果巩固提高；二是加大扶贫助学工作力度，管好、用好中、小学生“两免一补”基金，同时抓好控辍保学工作，保证每一个适龄儿童都能上学。初中毛入学率：市下达指标109%以上，年辍学率控制在1%以内；实际完成103.13%，在校初中生年辍学率控制在0.97%。小学入学率：市下达指标99.5%以上，年辍学率控制在1%以内；实际完成99.63%，年辍学率控制在1%以下。</w:t>
      </w:r>
    </w:p>
    <w:p w14:paraId="68C3577C">
      <w:pPr>
        <w:pStyle w:val="183"/>
        <w:ind w:firstLine="472"/>
        <w:rPr>
          <w:rFonts w:eastAsia="仿宋_GB2312"/>
          <w:color w:val="000000"/>
          <w:sz w:val="24"/>
          <w:szCs w:val="24"/>
        </w:rPr>
      </w:pPr>
      <w:bookmarkStart w:id="397" w:name="_Toc495500089"/>
      <w:r>
        <w:rPr>
          <w:rFonts w:eastAsia="仿宋_GB2312"/>
          <w:color w:val="000000"/>
          <w:sz w:val="24"/>
          <w:szCs w:val="24"/>
        </w:rPr>
        <w:t>4.2.4文化、卫生</w:t>
      </w:r>
      <w:bookmarkEnd w:id="397"/>
    </w:p>
    <w:p w14:paraId="5E20759D">
      <w:pPr>
        <w:spacing w:line="360" w:lineRule="auto"/>
        <w:ind w:firstLine="480"/>
        <w:rPr>
          <w:rFonts w:ascii="宋体" w:hAnsi="宋体"/>
          <w:color w:val="000000"/>
          <w:sz w:val="24"/>
        </w:rPr>
      </w:pPr>
      <w:r>
        <w:rPr>
          <w:rFonts w:hint="eastAsia" w:ascii="宋体" w:hAnsi="宋体"/>
          <w:color w:val="000000"/>
          <w:sz w:val="24"/>
        </w:rPr>
        <w:t>2012年全市有卫生机构32个（不含个体诊所）；病床2025张，其中：医院1359张，卫生院506张。每千人拥有病床5.26张。卫生技术人员2104人，其中：执业医师及执业助理医师731人，护士845人。每千人拥有卫生技术人员5.73人。全市“参合”的农民群众达28.91万人，参合率达98.7%。</w:t>
      </w:r>
    </w:p>
    <w:p w14:paraId="738C9EB5">
      <w:pPr>
        <w:spacing w:line="360" w:lineRule="auto"/>
        <w:ind w:firstLine="480"/>
        <w:rPr>
          <w:rFonts w:hint="eastAsia" w:ascii="宋体" w:hAnsi="宋体"/>
          <w:color w:val="000000"/>
          <w:sz w:val="24"/>
        </w:rPr>
      </w:pPr>
      <w:r>
        <w:rPr>
          <w:rFonts w:ascii="宋体" w:hAnsi="宋体"/>
          <w:color w:val="000000"/>
          <w:sz w:val="24"/>
        </w:rPr>
        <w:t>经现场踏勘及相关资料查询，项目评价范围内没有需要特殊保护的文物单位等环境敏感点。</w:t>
      </w:r>
      <w:bookmarkStart w:id="398" w:name="_Toc241904964"/>
      <w:bookmarkEnd w:id="398"/>
      <w:bookmarkStart w:id="399" w:name="_Toc226608392"/>
      <w:bookmarkEnd w:id="399"/>
    </w:p>
    <w:p w14:paraId="72CA2C62">
      <w:pPr>
        <w:pStyle w:val="181"/>
        <w:rPr>
          <w:rFonts w:eastAsia="仿宋_GB2312"/>
          <w:color w:val="000000"/>
          <w:sz w:val="30"/>
          <w:szCs w:val="30"/>
        </w:rPr>
      </w:pPr>
      <w:r>
        <w:rPr>
          <w:rFonts w:eastAsia="仿宋_GB2312"/>
          <w:color w:val="000000"/>
          <w:sz w:val="30"/>
          <w:szCs w:val="30"/>
        </w:rPr>
        <w:br w:type="page" w:clear="all"/>
      </w:r>
      <w:bookmarkStart w:id="400" w:name="_Toc495500090"/>
      <w:r>
        <w:rPr>
          <w:rFonts w:hint="eastAsia" w:eastAsia="仿宋_GB2312"/>
          <w:color w:val="000000"/>
          <w:sz w:val="30"/>
          <w:szCs w:val="30"/>
        </w:rPr>
        <w:t>5、</w:t>
      </w:r>
      <w:r>
        <w:rPr>
          <w:rFonts w:eastAsia="仿宋_GB2312"/>
          <w:color w:val="000000"/>
          <w:sz w:val="30"/>
          <w:szCs w:val="30"/>
        </w:rPr>
        <w:t>环境质量现状</w:t>
      </w:r>
      <w:bookmarkEnd w:id="400"/>
    </w:p>
    <w:p w14:paraId="03F30D14">
      <w:pPr>
        <w:pStyle w:val="182"/>
        <w:ind w:firstLine="275"/>
        <w:rPr>
          <w:rFonts w:ascii="Times New Roman" w:hAnsi="Times New Roman" w:eastAsia="仿宋_GB2312" w:cs="Times New Roman"/>
          <w:color w:val="000000"/>
          <w:sz w:val="28"/>
          <w:szCs w:val="28"/>
        </w:rPr>
      </w:pPr>
      <w:bookmarkStart w:id="401" w:name="_Toc241904965"/>
      <w:bookmarkEnd w:id="401"/>
      <w:bookmarkStart w:id="402" w:name="_Toc226608393"/>
      <w:bookmarkEnd w:id="402"/>
      <w:bookmarkStart w:id="403" w:name="_Toc495500091"/>
      <w:r>
        <w:rPr>
          <w:rFonts w:ascii="Times New Roman" w:hAnsi="Times New Roman" w:eastAsia="仿宋_GB2312" w:cs="Times New Roman"/>
          <w:color w:val="000000"/>
          <w:sz w:val="28"/>
          <w:szCs w:val="28"/>
        </w:rPr>
        <w:t>5.1 水环境质量现状</w:t>
      </w:r>
      <w:bookmarkEnd w:id="403"/>
    </w:p>
    <w:p w14:paraId="1FCD9BBB">
      <w:pPr>
        <w:spacing w:line="360" w:lineRule="auto"/>
        <w:ind w:firstLine="480"/>
        <w:rPr>
          <w:color w:val="000000"/>
          <w:sz w:val="24"/>
        </w:rPr>
      </w:pPr>
      <w:r>
        <w:rPr>
          <w:color w:val="000000"/>
          <w:sz w:val="24"/>
        </w:rPr>
        <w:t>1、环境质量现状监测</w:t>
      </w:r>
    </w:p>
    <w:p w14:paraId="4BB6A94F">
      <w:pPr>
        <w:spacing w:line="360" w:lineRule="auto"/>
        <w:ind w:firstLine="480"/>
        <w:rPr>
          <w:color w:val="000000"/>
          <w:sz w:val="24"/>
        </w:rPr>
      </w:pPr>
      <w:r>
        <w:rPr>
          <w:color w:val="000000"/>
          <w:sz w:val="24"/>
        </w:rPr>
        <w:t>项目最终的排污水体为</w:t>
      </w:r>
      <w:r>
        <w:rPr>
          <w:rFonts w:hint="eastAsia"/>
          <w:color w:val="000000"/>
          <w:sz w:val="24"/>
        </w:rPr>
        <w:t>芒市</w:t>
      </w:r>
      <w:r>
        <w:rPr>
          <w:color w:val="000000"/>
          <w:sz w:val="24"/>
        </w:rPr>
        <w:t>河，根据《云南省地表水环境功能区划》（2010-2020），项目排污水体所在区域属于</w:t>
      </w:r>
      <w:r>
        <w:rPr>
          <w:rFonts w:hint="eastAsia"/>
          <w:color w:val="000000"/>
          <w:sz w:val="24"/>
        </w:rPr>
        <w:t>芒市大河（木康--入瑞丽江口之间），水环境质量执行</w:t>
      </w:r>
      <w:r>
        <w:rPr>
          <w:color w:val="000000"/>
          <w:sz w:val="24"/>
        </w:rPr>
        <w:t>GB3838-2002《地表水环境质量标准》</w:t>
      </w:r>
      <w:r>
        <w:rPr>
          <w:rFonts w:hint="eastAsia"/>
          <w:color w:val="000000"/>
          <w:sz w:val="24"/>
        </w:rPr>
        <w:t>Ⅲ</w:t>
      </w:r>
      <w:r>
        <w:rPr>
          <w:color w:val="000000"/>
          <w:sz w:val="24"/>
        </w:rPr>
        <w:t>类</w:t>
      </w:r>
      <w:r>
        <w:rPr>
          <w:rFonts w:hint="eastAsia"/>
          <w:color w:val="000000"/>
          <w:sz w:val="24"/>
        </w:rPr>
        <w:t>标准。</w:t>
      </w:r>
      <w:r>
        <w:rPr>
          <w:color w:val="000000"/>
          <w:sz w:val="24"/>
        </w:rPr>
        <w:t>项目的水环境质量现状</w:t>
      </w:r>
      <w:r>
        <w:rPr>
          <w:rFonts w:hint="eastAsia"/>
          <w:color w:val="000000"/>
          <w:sz w:val="24"/>
        </w:rPr>
        <w:t>引用云南坤发环境科技有限公司</w:t>
      </w:r>
      <w:r>
        <w:rPr>
          <w:color w:val="000000"/>
          <w:sz w:val="24"/>
        </w:rPr>
        <w:t>于201</w:t>
      </w:r>
      <w:r>
        <w:rPr>
          <w:rFonts w:hint="eastAsia"/>
          <w:color w:val="000000"/>
          <w:sz w:val="24"/>
        </w:rPr>
        <w:t>7</w:t>
      </w:r>
      <w:r>
        <w:rPr>
          <w:color w:val="000000"/>
          <w:sz w:val="24"/>
        </w:rPr>
        <w:t>年</w:t>
      </w:r>
      <w:r>
        <w:rPr>
          <w:rFonts w:hint="eastAsia"/>
          <w:color w:val="000000"/>
          <w:sz w:val="24"/>
        </w:rPr>
        <w:t>9</w:t>
      </w:r>
      <w:r>
        <w:rPr>
          <w:color w:val="000000"/>
          <w:sz w:val="24"/>
        </w:rPr>
        <w:t>月</w:t>
      </w:r>
      <w:r>
        <w:rPr>
          <w:rFonts w:hint="eastAsia"/>
          <w:color w:val="000000"/>
          <w:sz w:val="24"/>
        </w:rPr>
        <w:t>1</w:t>
      </w:r>
      <w:r>
        <w:rPr>
          <w:color w:val="000000"/>
          <w:sz w:val="24"/>
        </w:rPr>
        <w:t>7日-</w:t>
      </w:r>
      <w:r>
        <w:rPr>
          <w:rFonts w:hint="eastAsia"/>
          <w:color w:val="000000"/>
          <w:sz w:val="24"/>
        </w:rPr>
        <w:t>18</w:t>
      </w:r>
      <w:r>
        <w:rPr>
          <w:color w:val="000000"/>
          <w:sz w:val="24"/>
        </w:rPr>
        <w:t>日对本项目西</w:t>
      </w:r>
      <w:r>
        <w:rPr>
          <w:rFonts w:hint="eastAsia"/>
          <w:color w:val="000000"/>
          <w:sz w:val="24"/>
        </w:rPr>
        <w:t>北</w:t>
      </w:r>
      <w:r>
        <w:rPr>
          <w:color w:val="000000"/>
          <w:sz w:val="24"/>
        </w:rPr>
        <w:t>面</w:t>
      </w:r>
      <w:r>
        <w:rPr>
          <w:rFonts w:hint="eastAsia"/>
          <w:color w:val="000000"/>
          <w:sz w:val="24"/>
        </w:rPr>
        <w:t>约2.1km</w:t>
      </w:r>
      <w:r>
        <w:rPr>
          <w:color w:val="000000"/>
          <w:sz w:val="24"/>
        </w:rPr>
        <w:t>的</w:t>
      </w:r>
      <w:r>
        <w:rPr>
          <w:rFonts w:hint="eastAsia"/>
          <w:color w:val="000000"/>
          <w:sz w:val="24"/>
        </w:rPr>
        <w:t>芒市大河水环境质量现状</w:t>
      </w:r>
      <w:r>
        <w:rPr>
          <w:color w:val="000000"/>
          <w:sz w:val="24"/>
        </w:rPr>
        <w:t>状监测结果。监测结果见表5.1-1。</w:t>
      </w:r>
    </w:p>
    <w:p w14:paraId="3BB33EF6">
      <w:pPr>
        <w:spacing w:line="360" w:lineRule="auto"/>
        <w:jc w:val="center"/>
        <w:rPr>
          <w:rFonts w:hint="eastAsia"/>
          <w:b/>
          <w:color w:val="000000"/>
          <w:sz w:val="24"/>
        </w:rPr>
      </w:pPr>
      <w:r>
        <w:rPr>
          <w:b/>
          <w:color w:val="000000"/>
          <w:sz w:val="24"/>
        </w:rPr>
        <w:t>表5.1-1  水质监测结果</w:t>
      </w:r>
    </w:p>
    <w:tbl>
      <w:tblPr>
        <w:tblStyle w:val="27"/>
        <w:tblW w:w="0" w:type="auto"/>
        <w:tblInd w:w="-108"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745"/>
        <w:gridCol w:w="1837"/>
        <w:gridCol w:w="3384"/>
        <w:gridCol w:w="2782"/>
      </w:tblGrid>
      <w:tr w14:paraId="7BDC5DD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45" w:type="dxa"/>
            <w:vMerge w:val="restart"/>
            <w:noWrap w:val="0"/>
            <w:vAlign w:val="top"/>
          </w:tcPr>
          <w:p w14:paraId="02BE6F5C">
            <w:pPr>
              <w:jc w:val="center"/>
              <w:rPr>
                <w:rFonts w:ascii="宋体" w:hAnsi="宋体"/>
                <w:color w:val="000000"/>
                <w:szCs w:val="21"/>
              </w:rPr>
            </w:pPr>
            <w:r>
              <w:rPr>
                <w:rFonts w:ascii="宋体" w:hAnsi="宋体"/>
                <w:color w:val="000000"/>
                <w:szCs w:val="21"/>
              </w:rPr>
              <w:t>监测</w:t>
            </w:r>
          </w:p>
          <w:p w14:paraId="20C1167A">
            <w:pPr>
              <w:spacing w:line="460" w:lineRule="exact"/>
              <w:jc w:val="center"/>
              <w:rPr>
                <w:rFonts w:ascii="宋体" w:hAnsi="宋体"/>
                <w:color w:val="000000"/>
                <w:szCs w:val="21"/>
              </w:rPr>
            </w:pPr>
            <w:r>
              <w:rPr>
                <w:rFonts w:ascii="宋体" w:hAnsi="宋体"/>
                <w:color w:val="000000"/>
                <w:szCs w:val="21"/>
              </w:rPr>
              <w:t>项目</w:t>
            </w:r>
          </w:p>
        </w:tc>
        <w:tc>
          <w:tcPr>
            <w:tcW w:w="5221" w:type="dxa"/>
            <w:gridSpan w:val="2"/>
            <w:noWrap w:val="0"/>
            <w:vAlign w:val="top"/>
          </w:tcPr>
          <w:p w14:paraId="661CDC49">
            <w:pPr>
              <w:spacing w:line="460" w:lineRule="exact"/>
              <w:jc w:val="center"/>
              <w:rPr>
                <w:rFonts w:hint="eastAsia" w:ascii="宋体" w:hAnsi="宋体"/>
                <w:color w:val="000000"/>
                <w:szCs w:val="21"/>
              </w:rPr>
            </w:pPr>
            <w:r>
              <w:rPr>
                <w:rFonts w:ascii="宋体" w:hAnsi="宋体"/>
                <w:color w:val="000000"/>
                <w:szCs w:val="21"/>
              </w:rPr>
              <w:t>监 测 结 果（单位：mg/L，pH除外）</w:t>
            </w:r>
          </w:p>
        </w:tc>
        <w:tc>
          <w:tcPr>
            <w:tcW w:w="2782" w:type="dxa"/>
            <w:vMerge w:val="restart"/>
            <w:noWrap w:val="0"/>
            <w:vAlign w:val="top"/>
          </w:tcPr>
          <w:p w14:paraId="3C9E8EE2">
            <w:pPr>
              <w:spacing w:line="460" w:lineRule="exact"/>
              <w:jc w:val="center"/>
              <w:rPr>
                <w:rFonts w:hint="eastAsia" w:ascii="宋体" w:hAnsi="宋体"/>
                <w:color w:val="000000"/>
                <w:szCs w:val="21"/>
              </w:rPr>
            </w:pPr>
            <w:r>
              <w:rPr>
                <w:rFonts w:hint="eastAsia" w:ascii="宋体" w:hAnsi="宋体"/>
                <w:color w:val="000000"/>
                <w:szCs w:val="21"/>
              </w:rPr>
              <w:t>《地表水环境质量标准》（GB3838-2002）Ⅲ类水域基本项目标准限值</w:t>
            </w:r>
          </w:p>
        </w:tc>
      </w:tr>
      <w:tr w14:paraId="07045F9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45" w:type="dxa"/>
            <w:vMerge w:val="continue"/>
            <w:noWrap w:val="0"/>
            <w:vAlign w:val="top"/>
          </w:tcPr>
          <w:p w14:paraId="4D17094F">
            <w:pPr>
              <w:spacing w:line="460" w:lineRule="exact"/>
              <w:jc w:val="center"/>
              <w:rPr>
                <w:rFonts w:ascii="宋体" w:hAnsi="宋体"/>
                <w:color w:val="000000"/>
                <w:szCs w:val="21"/>
              </w:rPr>
            </w:pPr>
          </w:p>
        </w:tc>
        <w:tc>
          <w:tcPr>
            <w:tcW w:w="5221" w:type="dxa"/>
            <w:gridSpan w:val="2"/>
            <w:noWrap w:val="0"/>
            <w:vAlign w:val="top"/>
          </w:tcPr>
          <w:p w14:paraId="278F7D13">
            <w:pPr>
              <w:spacing w:line="460" w:lineRule="exact"/>
              <w:jc w:val="center"/>
              <w:rPr>
                <w:rFonts w:hint="eastAsia" w:ascii="宋体" w:hAnsi="宋体"/>
                <w:color w:val="000000"/>
                <w:szCs w:val="21"/>
              </w:rPr>
            </w:pPr>
            <w:r>
              <w:rPr>
                <w:rFonts w:hint="eastAsia" w:ascii="宋体" w:hAnsi="宋体"/>
                <w:color w:val="000000"/>
                <w:szCs w:val="21"/>
              </w:rPr>
              <w:t>芒市大河</w:t>
            </w:r>
          </w:p>
        </w:tc>
        <w:tc>
          <w:tcPr>
            <w:tcW w:w="2782" w:type="dxa"/>
            <w:vMerge w:val="continue"/>
            <w:noWrap w:val="0"/>
            <w:vAlign w:val="top"/>
          </w:tcPr>
          <w:p w14:paraId="3693D45F">
            <w:pPr>
              <w:spacing w:line="460" w:lineRule="exact"/>
              <w:jc w:val="center"/>
              <w:rPr>
                <w:rFonts w:hint="eastAsia" w:ascii="宋体" w:hAnsi="宋体"/>
                <w:color w:val="000000"/>
                <w:szCs w:val="21"/>
              </w:rPr>
            </w:pPr>
          </w:p>
        </w:tc>
      </w:tr>
      <w:tr w14:paraId="7D43162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45" w:type="dxa"/>
            <w:vMerge w:val="continue"/>
            <w:noWrap w:val="0"/>
            <w:vAlign w:val="top"/>
          </w:tcPr>
          <w:p w14:paraId="244E802B">
            <w:pPr>
              <w:spacing w:line="460" w:lineRule="exact"/>
              <w:jc w:val="center"/>
              <w:rPr>
                <w:rFonts w:hint="eastAsia" w:ascii="宋体" w:hAnsi="宋体"/>
                <w:color w:val="000000"/>
                <w:szCs w:val="21"/>
              </w:rPr>
            </w:pPr>
          </w:p>
        </w:tc>
        <w:tc>
          <w:tcPr>
            <w:tcW w:w="1837" w:type="dxa"/>
            <w:noWrap w:val="0"/>
            <w:vAlign w:val="top"/>
          </w:tcPr>
          <w:p w14:paraId="67E4421A">
            <w:pPr>
              <w:spacing w:line="460" w:lineRule="exact"/>
              <w:jc w:val="center"/>
              <w:rPr>
                <w:rFonts w:hint="eastAsia" w:ascii="宋体" w:hAnsi="宋体"/>
                <w:color w:val="000000"/>
                <w:szCs w:val="21"/>
              </w:rPr>
            </w:pPr>
            <w:r>
              <w:rPr>
                <w:rFonts w:ascii="宋体" w:hAnsi="宋体"/>
                <w:color w:val="000000"/>
                <w:spacing w:val="-12"/>
                <w:szCs w:val="21"/>
              </w:rPr>
              <w:t>201</w:t>
            </w:r>
            <w:r>
              <w:rPr>
                <w:rFonts w:hint="eastAsia" w:ascii="宋体" w:hAnsi="宋体"/>
                <w:color w:val="000000"/>
                <w:spacing w:val="-12"/>
                <w:szCs w:val="21"/>
              </w:rPr>
              <w:t>7</w:t>
            </w:r>
            <w:r>
              <w:rPr>
                <w:rFonts w:ascii="宋体" w:hAnsi="宋体"/>
                <w:color w:val="000000"/>
                <w:spacing w:val="-12"/>
                <w:szCs w:val="21"/>
              </w:rPr>
              <w:t>.0</w:t>
            </w:r>
            <w:r>
              <w:rPr>
                <w:rFonts w:hint="eastAsia" w:ascii="宋体" w:hAnsi="宋体"/>
                <w:color w:val="000000"/>
                <w:spacing w:val="-12"/>
                <w:szCs w:val="21"/>
              </w:rPr>
              <w:t>7</w:t>
            </w:r>
            <w:r>
              <w:rPr>
                <w:rFonts w:ascii="宋体" w:hAnsi="宋体"/>
                <w:color w:val="000000"/>
                <w:spacing w:val="-12"/>
                <w:szCs w:val="21"/>
              </w:rPr>
              <w:t>.</w:t>
            </w:r>
            <w:r>
              <w:rPr>
                <w:rFonts w:hint="eastAsia" w:ascii="宋体" w:hAnsi="宋体"/>
                <w:color w:val="000000"/>
                <w:spacing w:val="-12"/>
                <w:szCs w:val="21"/>
              </w:rPr>
              <w:t>17</w:t>
            </w:r>
          </w:p>
        </w:tc>
        <w:tc>
          <w:tcPr>
            <w:tcW w:w="3384" w:type="dxa"/>
            <w:noWrap w:val="0"/>
            <w:vAlign w:val="top"/>
          </w:tcPr>
          <w:p w14:paraId="07BBFB2F">
            <w:pPr>
              <w:spacing w:line="460" w:lineRule="exact"/>
              <w:jc w:val="center"/>
              <w:rPr>
                <w:rFonts w:hint="eastAsia" w:ascii="宋体" w:hAnsi="宋体"/>
                <w:color w:val="000000"/>
                <w:szCs w:val="21"/>
              </w:rPr>
            </w:pPr>
            <w:r>
              <w:rPr>
                <w:rFonts w:ascii="宋体" w:hAnsi="宋体"/>
                <w:color w:val="000000"/>
                <w:spacing w:val="-12"/>
                <w:szCs w:val="21"/>
              </w:rPr>
              <w:t>201</w:t>
            </w:r>
            <w:r>
              <w:rPr>
                <w:rFonts w:hint="eastAsia" w:ascii="宋体" w:hAnsi="宋体"/>
                <w:color w:val="000000"/>
                <w:spacing w:val="-12"/>
                <w:szCs w:val="21"/>
              </w:rPr>
              <w:t>7</w:t>
            </w:r>
            <w:r>
              <w:rPr>
                <w:rFonts w:ascii="宋体" w:hAnsi="宋体"/>
                <w:color w:val="000000"/>
                <w:spacing w:val="-12"/>
                <w:szCs w:val="21"/>
              </w:rPr>
              <w:t>.0</w:t>
            </w:r>
            <w:r>
              <w:rPr>
                <w:rFonts w:hint="eastAsia" w:ascii="宋体" w:hAnsi="宋体"/>
                <w:color w:val="000000"/>
                <w:spacing w:val="-12"/>
                <w:szCs w:val="21"/>
              </w:rPr>
              <w:t>9</w:t>
            </w:r>
            <w:r>
              <w:rPr>
                <w:rFonts w:ascii="宋体" w:hAnsi="宋体"/>
                <w:color w:val="000000"/>
                <w:spacing w:val="-12"/>
                <w:szCs w:val="21"/>
              </w:rPr>
              <w:t>.</w:t>
            </w:r>
            <w:r>
              <w:rPr>
                <w:rFonts w:hint="eastAsia" w:ascii="宋体" w:hAnsi="宋体"/>
                <w:color w:val="000000"/>
                <w:spacing w:val="-12"/>
                <w:szCs w:val="21"/>
              </w:rPr>
              <w:t>18</w:t>
            </w:r>
          </w:p>
        </w:tc>
        <w:tc>
          <w:tcPr>
            <w:tcW w:w="2782" w:type="dxa"/>
            <w:vMerge w:val="continue"/>
            <w:noWrap w:val="0"/>
            <w:vAlign w:val="top"/>
          </w:tcPr>
          <w:p w14:paraId="52EC4457">
            <w:pPr>
              <w:spacing w:line="460" w:lineRule="exact"/>
              <w:jc w:val="center"/>
              <w:rPr>
                <w:rFonts w:hint="eastAsia" w:ascii="宋体" w:hAnsi="宋体"/>
                <w:color w:val="000000"/>
                <w:szCs w:val="21"/>
              </w:rPr>
            </w:pPr>
          </w:p>
        </w:tc>
      </w:tr>
      <w:tr w14:paraId="6A12CFB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45" w:type="dxa"/>
            <w:vMerge w:val="restart"/>
            <w:noWrap w:val="0"/>
            <w:vAlign w:val="top"/>
          </w:tcPr>
          <w:p w14:paraId="7B11F3D2">
            <w:pPr>
              <w:spacing w:line="460" w:lineRule="exact"/>
              <w:jc w:val="center"/>
              <w:rPr>
                <w:rFonts w:hint="eastAsia" w:ascii="宋体" w:hAnsi="宋体"/>
                <w:color w:val="000000"/>
                <w:szCs w:val="21"/>
              </w:rPr>
            </w:pPr>
          </w:p>
          <w:p w14:paraId="3A2159FE">
            <w:pPr>
              <w:spacing w:line="460" w:lineRule="exact"/>
              <w:jc w:val="center"/>
              <w:rPr>
                <w:rFonts w:hint="eastAsia" w:ascii="宋体" w:hAnsi="宋体"/>
                <w:color w:val="000000"/>
                <w:szCs w:val="21"/>
              </w:rPr>
            </w:pPr>
            <w:r>
              <w:rPr>
                <w:rFonts w:ascii="宋体" w:hAnsi="宋体"/>
                <w:color w:val="000000"/>
                <w:szCs w:val="21"/>
              </w:rPr>
              <w:t>pH</w:t>
            </w:r>
          </w:p>
        </w:tc>
        <w:tc>
          <w:tcPr>
            <w:tcW w:w="1837" w:type="dxa"/>
            <w:noWrap w:val="0"/>
            <w:vAlign w:val="top"/>
          </w:tcPr>
          <w:p w14:paraId="30B1495F">
            <w:pPr>
              <w:spacing w:line="460" w:lineRule="exact"/>
              <w:jc w:val="center"/>
              <w:rPr>
                <w:rFonts w:hint="eastAsia" w:ascii="宋体" w:hAnsi="宋体"/>
                <w:color w:val="000000"/>
                <w:szCs w:val="21"/>
              </w:rPr>
            </w:pPr>
            <w:r>
              <w:rPr>
                <w:rFonts w:hint="eastAsia" w:ascii="宋体" w:hAnsi="宋体"/>
                <w:color w:val="000000"/>
                <w:szCs w:val="21"/>
              </w:rPr>
              <w:t>7.74</w:t>
            </w:r>
          </w:p>
        </w:tc>
        <w:tc>
          <w:tcPr>
            <w:tcW w:w="3384" w:type="dxa"/>
            <w:noWrap w:val="0"/>
            <w:vAlign w:val="top"/>
          </w:tcPr>
          <w:p w14:paraId="5030F9E0">
            <w:pPr>
              <w:spacing w:line="460" w:lineRule="exact"/>
              <w:jc w:val="center"/>
              <w:rPr>
                <w:rFonts w:hint="eastAsia" w:ascii="宋体" w:hAnsi="宋体"/>
                <w:color w:val="000000"/>
                <w:szCs w:val="21"/>
              </w:rPr>
            </w:pPr>
            <w:r>
              <w:rPr>
                <w:rFonts w:hint="eastAsia" w:ascii="宋体" w:hAnsi="宋体"/>
                <w:color w:val="000000"/>
                <w:szCs w:val="21"/>
              </w:rPr>
              <w:t>7.58</w:t>
            </w:r>
          </w:p>
        </w:tc>
        <w:tc>
          <w:tcPr>
            <w:tcW w:w="2782" w:type="dxa"/>
            <w:vMerge w:val="restart"/>
            <w:noWrap w:val="0"/>
            <w:vAlign w:val="top"/>
          </w:tcPr>
          <w:p w14:paraId="019C2A3E">
            <w:pPr>
              <w:spacing w:line="460" w:lineRule="exact"/>
              <w:jc w:val="center"/>
              <w:rPr>
                <w:rFonts w:hint="eastAsia" w:ascii="宋体" w:hAnsi="宋体"/>
                <w:color w:val="000000"/>
                <w:szCs w:val="21"/>
              </w:rPr>
            </w:pPr>
          </w:p>
          <w:p w14:paraId="62DCB992">
            <w:pPr>
              <w:spacing w:line="460" w:lineRule="exact"/>
              <w:jc w:val="center"/>
              <w:rPr>
                <w:rFonts w:hint="eastAsia" w:ascii="宋体" w:hAnsi="宋体"/>
                <w:color w:val="000000"/>
                <w:szCs w:val="21"/>
              </w:rPr>
            </w:pPr>
            <w:r>
              <w:rPr>
                <w:rFonts w:hint="eastAsia" w:ascii="宋体" w:hAnsi="宋体"/>
                <w:color w:val="000000"/>
                <w:szCs w:val="21"/>
              </w:rPr>
              <w:t>6～9（无量纲）</w:t>
            </w:r>
          </w:p>
        </w:tc>
      </w:tr>
      <w:tr w14:paraId="09CB0B6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45" w:type="dxa"/>
            <w:vMerge w:val="continue"/>
            <w:noWrap w:val="0"/>
            <w:vAlign w:val="top"/>
          </w:tcPr>
          <w:p w14:paraId="38AE13BC">
            <w:pPr>
              <w:spacing w:line="460" w:lineRule="exact"/>
              <w:jc w:val="center"/>
              <w:rPr>
                <w:rFonts w:ascii="宋体" w:hAnsi="宋体"/>
                <w:color w:val="000000"/>
                <w:szCs w:val="21"/>
              </w:rPr>
            </w:pPr>
          </w:p>
        </w:tc>
        <w:tc>
          <w:tcPr>
            <w:tcW w:w="1837" w:type="dxa"/>
            <w:noWrap w:val="0"/>
            <w:vAlign w:val="top"/>
          </w:tcPr>
          <w:p w14:paraId="6091D87C">
            <w:pPr>
              <w:spacing w:line="460" w:lineRule="exact"/>
              <w:jc w:val="center"/>
              <w:rPr>
                <w:rFonts w:hint="eastAsia" w:ascii="宋体" w:hAnsi="宋体"/>
                <w:color w:val="000000"/>
                <w:szCs w:val="21"/>
              </w:rPr>
            </w:pPr>
            <w:r>
              <w:rPr>
                <w:rFonts w:hint="eastAsia" w:ascii="宋体" w:hAnsi="宋体"/>
                <w:color w:val="000000"/>
                <w:szCs w:val="21"/>
              </w:rPr>
              <w:t>7.68</w:t>
            </w:r>
          </w:p>
        </w:tc>
        <w:tc>
          <w:tcPr>
            <w:tcW w:w="3384" w:type="dxa"/>
            <w:noWrap w:val="0"/>
            <w:vAlign w:val="top"/>
          </w:tcPr>
          <w:p w14:paraId="1F5B0B6F">
            <w:pPr>
              <w:spacing w:line="460" w:lineRule="exact"/>
              <w:jc w:val="center"/>
              <w:rPr>
                <w:rFonts w:hint="eastAsia" w:ascii="宋体" w:hAnsi="宋体"/>
                <w:color w:val="000000"/>
                <w:szCs w:val="21"/>
              </w:rPr>
            </w:pPr>
            <w:r>
              <w:rPr>
                <w:rFonts w:hint="eastAsia" w:ascii="宋体" w:hAnsi="宋体"/>
                <w:color w:val="000000"/>
                <w:szCs w:val="21"/>
              </w:rPr>
              <w:t>7.76</w:t>
            </w:r>
          </w:p>
        </w:tc>
        <w:tc>
          <w:tcPr>
            <w:tcW w:w="2782" w:type="dxa"/>
            <w:vMerge w:val="continue"/>
            <w:noWrap w:val="0"/>
            <w:vAlign w:val="top"/>
          </w:tcPr>
          <w:p w14:paraId="0C66EE01">
            <w:pPr>
              <w:spacing w:line="460" w:lineRule="exact"/>
              <w:jc w:val="center"/>
              <w:rPr>
                <w:rFonts w:hint="eastAsia" w:ascii="宋体" w:hAnsi="宋体"/>
                <w:color w:val="000000"/>
                <w:szCs w:val="21"/>
              </w:rPr>
            </w:pPr>
          </w:p>
        </w:tc>
      </w:tr>
      <w:tr w14:paraId="365C985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45" w:type="dxa"/>
            <w:vMerge w:val="continue"/>
            <w:noWrap w:val="0"/>
            <w:vAlign w:val="top"/>
          </w:tcPr>
          <w:p w14:paraId="28E94048">
            <w:pPr>
              <w:spacing w:line="460" w:lineRule="exact"/>
              <w:jc w:val="center"/>
              <w:rPr>
                <w:rFonts w:ascii="宋体" w:hAnsi="宋体"/>
                <w:color w:val="000000"/>
                <w:szCs w:val="21"/>
              </w:rPr>
            </w:pPr>
          </w:p>
        </w:tc>
        <w:tc>
          <w:tcPr>
            <w:tcW w:w="1837" w:type="dxa"/>
            <w:noWrap w:val="0"/>
            <w:vAlign w:val="top"/>
          </w:tcPr>
          <w:p w14:paraId="0D14BD03">
            <w:pPr>
              <w:spacing w:line="460" w:lineRule="exact"/>
              <w:jc w:val="center"/>
              <w:rPr>
                <w:rFonts w:hint="eastAsia" w:ascii="宋体" w:hAnsi="宋体"/>
                <w:color w:val="000000"/>
                <w:szCs w:val="21"/>
              </w:rPr>
            </w:pPr>
            <w:r>
              <w:rPr>
                <w:rFonts w:hint="eastAsia" w:ascii="宋体" w:hAnsi="宋体"/>
                <w:color w:val="000000"/>
                <w:szCs w:val="21"/>
              </w:rPr>
              <w:t>7.63</w:t>
            </w:r>
          </w:p>
        </w:tc>
        <w:tc>
          <w:tcPr>
            <w:tcW w:w="3384" w:type="dxa"/>
            <w:noWrap w:val="0"/>
            <w:vAlign w:val="top"/>
          </w:tcPr>
          <w:p w14:paraId="02D7B1D4">
            <w:pPr>
              <w:spacing w:line="460" w:lineRule="exact"/>
              <w:jc w:val="center"/>
              <w:rPr>
                <w:rFonts w:hint="eastAsia" w:ascii="宋体" w:hAnsi="宋体"/>
                <w:color w:val="000000"/>
                <w:szCs w:val="21"/>
              </w:rPr>
            </w:pPr>
            <w:r>
              <w:rPr>
                <w:rFonts w:hint="eastAsia" w:ascii="宋体" w:hAnsi="宋体"/>
                <w:color w:val="000000"/>
                <w:szCs w:val="21"/>
              </w:rPr>
              <w:t>7.82</w:t>
            </w:r>
          </w:p>
        </w:tc>
        <w:tc>
          <w:tcPr>
            <w:tcW w:w="2782" w:type="dxa"/>
            <w:vMerge w:val="continue"/>
            <w:noWrap w:val="0"/>
            <w:vAlign w:val="top"/>
          </w:tcPr>
          <w:p w14:paraId="1A9C6C20">
            <w:pPr>
              <w:spacing w:line="460" w:lineRule="exact"/>
              <w:jc w:val="center"/>
              <w:rPr>
                <w:rFonts w:hint="eastAsia" w:ascii="宋体" w:hAnsi="宋体"/>
                <w:color w:val="000000"/>
                <w:szCs w:val="21"/>
              </w:rPr>
            </w:pPr>
          </w:p>
        </w:tc>
      </w:tr>
      <w:tr w14:paraId="57E2266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45" w:type="dxa"/>
            <w:vMerge w:val="restart"/>
            <w:noWrap w:val="0"/>
            <w:vAlign w:val="top"/>
          </w:tcPr>
          <w:p w14:paraId="05FCF8E2">
            <w:pPr>
              <w:spacing w:line="460" w:lineRule="exact"/>
              <w:jc w:val="center"/>
              <w:rPr>
                <w:rFonts w:hint="eastAsia" w:ascii="宋体" w:hAnsi="宋体"/>
                <w:color w:val="000000"/>
                <w:szCs w:val="21"/>
              </w:rPr>
            </w:pPr>
          </w:p>
          <w:p w14:paraId="316A8956">
            <w:pPr>
              <w:spacing w:line="460" w:lineRule="exact"/>
              <w:jc w:val="center"/>
              <w:rPr>
                <w:rFonts w:hint="eastAsia" w:ascii="宋体" w:hAnsi="宋体"/>
                <w:color w:val="000000"/>
                <w:szCs w:val="21"/>
              </w:rPr>
            </w:pPr>
            <w:r>
              <w:rPr>
                <w:rFonts w:hint="eastAsia" w:ascii="宋体" w:hAnsi="宋体"/>
                <w:color w:val="000000"/>
                <w:szCs w:val="21"/>
              </w:rPr>
              <w:t>DO</w:t>
            </w:r>
          </w:p>
        </w:tc>
        <w:tc>
          <w:tcPr>
            <w:tcW w:w="1837" w:type="dxa"/>
            <w:noWrap w:val="0"/>
            <w:vAlign w:val="top"/>
          </w:tcPr>
          <w:p w14:paraId="05797394">
            <w:pPr>
              <w:spacing w:line="460" w:lineRule="exact"/>
              <w:jc w:val="center"/>
              <w:rPr>
                <w:rFonts w:hint="eastAsia" w:ascii="宋体" w:hAnsi="宋体"/>
                <w:color w:val="000000"/>
                <w:szCs w:val="21"/>
              </w:rPr>
            </w:pPr>
            <w:r>
              <w:rPr>
                <w:rFonts w:hint="eastAsia" w:ascii="宋体" w:hAnsi="宋体"/>
                <w:color w:val="000000"/>
                <w:szCs w:val="21"/>
              </w:rPr>
              <w:t>5.26</w:t>
            </w:r>
          </w:p>
        </w:tc>
        <w:tc>
          <w:tcPr>
            <w:tcW w:w="3384" w:type="dxa"/>
            <w:noWrap w:val="0"/>
            <w:vAlign w:val="top"/>
          </w:tcPr>
          <w:p w14:paraId="2202B43B">
            <w:pPr>
              <w:spacing w:line="460" w:lineRule="exact"/>
              <w:jc w:val="center"/>
              <w:rPr>
                <w:rFonts w:hint="eastAsia" w:ascii="宋体" w:hAnsi="宋体"/>
                <w:color w:val="000000"/>
                <w:szCs w:val="21"/>
              </w:rPr>
            </w:pPr>
            <w:r>
              <w:rPr>
                <w:rFonts w:hint="eastAsia" w:ascii="宋体" w:hAnsi="宋体"/>
                <w:color w:val="000000"/>
                <w:szCs w:val="21"/>
              </w:rPr>
              <w:t>5.14</w:t>
            </w:r>
          </w:p>
        </w:tc>
        <w:tc>
          <w:tcPr>
            <w:tcW w:w="2782" w:type="dxa"/>
            <w:vMerge w:val="restart"/>
            <w:noWrap w:val="0"/>
            <w:vAlign w:val="top"/>
          </w:tcPr>
          <w:p w14:paraId="5AFC4FDF">
            <w:pPr>
              <w:spacing w:line="460" w:lineRule="exact"/>
              <w:jc w:val="center"/>
              <w:rPr>
                <w:rFonts w:hint="eastAsia" w:ascii="宋体" w:hAnsi="宋体"/>
                <w:color w:val="000000"/>
                <w:szCs w:val="21"/>
              </w:rPr>
            </w:pPr>
          </w:p>
          <w:p w14:paraId="259E42FC">
            <w:pPr>
              <w:spacing w:line="460" w:lineRule="exact"/>
              <w:jc w:val="center"/>
              <w:rPr>
                <w:rFonts w:hint="eastAsia" w:ascii="宋体" w:hAnsi="宋体"/>
                <w:color w:val="000000"/>
                <w:szCs w:val="21"/>
              </w:rPr>
            </w:pPr>
            <w:r>
              <w:rPr>
                <w:rFonts w:hint="eastAsia" w:ascii="宋体" w:hAnsi="宋体"/>
                <w:color w:val="000000"/>
                <w:szCs w:val="21"/>
              </w:rPr>
              <w:t>≥5</w:t>
            </w:r>
          </w:p>
        </w:tc>
      </w:tr>
      <w:tr w14:paraId="7EB20EC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45" w:type="dxa"/>
            <w:vMerge w:val="continue"/>
            <w:noWrap w:val="0"/>
            <w:vAlign w:val="top"/>
          </w:tcPr>
          <w:p w14:paraId="1ED21734">
            <w:pPr>
              <w:spacing w:line="460" w:lineRule="exact"/>
              <w:jc w:val="center"/>
              <w:rPr>
                <w:rFonts w:hint="eastAsia" w:ascii="宋体" w:hAnsi="宋体"/>
                <w:color w:val="000000"/>
                <w:szCs w:val="21"/>
              </w:rPr>
            </w:pPr>
          </w:p>
        </w:tc>
        <w:tc>
          <w:tcPr>
            <w:tcW w:w="1837" w:type="dxa"/>
            <w:noWrap w:val="0"/>
            <w:vAlign w:val="top"/>
          </w:tcPr>
          <w:p w14:paraId="3DC75BB5">
            <w:pPr>
              <w:spacing w:line="460" w:lineRule="exact"/>
              <w:jc w:val="center"/>
              <w:rPr>
                <w:rFonts w:hint="eastAsia" w:ascii="宋体" w:hAnsi="宋体"/>
                <w:color w:val="000000"/>
                <w:szCs w:val="21"/>
              </w:rPr>
            </w:pPr>
            <w:r>
              <w:rPr>
                <w:rFonts w:hint="eastAsia" w:ascii="宋体" w:hAnsi="宋体"/>
                <w:color w:val="000000"/>
                <w:szCs w:val="21"/>
              </w:rPr>
              <w:t>5.38</w:t>
            </w:r>
          </w:p>
        </w:tc>
        <w:tc>
          <w:tcPr>
            <w:tcW w:w="3384" w:type="dxa"/>
            <w:noWrap w:val="0"/>
            <w:vAlign w:val="top"/>
          </w:tcPr>
          <w:p w14:paraId="715001BD">
            <w:pPr>
              <w:spacing w:line="460" w:lineRule="exact"/>
              <w:jc w:val="center"/>
              <w:rPr>
                <w:rFonts w:hint="eastAsia" w:ascii="宋体" w:hAnsi="宋体"/>
                <w:color w:val="000000"/>
                <w:szCs w:val="21"/>
              </w:rPr>
            </w:pPr>
            <w:r>
              <w:rPr>
                <w:rFonts w:hint="eastAsia" w:ascii="宋体" w:hAnsi="宋体"/>
                <w:color w:val="000000"/>
                <w:szCs w:val="21"/>
              </w:rPr>
              <w:t>5.26</w:t>
            </w:r>
          </w:p>
        </w:tc>
        <w:tc>
          <w:tcPr>
            <w:tcW w:w="2782" w:type="dxa"/>
            <w:vMerge w:val="continue"/>
            <w:noWrap w:val="0"/>
            <w:vAlign w:val="top"/>
          </w:tcPr>
          <w:p w14:paraId="69D239F6">
            <w:pPr>
              <w:spacing w:line="460" w:lineRule="exact"/>
              <w:jc w:val="center"/>
              <w:rPr>
                <w:rFonts w:hint="eastAsia" w:ascii="宋体" w:hAnsi="宋体"/>
                <w:color w:val="000000"/>
                <w:szCs w:val="21"/>
              </w:rPr>
            </w:pPr>
          </w:p>
        </w:tc>
      </w:tr>
      <w:tr w14:paraId="79CC980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45" w:type="dxa"/>
            <w:vMerge w:val="continue"/>
            <w:noWrap w:val="0"/>
            <w:vAlign w:val="top"/>
          </w:tcPr>
          <w:p w14:paraId="518968FB">
            <w:pPr>
              <w:spacing w:line="460" w:lineRule="exact"/>
              <w:jc w:val="center"/>
              <w:rPr>
                <w:rFonts w:hint="eastAsia" w:ascii="宋体" w:hAnsi="宋体"/>
                <w:color w:val="000000"/>
                <w:szCs w:val="21"/>
              </w:rPr>
            </w:pPr>
          </w:p>
        </w:tc>
        <w:tc>
          <w:tcPr>
            <w:tcW w:w="1837" w:type="dxa"/>
            <w:noWrap w:val="0"/>
            <w:vAlign w:val="top"/>
          </w:tcPr>
          <w:p w14:paraId="36A9902B">
            <w:pPr>
              <w:spacing w:line="460" w:lineRule="exact"/>
              <w:jc w:val="center"/>
              <w:rPr>
                <w:rFonts w:hint="eastAsia" w:ascii="宋体" w:hAnsi="宋体"/>
                <w:color w:val="000000"/>
                <w:szCs w:val="21"/>
              </w:rPr>
            </w:pPr>
            <w:r>
              <w:rPr>
                <w:rFonts w:hint="eastAsia" w:ascii="宋体" w:hAnsi="宋体"/>
                <w:color w:val="000000"/>
                <w:szCs w:val="21"/>
              </w:rPr>
              <w:t>4.96</w:t>
            </w:r>
          </w:p>
        </w:tc>
        <w:tc>
          <w:tcPr>
            <w:tcW w:w="3384" w:type="dxa"/>
            <w:noWrap w:val="0"/>
            <w:vAlign w:val="top"/>
          </w:tcPr>
          <w:p w14:paraId="4DAA86B0">
            <w:pPr>
              <w:spacing w:line="460" w:lineRule="exact"/>
              <w:jc w:val="center"/>
              <w:rPr>
                <w:rFonts w:hint="eastAsia" w:ascii="宋体" w:hAnsi="宋体"/>
                <w:color w:val="000000"/>
                <w:szCs w:val="21"/>
              </w:rPr>
            </w:pPr>
            <w:r>
              <w:rPr>
                <w:rFonts w:hint="eastAsia" w:ascii="宋体" w:hAnsi="宋体"/>
                <w:color w:val="000000"/>
                <w:szCs w:val="21"/>
              </w:rPr>
              <w:t>5.33</w:t>
            </w:r>
          </w:p>
        </w:tc>
        <w:tc>
          <w:tcPr>
            <w:tcW w:w="2782" w:type="dxa"/>
            <w:vMerge w:val="continue"/>
            <w:noWrap w:val="0"/>
            <w:vAlign w:val="top"/>
          </w:tcPr>
          <w:p w14:paraId="41B18040">
            <w:pPr>
              <w:spacing w:line="460" w:lineRule="exact"/>
              <w:jc w:val="center"/>
              <w:rPr>
                <w:rFonts w:hint="eastAsia" w:ascii="宋体" w:hAnsi="宋体"/>
                <w:color w:val="000000"/>
                <w:szCs w:val="21"/>
              </w:rPr>
            </w:pPr>
          </w:p>
        </w:tc>
      </w:tr>
      <w:tr w14:paraId="6016D9F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45" w:type="dxa"/>
            <w:vMerge w:val="restart"/>
            <w:noWrap w:val="0"/>
            <w:vAlign w:val="top"/>
          </w:tcPr>
          <w:p w14:paraId="059AE49F">
            <w:pPr>
              <w:spacing w:line="460" w:lineRule="exact"/>
              <w:jc w:val="center"/>
              <w:rPr>
                <w:rFonts w:hint="eastAsia" w:ascii="宋体" w:hAnsi="宋体"/>
                <w:color w:val="000000"/>
                <w:szCs w:val="21"/>
              </w:rPr>
            </w:pPr>
          </w:p>
          <w:p w14:paraId="0645456B">
            <w:pPr>
              <w:spacing w:line="460" w:lineRule="exact"/>
              <w:jc w:val="center"/>
              <w:rPr>
                <w:rFonts w:hint="eastAsia" w:ascii="宋体" w:hAnsi="宋体"/>
                <w:color w:val="000000"/>
                <w:szCs w:val="21"/>
              </w:rPr>
            </w:pPr>
            <w:r>
              <w:rPr>
                <w:rFonts w:hint="eastAsia" w:ascii="宋体" w:hAnsi="宋体"/>
                <w:color w:val="000000"/>
                <w:szCs w:val="21"/>
              </w:rPr>
              <w:t>NH</w:t>
            </w:r>
            <w:r>
              <w:rPr>
                <w:rFonts w:hint="eastAsia" w:ascii="宋体" w:hAnsi="宋体"/>
                <w:color w:val="000000"/>
                <w:szCs w:val="21"/>
                <w:vertAlign w:val="subscript"/>
              </w:rPr>
              <w:t>3</w:t>
            </w:r>
            <w:r>
              <w:rPr>
                <w:rFonts w:hint="eastAsia" w:ascii="宋体" w:hAnsi="宋体"/>
                <w:color w:val="000000"/>
                <w:szCs w:val="21"/>
              </w:rPr>
              <w:t>-N</w:t>
            </w:r>
          </w:p>
        </w:tc>
        <w:tc>
          <w:tcPr>
            <w:tcW w:w="1837" w:type="dxa"/>
            <w:noWrap w:val="0"/>
            <w:vAlign w:val="top"/>
          </w:tcPr>
          <w:p w14:paraId="1AAD3650">
            <w:pPr>
              <w:spacing w:line="460" w:lineRule="exact"/>
              <w:jc w:val="center"/>
              <w:rPr>
                <w:rFonts w:hint="eastAsia" w:ascii="宋体" w:hAnsi="宋体"/>
                <w:color w:val="000000"/>
                <w:szCs w:val="21"/>
              </w:rPr>
            </w:pPr>
            <w:r>
              <w:rPr>
                <w:rFonts w:hint="eastAsia" w:ascii="宋体" w:hAnsi="宋体"/>
                <w:color w:val="000000"/>
                <w:szCs w:val="21"/>
              </w:rPr>
              <w:t>0.339</w:t>
            </w:r>
          </w:p>
        </w:tc>
        <w:tc>
          <w:tcPr>
            <w:tcW w:w="3384" w:type="dxa"/>
            <w:noWrap w:val="0"/>
            <w:vAlign w:val="top"/>
          </w:tcPr>
          <w:p w14:paraId="78986A51">
            <w:pPr>
              <w:spacing w:line="460" w:lineRule="exact"/>
              <w:jc w:val="center"/>
              <w:rPr>
                <w:rFonts w:hint="eastAsia" w:ascii="宋体" w:hAnsi="宋体"/>
                <w:color w:val="000000"/>
                <w:szCs w:val="21"/>
              </w:rPr>
            </w:pPr>
            <w:r>
              <w:rPr>
                <w:rFonts w:hint="eastAsia" w:ascii="宋体" w:hAnsi="宋体"/>
                <w:color w:val="000000"/>
                <w:szCs w:val="21"/>
              </w:rPr>
              <w:t>0.373</w:t>
            </w:r>
          </w:p>
        </w:tc>
        <w:tc>
          <w:tcPr>
            <w:tcW w:w="2782" w:type="dxa"/>
            <w:vMerge w:val="restart"/>
            <w:noWrap w:val="0"/>
            <w:vAlign w:val="top"/>
          </w:tcPr>
          <w:p w14:paraId="2BE926CF">
            <w:pPr>
              <w:spacing w:line="460" w:lineRule="exact"/>
              <w:jc w:val="center"/>
              <w:rPr>
                <w:rFonts w:hint="eastAsia" w:ascii="宋体" w:hAnsi="宋体"/>
                <w:color w:val="000000"/>
                <w:szCs w:val="21"/>
              </w:rPr>
            </w:pPr>
          </w:p>
          <w:p w14:paraId="628985E7">
            <w:pPr>
              <w:spacing w:line="460" w:lineRule="exact"/>
              <w:jc w:val="center"/>
              <w:rPr>
                <w:rFonts w:hint="eastAsia" w:ascii="宋体" w:hAnsi="宋体"/>
                <w:color w:val="000000"/>
                <w:szCs w:val="21"/>
              </w:rPr>
            </w:pPr>
            <w:r>
              <w:rPr>
                <w:rFonts w:hint="eastAsia" w:ascii="宋体" w:hAnsi="宋体"/>
                <w:color w:val="000000"/>
                <w:szCs w:val="21"/>
              </w:rPr>
              <w:t>≤1.0</w:t>
            </w:r>
          </w:p>
        </w:tc>
      </w:tr>
      <w:tr w14:paraId="27AEC6A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45" w:type="dxa"/>
            <w:vMerge w:val="continue"/>
            <w:noWrap w:val="0"/>
            <w:vAlign w:val="top"/>
          </w:tcPr>
          <w:p w14:paraId="11DC398D">
            <w:pPr>
              <w:spacing w:line="460" w:lineRule="exact"/>
              <w:jc w:val="center"/>
              <w:rPr>
                <w:rFonts w:hint="eastAsia" w:ascii="宋体" w:hAnsi="宋体"/>
                <w:color w:val="000000"/>
                <w:szCs w:val="21"/>
              </w:rPr>
            </w:pPr>
          </w:p>
        </w:tc>
        <w:tc>
          <w:tcPr>
            <w:tcW w:w="1837" w:type="dxa"/>
            <w:noWrap w:val="0"/>
            <w:vAlign w:val="top"/>
          </w:tcPr>
          <w:p w14:paraId="51B5B809">
            <w:pPr>
              <w:spacing w:line="460" w:lineRule="exact"/>
              <w:jc w:val="center"/>
              <w:rPr>
                <w:rFonts w:hint="eastAsia" w:ascii="宋体" w:hAnsi="宋体"/>
                <w:color w:val="000000"/>
                <w:szCs w:val="21"/>
              </w:rPr>
            </w:pPr>
            <w:r>
              <w:rPr>
                <w:rFonts w:hint="eastAsia" w:ascii="宋体" w:hAnsi="宋体"/>
                <w:color w:val="000000"/>
                <w:szCs w:val="21"/>
              </w:rPr>
              <w:t>0.361</w:t>
            </w:r>
          </w:p>
        </w:tc>
        <w:tc>
          <w:tcPr>
            <w:tcW w:w="3384" w:type="dxa"/>
            <w:noWrap w:val="0"/>
            <w:vAlign w:val="top"/>
          </w:tcPr>
          <w:p w14:paraId="3A8C68DE">
            <w:pPr>
              <w:spacing w:line="460" w:lineRule="exact"/>
              <w:jc w:val="center"/>
              <w:rPr>
                <w:rFonts w:hint="eastAsia" w:ascii="宋体" w:hAnsi="宋体"/>
                <w:color w:val="000000"/>
                <w:szCs w:val="21"/>
              </w:rPr>
            </w:pPr>
            <w:r>
              <w:rPr>
                <w:rFonts w:hint="eastAsia" w:ascii="宋体" w:hAnsi="宋体"/>
                <w:color w:val="000000"/>
                <w:szCs w:val="21"/>
              </w:rPr>
              <w:t>0.392</w:t>
            </w:r>
          </w:p>
        </w:tc>
        <w:tc>
          <w:tcPr>
            <w:tcW w:w="2782" w:type="dxa"/>
            <w:vMerge w:val="continue"/>
            <w:noWrap w:val="0"/>
            <w:vAlign w:val="top"/>
          </w:tcPr>
          <w:p w14:paraId="696C1873">
            <w:pPr>
              <w:spacing w:line="460" w:lineRule="exact"/>
              <w:jc w:val="center"/>
              <w:rPr>
                <w:rFonts w:hint="eastAsia" w:ascii="宋体" w:hAnsi="宋体"/>
                <w:color w:val="000000"/>
                <w:szCs w:val="21"/>
              </w:rPr>
            </w:pPr>
          </w:p>
        </w:tc>
      </w:tr>
      <w:tr w14:paraId="4653AA8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45" w:type="dxa"/>
            <w:vMerge w:val="continue"/>
            <w:noWrap w:val="0"/>
            <w:vAlign w:val="top"/>
          </w:tcPr>
          <w:p w14:paraId="4F375915">
            <w:pPr>
              <w:spacing w:line="460" w:lineRule="exact"/>
              <w:jc w:val="center"/>
              <w:rPr>
                <w:rFonts w:hint="eastAsia" w:ascii="宋体" w:hAnsi="宋体"/>
                <w:color w:val="000000"/>
                <w:szCs w:val="21"/>
              </w:rPr>
            </w:pPr>
          </w:p>
        </w:tc>
        <w:tc>
          <w:tcPr>
            <w:tcW w:w="1837" w:type="dxa"/>
            <w:noWrap w:val="0"/>
            <w:vAlign w:val="top"/>
          </w:tcPr>
          <w:p w14:paraId="3C81FF69">
            <w:pPr>
              <w:spacing w:line="460" w:lineRule="exact"/>
              <w:jc w:val="center"/>
              <w:rPr>
                <w:rFonts w:hint="eastAsia" w:ascii="宋体" w:hAnsi="宋体"/>
                <w:color w:val="000000"/>
                <w:szCs w:val="21"/>
              </w:rPr>
            </w:pPr>
            <w:r>
              <w:rPr>
                <w:rFonts w:hint="eastAsia" w:ascii="宋体" w:hAnsi="宋体"/>
                <w:color w:val="000000"/>
                <w:szCs w:val="21"/>
              </w:rPr>
              <w:t>0.348</w:t>
            </w:r>
          </w:p>
        </w:tc>
        <w:tc>
          <w:tcPr>
            <w:tcW w:w="3384" w:type="dxa"/>
            <w:noWrap w:val="0"/>
            <w:vAlign w:val="top"/>
          </w:tcPr>
          <w:p w14:paraId="4C4DCB8A">
            <w:pPr>
              <w:spacing w:line="460" w:lineRule="exact"/>
              <w:jc w:val="center"/>
              <w:rPr>
                <w:rFonts w:hint="eastAsia" w:ascii="宋体" w:hAnsi="宋体"/>
                <w:color w:val="000000"/>
                <w:szCs w:val="21"/>
              </w:rPr>
            </w:pPr>
            <w:r>
              <w:rPr>
                <w:rFonts w:hint="eastAsia" w:ascii="宋体" w:hAnsi="宋体"/>
                <w:color w:val="000000"/>
                <w:szCs w:val="21"/>
              </w:rPr>
              <w:t>0.408</w:t>
            </w:r>
          </w:p>
        </w:tc>
        <w:tc>
          <w:tcPr>
            <w:tcW w:w="2782" w:type="dxa"/>
            <w:vMerge w:val="continue"/>
            <w:noWrap w:val="0"/>
            <w:vAlign w:val="top"/>
          </w:tcPr>
          <w:p w14:paraId="58BAD7B7">
            <w:pPr>
              <w:spacing w:line="460" w:lineRule="exact"/>
              <w:jc w:val="center"/>
              <w:rPr>
                <w:rFonts w:hint="eastAsia" w:ascii="宋体" w:hAnsi="宋体"/>
                <w:color w:val="000000"/>
                <w:szCs w:val="21"/>
              </w:rPr>
            </w:pPr>
          </w:p>
        </w:tc>
      </w:tr>
      <w:tr w14:paraId="6BC3CF1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45" w:type="dxa"/>
            <w:vMerge w:val="restart"/>
            <w:noWrap w:val="0"/>
            <w:vAlign w:val="top"/>
          </w:tcPr>
          <w:p w14:paraId="4A7EBCE8">
            <w:pPr>
              <w:spacing w:line="460" w:lineRule="exact"/>
              <w:jc w:val="center"/>
              <w:rPr>
                <w:rFonts w:hint="eastAsia" w:ascii="宋体" w:hAnsi="宋体"/>
                <w:color w:val="000000"/>
                <w:szCs w:val="21"/>
              </w:rPr>
            </w:pPr>
          </w:p>
          <w:p w14:paraId="62146146">
            <w:pPr>
              <w:spacing w:line="460" w:lineRule="exact"/>
              <w:jc w:val="center"/>
              <w:rPr>
                <w:rFonts w:hint="eastAsia" w:ascii="宋体" w:hAnsi="宋体"/>
                <w:color w:val="000000"/>
                <w:szCs w:val="21"/>
              </w:rPr>
            </w:pPr>
            <w:r>
              <w:rPr>
                <w:rFonts w:ascii="宋体" w:hAnsi="宋体"/>
                <w:color w:val="000000"/>
                <w:szCs w:val="21"/>
              </w:rPr>
              <w:t>COD</w:t>
            </w:r>
            <w:r>
              <w:rPr>
                <w:rFonts w:hint="eastAsia" w:ascii="宋体" w:hAnsi="宋体"/>
                <w:color w:val="000000"/>
                <w:szCs w:val="21"/>
                <w:vertAlign w:val="subscript"/>
              </w:rPr>
              <w:t>cr</w:t>
            </w:r>
          </w:p>
        </w:tc>
        <w:tc>
          <w:tcPr>
            <w:tcW w:w="1837" w:type="dxa"/>
            <w:noWrap w:val="0"/>
            <w:vAlign w:val="top"/>
          </w:tcPr>
          <w:p w14:paraId="1A06331E">
            <w:pPr>
              <w:spacing w:line="460" w:lineRule="exact"/>
              <w:jc w:val="center"/>
              <w:rPr>
                <w:rFonts w:hint="eastAsia" w:ascii="宋体" w:hAnsi="宋体"/>
                <w:color w:val="000000"/>
                <w:szCs w:val="21"/>
              </w:rPr>
            </w:pPr>
            <w:r>
              <w:rPr>
                <w:rFonts w:hint="eastAsia" w:ascii="宋体" w:hAnsi="宋体"/>
                <w:color w:val="000000"/>
                <w:szCs w:val="21"/>
              </w:rPr>
              <w:t>11.5</w:t>
            </w:r>
          </w:p>
        </w:tc>
        <w:tc>
          <w:tcPr>
            <w:tcW w:w="3384" w:type="dxa"/>
            <w:noWrap w:val="0"/>
            <w:vAlign w:val="top"/>
          </w:tcPr>
          <w:p w14:paraId="2EBB9196">
            <w:pPr>
              <w:spacing w:line="460" w:lineRule="exact"/>
              <w:jc w:val="center"/>
              <w:rPr>
                <w:rFonts w:hint="eastAsia" w:ascii="宋体" w:hAnsi="宋体"/>
                <w:color w:val="000000"/>
                <w:szCs w:val="21"/>
              </w:rPr>
            </w:pPr>
            <w:r>
              <w:rPr>
                <w:rFonts w:hint="eastAsia" w:ascii="宋体" w:hAnsi="宋体"/>
                <w:color w:val="000000"/>
                <w:szCs w:val="21"/>
              </w:rPr>
              <w:t>15.3</w:t>
            </w:r>
          </w:p>
        </w:tc>
        <w:tc>
          <w:tcPr>
            <w:tcW w:w="2782" w:type="dxa"/>
            <w:vMerge w:val="restart"/>
            <w:noWrap w:val="0"/>
            <w:vAlign w:val="top"/>
          </w:tcPr>
          <w:p w14:paraId="1A46655C">
            <w:pPr>
              <w:spacing w:line="460" w:lineRule="exact"/>
              <w:jc w:val="center"/>
              <w:rPr>
                <w:rFonts w:hint="eastAsia" w:ascii="宋体" w:hAnsi="宋体"/>
                <w:color w:val="000000"/>
                <w:szCs w:val="21"/>
              </w:rPr>
            </w:pPr>
          </w:p>
          <w:p w14:paraId="0F90A675">
            <w:pPr>
              <w:spacing w:line="460" w:lineRule="exact"/>
              <w:jc w:val="center"/>
              <w:rPr>
                <w:rFonts w:hint="eastAsia" w:ascii="宋体" w:hAnsi="宋体"/>
                <w:color w:val="000000"/>
                <w:szCs w:val="21"/>
              </w:rPr>
            </w:pPr>
            <w:r>
              <w:rPr>
                <w:rFonts w:hint="eastAsia" w:ascii="宋体" w:hAnsi="宋体"/>
                <w:color w:val="000000"/>
                <w:szCs w:val="21"/>
              </w:rPr>
              <w:t>≤20</w:t>
            </w:r>
          </w:p>
        </w:tc>
      </w:tr>
      <w:tr w14:paraId="6228BB8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45" w:type="dxa"/>
            <w:vMerge w:val="continue"/>
            <w:noWrap w:val="0"/>
            <w:vAlign w:val="top"/>
          </w:tcPr>
          <w:p w14:paraId="3FA7E78D">
            <w:pPr>
              <w:spacing w:line="460" w:lineRule="exact"/>
              <w:jc w:val="center"/>
              <w:rPr>
                <w:rFonts w:ascii="宋体" w:hAnsi="宋体"/>
                <w:color w:val="000000"/>
                <w:szCs w:val="21"/>
              </w:rPr>
            </w:pPr>
          </w:p>
        </w:tc>
        <w:tc>
          <w:tcPr>
            <w:tcW w:w="1837" w:type="dxa"/>
            <w:noWrap w:val="0"/>
            <w:vAlign w:val="top"/>
          </w:tcPr>
          <w:p w14:paraId="7706B4CF">
            <w:pPr>
              <w:spacing w:line="460" w:lineRule="exact"/>
              <w:jc w:val="center"/>
              <w:rPr>
                <w:rFonts w:hint="eastAsia" w:ascii="宋体" w:hAnsi="宋体"/>
                <w:color w:val="000000"/>
                <w:szCs w:val="21"/>
              </w:rPr>
            </w:pPr>
            <w:r>
              <w:rPr>
                <w:rFonts w:hint="eastAsia" w:ascii="宋体" w:hAnsi="宋体"/>
                <w:color w:val="000000"/>
                <w:szCs w:val="21"/>
              </w:rPr>
              <w:t>13.8</w:t>
            </w:r>
          </w:p>
        </w:tc>
        <w:tc>
          <w:tcPr>
            <w:tcW w:w="3384" w:type="dxa"/>
            <w:noWrap w:val="0"/>
            <w:vAlign w:val="top"/>
          </w:tcPr>
          <w:p w14:paraId="444B5454">
            <w:pPr>
              <w:spacing w:line="460" w:lineRule="exact"/>
              <w:jc w:val="center"/>
              <w:rPr>
                <w:rFonts w:hint="eastAsia" w:ascii="宋体" w:hAnsi="宋体"/>
                <w:color w:val="000000"/>
                <w:szCs w:val="21"/>
              </w:rPr>
            </w:pPr>
            <w:r>
              <w:rPr>
                <w:rFonts w:hint="eastAsia" w:ascii="宋体" w:hAnsi="宋体"/>
                <w:color w:val="000000"/>
                <w:szCs w:val="21"/>
              </w:rPr>
              <w:t>12.3</w:t>
            </w:r>
          </w:p>
        </w:tc>
        <w:tc>
          <w:tcPr>
            <w:tcW w:w="2782" w:type="dxa"/>
            <w:vMerge w:val="continue"/>
            <w:noWrap w:val="0"/>
            <w:vAlign w:val="top"/>
          </w:tcPr>
          <w:p w14:paraId="7716ABB1">
            <w:pPr>
              <w:spacing w:line="460" w:lineRule="exact"/>
              <w:jc w:val="center"/>
              <w:rPr>
                <w:rFonts w:hint="eastAsia" w:ascii="宋体" w:hAnsi="宋体"/>
                <w:color w:val="000000"/>
                <w:szCs w:val="21"/>
              </w:rPr>
            </w:pPr>
          </w:p>
        </w:tc>
      </w:tr>
      <w:tr w14:paraId="1D61B5C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45" w:type="dxa"/>
            <w:vMerge w:val="continue"/>
            <w:noWrap w:val="0"/>
            <w:vAlign w:val="top"/>
          </w:tcPr>
          <w:p w14:paraId="402FACEE">
            <w:pPr>
              <w:spacing w:line="460" w:lineRule="exact"/>
              <w:jc w:val="center"/>
              <w:rPr>
                <w:rFonts w:ascii="宋体" w:hAnsi="宋体"/>
                <w:color w:val="000000"/>
                <w:szCs w:val="21"/>
              </w:rPr>
            </w:pPr>
          </w:p>
        </w:tc>
        <w:tc>
          <w:tcPr>
            <w:tcW w:w="1837" w:type="dxa"/>
            <w:noWrap w:val="0"/>
            <w:vAlign w:val="top"/>
          </w:tcPr>
          <w:p w14:paraId="725F308D">
            <w:pPr>
              <w:spacing w:line="460" w:lineRule="exact"/>
              <w:jc w:val="center"/>
              <w:rPr>
                <w:rFonts w:hint="eastAsia" w:ascii="宋体" w:hAnsi="宋体"/>
                <w:color w:val="000000"/>
                <w:szCs w:val="21"/>
              </w:rPr>
            </w:pPr>
            <w:r>
              <w:rPr>
                <w:rFonts w:hint="eastAsia" w:ascii="宋体" w:hAnsi="宋体"/>
                <w:color w:val="000000"/>
                <w:szCs w:val="21"/>
              </w:rPr>
              <w:t>16.5</w:t>
            </w:r>
          </w:p>
        </w:tc>
        <w:tc>
          <w:tcPr>
            <w:tcW w:w="3384" w:type="dxa"/>
            <w:noWrap w:val="0"/>
            <w:vAlign w:val="top"/>
          </w:tcPr>
          <w:p w14:paraId="44A24CB7">
            <w:pPr>
              <w:spacing w:line="460" w:lineRule="exact"/>
              <w:jc w:val="center"/>
              <w:rPr>
                <w:rFonts w:hint="eastAsia" w:ascii="宋体" w:hAnsi="宋体"/>
                <w:color w:val="000000"/>
                <w:szCs w:val="21"/>
              </w:rPr>
            </w:pPr>
            <w:r>
              <w:rPr>
                <w:rFonts w:hint="eastAsia" w:ascii="宋体" w:hAnsi="宋体"/>
                <w:color w:val="000000"/>
                <w:szCs w:val="21"/>
              </w:rPr>
              <w:t>12.7</w:t>
            </w:r>
          </w:p>
        </w:tc>
        <w:tc>
          <w:tcPr>
            <w:tcW w:w="2782" w:type="dxa"/>
            <w:vMerge w:val="continue"/>
            <w:noWrap w:val="0"/>
            <w:vAlign w:val="top"/>
          </w:tcPr>
          <w:p w14:paraId="3C7763DF">
            <w:pPr>
              <w:spacing w:line="460" w:lineRule="exact"/>
              <w:jc w:val="center"/>
              <w:rPr>
                <w:rFonts w:hint="eastAsia" w:ascii="宋体" w:hAnsi="宋体"/>
                <w:color w:val="000000"/>
                <w:szCs w:val="21"/>
              </w:rPr>
            </w:pPr>
          </w:p>
        </w:tc>
      </w:tr>
      <w:tr w14:paraId="60D4507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45" w:type="dxa"/>
            <w:vMerge w:val="restart"/>
            <w:noWrap w:val="0"/>
            <w:vAlign w:val="top"/>
          </w:tcPr>
          <w:p w14:paraId="0CEC6CA4">
            <w:pPr>
              <w:spacing w:line="460" w:lineRule="exact"/>
              <w:jc w:val="center"/>
              <w:rPr>
                <w:rFonts w:hint="eastAsia" w:ascii="宋体" w:hAnsi="宋体"/>
                <w:color w:val="000000"/>
                <w:szCs w:val="21"/>
              </w:rPr>
            </w:pPr>
          </w:p>
          <w:p w14:paraId="462A116F">
            <w:pPr>
              <w:spacing w:line="460" w:lineRule="exact"/>
              <w:jc w:val="center"/>
              <w:rPr>
                <w:rFonts w:hint="eastAsia" w:ascii="宋体" w:hAnsi="宋体"/>
                <w:color w:val="000000"/>
                <w:szCs w:val="21"/>
              </w:rPr>
            </w:pPr>
            <w:r>
              <w:rPr>
                <w:rFonts w:ascii="宋体" w:hAnsi="宋体"/>
                <w:color w:val="000000"/>
                <w:szCs w:val="21"/>
              </w:rPr>
              <w:t>BOD</w:t>
            </w:r>
            <w:r>
              <w:rPr>
                <w:rFonts w:ascii="宋体" w:hAnsi="宋体"/>
                <w:color w:val="000000"/>
                <w:szCs w:val="21"/>
                <w:vertAlign w:val="subscript"/>
              </w:rPr>
              <w:t>5</w:t>
            </w:r>
          </w:p>
        </w:tc>
        <w:tc>
          <w:tcPr>
            <w:tcW w:w="1837" w:type="dxa"/>
            <w:noWrap w:val="0"/>
            <w:vAlign w:val="top"/>
          </w:tcPr>
          <w:p w14:paraId="6EEB352E">
            <w:pPr>
              <w:spacing w:line="460" w:lineRule="exact"/>
              <w:jc w:val="center"/>
              <w:rPr>
                <w:rFonts w:hint="eastAsia" w:ascii="宋体" w:hAnsi="宋体"/>
                <w:color w:val="000000"/>
                <w:szCs w:val="21"/>
              </w:rPr>
            </w:pPr>
            <w:r>
              <w:rPr>
                <w:rFonts w:hint="eastAsia" w:ascii="宋体" w:hAnsi="宋体"/>
                <w:color w:val="000000"/>
                <w:szCs w:val="21"/>
              </w:rPr>
              <w:t>0.884</w:t>
            </w:r>
          </w:p>
        </w:tc>
        <w:tc>
          <w:tcPr>
            <w:tcW w:w="3384" w:type="dxa"/>
            <w:noWrap w:val="0"/>
            <w:vAlign w:val="top"/>
          </w:tcPr>
          <w:p w14:paraId="6A8EAEF8">
            <w:pPr>
              <w:spacing w:line="460" w:lineRule="exact"/>
              <w:jc w:val="center"/>
              <w:rPr>
                <w:rFonts w:hint="eastAsia" w:ascii="宋体" w:hAnsi="宋体"/>
                <w:color w:val="000000"/>
                <w:szCs w:val="21"/>
              </w:rPr>
            </w:pPr>
            <w:r>
              <w:rPr>
                <w:rFonts w:hint="eastAsia" w:ascii="宋体" w:hAnsi="宋体"/>
                <w:color w:val="000000"/>
                <w:szCs w:val="21"/>
              </w:rPr>
              <w:t>0.780</w:t>
            </w:r>
          </w:p>
        </w:tc>
        <w:tc>
          <w:tcPr>
            <w:tcW w:w="2782" w:type="dxa"/>
            <w:vMerge w:val="restart"/>
            <w:noWrap w:val="0"/>
            <w:vAlign w:val="top"/>
          </w:tcPr>
          <w:p w14:paraId="22F690B3">
            <w:pPr>
              <w:spacing w:line="460" w:lineRule="exact"/>
              <w:jc w:val="center"/>
              <w:rPr>
                <w:rFonts w:hint="eastAsia" w:ascii="宋体" w:hAnsi="宋体"/>
                <w:color w:val="000000"/>
                <w:szCs w:val="21"/>
              </w:rPr>
            </w:pPr>
          </w:p>
          <w:p w14:paraId="02CBCEFE">
            <w:pPr>
              <w:spacing w:line="460" w:lineRule="exact"/>
              <w:jc w:val="center"/>
              <w:rPr>
                <w:rFonts w:hint="eastAsia" w:ascii="宋体" w:hAnsi="宋体"/>
                <w:color w:val="000000"/>
                <w:szCs w:val="21"/>
              </w:rPr>
            </w:pPr>
            <w:r>
              <w:rPr>
                <w:rFonts w:hint="eastAsia" w:ascii="宋体" w:hAnsi="宋体"/>
                <w:color w:val="000000"/>
                <w:szCs w:val="21"/>
              </w:rPr>
              <w:t>≤4</w:t>
            </w:r>
          </w:p>
        </w:tc>
      </w:tr>
      <w:tr w14:paraId="3F44A39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45" w:type="dxa"/>
            <w:vMerge w:val="continue"/>
            <w:noWrap w:val="0"/>
            <w:vAlign w:val="top"/>
          </w:tcPr>
          <w:p w14:paraId="6D747D46">
            <w:pPr>
              <w:spacing w:line="460" w:lineRule="exact"/>
              <w:jc w:val="center"/>
              <w:rPr>
                <w:rFonts w:ascii="宋体" w:hAnsi="宋体"/>
                <w:color w:val="000000"/>
                <w:szCs w:val="21"/>
              </w:rPr>
            </w:pPr>
          </w:p>
        </w:tc>
        <w:tc>
          <w:tcPr>
            <w:tcW w:w="1837" w:type="dxa"/>
            <w:noWrap w:val="0"/>
            <w:vAlign w:val="top"/>
          </w:tcPr>
          <w:p w14:paraId="2FEE98F4">
            <w:pPr>
              <w:spacing w:line="460" w:lineRule="exact"/>
              <w:jc w:val="center"/>
              <w:rPr>
                <w:rFonts w:hint="eastAsia" w:ascii="宋体" w:hAnsi="宋体"/>
                <w:color w:val="000000"/>
                <w:szCs w:val="21"/>
              </w:rPr>
            </w:pPr>
            <w:r>
              <w:rPr>
                <w:rFonts w:hint="eastAsia" w:ascii="宋体" w:hAnsi="宋体"/>
                <w:color w:val="000000"/>
                <w:szCs w:val="21"/>
              </w:rPr>
              <w:t>0.712</w:t>
            </w:r>
          </w:p>
        </w:tc>
        <w:tc>
          <w:tcPr>
            <w:tcW w:w="3384" w:type="dxa"/>
            <w:noWrap w:val="0"/>
            <w:vAlign w:val="top"/>
          </w:tcPr>
          <w:p w14:paraId="5F6C0283">
            <w:pPr>
              <w:spacing w:line="460" w:lineRule="exact"/>
              <w:jc w:val="center"/>
              <w:rPr>
                <w:rFonts w:hint="eastAsia" w:ascii="宋体" w:hAnsi="宋体"/>
                <w:color w:val="000000"/>
                <w:szCs w:val="21"/>
              </w:rPr>
            </w:pPr>
            <w:r>
              <w:rPr>
                <w:rFonts w:hint="eastAsia" w:ascii="宋体" w:hAnsi="宋体"/>
                <w:color w:val="000000"/>
                <w:szCs w:val="21"/>
              </w:rPr>
              <w:t>0.860</w:t>
            </w:r>
          </w:p>
        </w:tc>
        <w:tc>
          <w:tcPr>
            <w:tcW w:w="2782" w:type="dxa"/>
            <w:vMerge w:val="continue"/>
            <w:noWrap w:val="0"/>
            <w:vAlign w:val="top"/>
          </w:tcPr>
          <w:p w14:paraId="49EC71EC">
            <w:pPr>
              <w:spacing w:line="460" w:lineRule="exact"/>
              <w:jc w:val="center"/>
              <w:rPr>
                <w:rFonts w:hint="eastAsia" w:ascii="宋体" w:hAnsi="宋体"/>
                <w:color w:val="000000"/>
                <w:szCs w:val="21"/>
              </w:rPr>
            </w:pPr>
          </w:p>
        </w:tc>
      </w:tr>
      <w:tr w14:paraId="305F969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45" w:type="dxa"/>
            <w:vMerge w:val="continue"/>
            <w:noWrap w:val="0"/>
            <w:vAlign w:val="top"/>
          </w:tcPr>
          <w:p w14:paraId="15CCBFDF">
            <w:pPr>
              <w:spacing w:line="460" w:lineRule="exact"/>
              <w:jc w:val="center"/>
              <w:rPr>
                <w:rFonts w:ascii="宋体" w:hAnsi="宋体"/>
                <w:color w:val="000000"/>
                <w:szCs w:val="21"/>
              </w:rPr>
            </w:pPr>
          </w:p>
        </w:tc>
        <w:tc>
          <w:tcPr>
            <w:tcW w:w="1837" w:type="dxa"/>
            <w:noWrap w:val="0"/>
            <w:vAlign w:val="top"/>
          </w:tcPr>
          <w:p w14:paraId="7540AF09">
            <w:pPr>
              <w:spacing w:line="460" w:lineRule="exact"/>
              <w:jc w:val="center"/>
              <w:rPr>
                <w:rFonts w:hint="eastAsia" w:ascii="宋体" w:hAnsi="宋体"/>
                <w:color w:val="000000"/>
                <w:szCs w:val="21"/>
              </w:rPr>
            </w:pPr>
            <w:r>
              <w:rPr>
                <w:rFonts w:hint="eastAsia" w:ascii="宋体" w:hAnsi="宋体"/>
                <w:color w:val="000000"/>
                <w:szCs w:val="21"/>
              </w:rPr>
              <w:t>0.940</w:t>
            </w:r>
          </w:p>
        </w:tc>
        <w:tc>
          <w:tcPr>
            <w:tcW w:w="3384" w:type="dxa"/>
            <w:noWrap w:val="0"/>
            <w:vAlign w:val="top"/>
          </w:tcPr>
          <w:p w14:paraId="534E45EF">
            <w:pPr>
              <w:spacing w:line="460" w:lineRule="exact"/>
              <w:jc w:val="center"/>
              <w:rPr>
                <w:rFonts w:hint="eastAsia" w:ascii="宋体" w:hAnsi="宋体"/>
                <w:color w:val="000000"/>
                <w:szCs w:val="21"/>
              </w:rPr>
            </w:pPr>
            <w:r>
              <w:rPr>
                <w:rFonts w:hint="eastAsia" w:ascii="宋体" w:hAnsi="宋体"/>
                <w:color w:val="000000"/>
                <w:szCs w:val="21"/>
              </w:rPr>
              <w:t>1.02</w:t>
            </w:r>
          </w:p>
        </w:tc>
        <w:tc>
          <w:tcPr>
            <w:tcW w:w="2782" w:type="dxa"/>
            <w:vMerge w:val="continue"/>
            <w:noWrap w:val="0"/>
            <w:vAlign w:val="top"/>
          </w:tcPr>
          <w:p w14:paraId="71A1047B">
            <w:pPr>
              <w:spacing w:line="460" w:lineRule="exact"/>
              <w:jc w:val="center"/>
              <w:rPr>
                <w:rFonts w:hint="eastAsia" w:ascii="宋体" w:hAnsi="宋体"/>
                <w:color w:val="000000"/>
                <w:szCs w:val="21"/>
              </w:rPr>
            </w:pPr>
          </w:p>
        </w:tc>
      </w:tr>
      <w:tr w14:paraId="75290D3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45" w:type="dxa"/>
            <w:vMerge w:val="restart"/>
            <w:noWrap w:val="0"/>
            <w:vAlign w:val="top"/>
          </w:tcPr>
          <w:p w14:paraId="717B0156">
            <w:pPr>
              <w:spacing w:line="460" w:lineRule="exact"/>
              <w:jc w:val="center"/>
              <w:rPr>
                <w:rFonts w:hint="eastAsia" w:ascii="宋体" w:hAnsi="宋体"/>
                <w:color w:val="000000"/>
                <w:szCs w:val="21"/>
              </w:rPr>
            </w:pPr>
          </w:p>
          <w:p w14:paraId="66ABA9EE">
            <w:pPr>
              <w:spacing w:line="460" w:lineRule="exact"/>
              <w:jc w:val="center"/>
              <w:rPr>
                <w:rFonts w:hint="eastAsia" w:ascii="宋体" w:hAnsi="宋体"/>
                <w:color w:val="000000"/>
                <w:szCs w:val="21"/>
              </w:rPr>
            </w:pPr>
            <w:r>
              <w:rPr>
                <w:rFonts w:hint="eastAsia" w:ascii="宋体" w:hAnsi="宋体"/>
                <w:color w:val="000000"/>
                <w:szCs w:val="21"/>
              </w:rPr>
              <w:t>SS</w:t>
            </w:r>
          </w:p>
        </w:tc>
        <w:tc>
          <w:tcPr>
            <w:tcW w:w="1837" w:type="dxa"/>
            <w:noWrap w:val="0"/>
            <w:vAlign w:val="top"/>
          </w:tcPr>
          <w:p w14:paraId="39A7FFBA">
            <w:pPr>
              <w:spacing w:line="460" w:lineRule="exact"/>
              <w:jc w:val="center"/>
              <w:rPr>
                <w:rFonts w:hint="eastAsia" w:ascii="宋体" w:hAnsi="宋体"/>
                <w:color w:val="000000"/>
                <w:szCs w:val="21"/>
              </w:rPr>
            </w:pPr>
            <w:r>
              <w:rPr>
                <w:rFonts w:hint="eastAsia" w:ascii="宋体" w:hAnsi="宋体"/>
                <w:color w:val="000000"/>
                <w:szCs w:val="21"/>
              </w:rPr>
              <w:t>26</w:t>
            </w:r>
          </w:p>
        </w:tc>
        <w:tc>
          <w:tcPr>
            <w:tcW w:w="3384" w:type="dxa"/>
            <w:noWrap w:val="0"/>
            <w:vAlign w:val="top"/>
          </w:tcPr>
          <w:p w14:paraId="7432E222">
            <w:pPr>
              <w:spacing w:line="460" w:lineRule="exact"/>
              <w:jc w:val="center"/>
              <w:rPr>
                <w:rFonts w:hint="eastAsia" w:ascii="宋体" w:hAnsi="宋体"/>
                <w:color w:val="000000"/>
                <w:szCs w:val="21"/>
              </w:rPr>
            </w:pPr>
            <w:r>
              <w:rPr>
                <w:rFonts w:hint="eastAsia" w:ascii="宋体" w:hAnsi="宋体"/>
                <w:color w:val="000000"/>
                <w:szCs w:val="21"/>
              </w:rPr>
              <w:t>29</w:t>
            </w:r>
          </w:p>
        </w:tc>
        <w:tc>
          <w:tcPr>
            <w:tcW w:w="2782" w:type="dxa"/>
            <w:vMerge w:val="restart"/>
            <w:noWrap w:val="0"/>
            <w:vAlign w:val="top"/>
          </w:tcPr>
          <w:p w14:paraId="5BDB754F">
            <w:pPr>
              <w:spacing w:line="460" w:lineRule="exact"/>
              <w:jc w:val="center"/>
              <w:rPr>
                <w:rFonts w:hint="eastAsia" w:ascii="宋体" w:hAnsi="宋体"/>
                <w:color w:val="000000"/>
                <w:szCs w:val="21"/>
              </w:rPr>
            </w:pPr>
          </w:p>
          <w:p w14:paraId="4584D7FC">
            <w:pPr>
              <w:spacing w:line="460" w:lineRule="exact"/>
              <w:jc w:val="center"/>
              <w:rPr>
                <w:rFonts w:hint="eastAsia" w:ascii="宋体" w:hAnsi="宋体"/>
                <w:color w:val="000000"/>
                <w:szCs w:val="21"/>
              </w:rPr>
            </w:pPr>
            <w:r>
              <w:rPr>
                <w:rFonts w:hint="eastAsia" w:ascii="宋体" w:hAnsi="宋体"/>
                <w:color w:val="000000"/>
                <w:szCs w:val="21"/>
              </w:rPr>
              <w:t>/</w:t>
            </w:r>
          </w:p>
        </w:tc>
      </w:tr>
      <w:tr w14:paraId="6AA3CDA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45" w:type="dxa"/>
            <w:vMerge w:val="continue"/>
            <w:noWrap w:val="0"/>
            <w:vAlign w:val="top"/>
          </w:tcPr>
          <w:p w14:paraId="15D31D23">
            <w:pPr>
              <w:spacing w:line="460" w:lineRule="exact"/>
              <w:jc w:val="center"/>
              <w:rPr>
                <w:rFonts w:hint="eastAsia" w:ascii="宋体" w:hAnsi="宋体"/>
                <w:color w:val="000000"/>
                <w:szCs w:val="21"/>
              </w:rPr>
            </w:pPr>
          </w:p>
        </w:tc>
        <w:tc>
          <w:tcPr>
            <w:tcW w:w="1837" w:type="dxa"/>
            <w:noWrap w:val="0"/>
            <w:vAlign w:val="top"/>
          </w:tcPr>
          <w:p w14:paraId="4A817126">
            <w:pPr>
              <w:spacing w:line="460" w:lineRule="exact"/>
              <w:jc w:val="center"/>
              <w:rPr>
                <w:rFonts w:hint="eastAsia" w:ascii="宋体" w:hAnsi="宋体"/>
                <w:color w:val="000000"/>
                <w:szCs w:val="21"/>
              </w:rPr>
            </w:pPr>
            <w:r>
              <w:rPr>
                <w:rFonts w:hint="eastAsia" w:ascii="宋体" w:hAnsi="宋体"/>
                <w:color w:val="000000"/>
                <w:szCs w:val="21"/>
              </w:rPr>
              <w:t>33</w:t>
            </w:r>
          </w:p>
        </w:tc>
        <w:tc>
          <w:tcPr>
            <w:tcW w:w="3384" w:type="dxa"/>
            <w:noWrap w:val="0"/>
            <w:vAlign w:val="top"/>
          </w:tcPr>
          <w:p w14:paraId="7564AE17">
            <w:pPr>
              <w:spacing w:line="460" w:lineRule="exact"/>
              <w:jc w:val="center"/>
              <w:rPr>
                <w:rFonts w:hint="eastAsia" w:ascii="宋体" w:hAnsi="宋体"/>
                <w:color w:val="000000"/>
                <w:szCs w:val="21"/>
              </w:rPr>
            </w:pPr>
            <w:r>
              <w:rPr>
                <w:rFonts w:hint="eastAsia" w:ascii="宋体" w:hAnsi="宋体"/>
                <w:color w:val="000000"/>
                <w:szCs w:val="21"/>
              </w:rPr>
              <w:t>34</w:t>
            </w:r>
          </w:p>
        </w:tc>
        <w:tc>
          <w:tcPr>
            <w:tcW w:w="2782" w:type="dxa"/>
            <w:vMerge w:val="continue"/>
            <w:noWrap w:val="0"/>
            <w:vAlign w:val="top"/>
          </w:tcPr>
          <w:p w14:paraId="5EDCD575">
            <w:pPr>
              <w:spacing w:line="460" w:lineRule="exact"/>
              <w:jc w:val="center"/>
              <w:rPr>
                <w:rFonts w:hint="eastAsia" w:ascii="宋体" w:hAnsi="宋体"/>
                <w:color w:val="000000"/>
                <w:szCs w:val="21"/>
              </w:rPr>
            </w:pPr>
          </w:p>
        </w:tc>
      </w:tr>
      <w:tr w14:paraId="774862D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45" w:type="dxa"/>
            <w:vMerge w:val="continue"/>
            <w:noWrap w:val="0"/>
            <w:vAlign w:val="top"/>
          </w:tcPr>
          <w:p w14:paraId="5FAF499A">
            <w:pPr>
              <w:spacing w:line="460" w:lineRule="exact"/>
              <w:jc w:val="center"/>
              <w:rPr>
                <w:rFonts w:hint="eastAsia" w:ascii="宋体" w:hAnsi="宋体"/>
                <w:color w:val="000000"/>
                <w:szCs w:val="21"/>
              </w:rPr>
            </w:pPr>
          </w:p>
        </w:tc>
        <w:tc>
          <w:tcPr>
            <w:tcW w:w="1837" w:type="dxa"/>
            <w:noWrap w:val="0"/>
            <w:vAlign w:val="top"/>
          </w:tcPr>
          <w:p w14:paraId="50956278">
            <w:pPr>
              <w:spacing w:line="460" w:lineRule="exact"/>
              <w:jc w:val="center"/>
              <w:rPr>
                <w:rFonts w:hint="eastAsia" w:ascii="宋体" w:hAnsi="宋体"/>
                <w:color w:val="000000"/>
                <w:szCs w:val="21"/>
              </w:rPr>
            </w:pPr>
            <w:r>
              <w:rPr>
                <w:rFonts w:hint="eastAsia" w:ascii="宋体" w:hAnsi="宋体"/>
                <w:color w:val="000000"/>
                <w:szCs w:val="21"/>
              </w:rPr>
              <w:t>22</w:t>
            </w:r>
          </w:p>
        </w:tc>
        <w:tc>
          <w:tcPr>
            <w:tcW w:w="3384" w:type="dxa"/>
            <w:noWrap w:val="0"/>
            <w:vAlign w:val="top"/>
          </w:tcPr>
          <w:p w14:paraId="616B4B1A">
            <w:pPr>
              <w:spacing w:line="460" w:lineRule="exact"/>
              <w:jc w:val="center"/>
              <w:rPr>
                <w:rFonts w:hint="eastAsia" w:ascii="宋体" w:hAnsi="宋体"/>
                <w:color w:val="000000"/>
                <w:szCs w:val="21"/>
              </w:rPr>
            </w:pPr>
            <w:r>
              <w:rPr>
                <w:rFonts w:hint="eastAsia" w:ascii="宋体" w:hAnsi="宋体"/>
                <w:color w:val="000000"/>
                <w:szCs w:val="21"/>
              </w:rPr>
              <w:t>28</w:t>
            </w:r>
          </w:p>
        </w:tc>
        <w:tc>
          <w:tcPr>
            <w:tcW w:w="2782" w:type="dxa"/>
            <w:vMerge w:val="continue"/>
            <w:noWrap w:val="0"/>
            <w:vAlign w:val="top"/>
          </w:tcPr>
          <w:p w14:paraId="563C3210">
            <w:pPr>
              <w:spacing w:line="460" w:lineRule="exact"/>
              <w:jc w:val="center"/>
              <w:rPr>
                <w:rFonts w:hint="eastAsia" w:ascii="宋体" w:hAnsi="宋体"/>
                <w:color w:val="000000"/>
                <w:szCs w:val="21"/>
              </w:rPr>
            </w:pPr>
          </w:p>
        </w:tc>
      </w:tr>
      <w:tr w14:paraId="2788C01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45" w:type="dxa"/>
            <w:vMerge w:val="restart"/>
            <w:noWrap w:val="0"/>
            <w:vAlign w:val="top"/>
          </w:tcPr>
          <w:p w14:paraId="73F56332">
            <w:pPr>
              <w:spacing w:line="460" w:lineRule="exact"/>
              <w:jc w:val="center"/>
              <w:rPr>
                <w:rFonts w:hint="eastAsia" w:ascii="宋体" w:hAnsi="宋体"/>
                <w:color w:val="000000"/>
                <w:szCs w:val="21"/>
              </w:rPr>
            </w:pPr>
            <w:r>
              <w:rPr>
                <w:rFonts w:hint="eastAsia" w:ascii="宋体" w:hAnsi="宋体"/>
                <w:color w:val="000000"/>
                <w:szCs w:val="21"/>
              </w:rPr>
              <w:t>石</w:t>
            </w:r>
          </w:p>
          <w:p w14:paraId="7FD6A918">
            <w:pPr>
              <w:spacing w:line="460" w:lineRule="exact"/>
              <w:jc w:val="center"/>
              <w:rPr>
                <w:rFonts w:hint="eastAsia" w:ascii="宋体" w:hAnsi="宋体"/>
                <w:color w:val="000000"/>
                <w:szCs w:val="21"/>
              </w:rPr>
            </w:pPr>
            <w:r>
              <w:rPr>
                <w:rFonts w:hint="eastAsia" w:ascii="宋体" w:hAnsi="宋体"/>
                <w:color w:val="000000"/>
                <w:szCs w:val="21"/>
              </w:rPr>
              <w:t>油</w:t>
            </w:r>
          </w:p>
          <w:p w14:paraId="69507E3E">
            <w:pPr>
              <w:spacing w:line="460" w:lineRule="exact"/>
              <w:jc w:val="center"/>
              <w:rPr>
                <w:rFonts w:hint="eastAsia" w:ascii="宋体" w:hAnsi="宋体"/>
                <w:color w:val="000000"/>
                <w:szCs w:val="21"/>
              </w:rPr>
            </w:pPr>
            <w:r>
              <w:rPr>
                <w:rFonts w:hint="eastAsia" w:ascii="宋体" w:hAnsi="宋体"/>
                <w:color w:val="000000"/>
                <w:szCs w:val="21"/>
              </w:rPr>
              <w:t>类</w:t>
            </w:r>
          </w:p>
        </w:tc>
        <w:tc>
          <w:tcPr>
            <w:tcW w:w="1837" w:type="dxa"/>
            <w:noWrap w:val="0"/>
            <w:vAlign w:val="top"/>
          </w:tcPr>
          <w:p w14:paraId="7E867C09">
            <w:pPr>
              <w:spacing w:line="460" w:lineRule="exact"/>
              <w:jc w:val="center"/>
              <w:rPr>
                <w:rFonts w:hint="eastAsia" w:ascii="宋体" w:hAnsi="宋体"/>
                <w:color w:val="000000"/>
                <w:szCs w:val="21"/>
              </w:rPr>
            </w:pPr>
            <w:r>
              <w:rPr>
                <w:rFonts w:hint="eastAsia" w:ascii="宋体" w:hAnsi="宋体"/>
                <w:color w:val="000000"/>
                <w:szCs w:val="21"/>
              </w:rPr>
              <w:t>0.012</w:t>
            </w:r>
          </w:p>
        </w:tc>
        <w:tc>
          <w:tcPr>
            <w:tcW w:w="3384" w:type="dxa"/>
            <w:noWrap w:val="0"/>
            <w:vAlign w:val="top"/>
          </w:tcPr>
          <w:p w14:paraId="281ED6F1">
            <w:pPr>
              <w:spacing w:line="460" w:lineRule="exact"/>
              <w:jc w:val="center"/>
              <w:rPr>
                <w:rFonts w:hint="eastAsia" w:ascii="宋体" w:hAnsi="宋体"/>
                <w:color w:val="000000"/>
                <w:szCs w:val="21"/>
              </w:rPr>
            </w:pPr>
            <w:r>
              <w:rPr>
                <w:rFonts w:hint="eastAsia" w:ascii="宋体" w:hAnsi="宋体"/>
                <w:color w:val="000000"/>
                <w:szCs w:val="21"/>
              </w:rPr>
              <w:t>0.007</w:t>
            </w:r>
          </w:p>
        </w:tc>
        <w:tc>
          <w:tcPr>
            <w:tcW w:w="2782" w:type="dxa"/>
            <w:vMerge w:val="restart"/>
            <w:noWrap w:val="0"/>
            <w:vAlign w:val="top"/>
          </w:tcPr>
          <w:p w14:paraId="748B9B08">
            <w:pPr>
              <w:spacing w:line="460" w:lineRule="exact"/>
              <w:jc w:val="center"/>
              <w:rPr>
                <w:rFonts w:hint="eastAsia" w:ascii="宋体" w:hAnsi="宋体"/>
                <w:color w:val="000000"/>
                <w:szCs w:val="21"/>
              </w:rPr>
            </w:pPr>
          </w:p>
          <w:p w14:paraId="4A604F83">
            <w:pPr>
              <w:spacing w:line="460" w:lineRule="exact"/>
              <w:jc w:val="center"/>
              <w:rPr>
                <w:rFonts w:hint="eastAsia" w:ascii="宋体" w:hAnsi="宋体"/>
                <w:color w:val="000000"/>
                <w:szCs w:val="21"/>
              </w:rPr>
            </w:pPr>
            <w:r>
              <w:rPr>
                <w:rFonts w:hint="eastAsia" w:ascii="宋体" w:hAnsi="宋体"/>
                <w:color w:val="000000"/>
                <w:szCs w:val="21"/>
              </w:rPr>
              <w:t>≤0.05</w:t>
            </w:r>
          </w:p>
        </w:tc>
      </w:tr>
      <w:tr w14:paraId="27B9999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45" w:type="dxa"/>
            <w:vMerge w:val="continue"/>
            <w:noWrap w:val="0"/>
            <w:vAlign w:val="top"/>
          </w:tcPr>
          <w:p w14:paraId="3C0B4135">
            <w:pPr>
              <w:spacing w:line="460" w:lineRule="exact"/>
              <w:jc w:val="center"/>
              <w:rPr>
                <w:rFonts w:ascii="宋体" w:hAnsi="宋体"/>
                <w:color w:val="000000"/>
                <w:szCs w:val="21"/>
              </w:rPr>
            </w:pPr>
          </w:p>
        </w:tc>
        <w:tc>
          <w:tcPr>
            <w:tcW w:w="1837" w:type="dxa"/>
            <w:noWrap w:val="0"/>
            <w:vAlign w:val="top"/>
          </w:tcPr>
          <w:p w14:paraId="240A2ACD">
            <w:pPr>
              <w:spacing w:line="460" w:lineRule="exact"/>
              <w:jc w:val="center"/>
              <w:rPr>
                <w:rFonts w:hint="eastAsia" w:ascii="宋体" w:hAnsi="宋体"/>
                <w:color w:val="000000"/>
                <w:szCs w:val="21"/>
              </w:rPr>
            </w:pPr>
            <w:r>
              <w:rPr>
                <w:rFonts w:hint="eastAsia" w:ascii="宋体" w:hAnsi="宋体"/>
                <w:color w:val="000000"/>
                <w:szCs w:val="21"/>
              </w:rPr>
              <w:t>0.011</w:t>
            </w:r>
          </w:p>
        </w:tc>
        <w:tc>
          <w:tcPr>
            <w:tcW w:w="3384" w:type="dxa"/>
            <w:noWrap w:val="0"/>
            <w:vAlign w:val="top"/>
          </w:tcPr>
          <w:p w14:paraId="1443EAB4">
            <w:pPr>
              <w:spacing w:line="460" w:lineRule="exact"/>
              <w:jc w:val="center"/>
              <w:rPr>
                <w:rFonts w:hint="eastAsia" w:ascii="宋体" w:hAnsi="宋体"/>
                <w:color w:val="000000"/>
                <w:szCs w:val="21"/>
              </w:rPr>
            </w:pPr>
            <w:r>
              <w:rPr>
                <w:rFonts w:hint="eastAsia" w:ascii="宋体" w:hAnsi="宋体"/>
                <w:color w:val="000000"/>
                <w:szCs w:val="21"/>
              </w:rPr>
              <w:t>0.006</w:t>
            </w:r>
          </w:p>
        </w:tc>
        <w:tc>
          <w:tcPr>
            <w:tcW w:w="2782" w:type="dxa"/>
            <w:vMerge w:val="continue"/>
            <w:noWrap w:val="0"/>
            <w:vAlign w:val="top"/>
          </w:tcPr>
          <w:p w14:paraId="08FBB1CC">
            <w:pPr>
              <w:spacing w:line="460" w:lineRule="exact"/>
              <w:jc w:val="center"/>
              <w:rPr>
                <w:rFonts w:hint="eastAsia" w:ascii="宋体" w:hAnsi="宋体"/>
                <w:color w:val="000000"/>
                <w:szCs w:val="21"/>
              </w:rPr>
            </w:pPr>
          </w:p>
        </w:tc>
      </w:tr>
      <w:tr w14:paraId="0729D5D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45" w:type="dxa"/>
            <w:vMerge w:val="continue"/>
            <w:noWrap w:val="0"/>
            <w:vAlign w:val="top"/>
          </w:tcPr>
          <w:p w14:paraId="3C96704C">
            <w:pPr>
              <w:spacing w:line="460" w:lineRule="exact"/>
              <w:jc w:val="center"/>
              <w:rPr>
                <w:rFonts w:ascii="宋体" w:hAnsi="宋体"/>
                <w:color w:val="000000"/>
                <w:szCs w:val="21"/>
              </w:rPr>
            </w:pPr>
          </w:p>
        </w:tc>
        <w:tc>
          <w:tcPr>
            <w:tcW w:w="1837" w:type="dxa"/>
            <w:noWrap w:val="0"/>
            <w:vAlign w:val="top"/>
          </w:tcPr>
          <w:p w14:paraId="49DC404A">
            <w:pPr>
              <w:spacing w:line="460" w:lineRule="exact"/>
              <w:jc w:val="center"/>
              <w:rPr>
                <w:rFonts w:hint="eastAsia" w:ascii="宋体" w:hAnsi="宋体"/>
                <w:color w:val="000000"/>
                <w:szCs w:val="21"/>
              </w:rPr>
            </w:pPr>
            <w:r>
              <w:rPr>
                <w:rFonts w:hint="eastAsia" w:ascii="宋体" w:hAnsi="宋体"/>
                <w:color w:val="000000"/>
                <w:szCs w:val="21"/>
              </w:rPr>
              <w:t>0.009</w:t>
            </w:r>
          </w:p>
        </w:tc>
        <w:tc>
          <w:tcPr>
            <w:tcW w:w="3384" w:type="dxa"/>
            <w:noWrap w:val="0"/>
            <w:vAlign w:val="top"/>
          </w:tcPr>
          <w:p w14:paraId="13B1A615">
            <w:pPr>
              <w:spacing w:line="460" w:lineRule="exact"/>
              <w:jc w:val="center"/>
              <w:rPr>
                <w:rFonts w:hint="eastAsia" w:ascii="宋体" w:hAnsi="宋体"/>
                <w:color w:val="000000"/>
                <w:szCs w:val="21"/>
              </w:rPr>
            </w:pPr>
            <w:r>
              <w:rPr>
                <w:rFonts w:hint="eastAsia" w:ascii="宋体" w:hAnsi="宋体"/>
                <w:color w:val="000000"/>
                <w:szCs w:val="21"/>
              </w:rPr>
              <w:t>0.008</w:t>
            </w:r>
          </w:p>
        </w:tc>
        <w:tc>
          <w:tcPr>
            <w:tcW w:w="2782" w:type="dxa"/>
            <w:vMerge w:val="continue"/>
            <w:noWrap w:val="0"/>
            <w:vAlign w:val="top"/>
          </w:tcPr>
          <w:p w14:paraId="2B0EE345">
            <w:pPr>
              <w:spacing w:line="460" w:lineRule="exact"/>
              <w:jc w:val="center"/>
              <w:rPr>
                <w:rFonts w:hint="eastAsia" w:ascii="宋体" w:hAnsi="宋体"/>
                <w:color w:val="000000"/>
                <w:szCs w:val="21"/>
              </w:rPr>
            </w:pPr>
          </w:p>
        </w:tc>
      </w:tr>
      <w:tr w14:paraId="77852DE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45" w:type="dxa"/>
            <w:vMerge w:val="restart"/>
            <w:noWrap w:val="0"/>
            <w:vAlign w:val="top"/>
          </w:tcPr>
          <w:p w14:paraId="6F50E29E">
            <w:pPr>
              <w:spacing w:line="460" w:lineRule="exact"/>
              <w:jc w:val="center"/>
              <w:rPr>
                <w:rFonts w:hint="eastAsia" w:ascii="宋体" w:hAnsi="宋体"/>
                <w:color w:val="000000"/>
                <w:szCs w:val="21"/>
              </w:rPr>
            </w:pPr>
          </w:p>
          <w:p w14:paraId="133972F5">
            <w:pPr>
              <w:spacing w:line="460" w:lineRule="exact"/>
              <w:jc w:val="center"/>
              <w:rPr>
                <w:rFonts w:hint="eastAsia" w:ascii="宋体" w:hAnsi="宋体"/>
                <w:color w:val="000000"/>
                <w:szCs w:val="21"/>
              </w:rPr>
            </w:pPr>
            <w:r>
              <w:rPr>
                <w:rFonts w:hint="eastAsia" w:ascii="宋体" w:hAnsi="宋体"/>
                <w:color w:val="000000"/>
                <w:szCs w:val="21"/>
              </w:rPr>
              <w:t>TP</w:t>
            </w:r>
          </w:p>
        </w:tc>
        <w:tc>
          <w:tcPr>
            <w:tcW w:w="1837" w:type="dxa"/>
            <w:noWrap w:val="0"/>
            <w:vAlign w:val="top"/>
          </w:tcPr>
          <w:p w14:paraId="35D637CA">
            <w:pPr>
              <w:spacing w:line="460" w:lineRule="exact"/>
              <w:jc w:val="center"/>
              <w:rPr>
                <w:rFonts w:hint="eastAsia" w:ascii="宋体" w:hAnsi="宋体"/>
                <w:color w:val="000000"/>
                <w:szCs w:val="21"/>
              </w:rPr>
            </w:pPr>
            <w:r>
              <w:rPr>
                <w:rFonts w:hint="eastAsia" w:ascii="宋体" w:hAnsi="宋体"/>
                <w:color w:val="000000"/>
                <w:szCs w:val="21"/>
              </w:rPr>
              <w:t>0.079</w:t>
            </w:r>
          </w:p>
        </w:tc>
        <w:tc>
          <w:tcPr>
            <w:tcW w:w="3384" w:type="dxa"/>
            <w:noWrap w:val="0"/>
            <w:vAlign w:val="top"/>
          </w:tcPr>
          <w:p w14:paraId="062926E1">
            <w:pPr>
              <w:spacing w:line="460" w:lineRule="exact"/>
              <w:jc w:val="center"/>
              <w:rPr>
                <w:rFonts w:hint="eastAsia" w:ascii="宋体" w:hAnsi="宋体"/>
                <w:color w:val="000000"/>
                <w:szCs w:val="21"/>
              </w:rPr>
            </w:pPr>
            <w:r>
              <w:rPr>
                <w:rFonts w:hint="eastAsia" w:ascii="宋体" w:hAnsi="宋体"/>
                <w:color w:val="000000"/>
                <w:szCs w:val="21"/>
              </w:rPr>
              <w:t>0.075</w:t>
            </w:r>
          </w:p>
        </w:tc>
        <w:tc>
          <w:tcPr>
            <w:tcW w:w="2782" w:type="dxa"/>
            <w:vMerge w:val="restart"/>
            <w:noWrap w:val="0"/>
            <w:vAlign w:val="top"/>
          </w:tcPr>
          <w:p w14:paraId="673A5C09">
            <w:pPr>
              <w:spacing w:line="460" w:lineRule="exact"/>
              <w:jc w:val="center"/>
              <w:rPr>
                <w:rFonts w:hint="eastAsia" w:ascii="宋体" w:hAnsi="宋体"/>
                <w:color w:val="000000"/>
                <w:szCs w:val="21"/>
              </w:rPr>
            </w:pPr>
          </w:p>
          <w:p w14:paraId="49BD0104">
            <w:pPr>
              <w:spacing w:line="460" w:lineRule="exact"/>
              <w:jc w:val="center"/>
              <w:rPr>
                <w:rFonts w:hint="eastAsia" w:ascii="宋体" w:hAnsi="宋体"/>
                <w:color w:val="000000"/>
                <w:szCs w:val="21"/>
              </w:rPr>
            </w:pPr>
            <w:r>
              <w:rPr>
                <w:rFonts w:hint="eastAsia" w:ascii="宋体" w:hAnsi="宋体"/>
                <w:color w:val="000000"/>
                <w:szCs w:val="21"/>
              </w:rPr>
              <w:t>≤0.2（湖、库0.05）</w:t>
            </w:r>
          </w:p>
        </w:tc>
      </w:tr>
      <w:tr w14:paraId="2EA08C8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45" w:type="dxa"/>
            <w:vMerge w:val="continue"/>
            <w:noWrap w:val="0"/>
            <w:vAlign w:val="top"/>
          </w:tcPr>
          <w:p w14:paraId="467EED99">
            <w:pPr>
              <w:spacing w:line="460" w:lineRule="exact"/>
              <w:jc w:val="center"/>
              <w:rPr>
                <w:rFonts w:ascii="宋体" w:hAnsi="宋体"/>
                <w:color w:val="000000"/>
                <w:szCs w:val="21"/>
              </w:rPr>
            </w:pPr>
          </w:p>
        </w:tc>
        <w:tc>
          <w:tcPr>
            <w:tcW w:w="1837" w:type="dxa"/>
            <w:noWrap w:val="0"/>
            <w:vAlign w:val="top"/>
          </w:tcPr>
          <w:p w14:paraId="26D08912">
            <w:pPr>
              <w:spacing w:line="460" w:lineRule="exact"/>
              <w:jc w:val="center"/>
              <w:rPr>
                <w:rFonts w:hint="eastAsia" w:ascii="宋体" w:hAnsi="宋体"/>
                <w:color w:val="000000"/>
                <w:szCs w:val="21"/>
              </w:rPr>
            </w:pPr>
            <w:r>
              <w:rPr>
                <w:rFonts w:hint="eastAsia" w:ascii="宋体" w:hAnsi="宋体"/>
                <w:color w:val="000000"/>
                <w:szCs w:val="21"/>
              </w:rPr>
              <w:t>0.089</w:t>
            </w:r>
          </w:p>
        </w:tc>
        <w:tc>
          <w:tcPr>
            <w:tcW w:w="3384" w:type="dxa"/>
            <w:noWrap w:val="0"/>
            <w:vAlign w:val="top"/>
          </w:tcPr>
          <w:p w14:paraId="1CC74EF9">
            <w:pPr>
              <w:spacing w:line="460" w:lineRule="exact"/>
              <w:jc w:val="center"/>
              <w:rPr>
                <w:rFonts w:hint="eastAsia" w:ascii="宋体" w:hAnsi="宋体"/>
                <w:color w:val="000000"/>
                <w:szCs w:val="21"/>
              </w:rPr>
            </w:pPr>
            <w:r>
              <w:rPr>
                <w:rFonts w:hint="eastAsia" w:ascii="宋体" w:hAnsi="宋体"/>
                <w:color w:val="000000"/>
                <w:szCs w:val="21"/>
              </w:rPr>
              <w:t>0.082</w:t>
            </w:r>
          </w:p>
        </w:tc>
        <w:tc>
          <w:tcPr>
            <w:tcW w:w="2782" w:type="dxa"/>
            <w:vMerge w:val="continue"/>
            <w:noWrap w:val="0"/>
            <w:vAlign w:val="top"/>
          </w:tcPr>
          <w:p w14:paraId="13D4D1E7">
            <w:pPr>
              <w:spacing w:line="460" w:lineRule="exact"/>
              <w:jc w:val="center"/>
              <w:rPr>
                <w:rFonts w:hint="eastAsia" w:ascii="宋体" w:hAnsi="宋体"/>
                <w:color w:val="000000"/>
                <w:szCs w:val="21"/>
              </w:rPr>
            </w:pPr>
          </w:p>
        </w:tc>
      </w:tr>
      <w:tr w14:paraId="65F6A10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45" w:type="dxa"/>
            <w:vMerge w:val="continue"/>
            <w:noWrap w:val="0"/>
            <w:vAlign w:val="top"/>
          </w:tcPr>
          <w:p w14:paraId="0E0B14B6">
            <w:pPr>
              <w:spacing w:line="460" w:lineRule="exact"/>
              <w:jc w:val="center"/>
              <w:rPr>
                <w:rFonts w:ascii="宋体" w:hAnsi="宋体"/>
                <w:color w:val="000000"/>
                <w:szCs w:val="21"/>
              </w:rPr>
            </w:pPr>
          </w:p>
        </w:tc>
        <w:tc>
          <w:tcPr>
            <w:tcW w:w="1837" w:type="dxa"/>
            <w:noWrap w:val="0"/>
            <w:vAlign w:val="top"/>
          </w:tcPr>
          <w:p w14:paraId="6A252ACD">
            <w:pPr>
              <w:spacing w:line="460" w:lineRule="exact"/>
              <w:jc w:val="center"/>
              <w:rPr>
                <w:rFonts w:hint="eastAsia" w:ascii="宋体" w:hAnsi="宋体"/>
                <w:color w:val="000000"/>
                <w:szCs w:val="21"/>
              </w:rPr>
            </w:pPr>
            <w:r>
              <w:rPr>
                <w:rFonts w:hint="eastAsia" w:ascii="宋体" w:hAnsi="宋体"/>
                <w:color w:val="000000"/>
                <w:szCs w:val="21"/>
              </w:rPr>
              <w:t>0.073</w:t>
            </w:r>
          </w:p>
        </w:tc>
        <w:tc>
          <w:tcPr>
            <w:tcW w:w="3384" w:type="dxa"/>
            <w:noWrap w:val="0"/>
            <w:vAlign w:val="top"/>
          </w:tcPr>
          <w:p w14:paraId="1FA05295">
            <w:pPr>
              <w:spacing w:line="460" w:lineRule="exact"/>
              <w:jc w:val="center"/>
              <w:rPr>
                <w:rFonts w:hint="eastAsia" w:ascii="宋体" w:hAnsi="宋体"/>
                <w:color w:val="000000"/>
                <w:szCs w:val="21"/>
              </w:rPr>
            </w:pPr>
            <w:r>
              <w:rPr>
                <w:rFonts w:hint="eastAsia" w:ascii="宋体" w:hAnsi="宋体"/>
                <w:color w:val="000000"/>
                <w:szCs w:val="21"/>
              </w:rPr>
              <w:t>0.084</w:t>
            </w:r>
          </w:p>
        </w:tc>
        <w:tc>
          <w:tcPr>
            <w:tcW w:w="2782" w:type="dxa"/>
            <w:vMerge w:val="continue"/>
            <w:noWrap w:val="0"/>
            <w:vAlign w:val="top"/>
          </w:tcPr>
          <w:p w14:paraId="5D4B11E4">
            <w:pPr>
              <w:spacing w:line="460" w:lineRule="exact"/>
              <w:jc w:val="center"/>
              <w:rPr>
                <w:rFonts w:hint="eastAsia" w:ascii="宋体" w:hAnsi="宋体"/>
                <w:color w:val="000000"/>
                <w:szCs w:val="21"/>
              </w:rPr>
            </w:pPr>
          </w:p>
        </w:tc>
      </w:tr>
      <w:tr w14:paraId="65F5F3A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45" w:type="dxa"/>
            <w:vMerge w:val="restart"/>
            <w:noWrap w:val="0"/>
            <w:vAlign w:val="top"/>
          </w:tcPr>
          <w:p w14:paraId="7CBC01E2">
            <w:pPr>
              <w:spacing w:line="460" w:lineRule="exact"/>
              <w:jc w:val="center"/>
              <w:rPr>
                <w:rFonts w:hint="eastAsia" w:ascii="宋体" w:hAnsi="宋体"/>
                <w:color w:val="000000"/>
                <w:szCs w:val="21"/>
              </w:rPr>
            </w:pPr>
          </w:p>
          <w:p w14:paraId="11A33DEC">
            <w:pPr>
              <w:spacing w:line="460" w:lineRule="exact"/>
              <w:jc w:val="center"/>
              <w:rPr>
                <w:rFonts w:hint="eastAsia" w:ascii="宋体" w:hAnsi="宋体"/>
                <w:color w:val="000000"/>
                <w:szCs w:val="21"/>
              </w:rPr>
            </w:pPr>
            <w:r>
              <w:rPr>
                <w:rFonts w:hint="eastAsia" w:ascii="宋体" w:hAnsi="宋体"/>
                <w:color w:val="000000"/>
                <w:szCs w:val="21"/>
              </w:rPr>
              <w:t>TN</w:t>
            </w:r>
          </w:p>
        </w:tc>
        <w:tc>
          <w:tcPr>
            <w:tcW w:w="1837" w:type="dxa"/>
            <w:noWrap w:val="0"/>
            <w:vAlign w:val="top"/>
          </w:tcPr>
          <w:p w14:paraId="5BF28015">
            <w:pPr>
              <w:spacing w:line="460" w:lineRule="exact"/>
              <w:jc w:val="center"/>
              <w:rPr>
                <w:rFonts w:hint="eastAsia" w:ascii="宋体" w:hAnsi="宋体"/>
                <w:color w:val="000000"/>
                <w:szCs w:val="21"/>
              </w:rPr>
            </w:pPr>
            <w:r>
              <w:rPr>
                <w:rFonts w:hint="eastAsia" w:ascii="宋体" w:hAnsi="宋体"/>
                <w:color w:val="000000"/>
                <w:szCs w:val="21"/>
              </w:rPr>
              <w:t>0.693</w:t>
            </w:r>
          </w:p>
        </w:tc>
        <w:tc>
          <w:tcPr>
            <w:tcW w:w="3384" w:type="dxa"/>
            <w:noWrap w:val="0"/>
            <w:vAlign w:val="top"/>
          </w:tcPr>
          <w:p w14:paraId="29A4B232">
            <w:pPr>
              <w:spacing w:line="460" w:lineRule="exact"/>
              <w:jc w:val="center"/>
              <w:rPr>
                <w:rFonts w:hint="eastAsia" w:ascii="宋体" w:hAnsi="宋体"/>
                <w:color w:val="000000"/>
                <w:szCs w:val="21"/>
              </w:rPr>
            </w:pPr>
            <w:r>
              <w:rPr>
                <w:rFonts w:hint="eastAsia" w:ascii="宋体" w:hAnsi="宋体"/>
                <w:color w:val="000000"/>
                <w:szCs w:val="21"/>
              </w:rPr>
              <w:t>0.717</w:t>
            </w:r>
          </w:p>
        </w:tc>
        <w:tc>
          <w:tcPr>
            <w:tcW w:w="2782" w:type="dxa"/>
            <w:vMerge w:val="restart"/>
            <w:noWrap w:val="0"/>
            <w:vAlign w:val="top"/>
          </w:tcPr>
          <w:p w14:paraId="212E06CE">
            <w:pPr>
              <w:spacing w:line="460" w:lineRule="exact"/>
              <w:jc w:val="center"/>
              <w:rPr>
                <w:rFonts w:hint="eastAsia" w:ascii="宋体" w:hAnsi="宋体"/>
                <w:color w:val="000000"/>
                <w:szCs w:val="21"/>
              </w:rPr>
            </w:pPr>
          </w:p>
          <w:p w14:paraId="65A19504">
            <w:pPr>
              <w:spacing w:line="460" w:lineRule="exact"/>
              <w:jc w:val="center"/>
              <w:rPr>
                <w:rFonts w:hint="eastAsia" w:ascii="宋体" w:hAnsi="宋体"/>
                <w:color w:val="000000"/>
                <w:szCs w:val="21"/>
              </w:rPr>
            </w:pPr>
            <w:r>
              <w:rPr>
                <w:rFonts w:hint="eastAsia" w:ascii="宋体" w:hAnsi="宋体"/>
                <w:color w:val="000000"/>
                <w:szCs w:val="21"/>
              </w:rPr>
              <w:t>≤1.0</w:t>
            </w:r>
          </w:p>
        </w:tc>
      </w:tr>
      <w:tr w14:paraId="27BB152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45" w:type="dxa"/>
            <w:vMerge w:val="continue"/>
            <w:noWrap w:val="0"/>
            <w:vAlign w:val="top"/>
          </w:tcPr>
          <w:p w14:paraId="2213A553">
            <w:pPr>
              <w:spacing w:line="460" w:lineRule="exact"/>
              <w:jc w:val="center"/>
              <w:rPr>
                <w:rFonts w:ascii="宋体" w:hAnsi="宋体"/>
                <w:color w:val="000000"/>
                <w:szCs w:val="21"/>
              </w:rPr>
            </w:pPr>
          </w:p>
        </w:tc>
        <w:tc>
          <w:tcPr>
            <w:tcW w:w="1837" w:type="dxa"/>
            <w:noWrap w:val="0"/>
            <w:vAlign w:val="top"/>
          </w:tcPr>
          <w:p w14:paraId="4ED55A6A">
            <w:pPr>
              <w:spacing w:line="460" w:lineRule="exact"/>
              <w:jc w:val="center"/>
              <w:rPr>
                <w:rFonts w:hint="eastAsia" w:ascii="宋体" w:hAnsi="宋体"/>
                <w:color w:val="000000"/>
                <w:szCs w:val="21"/>
              </w:rPr>
            </w:pPr>
            <w:r>
              <w:rPr>
                <w:rFonts w:hint="eastAsia" w:ascii="宋体" w:hAnsi="宋体"/>
                <w:color w:val="000000"/>
                <w:szCs w:val="21"/>
              </w:rPr>
              <w:t>0.710</w:t>
            </w:r>
          </w:p>
        </w:tc>
        <w:tc>
          <w:tcPr>
            <w:tcW w:w="3384" w:type="dxa"/>
            <w:noWrap w:val="0"/>
            <w:vAlign w:val="top"/>
          </w:tcPr>
          <w:p w14:paraId="522EE192">
            <w:pPr>
              <w:spacing w:line="460" w:lineRule="exact"/>
              <w:jc w:val="center"/>
              <w:rPr>
                <w:rFonts w:hint="eastAsia" w:ascii="宋体" w:hAnsi="宋体"/>
                <w:color w:val="000000"/>
                <w:szCs w:val="21"/>
              </w:rPr>
            </w:pPr>
            <w:r>
              <w:rPr>
                <w:rFonts w:hint="eastAsia" w:ascii="宋体" w:hAnsi="宋体"/>
                <w:color w:val="000000"/>
                <w:szCs w:val="21"/>
              </w:rPr>
              <w:t>0.729</w:t>
            </w:r>
          </w:p>
        </w:tc>
        <w:tc>
          <w:tcPr>
            <w:tcW w:w="2782" w:type="dxa"/>
            <w:vMerge w:val="continue"/>
            <w:noWrap w:val="0"/>
            <w:vAlign w:val="top"/>
          </w:tcPr>
          <w:p w14:paraId="5B8A99EA">
            <w:pPr>
              <w:spacing w:line="460" w:lineRule="exact"/>
              <w:jc w:val="center"/>
              <w:rPr>
                <w:rFonts w:hint="eastAsia" w:ascii="宋体" w:hAnsi="宋体"/>
                <w:color w:val="000000"/>
                <w:szCs w:val="21"/>
              </w:rPr>
            </w:pPr>
          </w:p>
        </w:tc>
      </w:tr>
      <w:tr w14:paraId="651AFE3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45" w:type="dxa"/>
            <w:vMerge w:val="continue"/>
            <w:noWrap w:val="0"/>
            <w:vAlign w:val="top"/>
          </w:tcPr>
          <w:p w14:paraId="19031E6C">
            <w:pPr>
              <w:spacing w:line="460" w:lineRule="exact"/>
              <w:jc w:val="center"/>
              <w:rPr>
                <w:rFonts w:ascii="宋体" w:hAnsi="宋体"/>
                <w:color w:val="000000"/>
                <w:szCs w:val="21"/>
              </w:rPr>
            </w:pPr>
          </w:p>
        </w:tc>
        <w:tc>
          <w:tcPr>
            <w:tcW w:w="1837" w:type="dxa"/>
            <w:noWrap w:val="0"/>
            <w:vAlign w:val="top"/>
          </w:tcPr>
          <w:p w14:paraId="07990755">
            <w:pPr>
              <w:spacing w:line="460" w:lineRule="exact"/>
              <w:jc w:val="center"/>
              <w:rPr>
                <w:rFonts w:hint="eastAsia" w:ascii="宋体" w:hAnsi="宋体"/>
                <w:color w:val="000000"/>
                <w:szCs w:val="21"/>
              </w:rPr>
            </w:pPr>
            <w:r>
              <w:rPr>
                <w:rFonts w:hint="eastAsia" w:ascii="宋体" w:hAnsi="宋体"/>
                <w:color w:val="000000"/>
                <w:szCs w:val="21"/>
              </w:rPr>
              <w:t>0.690</w:t>
            </w:r>
          </w:p>
        </w:tc>
        <w:tc>
          <w:tcPr>
            <w:tcW w:w="3384" w:type="dxa"/>
            <w:noWrap w:val="0"/>
            <w:vAlign w:val="top"/>
          </w:tcPr>
          <w:p w14:paraId="0EAC1126">
            <w:pPr>
              <w:spacing w:line="460" w:lineRule="exact"/>
              <w:jc w:val="center"/>
              <w:rPr>
                <w:rFonts w:hint="eastAsia" w:ascii="宋体" w:hAnsi="宋体"/>
                <w:color w:val="000000"/>
                <w:szCs w:val="21"/>
              </w:rPr>
            </w:pPr>
            <w:r>
              <w:rPr>
                <w:rFonts w:hint="eastAsia" w:ascii="宋体" w:hAnsi="宋体"/>
                <w:color w:val="000000"/>
                <w:szCs w:val="21"/>
              </w:rPr>
              <w:t>0.710</w:t>
            </w:r>
          </w:p>
        </w:tc>
        <w:tc>
          <w:tcPr>
            <w:tcW w:w="2782" w:type="dxa"/>
            <w:vMerge w:val="continue"/>
            <w:noWrap w:val="0"/>
            <w:vAlign w:val="top"/>
          </w:tcPr>
          <w:p w14:paraId="27CAA9A1">
            <w:pPr>
              <w:spacing w:line="460" w:lineRule="exact"/>
              <w:jc w:val="center"/>
              <w:rPr>
                <w:rFonts w:hint="eastAsia" w:ascii="宋体" w:hAnsi="宋体"/>
                <w:color w:val="000000"/>
                <w:szCs w:val="21"/>
              </w:rPr>
            </w:pPr>
          </w:p>
        </w:tc>
      </w:tr>
      <w:tr w14:paraId="3F71DC2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87" w:hRule="atLeast"/>
        </w:trPr>
        <w:tc>
          <w:tcPr>
            <w:tcW w:w="745" w:type="dxa"/>
            <w:noWrap w:val="0"/>
            <w:vAlign w:val="top"/>
          </w:tcPr>
          <w:p w14:paraId="233C4F76">
            <w:pPr>
              <w:spacing w:line="460" w:lineRule="exact"/>
              <w:jc w:val="center"/>
              <w:rPr>
                <w:rFonts w:hint="eastAsia" w:ascii="宋体" w:hAnsi="宋体"/>
                <w:color w:val="000000"/>
                <w:szCs w:val="21"/>
              </w:rPr>
            </w:pPr>
            <w:r>
              <w:rPr>
                <w:rFonts w:ascii="宋体" w:hAnsi="宋体"/>
                <w:color w:val="000000"/>
                <w:szCs w:val="21"/>
              </w:rPr>
              <w:t>备注</w:t>
            </w:r>
          </w:p>
        </w:tc>
        <w:tc>
          <w:tcPr>
            <w:tcW w:w="8003" w:type="dxa"/>
            <w:gridSpan w:val="3"/>
            <w:noWrap w:val="0"/>
            <w:vAlign w:val="top"/>
          </w:tcPr>
          <w:p w14:paraId="1F3ACDA8">
            <w:pPr>
              <w:spacing w:line="360" w:lineRule="auto"/>
              <w:rPr>
                <w:rFonts w:ascii="宋体" w:hAnsi="宋体"/>
                <w:color w:val="000000"/>
                <w:szCs w:val="21"/>
              </w:rPr>
            </w:pPr>
            <w:r>
              <w:rPr>
                <w:rFonts w:ascii="宋体" w:hAnsi="宋体"/>
                <w:color w:val="000000"/>
                <w:szCs w:val="21"/>
              </w:rPr>
              <w:t>1.采样方法：瞬时采样；</w:t>
            </w:r>
          </w:p>
          <w:p w14:paraId="2B18F8B8">
            <w:pPr>
              <w:spacing w:line="360" w:lineRule="auto"/>
              <w:rPr>
                <w:rFonts w:ascii="宋体" w:hAnsi="宋体"/>
                <w:color w:val="000000"/>
                <w:szCs w:val="21"/>
              </w:rPr>
            </w:pPr>
            <w:r>
              <w:rPr>
                <w:rFonts w:ascii="宋体" w:hAnsi="宋体"/>
                <w:color w:val="000000"/>
                <w:szCs w:val="21"/>
              </w:rPr>
              <w:t>2.“（L）”表示检测结果低于方法检出限。</w:t>
            </w:r>
          </w:p>
        </w:tc>
      </w:tr>
    </w:tbl>
    <w:p w14:paraId="00F2E5F5">
      <w:pPr>
        <w:spacing w:line="360" w:lineRule="auto"/>
        <w:rPr>
          <w:rFonts w:hint="eastAsia"/>
          <w:color w:val="000000"/>
          <w:sz w:val="24"/>
        </w:rPr>
      </w:pPr>
    </w:p>
    <w:p w14:paraId="6F5DDAB9">
      <w:pPr>
        <w:spacing w:line="360" w:lineRule="auto"/>
        <w:ind w:firstLine="480"/>
        <w:rPr>
          <w:color w:val="000000"/>
          <w:sz w:val="24"/>
        </w:rPr>
      </w:pPr>
      <w:r>
        <w:rPr>
          <w:color w:val="000000"/>
          <w:sz w:val="24"/>
        </w:rPr>
        <w:t>2、评价方法</w:t>
      </w:r>
    </w:p>
    <w:p w14:paraId="7B946A60">
      <w:pPr>
        <w:spacing w:line="460" w:lineRule="exact"/>
        <w:ind w:firstLine="480"/>
        <w:jc w:val="left"/>
        <w:rPr>
          <w:color w:val="000000"/>
          <w:sz w:val="24"/>
        </w:rPr>
      </w:pPr>
      <w:r>
        <w:rPr>
          <w:color w:val="000000"/>
          <w:sz w:val="24"/>
        </w:rPr>
        <w:t>为了能直观反映水质现状，科学地评判水体中污染物是否超标。</w:t>
      </w:r>
    </w:p>
    <w:p w14:paraId="2377A1E5">
      <w:pPr>
        <w:spacing w:line="460" w:lineRule="exact"/>
        <w:jc w:val="left"/>
        <w:rPr>
          <w:color w:val="000000"/>
          <w:sz w:val="24"/>
        </w:rPr>
      </w:pPr>
      <w:r>
        <w:rPr>
          <w:color w:val="000000"/>
          <w:sz w:val="24"/>
        </w:rPr>
        <w:t xml:space="preserve">    评价采用单项水质参数评价方法，其模式如下：</w:t>
      </w:r>
    </w:p>
    <w:p w14:paraId="490C89F6">
      <w:pPr>
        <w:spacing w:line="460" w:lineRule="exact"/>
        <w:jc w:val="left"/>
        <w:rPr>
          <w:color w:val="000000"/>
          <w:sz w:val="24"/>
        </w:rPr>
      </w:pPr>
      <w:r>
        <w:rPr>
          <w:color w:val="000000"/>
          <w:sz w:val="24"/>
        </w:rPr>
        <w:t xml:space="preserve">    ① 对于一般污染物：</w:t>
      </w:r>
    </w:p>
    <w:p w14:paraId="45AABF1C">
      <w:pPr>
        <w:spacing w:before="156" w:after="156" w:line="500" w:lineRule="exact"/>
        <w:jc w:val="center"/>
        <w:rPr>
          <w:color w:val="000000"/>
          <w:sz w:val="24"/>
        </w:rPr>
      </w:pPr>
      <w:r>
        <w:rPr>
          <w:color w:val="000000"/>
          <w:position w:val="-35"/>
          <w:sz w:val="24"/>
        </w:rPr>
        <w:object>
          <v:shape id="_x0000_i1025" o:spt="75" type="#_x0000_t75" style="height:41.35pt;width:100.9pt;" o:ole="t" filled="f" o:preferrelative="t" stroked="f" coordsize="21600,21600">
            <v:path/>
            <v:fill on="f" focussize="0,0"/>
            <v:stroke on="f" joinstyle="miter"/>
            <v:imagedata r:id="rId24" o:title=""/>
            <o:lock v:ext="edit" rotation="t" aspectratio="t"/>
            <w10:wrap type="none"/>
            <w10:anchorlock/>
          </v:shape>
          <o:OLEObject Type="Embed" ProgID="Equation.3" ShapeID="_x0000_i1025" DrawAspect="Content" ObjectID="_1468075725" r:id="rId23">
            <o:LockedField>false</o:LockedField>
          </o:OLEObject>
        </w:object>
      </w:r>
    </w:p>
    <w:p w14:paraId="62436DED">
      <w:pPr>
        <w:spacing w:line="460" w:lineRule="exact"/>
        <w:jc w:val="left"/>
        <w:rPr>
          <w:color w:val="000000"/>
          <w:sz w:val="24"/>
        </w:rPr>
      </w:pPr>
      <w:r>
        <w:rPr>
          <w:color w:val="000000"/>
          <w:sz w:val="24"/>
        </w:rPr>
        <w:t xml:space="preserve">    式中：S</w:t>
      </w:r>
      <w:r>
        <w:rPr>
          <w:color w:val="000000"/>
          <w:sz w:val="28"/>
          <w:szCs w:val="28"/>
          <w:vertAlign w:val="subscript"/>
        </w:rPr>
        <w:t>ij</w:t>
      </w:r>
      <w:r>
        <w:rPr>
          <w:color w:val="000000"/>
          <w:sz w:val="24"/>
        </w:rPr>
        <w:t>——单项水质参数i在第j点的标准指数；</w:t>
      </w:r>
    </w:p>
    <w:p w14:paraId="680ACCFA">
      <w:pPr>
        <w:spacing w:line="460" w:lineRule="exact"/>
        <w:jc w:val="left"/>
        <w:rPr>
          <w:color w:val="000000"/>
          <w:sz w:val="24"/>
        </w:rPr>
      </w:pPr>
      <w:r>
        <w:rPr>
          <w:color w:val="000000"/>
          <w:sz w:val="24"/>
        </w:rPr>
        <w:t xml:space="preserve">          C</w:t>
      </w:r>
      <w:r>
        <w:rPr>
          <w:color w:val="000000"/>
          <w:sz w:val="24"/>
          <w:vertAlign w:val="subscript"/>
        </w:rPr>
        <w:t>ij</w:t>
      </w:r>
      <w:r>
        <w:rPr>
          <w:color w:val="000000"/>
          <w:sz w:val="24"/>
        </w:rPr>
        <w:t>——污染物i在监测点j的浓度mg/L；</w:t>
      </w:r>
    </w:p>
    <w:p w14:paraId="1EA30143">
      <w:pPr>
        <w:spacing w:line="460" w:lineRule="exact"/>
        <w:jc w:val="left"/>
        <w:rPr>
          <w:color w:val="000000"/>
          <w:sz w:val="24"/>
        </w:rPr>
      </w:pPr>
      <w:r>
        <w:rPr>
          <w:color w:val="000000"/>
          <w:sz w:val="24"/>
        </w:rPr>
        <w:t xml:space="preserve">          C</w:t>
      </w:r>
      <w:r>
        <w:rPr>
          <w:color w:val="000000"/>
          <w:sz w:val="28"/>
          <w:szCs w:val="28"/>
          <w:vertAlign w:val="subscript"/>
        </w:rPr>
        <w:t>si</w:t>
      </w:r>
      <w:r>
        <w:rPr>
          <w:color w:val="000000"/>
          <w:sz w:val="24"/>
        </w:rPr>
        <w:t>——水质参数i的地面水水质标准mg/L。</w:t>
      </w:r>
    </w:p>
    <w:p w14:paraId="3BA16C0B">
      <w:pPr>
        <w:spacing w:line="460" w:lineRule="exact"/>
        <w:jc w:val="left"/>
        <w:rPr>
          <w:color w:val="000000"/>
          <w:sz w:val="24"/>
        </w:rPr>
      </w:pPr>
      <w:r>
        <w:rPr>
          <w:color w:val="000000"/>
          <w:sz w:val="24"/>
        </w:rPr>
        <w:t xml:space="preserve">    </w:t>
      </w:r>
      <w:r>
        <w:rPr>
          <w:color w:val="000000"/>
          <w:sz w:val="24"/>
        </w:rPr>
        <w:fldChar w:fldCharType="begin"/>
      </w:r>
      <w:r>
        <w:rPr>
          <w:color w:val="000000"/>
          <w:sz w:val="24"/>
        </w:rPr>
        <w:instrText xml:space="preserve">= 2 \# "#,##0.xxxxxxxxxxxxxxxxxxxx" </w:instrText>
      </w:r>
      <w:r>
        <w:rPr>
          <w:color w:val="000000"/>
          <w:sz w:val="24"/>
        </w:rPr>
        <w:fldChar w:fldCharType="separate"/>
      </w:r>
      <w:r>
        <w:rPr>
          <w:color w:val="000000"/>
          <w:sz w:val="24"/>
        </w:rPr>
        <w:t>2</w:t>
      </w:r>
      <w:r>
        <w:rPr>
          <w:color w:val="000000"/>
          <w:sz w:val="24"/>
        </w:rPr>
        <w:fldChar w:fldCharType="end"/>
      </w:r>
      <w:r>
        <w:rPr>
          <w:color w:val="000000"/>
          <w:sz w:val="24"/>
        </w:rPr>
        <w:t>、对具有上、下限标准的项目pH，计算式为：</w:t>
      </w:r>
    </w:p>
    <w:p w14:paraId="1E07BB40">
      <w:pPr>
        <w:spacing w:before="156" w:after="156" w:line="500" w:lineRule="exact"/>
        <w:jc w:val="center"/>
        <w:rPr>
          <w:color w:val="000000"/>
          <w:sz w:val="24"/>
        </w:rPr>
      </w:pPr>
      <w:r>
        <w:rPr>
          <w:color w:val="000000"/>
          <w:position w:val="-35"/>
          <w:sz w:val="24"/>
        </w:rPr>
        <w:object>
          <v:shape id="_x0000_i1026" o:spt="75" type="#_x0000_t75" style="height:41.35pt;width:188.15pt;" o:ole="t" filled="f" o:preferrelative="t" stroked="f" coordsize="21600,21600">
            <v:path/>
            <v:fill on="f" focussize="0,0"/>
            <v:stroke on="f" joinstyle="miter"/>
            <v:imagedata r:id="rId26" o:title=""/>
            <o:lock v:ext="edit" rotation="t" aspectratio="t"/>
            <w10:wrap type="none"/>
            <w10:anchorlock/>
          </v:shape>
          <o:OLEObject Type="Embed" ProgID="Equation.3" ShapeID="_x0000_i1026" DrawAspect="Content" ObjectID="_1468075726" r:id="rId25">
            <o:LockedField>false</o:LockedField>
          </o:OLEObject>
        </w:object>
      </w:r>
    </w:p>
    <w:p w14:paraId="036FE158">
      <w:pPr>
        <w:spacing w:before="156" w:after="156" w:line="500" w:lineRule="exact"/>
        <w:jc w:val="center"/>
        <w:rPr>
          <w:color w:val="000000"/>
          <w:sz w:val="24"/>
        </w:rPr>
      </w:pPr>
      <w:r>
        <w:rPr>
          <w:color w:val="000000"/>
          <w:position w:val="-31"/>
          <w:sz w:val="24"/>
        </w:rPr>
        <w:object>
          <v:shape id="_x0000_i1027" o:spt="75" type="#_x0000_t75" style="height:36.7pt;width:183pt;" o:ole="t" filled="f" o:preferrelative="t" stroked="f" coordsize="21600,21600">
            <v:path/>
            <v:fill on="f" focussize="0,0"/>
            <v:stroke on="f" joinstyle="miter"/>
            <v:imagedata r:id="rId28" o:title=""/>
            <o:lock v:ext="edit" rotation="t" aspectratio="t"/>
            <w10:wrap type="none"/>
            <w10:anchorlock/>
          </v:shape>
          <o:OLEObject Type="Embed" ProgID="Equation.3" ShapeID="_x0000_i1027" DrawAspect="Content" ObjectID="_1468075727" r:id="rId27">
            <o:LockedField>false</o:LockedField>
          </o:OLEObject>
        </w:object>
      </w:r>
    </w:p>
    <w:p w14:paraId="376C1A5F">
      <w:pPr>
        <w:spacing w:line="460" w:lineRule="exact"/>
        <w:jc w:val="left"/>
        <w:rPr>
          <w:color w:val="000000"/>
          <w:sz w:val="24"/>
        </w:rPr>
      </w:pPr>
      <w:r>
        <w:rPr>
          <w:color w:val="000000"/>
          <w:sz w:val="24"/>
        </w:rPr>
        <w:t xml:space="preserve">    式中：pH</w:t>
      </w:r>
      <w:r>
        <w:rPr>
          <w:color w:val="000000"/>
          <w:sz w:val="28"/>
          <w:szCs w:val="28"/>
          <w:vertAlign w:val="subscript"/>
        </w:rPr>
        <w:t>j</w:t>
      </w:r>
      <w:r>
        <w:rPr>
          <w:color w:val="000000"/>
          <w:sz w:val="24"/>
        </w:rPr>
        <w:t>——为监测点j的pH值；</w:t>
      </w:r>
    </w:p>
    <w:p w14:paraId="14CC36F0">
      <w:pPr>
        <w:spacing w:line="460" w:lineRule="exact"/>
        <w:jc w:val="left"/>
        <w:rPr>
          <w:color w:val="000000"/>
          <w:sz w:val="24"/>
        </w:rPr>
      </w:pPr>
      <w:r>
        <w:rPr>
          <w:color w:val="000000"/>
          <w:sz w:val="24"/>
        </w:rPr>
        <w:t xml:space="preserve">          pH</w:t>
      </w:r>
      <w:r>
        <w:rPr>
          <w:color w:val="000000"/>
          <w:sz w:val="28"/>
          <w:szCs w:val="28"/>
          <w:vertAlign w:val="subscript"/>
        </w:rPr>
        <w:t>sd</w:t>
      </w:r>
      <w:r>
        <w:rPr>
          <w:color w:val="000000"/>
          <w:sz w:val="24"/>
        </w:rPr>
        <w:t>——为水质标准pH的下限值；</w:t>
      </w:r>
    </w:p>
    <w:p w14:paraId="1BC53E1A">
      <w:pPr>
        <w:spacing w:line="360" w:lineRule="auto"/>
        <w:rPr>
          <w:color w:val="000000"/>
          <w:sz w:val="24"/>
        </w:rPr>
      </w:pPr>
      <w:r>
        <w:rPr>
          <w:color w:val="000000"/>
          <w:sz w:val="24"/>
        </w:rPr>
        <w:t xml:space="preserve">          pH</w:t>
      </w:r>
      <w:r>
        <w:rPr>
          <w:color w:val="000000"/>
          <w:sz w:val="28"/>
          <w:szCs w:val="28"/>
          <w:vertAlign w:val="subscript"/>
        </w:rPr>
        <w:t>su</w:t>
      </w:r>
      <w:r>
        <w:rPr>
          <w:color w:val="000000"/>
          <w:sz w:val="24"/>
        </w:rPr>
        <w:t>——为水质标准pH的上限值。</w:t>
      </w:r>
    </w:p>
    <w:p w14:paraId="766889CB">
      <w:pPr>
        <w:spacing w:line="360" w:lineRule="auto"/>
        <w:ind w:firstLine="480"/>
        <w:rPr>
          <w:color w:val="000000"/>
          <w:sz w:val="24"/>
        </w:rPr>
      </w:pPr>
      <w:r>
        <w:rPr>
          <w:color w:val="000000"/>
          <w:sz w:val="24"/>
        </w:rPr>
        <w:t>3、评价结果</w:t>
      </w:r>
      <w:r>
        <w:rPr>
          <w:color w:val="000000"/>
          <w:sz w:val="24"/>
        </w:rPr>
        <w:tab/>
      </w:r>
    </w:p>
    <w:p w14:paraId="02670921">
      <w:pPr>
        <w:spacing w:line="360" w:lineRule="auto"/>
        <w:ind w:firstLine="480"/>
        <w:rPr>
          <w:color w:val="000000"/>
          <w:sz w:val="24"/>
        </w:rPr>
      </w:pPr>
      <w:r>
        <w:rPr>
          <w:color w:val="000000"/>
          <w:sz w:val="24"/>
        </w:rPr>
        <w:t>根据表4.3-4可知，</w:t>
      </w:r>
      <w:r>
        <w:rPr>
          <w:rFonts w:hint="eastAsia"/>
          <w:color w:val="000000"/>
          <w:sz w:val="24"/>
        </w:rPr>
        <w:t>芒市大河</w:t>
      </w:r>
      <w:r>
        <w:rPr>
          <w:color w:val="000000"/>
          <w:sz w:val="24"/>
        </w:rPr>
        <w:t>各监测指标均能够达到《地表水环境质量标准》（GB3838-2002）Ⅲ类标准。</w:t>
      </w:r>
    </w:p>
    <w:p w14:paraId="5FC9EAE7">
      <w:pPr>
        <w:pStyle w:val="182"/>
        <w:ind w:firstLine="275"/>
        <w:rPr>
          <w:rFonts w:ascii="Times New Roman" w:hAnsi="Times New Roman" w:eastAsia="仿宋_GB2312" w:cs="Times New Roman"/>
          <w:color w:val="000000"/>
          <w:sz w:val="28"/>
          <w:szCs w:val="28"/>
        </w:rPr>
      </w:pPr>
      <w:bookmarkStart w:id="404" w:name="_Toc241904966"/>
      <w:bookmarkEnd w:id="404"/>
      <w:bookmarkStart w:id="405" w:name="_Toc226608394"/>
      <w:bookmarkEnd w:id="405"/>
      <w:bookmarkStart w:id="406" w:name="_Toc495500092"/>
      <w:r>
        <w:rPr>
          <w:rFonts w:ascii="Times New Roman" w:hAnsi="Times New Roman" w:eastAsia="仿宋_GB2312" w:cs="Times New Roman"/>
          <w:color w:val="000000"/>
          <w:sz w:val="28"/>
          <w:szCs w:val="28"/>
        </w:rPr>
        <w:t>5.2 地下水环境质量</w:t>
      </w:r>
      <w:bookmarkEnd w:id="406"/>
    </w:p>
    <w:p w14:paraId="27892FEF">
      <w:pPr>
        <w:spacing w:line="360" w:lineRule="auto"/>
        <w:ind w:firstLine="480"/>
        <w:rPr>
          <w:rFonts w:hint="eastAsia" w:ascii="宋体" w:hAnsi="宋体"/>
          <w:color w:val="000000"/>
          <w:sz w:val="24"/>
        </w:rPr>
      </w:pPr>
      <w:r>
        <w:rPr>
          <w:rFonts w:hint="eastAsia" w:ascii="宋体" w:hAnsi="宋体"/>
          <w:color w:val="000000"/>
          <w:sz w:val="24"/>
        </w:rPr>
        <w:t>根据</w:t>
      </w:r>
      <w:r>
        <w:rPr>
          <w:rFonts w:ascii="宋体" w:hAnsi="宋体"/>
          <w:color w:val="000000"/>
          <w:sz w:val="24"/>
        </w:rPr>
        <w:t>德宏州水资源可持续开发利用研究（云南省水文水资源局德宏分局）</w:t>
      </w:r>
      <w:r>
        <w:rPr>
          <w:rFonts w:hint="eastAsia" w:ascii="宋体" w:hAnsi="宋体"/>
          <w:color w:val="000000"/>
          <w:sz w:val="24"/>
        </w:rPr>
        <w:t>资料，</w:t>
      </w:r>
      <w:r>
        <w:rPr>
          <w:rFonts w:ascii="宋体" w:hAnsi="宋体"/>
          <w:color w:val="000000"/>
          <w:sz w:val="24"/>
        </w:rPr>
        <w:t>德宏州地下水一般均为矿化度小于500mg/L的淡水，总硬度一般均小于180mg/L，为软水或微硬水，pH多为6.8～7.5的中性水，在部分居民区的部分地下水受到污染，硝酸根离子偏高。根据德宏州水环境监测分中心2003～2004年对全州人畜饮水安全的水质调查结果来看，全州大部分地区浅层地下水铁、锰含量都较高，总铁最高达到17.3mg/L，锰最高达到4.63 mg/L，已不能满足饮用水要求；大部分深层地下水铁、锰含量不高，物理性质良好，符合人畜饮用水要求。全州地下热水普遍含有氟离子，含量一般在6～8mg/L，部分地下热水还含有硫酸根离子。</w:t>
      </w:r>
      <w:r>
        <w:rPr>
          <w:rFonts w:hint="eastAsia" w:ascii="宋体" w:hAnsi="宋体"/>
          <w:color w:val="000000"/>
          <w:sz w:val="24"/>
        </w:rPr>
        <w:t>监测表明多年来德宏州地下水位动态稳定。</w:t>
      </w:r>
    </w:p>
    <w:p w14:paraId="7DA81E75">
      <w:pPr>
        <w:spacing w:line="360" w:lineRule="auto"/>
        <w:ind w:firstLine="480"/>
        <w:rPr>
          <w:rFonts w:hint="eastAsia"/>
          <w:color w:val="000000"/>
          <w:sz w:val="24"/>
        </w:rPr>
      </w:pPr>
      <w:r>
        <w:rPr>
          <w:rFonts w:hint="eastAsia" w:ascii="宋体" w:hAnsi="宋体"/>
          <w:color w:val="000000"/>
          <w:sz w:val="24"/>
        </w:rPr>
        <w:t>本项目属于医疗机构，医疗废水中含有大量化学物质，但项目的每个环节都采取了一定的处理措施，且保证了废水的正常处理，所以项目对地下水环境质量影响较小。</w:t>
      </w:r>
    </w:p>
    <w:p w14:paraId="121A5B43">
      <w:pPr>
        <w:pStyle w:val="182"/>
        <w:ind w:firstLine="275"/>
        <w:rPr>
          <w:rFonts w:ascii="Times New Roman" w:hAnsi="Times New Roman" w:eastAsia="仿宋_GB2312" w:cs="Times New Roman"/>
          <w:color w:val="000000"/>
          <w:sz w:val="28"/>
          <w:szCs w:val="28"/>
        </w:rPr>
      </w:pPr>
      <w:bookmarkStart w:id="407" w:name="_Toc495500093"/>
      <w:r>
        <w:rPr>
          <w:rFonts w:hint="eastAsia" w:ascii="Times New Roman" w:hAnsi="Times New Roman" w:eastAsia="仿宋_GB2312" w:cs="Times New Roman"/>
          <w:color w:val="000000"/>
          <w:sz w:val="28"/>
          <w:szCs w:val="28"/>
        </w:rPr>
        <w:t>5.3</w:t>
      </w:r>
      <w:r>
        <w:rPr>
          <w:rFonts w:ascii="Times New Roman" w:hAnsi="Times New Roman" w:eastAsia="仿宋_GB2312" w:cs="Times New Roman"/>
          <w:color w:val="000000"/>
          <w:sz w:val="28"/>
          <w:szCs w:val="28"/>
        </w:rPr>
        <w:t>环境空气质量现状</w:t>
      </w:r>
      <w:bookmarkEnd w:id="407"/>
    </w:p>
    <w:p w14:paraId="564B68C2">
      <w:pPr>
        <w:spacing w:line="360" w:lineRule="auto"/>
        <w:ind w:firstLine="482"/>
        <w:rPr>
          <w:rFonts w:hint="eastAsia"/>
          <w:color w:val="000000"/>
          <w:sz w:val="24"/>
        </w:rPr>
      </w:pPr>
      <w:r>
        <w:rPr>
          <w:color w:val="000000"/>
          <w:sz w:val="24"/>
        </w:rPr>
        <w:t>1、环境空气质量现状</w:t>
      </w:r>
    </w:p>
    <w:p w14:paraId="4F46FF81">
      <w:pPr>
        <w:spacing w:line="360" w:lineRule="auto"/>
        <w:ind w:firstLine="360"/>
        <w:rPr>
          <w:rFonts w:hint="eastAsia"/>
          <w:color w:val="000000"/>
          <w:sz w:val="24"/>
        </w:rPr>
      </w:pPr>
      <w:r>
        <w:rPr>
          <w:rFonts w:hint="eastAsia" w:ascii="宋体" w:hAnsi="宋体"/>
          <w:color w:val="000000"/>
          <w:sz w:val="24"/>
        </w:rPr>
        <w:t>本项目空气环境质量现状引用德宏州环境监测站于2013年12月16日-12月18日在德宏州环境监测站设的一个监测点位监测结果来进行评价。</w:t>
      </w:r>
    </w:p>
    <w:p w14:paraId="15020FFB">
      <w:pPr>
        <w:spacing w:line="360" w:lineRule="auto"/>
        <w:ind w:firstLine="482"/>
        <w:rPr>
          <w:rFonts w:hint="eastAsia"/>
          <w:color w:val="000000"/>
          <w:sz w:val="24"/>
        </w:rPr>
      </w:pPr>
      <w:r>
        <w:rPr>
          <w:rFonts w:hint="eastAsia"/>
          <w:color w:val="000000"/>
          <w:sz w:val="24"/>
        </w:rPr>
        <w:t>2、现状监测</w:t>
      </w:r>
    </w:p>
    <w:p w14:paraId="5B33F91E">
      <w:pPr>
        <w:spacing w:line="360" w:lineRule="auto"/>
        <w:ind w:firstLine="480"/>
        <w:rPr>
          <w:rFonts w:ascii="宋体" w:hAnsi="宋体"/>
          <w:color w:val="000000"/>
          <w:sz w:val="24"/>
        </w:rPr>
      </w:pPr>
      <w:r>
        <w:rPr>
          <w:rFonts w:ascii="宋体" w:hAnsi="宋体"/>
          <w:color w:val="000000"/>
          <w:sz w:val="24"/>
        </w:rPr>
        <w:t>a．监测点位：</w:t>
      </w:r>
      <w:r>
        <w:rPr>
          <w:rFonts w:hint="eastAsia" w:ascii="宋体" w:hAnsi="宋体"/>
          <w:color w:val="000000"/>
          <w:sz w:val="24"/>
        </w:rPr>
        <w:t>德宏州环境监测站</w:t>
      </w:r>
      <w:r>
        <w:rPr>
          <w:rFonts w:ascii="宋体" w:hAnsi="宋体"/>
          <w:color w:val="000000"/>
          <w:sz w:val="24"/>
        </w:rPr>
        <w:t>。</w:t>
      </w:r>
    </w:p>
    <w:p w14:paraId="5F4DE830">
      <w:pPr>
        <w:spacing w:line="360" w:lineRule="auto"/>
        <w:ind w:firstLine="480"/>
        <w:rPr>
          <w:rFonts w:ascii="宋体" w:hAnsi="宋体"/>
          <w:color w:val="000000"/>
          <w:sz w:val="24"/>
        </w:rPr>
      </w:pPr>
      <w:r>
        <w:rPr>
          <w:rFonts w:ascii="宋体" w:hAnsi="宋体"/>
          <w:color w:val="000000"/>
          <w:sz w:val="24"/>
        </w:rPr>
        <w:t>b．监测项目： NO</w:t>
      </w:r>
      <w:r>
        <w:rPr>
          <w:rFonts w:ascii="宋体" w:hAnsi="宋体"/>
          <w:color w:val="000000"/>
          <w:sz w:val="24"/>
          <w:vertAlign w:val="subscript"/>
        </w:rPr>
        <w:t>2</w:t>
      </w:r>
      <w:r>
        <w:rPr>
          <w:rFonts w:ascii="宋体" w:hAnsi="宋体"/>
          <w:color w:val="000000"/>
          <w:sz w:val="24"/>
        </w:rPr>
        <w:t>、PM</w:t>
      </w:r>
      <w:r>
        <w:rPr>
          <w:rFonts w:ascii="宋体" w:hAnsi="宋体"/>
          <w:color w:val="000000"/>
          <w:sz w:val="24"/>
          <w:vertAlign w:val="subscript"/>
        </w:rPr>
        <w:t>10</w:t>
      </w:r>
      <w:r>
        <w:rPr>
          <w:rFonts w:ascii="宋体" w:hAnsi="宋体"/>
          <w:color w:val="000000"/>
          <w:sz w:val="24"/>
        </w:rPr>
        <w:t>。</w:t>
      </w:r>
    </w:p>
    <w:p w14:paraId="58775BA0">
      <w:pPr>
        <w:spacing w:line="360" w:lineRule="auto"/>
        <w:ind w:firstLine="480"/>
        <w:rPr>
          <w:rFonts w:hint="eastAsia" w:ascii="宋体" w:hAnsi="宋体"/>
          <w:color w:val="000000"/>
          <w:sz w:val="24"/>
        </w:rPr>
      </w:pPr>
      <w:r>
        <w:rPr>
          <w:rFonts w:ascii="宋体" w:hAnsi="宋体"/>
          <w:color w:val="000000"/>
          <w:sz w:val="24"/>
        </w:rPr>
        <w:t>c．监测时间及频率：20</w:t>
      </w:r>
      <w:r>
        <w:rPr>
          <w:rFonts w:hint="eastAsia" w:ascii="宋体" w:hAnsi="宋体"/>
          <w:color w:val="000000"/>
          <w:sz w:val="24"/>
        </w:rPr>
        <w:t>13</w:t>
      </w:r>
      <w:r>
        <w:rPr>
          <w:rFonts w:ascii="宋体" w:hAnsi="宋体"/>
          <w:color w:val="000000"/>
          <w:sz w:val="24"/>
        </w:rPr>
        <w:t>年</w:t>
      </w:r>
      <w:r>
        <w:rPr>
          <w:rFonts w:hint="eastAsia" w:ascii="宋体" w:hAnsi="宋体"/>
          <w:color w:val="000000"/>
          <w:sz w:val="24"/>
        </w:rPr>
        <w:t>12</w:t>
      </w:r>
      <w:r>
        <w:rPr>
          <w:rFonts w:ascii="宋体" w:hAnsi="宋体"/>
          <w:color w:val="000000"/>
          <w:sz w:val="24"/>
        </w:rPr>
        <w:t>月</w:t>
      </w:r>
      <w:r>
        <w:rPr>
          <w:rFonts w:hint="eastAsia" w:ascii="宋体" w:hAnsi="宋体"/>
          <w:color w:val="000000"/>
          <w:sz w:val="24"/>
        </w:rPr>
        <w:t>16</w:t>
      </w:r>
      <w:r>
        <w:rPr>
          <w:rFonts w:ascii="宋体" w:hAnsi="宋体"/>
          <w:color w:val="000000"/>
          <w:sz w:val="24"/>
        </w:rPr>
        <w:t>日-</w:t>
      </w:r>
      <w:r>
        <w:rPr>
          <w:rFonts w:hint="eastAsia" w:ascii="宋体" w:hAnsi="宋体"/>
          <w:color w:val="000000"/>
          <w:sz w:val="24"/>
        </w:rPr>
        <w:t>12</w:t>
      </w:r>
      <w:r>
        <w:rPr>
          <w:rFonts w:ascii="宋体" w:hAnsi="宋体"/>
          <w:color w:val="000000"/>
          <w:sz w:val="24"/>
        </w:rPr>
        <w:t>月</w:t>
      </w:r>
      <w:r>
        <w:rPr>
          <w:rFonts w:hint="eastAsia" w:ascii="宋体" w:hAnsi="宋体"/>
          <w:color w:val="000000"/>
          <w:sz w:val="24"/>
        </w:rPr>
        <w:t>18</w:t>
      </w:r>
      <w:r>
        <w:rPr>
          <w:rFonts w:ascii="宋体" w:hAnsi="宋体"/>
          <w:color w:val="000000"/>
          <w:sz w:val="24"/>
        </w:rPr>
        <w:t>日，连续监测3天； NO</w:t>
      </w:r>
      <w:r>
        <w:rPr>
          <w:rFonts w:ascii="宋体" w:hAnsi="宋体"/>
          <w:color w:val="000000"/>
          <w:sz w:val="24"/>
          <w:vertAlign w:val="subscript"/>
        </w:rPr>
        <w:t>2</w:t>
      </w:r>
      <w:r>
        <w:rPr>
          <w:rFonts w:ascii="宋体" w:hAnsi="宋体"/>
          <w:color w:val="000000"/>
          <w:sz w:val="24"/>
        </w:rPr>
        <w:t>每天采样</w:t>
      </w:r>
      <w:r>
        <w:rPr>
          <w:rFonts w:hint="eastAsia" w:ascii="宋体" w:hAnsi="宋体"/>
          <w:color w:val="000000"/>
          <w:sz w:val="24"/>
        </w:rPr>
        <w:t>24</w:t>
      </w:r>
      <w:r>
        <w:rPr>
          <w:rFonts w:ascii="宋体" w:hAnsi="宋体"/>
          <w:color w:val="000000"/>
          <w:sz w:val="24"/>
        </w:rPr>
        <w:t>h，PM</w:t>
      </w:r>
      <w:r>
        <w:rPr>
          <w:rFonts w:ascii="宋体" w:hAnsi="宋体"/>
          <w:color w:val="000000"/>
          <w:sz w:val="24"/>
          <w:vertAlign w:val="subscript"/>
        </w:rPr>
        <w:t>10</w:t>
      </w:r>
      <w:r>
        <w:rPr>
          <w:rFonts w:ascii="宋体" w:hAnsi="宋体"/>
          <w:color w:val="000000"/>
          <w:sz w:val="24"/>
        </w:rPr>
        <w:t>每天采样</w:t>
      </w:r>
      <w:r>
        <w:rPr>
          <w:rFonts w:hint="eastAsia" w:ascii="宋体" w:hAnsi="宋体"/>
          <w:color w:val="000000"/>
          <w:sz w:val="24"/>
        </w:rPr>
        <w:t>24</w:t>
      </w:r>
      <w:r>
        <w:rPr>
          <w:rFonts w:ascii="宋体" w:hAnsi="宋体"/>
          <w:color w:val="000000"/>
          <w:sz w:val="24"/>
        </w:rPr>
        <w:t>h。</w:t>
      </w:r>
    </w:p>
    <w:p w14:paraId="2A217E0A">
      <w:pPr>
        <w:spacing w:line="360" w:lineRule="auto"/>
        <w:ind w:firstLine="482"/>
        <w:rPr>
          <w:rFonts w:hint="eastAsia"/>
          <w:color w:val="000000"/>
          <w:sz w:val="24"/>
        </w:rPr>
      </w:pPr>
      <w:r>
        <w:rPr>
          <w:rFonts w:hint="eastAsia"/>
          <w:color w:val="000000"/>
          <w:sz w:val="24"/>
        </w:rPr>
        <w:t>3、监测结果</w:t>
      </w:r>
    </w:p>
    <w:p w14:paraId="460C2C56">
      <w:pPr>
        <w:pStyle w:val="303"/>
        <w:jc w:val="both"/>
        <w:rPr>
          <w:rFonts w:ascii="Times New Roman" w:hAnsi="Times New Roman" w:cs="Times New Roman"/>
          <w:color w:val="000000"/>
        </w:rPr>
      </w:pPr>
      <w:r>
        <w:rPr>
          <w:rFonts w:ascii="Times New Roman" w:hAnsi="Times New Roman" w:cs="Times New Roman"/>
          <w:color w:val="000000"/>
        </w:rPr>
        <w:t>表</w:t>
      </w:r>
      <w:r>
        <w:rPr>
          <w:rFonts w:hint="eastAsia" w:ascii="Times New Roman" w:hAnsi="Times New Roman" w:cs="Times New Roman"/>
          <w:color w:val="000000"/>
        </w:rPr>
        <w:t>5.3</w:t>
      </w:r>
      <w:r>
        <w:rPr>
          <w:rFonts w:ascii="Times New Roman" w:hAnsi="Times New Roman" w:cs="Times New Roman"/>
          <w:color w:val="000000"/>
        </w:rPr>
        <w:t>-</w:t>
      </w:r>
      <w:r>
        <w:rPr>
          <w:rFonts w:hint="eastAsia" w:ascii="Times New Roman" w:hAnsi="Times New Roman" w:cs="Times New Roman"/>
          <w:color w:val="000000"/>
        </w:rPr>
        <w:t>1</w:t>
      </w:r>
      <w:r>
        <w:rPr>
          <w:rFonts w:ascii="Times New Roman" w:hAnsi="Times New Roman" w:cs="Times New Roman"/>
          <w:color w:val="000000"/>
        </w:rPr>
        <w:t xml:space="preserve">  20</w:t>
      </w:r>
      <w:r>
        <w:rPr>
          <w:rFonts w:hint="eastAsia" w:ascii="Times New Roman" w:hAnsi="Times New Roman" w:cs="Times New Roman"/>
          <w:color w:val="000000"/>
        </w:rPr>
        <w:t>13</w:t>
      </w:r>
      <w:r>
        <w:rPr>
          <w:rFonts w:ascii="Times New Roman" w:hAnsi="Times New Roman" w:cs="Times New Roman"/>
          <w:color w:val="000000"/>
        </w:rPr>
        <w:t>年</w:t>
      </w:r>
      <w:r>
        <w:rPr>
          <w:rFonts w:hint="eastAsia" w:ascii="Times New Roman" w:hAnsi="Times New Roman" w:cs="Times New Roman"/>
          <w:color w:val="000000"/>
        </w:rPr>
        <w:t>12</w:t>
      </w:r>
      <w:r>
        <w:rPr>
          <w:rFonts w:ascii="Times New Roman" w:hAnsi="Times New Roman" w:cs="Times New Roman"/>
          <w:color w:val="000000"/>
        </w:rPr>
        <w:t>月</w:t>
      </w:r>
      <w:r>
        <w:rPr>
          <w:rFonts w:hint="eastAsia" w:ascii="Times New Roman" w:hAnsi="Times New Roman" w:cs="Times New Roman"/>
          <w:color w:val="000000"/>
        </w:rPr>
        <w:t>1</w:t>
      </w:r>
      <w:r>
        <w:rPr>
          <w:rFonts w:ascii="Times New Roman" w:hAnsi="Times New Roman" w:cs="Times New Roman"/>
          <w:color w:val="000000"/>
        </w:rPr>
        <w:t>6日-</w:t>
      </w:r>
      <w:r>
        <w:rPr>
          <w:rFonts w:hint="eastAsia" w:ascii="Times New Roman" w:hAnsi="Times New Roman" w:cs="Times New Roman"/>
          <w:color w:val="000000"/>
        </w:rPr>
        <w:t>1</w:t>
      </w:r>
      <w:r>
        <w:rPr>
          <w:rFonts w:ascii="Times New Roman" w:hAnsi="Times New Roman" w:cs="Times New Roman"/>
          <w:color w:val="000000"/>
        </w:rPr>
        <w:t>8日PM</w:t>
      </w:r>
      <w:r>
        <w:rPr>
          <w:rFonts w:ascii="Times New Roman" w:hAnsi="Times New Roman" w:cs="Times New Roman"/>
          <w:color w:val="000000"/>
          <w:vertAlign w:val="subscript"/>
        </w:rPr>
        <w:t>10</w:t>
      </w:r>
      <w:r>
        <w:rPr>
          <w:rFonts w:ascii="Times New Roman" w:hAnsi="Times New Roman" w:cs="Times New Roman"/>
          <w:color w:val="000000"/>
        </w:rPr>
        <w:t>监测结果统计表  单位mg/标m</w:t>
      </w:r>
      <w:r>
        <w:rPr>
          <w:rFonts w:ascii="Times New Roman" w:hAnsi="Times New Roman" w:cs="Times New Roman"/>
          <w:color w:val="000000"/>
          <w:vertAlign w:val="superscript"/>
        </w:rPr>
        <w:t>3</w:t>
      </w:r>
    </w:p>
    <w:tbl>
      <w:tblPr>
        <w:tblStyle w:val="27"/>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316"/>
        <w:gridCol w:w="926"/>
        <w:gridCol w:w="914"/>
        <w:gridCol w:w="1254"/>
        <w:gridCol w:w="885"/>
        <w:gridCol w:w="895"/>
        <w:gridCol w:w="733"/>
        <w:gridCol w:w="711"/>
        <w:gridCol w:w="894"/>
      </w:tblGrid>
      <w:tr w14:paraId="6AAF9DA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316" w:type="dxa"/>
            <w:noWrap w:val="0"/>
            <w:vAlign w:val="top"/>
          </w:tcPr>
          <w:p w14:paraId="13B8434C">
            <w:pPr>
              <w:jc w:val="center"/>
              <w:rPr>
                <w:color w:val="000000"/>
                <w:szCs w:val="21"/>
              </w:rPr>
            </w:pPr>
            <w:r>
              <w:rPr>
                <w:color w:val="000000"/>
                <w:szCs w:val="21"/>
              </w:rPr>
              <w:t>监测</w:t>
            </w:r>
          </w:p>
          <w:p w14:paraId="3CCF39A3">
            <w:pPr>
              <w:jc w:val="center"/>
              <w:rPr>
                <w:color w:val="000000"/>
                <w:szCs w:val="21"/>
              </w:rPr>
            </w:pPr>
            <w:r>
              <w:rPr>
                <w:color w:val="000000"/>
                <w:szCs w:val="21"/>
              </w:rPr>
              <w:t>点位</w:t>
            </w:r>
          </w:p>
        </w:tc>
        <w:tc>
          <w:tcPr>
            <w:tcW w:w="926" w:type="dxa"/>
            <w:noWrap w:val="0"/>
            <w:vAlign w:val="top"/>
          </w:tcPr>
          <w:p w14:paraId="50C35759">
            <w:pPr>
              <w:jc w:val="center"/>
              <w:rPr>
                <w:color w:val="000000"/>
                <w:szCs w:val="21"/>
              </w:rPr>
            </w:pPr>
            <w:r>
              <w:rPr>
                <w:color w:val="000000"/>
                <w:szCs w:val="21"/>
              </w:rPr>
              <w:t>监测</w:t>
            </w:r>
          </w:p>
          <w:p w14:paraId="53516F0D">
            <w:pPr>
              <w:jc w:val="center"/>
              <w:rPr>
                <w:color w:val="000000"/>
                <w:szCs w:val="21"/>
              </w:rPr>
            </w:pPr>
            <w:r>
              <w:rPr>
                <w:color w:val="000000"/>
                <w:szCs w:val="21"/>
              </w:rPr>
              <w:t>日期</w:t>
            </w:r>
          </w:p>
        </w:tc>
        <w:tc>
          <w:tcPr>
            <w:tcW w:w="914" w:type="dxa"/>
            <w:noWrap w:val="0"/>
            <w:vAlign w:val="top"/>
          </w:tcPr>
          <w:p w14:paraId="512014EB">
            <w:pPr>
              <w:jc w:val="center"/>
              <w:rPr>
                <w:color w:val="000000"/>
                <w:szCs w:val="21"/>
              </w:rPr>
            </w:pPr>
            <w:r>
              <w:rPr>
                <w:color w:val="000000"/>
                <w:szCs w:val="21"/>
              </w:rPr>
              <w:t>采样</w:t>
            </w:r>
          </w:p>
          <w:p w14:paraId="0CF90E8E">
            <w:pPr>
              <w:jc w:val="center"/>
              <w:rPr>
                <w:color w:val="000000"/>
                <w:szCs w:val="21"/>
              </w:rPr>
            </w:pPr>
            <w:r>
              <w:rPr>
                <w:color w:val="000000"/>
                <w:szCs w:val="21"/>
              </w:rPr>
              <w:t>时间</w:t>
            </w:r>
          </w:p>
        </w:tc>
        <w:tc>
          <w:tcPr>
            <w:tcW w:w="1254" w:type="dxa"/>
            <w:noWrap w:val="0"/>
            <w:vAlign w:val="top"/>
          </w:tcPr>
          <w:p w14:paraId="7D1443B5">
            <w:pPr>
              <w:jc w:val="center"/>
              <w:rPr>
                <w:color w:val="000000"/>
                <w:szCs w:val="21"/>
              </w:rPr>
            </w:pPr>
            <w:r>
              <w:rPr>
                <w:color w:val="000000"/>
              </w:rPr>
              <w:t>小时均值范围</w:t>
            </w:r>
          </w:p>
        </w:tc>
        <w:tc>
          <w:tcPr>
            <w:tcW w:w="885" w:type="dxa"/>
            <w:noWrap w:val="0"/>
            <w:vAlign w:val="top"/>
          </w:tcPr>
          <w:p w14:paraId="44813A9B">
            <w:pPr>
              <w:jc w:val="center"/>
              <w:rPr>
                <w:rFonts w:hint="eastAsia"/>
                <w:color w:val="000000"/>
                <w:szCs w:val="21"/>
              </w:rPr>
            </w:pPr>
            <w:r>
              <w:rPr>
                <w:color w:val="000000"/>
                <w:szCs w:val="21"/>
              </w:rPr>
              <w:t>日均</w:t>
            </w:r>
          </w:p>
          <w:p w14:paraId="5EC2B18D">
            <w:pPr>
              <w:jc w:val="center"/>
              <w:rPr>
                <w:color w:val="000000"/>
                <w:szCs w:val="21"/>
              </w:rPr>
            </w:pPr>
            <w:r>
              <w:rPr>
                <w:color w:val="000000"/>
                <w:szCs w:val="21"/>
              </w:rPr>
              <w:t>值</w:t>
            </w:r>
          </w:p>
        </w:tc>
        <w:tc>
          <w:tcPr>
            <w:tcW w:w="895" w:type="dxa"/>
            <w:noWrap w:val="0"/>
            <w:vAlign w:val="top"/>
          </w:tcPr>
          <w:p w14:paraId="364B793D">
            <w:pPr>
              <w:jc w:val="center"/>
              <w:rPr>
                <w:color w:val="000000"/>
                <w:szCs w:val="21"/>
              </w:rPr>
            </w:pPr>
            <w:r>
              <w:rPr>
                <w:color w:val="000000"/>
                <w:szCs w:val="21"/>
              </w:rPr>
              <w:t>日均值范围</w:t>
            </w:r>
          </w:p>
        </w:tc>
        <w:tc>
          <w:tcPr>
            <w:tcW w:w="733" w:type="dxa"/>
            <w:noWrap w:val="0"/>
            <w:vAlign w:val="top"/>
          </w:tcPr>
          <w:p w14:paraId="50FD8145">
            <w:pPr>
              <w:jc w:val="center"/>
              <w:rPr>
                <w:color w:val="000000"/>
                <w:szCs w:val="21"/>
              </w:rPr>
            </w:pPr>
            <w:r>
              <w:rPr>
                <w:color w:val="000000"/>
                <w:szCs w:val="21"/>
              </w:rPr>
              <w:t>三日</w:t>
            </w:r>
          </w:p>
          <w:p w14:paraId="3FFA424B">
            <w:pPr>
              <w:jc w:val="center"/>
              <w:rPr>
                <w:color w:val="000000"/>
                <w:szCs w:val="21"/>
              </w:rPr>
            </w:pPr>
            <w:r>
              <w:rPr>
                <w:color w:val="000000"/>
                <w:szCs w:val="21"/>
              </w:rPr>
              <w:t>均值</w:t>
            </w:r>
          </w:p>
        </w:tc>
        <w:tc>
          <w:tcPr>
            <w:tcW w:w="711" w:type="dxa"/>
            <w:noWrap w:val="0"/>
            <w:vAlign w:val="top"/>
          </w:tcPr>
          <w:p w14:paraId="6498F736">
            <w:pPr>
              <w:rPr>
                <w:color w:val="000000"/>
              </w:rPr>
            </w:pPr>
            <w:r>
              <w:rPr>
                <w:color w:val="000000"/>
              </w:rPr>
              <w:t>达标</w:t>
            </w:r>
          </w:p>
          <w:p w14:paraId="455B04EA">
            <w:pPr>
              <w:rPr>
                <w:color w:val="000000"/>
              </w:rPr>
            </w:pPr>
            <w:r>
              <w:rPr>
                <w:color w:val="000000"/>
              </w:rPr>
              <w:t>情况</w:t>
            </w:r>
          </w:p>
        </w:tc>
        <w:tc>
          <w:tcPr>
            <w:tcW w:w="894" w:type="dxa"/>
            <w:noWrap w:val="0"/>
            <w:vAlign w:val="top"/>
          </w:tcPr>
          <w:p w14:paraId="6810277C">
            <w:pPr>
              <w:jc w:val="center"/>
              <w:rPr>
                <w:color w:val="000000"/>
                <w:szCs w:val="21"/>
              </w:rPr>
            </w:pPr>
            <w:r>
              <w:rPr>
                <w:color w:val="000000"/>
                <w:szCs w:val="21"/>
              </w:rPr>
              <w:t>标准值</w:t>
            </w:r>
          </w:p>
        </w:tc>
      </w:tr>
      <w:tr w14:paraId="476051B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316" w:type="dxa"/>
            <w:vMerge w:val="restart"/>
            <w:noWrap w:val="0"/>
            <w:vAlign w:val="top"/>
          </w:tcPr>
          <w:p w14:paraId="2D3DE9A7">
            <w:pPr>
              <w:jc w:val="center"/>
              <w:rPr>
                <w:color w:val="000000"/>
                <w:szCs w:val="21"/>
              </w:rPr>
            </w:pPr>
            <w:r>
              <w:rPr>
                <w:rFonts w:hint="eastAsia"/>
                <w:color w:val="000000"/>
                <w:szCs w:val="21"/>
              </w:rPr>
              <w:t>德宏州环境监测站</w:t>
            </w:r>
          </w:p>
        </w:tc>
        <w:tc>
          <w:tcPr>
            <w:tcW w:w="926" w:type="dxa"/>
            <w:noWrap w:val="0"/>
            <w:vAlign w:val="top"/>
          </w:tcPr>
          <w:p w14:paraId="00EA8C8D">
            <w:pPr>
              <w:rPr>
                <w:rFonts w:hint="eastAsia"/>
                <w:color w:val="000000"/>
              </w:rPr>
            </w:pPr>
            <w:r>
              <w:rPr>
                <w:rFonts w:hint="eastAsia"/>
                <w:color w:val="000000"/>
              </w:rPr>
              <w:t>12</w:t>
            </w:r>
            <w:r>
              <w:rPr>
                <w:color w:val="000000"/>
              </w:rPr>
              <w:t>.</w:t>
            </w:r>
            <w:r>
              <w:rPr>
                <w:rFonts w:hint="eastAsia"/>
                <w:color w:val="000000"/>
              </w:rPr>
              <w:t>16</w:t>
            </w:r>
          </w:p>
        </w:tc>
        <w:tc>
          <w:tcPr>
            <w:tcW w:w="914" w:type="dxa"/>
            <w:noWrap w:val="0"/>
            <w:vAlign w:val="top"/>
          </w:tcPr>
          <w:p w14:paraId="0EFAF135">
            <w:pPr>
              <w:jc w:val="center"/>
              <w:rPr>
                <w:color w:val="000000"/>
                <w:szCs w:val="21"/>
              </w:rPr>
            </w:pPr>
            <w:r>
              <w:rPr>
                <w:rFonts w:hint="eastAsia"/>
                <w:color w:val="000000"/>
                <w:szCs w:val="21"/>
              </w:rPr>
              <w:t>24</w:t>
            </w:r>
            <w:r>
              <w:rPr>
                <w:color w:val="000000"/>
                <w:szCs w:val="21"/>
              </w:rPr>
              <w:t>h</w:t>
            </w:r>
          </w:p>
        </w:tc>
        <w:tc>
          <w:tcPr>
            <w:tcW w:w="1254" w:type="dxa"/>
            <w:noWrap w:val="0"/>
            <w:vAlign w:val="top"/>
          </w:tcPr>
          <w:p w14:paraId="41EB7FD3">
            <w:pPr>
              <w:jc w:val="center"/>
              <w:rPr>
                <w:rFonts w:hint="eastAsia"/>
                <w:color w:val="000000"/>
                <w:szCs w:val="21"/>
              </w:rPr>
            </w:pPr>
            <w:r>
              <w:rPr>
                <w:color w:val="000000"/>
                <w:szCs w:val="21"/>
              </w:rPr>
              <w:t>0.0</w:t>
            </w:r>
            <w:r>
              <w:rPr>
                <w:rFonts w:hint="eastAsia"/>
                <w:color w:val="000000"/>
                <w:szCs w:val="21"/>
              </w:rPr>
              <w:t>0</w:t>
            </w:r>
            <w:r>
              <w:rPr>
                <w:color w:val="000000"/>
                <w:szCs w:val="21"/>
              </w:rPr>
              <w:t>9-0.</w:t>
            </w:r>
            <w:r>
              <w:rPr>
                <w:rFonts w:hint="eastAsia"/>
                <w:color w:val="000000"/>
                <w:szCs w:val="21"/>
              </w:rPr>
              <w:t>059</w:t>
            </w:r>
          </w:p>
        </w:tc>
        <w:tc>
          <w:tcPr>
            <w:tcW w:w="885" w:type="dxa"/>
            <w:noWrap w:val="0"/>
            <w:vAlign w:val="top"/>
          </w:tcPr>
          <w:p w14:paraId="499CA6F5">
            <w:pPr>
              <w:jc w:val="center"/>
              <w:rPr>
                <w:rFonts w:hint="eastAsia"/>
                <w:color w:val="000000"/>
                <w:szCs w:val="21"/>
              </w:rPr>
            </w:pPr>
            <w:r>
              <w:rPr>
                <w:color w:val="000000"/>
                <w:szCs w:val="21"/>
              </w:rPr>
              <w:t>0.</w:t>
            </w:r>
            <w:r>
              <w:rPr>
                <w:rFonts w:hint="eastAsia"/>
                <w:color w:val="000000"/>
                <w:szCs w:val="21"/>
              </w:rPr>
              <w:t>026</w:t>
            </w:r>
          </w:p>
        </w:tc>
        <w:tc>
          <w:tcPr>
            <w:tcW w:w="895" w:type="dxa"/>
            <w:vMerge w:val="restart"/>
            <w:noWrap w:val="0"/>
            <w:vAlign w:val="top"/>
          </w:tcPr>
          <w:p w14:paraId="425F378A">
            <w:pPr>
              <w:jc w:val="center"/>
              <w:rPr>
                <w:color w:val="000000"/>
                <w:szCs w:val="21"/>
              </w:rPr>
            </w:pPr>
            <w:r>
              <w:rPr>
                <w:color w:val="000000"/>
                <w:szCs w:val="21"/>
              </w:rPr>
              <w:t>0.</w:t>
            </w:r>
            <w:r>
              <w:rPr>
                <w:rFonts w:hint="eastAsia"/>
                <w:color w:val="000000"/>
                <w:szCs w:val="21"/>
              </w:rPr>
              <w:t>026</w:t>
            </w:r>
            <w:r>
              <w:rPr>
                <w:color w:val="000000"/>
                <w:szCs w:val="21"/>
              </w:rPr>
              <w:t>－</w:t>
            </w:r>
          </w:p>
          <w:p w14:paraId="3DD78A63">
            <w:pPr>
              <w:jc w:val="center"/>
              <w:rPr>
                <w:rFonts w:hint="eastAsia"/>
                <w:color w:val="000000"/>
                <w:szCs w:val="21"/>
              </w:rPr>
            </w:pPr>
            <w:r>
              <w:rPr>
                <w:color w:val="000000"/>
                <w:szCs w:val="21"/>
              </w:rPr>
              <w:t>0.</w:t>
            </w:r>
            <w:r>
              <w:rPr>
                <w:rFonts w:hint="eastAsia"/>
                <w:color w:val="000000"/>
                <w:szCs w:val="21"/>
              </w:rPr>
              <w:t>069</w:t>
            </w:r>
          </w:p>
        </w:tc>
        <w:tc>
          <w:tcPr>
            <w:tcW w:w="733" w:type="dxa"/>
            <w:vMerge w:val="restart"/>
            <w:noWrap w:val="0"/>
            <w:vAlign w:val="top"/>
          </w:tcPr>
          <w:p w14:paraId="400C5713">
            <w:pPr>
              <w:rPr>
                <w:color w:val="000000"/>
                <w:szCs w:val="21"/>
              </w:rPr>
            </w:pPr>
          </w:p>
          <w:p w14:paraId="21A4CA04">
            <w:pPr>
              <w:rPr>
                <w:rFonts w:hint="eastAsia"/>
                <w:color w:val="000000"/>
                <w:szCs w:val="21"/>
              </w:rPr>
            </w:pPr>
            <w:r>
              <w:rPr>
                <w:color w:val="000000"/>
                <w:szCs w:val="21"/>
              </w:rPr>
              <w:t>0.</w:t>
            </w:r>
            <w:r>
              <w:rPr>
                <w:rFonts w:hint="eastAsia"/>
                <w:color w:val="000000"/>
                <w:szCs w:val="21"/>
              </w:rPr>
              <w:t>052</w:t>
            </w:r>
          </w:p>
        </w:tc>
        <w:tc>
          <w:tcPr>
            <w:tcW w:w="711" w:type="dxa"/>
            <w:vMerge w:val="restart"/>
            <w:noWrap w:val="0"/>
            <w:vAlign w:val="top"/>
          </w:tcPr>
          <w:p w14:paraId="6B0AA375">
            <w:pPr>
              <w:rPr>
                <w:color w:val="000000"/>
              </w:rPr>
            </w:pPr>
            <w:r>
              <w:rPr>
                <w:color w:val="000000"/>
              </w:rPr>
              <w:t>达标</w:t>
            </w:r>
          </w:p>
        </w:tc>
        <w:tc>
          <w:tcPr>
            <w:tcW w:w="894" w:type="dxa"/>
            <w:vMerge w:val="restart"/>
            <w:noWrap w:val="0"/>
            <w:vAlign w:val="top"/>
          </w:tcPr>
          <w:p w14:paraId="7C370661">
            <w:pPr>
              <w:jc w:val="center"/>
              <w:rPr>
                <w:color w:val="000000"/>
                <w:szCs w:val="21"/>
              </w:rPr>
            </w:pPr>
            <w:r>
              <w:rPr>
                <w:color w:val="000000"/>
                <w:szCs w:val="21"/>
              </w:rPr>
              <w:t>日均值0.15</w:t>
            </w:r>
          </w:p>
        </w:tc>
      </w:tr>
      <w:tr w14:paraId="1841F65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316" w:type="dxa"/>
            <w:vMerge w:val="continue"/>
            <w:noWrap w:val="0"/>
            <w:vAlign w:val="top"/>
          </w:tcPr>
          <w:p w14:paraId="7629A2EF">
            <w:pPr>
              <w:jc w:val="center"/>
              <w:rPr>
                <w:color w:val="000000"/>
                <w:szCs w:val="21"/>
              </w:rPr>
            </w:pPr>
          </w:p>
        </w:tc>
        <w:tc>
          <w:tcPr>
            <w:tcW w:w="926" w:type="dxa"/>
            <w:noWrap w:val="0"/>
            <w:vAlign w:val="top"/>
          </w:tcPr>
          <w:p w14:paraId="605C4473">
            <w:pPr>
              <w:rPr>
                <w:rFonts w:hint="eastAsia"/>
                <w:color w:val="000000"/>
              </w:rPr>
            </w:pPr>
            <w:r>
              <w:rPr>
                <w:rFonts w:hint="eastAsia"/>
                <w:color w:val="000000"/>
              </w:rPr>
              <w:t>12</w:t>
            </w:r>
            <w:r>
              <w:rPr>
                <w:color w:val="000000"/>
              </w:rPr>
              <w:t>.</w:t>
            </w:r>
            <w:r>
              <w:rPr>
                <w:rFonts w:hint="eastAsia"/>
                <w:color w:val="000000"/>
              </w:rPr>
              <w:t>17</w:t>
            </w:r>
          </w:p>
        </w:tc>
        <w:tc>
          <w:tcPr>
            <w:tcW w:w="914" w:type="dxa"/>
            <w:noWrap w:val="0"/>
            <w:vAlign w:val="top"/>
          </w:tcPr>
          <w:p w14:paraId="467E07C7">
            <w:pPr>
              <w:jc w:val="center"/>
              <w:rPr>
                <w:color w:val="000000"/>
                <w:szCs w:val="21"/>
              </w:rPr>
            </w:pPr>
            <w:r>
              <w:rPr>
                <w:rFonts w:hint="eastAsia"/>
                <w:color w:val="000000"/>
                <w:szCs w:val="21"/>
              </w:rPr>
              <w:t>24</w:t>
            </w:r>
            <w:r>
              <w:rPr>
                <w:color w:val="000000"/>
                <w:szCs w:val="21"/>
              </w:rPr>
              <w:t>h</w:t>
            </w:r>
          </w:p>
        </w:tc>
        <w:tc>
          <w:tcPr>
            <w:tcW w:w="1254" w:type="dxa"/>
            <w:noWrap w:val="0"/>
            <w:vAlign w:val="top"/>
          </w:tcPr>
          <w:p w14:paraId="603C9B3B">
            <w:pPr>
              <w:jc w:val="center"/>
              <w:rPr>
                <w:rFonts w:hint="eastAsia"/>
                <w:color w:val="000000"/>
                <w:szCs w:val="21"/>
              </w:rPr>
            </w:pPr>
            <w:r>
              <w:rPr>
                <w:color w:val="000000"/>
                <w:szCs w:val="21"/>
              </w:rPr>
              <w:t>0.0</w:t>
            </w:r>
            <w:r>
              <w:rPr>
                <w:rFonts w:hint="eastAsia"/>
                <w:color w:val="000000"/>
                <w:szCs w:val="21"/>
              </w:rPr>
              <w:t>30</w:t>
            </w:r>
            <w:r>
              <w:rPr>
                <w:color w:val="000000"/>
                <w:szCs w:val="21"/>
              </w:rPr>
              <w:t>-0.</w:t>
            </w:r>
            <w:r>
              <w:rPr>
                <w:rFonts w:hint="eastAsia"/>
                <w:color w:val="000000"/>
                <w:szCs w:val="21"/>
              </w:rPr>
              <w:t>141</w:t>
            </w:r>
          </w:p>
        </w:tc>
        <w:tc>
          <w:tcPr>
            <w:tcW w:w="885" w:type="dxa"/>
            <w:noWrap w:val="0"/>
            <w:vAlign w:val="top"/>
          </w:tcPr>
          <w:p w14:paraId="74CB236F">
            <w:pPr>
              <w:jc w:val="center"/>
              <w:rPr>
                <w:rFonts w:hint="eastAsia"/>
                <w:color w:val="000000"/>
                <w:szCs w:val="21"/>
              </w:rPr>
            </w:pPr>
            <w:r>
              <w:rPr>
                <w:rFonts w:hint="eastAsia"/>
                <w:color w:val="000000"/>
                <w:szCs w:val="21"/>
              </w:rPr>
              <w:t>0.060</w:t>
            </w:r>
          </w:p>
        </w:tc>
        <w:tc>
          <w:tcPr>
            <w:tcW w:w="895" w:type="dxa"/>
            <w:vMerge w:val="continue"/>
            <w:noWrap w:val="0"/>
            <w:vAlign w:val="top"/>
          </w:tcPr>
          <w:p w14:paraId="3C0EF8B4">
            <w:pPr>
              <w:jc w:val="center"/>
              <w:rPr>
                <w:color w:val="000000"/>
                <w:szCs w:val="21"/>
              </w:rPr>
            </w:pPr>
          </w:p>
        </w:tc>
        <w:tc>
          <w:tcPr>
            <w:tcW w:w="733" w:type="dxa"/>
            <w:vMerge w:val="continue"/>
            <w:noWrap w:val="0"/>
            <w:vAlign w:val="top"/>
          </w:tcPr>
          <w:p w14:paraId="040CE360">
            <w:pPr>
              <w:jc w:val="center"/>
              <w:rPr>
                <w:color w:val="000000"/>
                <w:szCs w:val="21"/>
              </w:rPr>
            </w:pPr>
          </w:p>
        </w:tc>
        <w:tc>
          <w:tcPr>
            <w:tcW w:w="711" w:type="dxa"/>
            <w:vMerge w:val="continue"/>
            <w:noWrap w:val="0"/>
            <w:vAlign w:val="top"/>
          </w:tcPr>
          <w:p w14:paraId="1B32EFFA">
            <w:pPr>
              <w:jc w:val="center"/>
              <w:rPr>
                <w:color w:val="000000"/>
                <w:szCs w:val="21"/>
              </w:rPr>
            </w:pPr>
          </w:p>
        </w:tc>
        <w:tc>
          <w:tcPr>
            <w:tcW w:w="894" w:type="dxa"/>
            <w:vMerge w:val="continue"/>
            <w:noWrap w:val="0"/>
            <w:vAlign w:val="top"/>
          </w:tcPr>
          <w:p w14:paraId="3ED998DF">
            <w:pPr>
              <w:jc w:val="center"/>
              <w:rPr>
                <w:color w:val="000000"/>
                <w:szCs w:val="21"/>
              </w:rPr>
            </w:pPr>
          </w:p>
        </w:tc>
      </w:tr>
      <w:tr w14:paraId="184A43C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316" w:type="dxa"/>
            <w:vMerge w:val="continue"/>
            <w:noWrap w:val="0"/>
            <w:vAlign w:val="top"/>
          </w:tcPr>
          <w:p w14:paraId="3828BE51">
            <w:pPr>
              <w:jc w:val="center"/>
              <w:rPr>
                <w:color w:val="000000"/>
                <w:szCs w:val="21"/>
              </w:rPr>
            </w:pPr>
          </w:p>
        </w:tc>
        <w:tc>
          <w:tcPr>
            <w:tcW w:w="926" w:type="dxa"/>
            <w:noWrap w:val="0"/>
            <w:vAlign w:val="top"/>
          </w:tcPr>
          <w:p w14:paraId="183F3A51">
            <w:pPr>
              <w:rPr>
                <w:rFonts w:hint="eastAsia"/>
                <w:color w:val="000000"/>
              </w:rPr>
            </w:pPr>
            <w:r>
              <w:rPr>
                <w:rFonts w:hint="eastAsia"/>
                <w:color w:val="000000"/>
              </w:rPr>
              <w:t>12</w:t>
            </w:r>
            <w:r>
              <w:rPr>
                <w:color w:val="000000"/>
              </w:rPr>
              <w:t>.</w:t>
            </w:r>
            <w:r>
              <w:rPr>
                <w:rFonts w:hint="eastAsia"/>
                <w:color w:val="000000"/>
              </w:rPr>
              <w:t>18</w:t>
            </w:r>
          </w:p>
        </w:tc>
        <w:tc>
          <w:tcPr>
            <w:tcW w:w="914" w:type="dxa"/>
            <w:noWrap w:val="0"/>
            <w:vAlign w:val="top"/>
          </w:tcPr>
          <w:p w14:paraId="4CE8BED4">
            <w:pPr>
              <w:jc w:val="center"/>
              <w:rPr>
                <w:color w:val="000000"/>
                <w:szCs w:val="21"/>
              </w:rPr>
            </w:pPr>
            <w:r>
              <w:rPr>
                <w:rFonts w:hint="eastAsia"/>
                <w:color w:val="000000"/>
                <w:szCs w:val="21"/>
              </w:rPr>
              <w:t>24</w:t>
            </w:r>
            <w:r>
              <w:rPr>
                <w:color w:val="000000"/>
                <w:szCs w:val="21"/>
              </w:rPr>
              <w:t>h</w:t>
            </w:r>
          </w:p>
        </w:tc>
        <w:tc>
          <w:tcPr>
            <w:tcW w:w="1254" w:type="dxa"/>
            <w:noWrap w:val="0"/>
            <w:vAlign w:val="top"/>
          </w:tcPr>
          <w:p w14:paraId="0F96785A">
            <w:pPr>
              <w:jc w:val="center"/>
              <w:rPr>
                <w:rFonts w:hint="eastAsia"/>
                <w:color w:val="000000"/>
                <w:szCs w:val="21"/>
              </w:rPr>
            </w:pPr>
            <w:r>
              <w:rPr>
                <w:rFonts w:hint="eastAsia"/>
                <w:color w:val="000000"/>
                <w:szCs w:val="21"/>
              </w:rPr>
              <w:t>0.043</w:t>
            </w:r>
            <w:r>
              <w:rPr>
                <w:color w:val="000000"/>
                <w:szCs w:val="21"/>
              </w:rPr>
              <w:t>-0.14</w:t>
            </w:r>
            <w:r>
              <w:rPr>
                <w:rFonts w:hint="eastAsia"/>
                <w:color w:val="000000"/>
                <w:szCs w:val="21"/>
              </w:rPr>
              <w:t>8</w:t>
            </w:r>
          </w:p>
        </w:tc>
        <w:tc>
          <w:tcPr>
            <w:tcW w:w="885" w:type="dxa"/>
            <w:noWrap w:val="0"/>
            <w:vAlign w:val="top"/>
          </w:tcPr>
          <w:p w14:paraId="722FEF7E">
            <w:pPr>
              <w:jc w:val="center"/>
              <w:rPr>
                <w:rFonts w:hint="eastAsia"/>
                <w:color w:val="000000"/>
                <w:szCs w:val="21"/>
              </w:rPr>
            </w:pPr>
            <w:r>
              <w:rPr>
                <w:color w:val="000000"/>
                <w:szCs w:val="21"/>
              </w:rPr>
              <w:t>0.</w:t>
            </w:r>
            <w:r>
              <w:rPr>
                <w:rFonts w:hint="eastAsia"/>
                <w:color w:val="000000"/>
                <w:szCs w:val="21"/>
              </w:rPr>
              <w:t>069</w:t>
            </w:r>
          </w:p>
        </w:tc>
        <w:tc>
          <w:tcPr>
            <w:tcW w:w="895" w:type="dxa"/>
            <w:vMerge w:val="continue"/>
            <w:noWrap w:val="0"/>
            <w:vAlign w:val="top"/>
          </w:tcPr>
          <w:p w14:paraId="2D4B1A4F">
            <w:pPr>
              <w:jc w:val="center"/>
              <w:rPr>
                <w:color w:val="000000"/>
                <w:szCs w:val="21"/>
              </w:rPr>
            </w:pPr>
          </w:p>
        </w:tc>
        <w:tc>
          <w:tcPr>
            <w:tcW w:w="733" w:type="dxa"/>
            <w:vMerge w:val="continue"/>
            <w:noWrap w:val="0"/>
            <w:vAlign w:val="top"/>
          </w:tcPr>
          <w:p w14:paraId="0C9AA0BD">
            <w:pPr>
              <w:jc w:val="center"/>
              <w:rPr>
                <w:color w:val="000000"/>
                <w:szCs w:val="21"/>
              </w:rPr>
            </w:pPr>
          </w:p>
        </w:tc>
        <w:tc>
          <w:tcPr>
            <w:tcW w:w="711" w:type="dxa"/>
            <w:vMerge w:val="continue"/>
            <w:noWrap w:val="0"/>
            <w:vAlign w:val="top"/>
          </w:tcPr>
          <w:p w14:paraId="74AB1C18">
            <w:pPr>
              <w:jc w:val="center"/>
              <w:rPr>
                <w:color w:val="000000"/>
                <w:szCs w:val="21"/>
              </w:rPr>
            </w:pPr>
          </w:p>
        </w:tc>
        <w:tc>
          <w:tcPr>
            <w:tcW w:w="894" w:type="dxa"/>
            <w:vMerge w:val="continue"/>
            <w:noWrap w:val="0"/>
            <w:vAlign w:val="top"/>
          </w:tcPr>
          <w:p w14:paraId="74BFC027">
            <w:pPr>
              <w:jc w:val="center"/>
              <w:rPr>
                <w:color w:val="000000"/>
                <w:szCs w:val="21"/>
              </w:rPr>
            </w:pPr>
          </w:p>
        </w:tc>
      </w:tr>
    </w:tbl>
    <w:p w14:paraId="7166ACBD">
      <w:pPr>
        <w:spacing w:line="360" w:lineRule="auto"/>
        <w:ind w:firstLine="360"/>
        <w:rPr>
          <w:rFonts w:hint="eastAsia"/>
          <w:color w:val="000000"/>
          <w:sz w:val="24"/>
        </w:rPr>
      </w:pPr>
    </w:p>
    <w:p w14:paraId="0A39B943">
      <w:pPr>
        <w:pStyle w:val="303"/>
        <w:rPr>
          <w:rFonts w:hint="eastAsia" w:ascii="Times New Roman" w:hAnsi="Times New Roman" w:cs="Times New Roman"/>
          <w:color w:val="000000"/>
        </w:rPr>
      </w:pPr>
      <w:r>
        <w:rPr>
          <w:rFonts w:ascii="Times New Roman" w:hAnsi="Times New Roman" w:cs="Times New Roman"/>
          <w:color w:val="000000"/>
        </w:rPr>
        <w:t>表</w:t>
      </w:r>
      <w:r>
        <w:rPr>
          <w:rFonts w:hint="eastAsia" w:ascii="Times New Roman" w:hAnsi="Times New Roman" w:cs="Times New Roman"/>
          <w:color w:val="000000"/>
        </w:rPr>
        <w:t>5.3-2</w:t>
      </w:r>
      <w:r>
        <w:rPr>
          <w:rFonts w:ascii="Times New Roman" w:hAnsi="Times New Roman" w:cs="Times New Roman"/>
          <w:color w:val="000000"/>
        </w:rPr>
        <w:t xml:space="preserve"> </w:t>
      </w:r>
      <w:r>
        <w:rPr>
          <w:rFonts w:hint="eastAsia" w:ascii="Times New Roman" w:hAnsi="Times New Roman" w:cs="Times New Roman"/>
          <w:color w:val="000000"/>
        </w:rPr>
        <w:t xml:space="preserve"> </w:t>
      </w:r>
      <w:r>
        <w:rPr>
          <w:rFonts w:ascii="Times New Roman" w:hAnsi="Times New Roman" w:cs="Times New Roman"/>
          <w:color w:val="000000"/>
        </w:rPr>
        <w:t>20</w:t>
      </w:r>
      <w:r>
        <w:rPr>
          <w:rFonts w:hint="eastAsia" w:ascii="Times New Roman" w:hAnsi="Times New Roman" w:cs="Times New Roman"/>
          <w:color w:val="000000"/>
        </w:rPr>
        <w:t>13</w:t>
      </w:r>
      <w:r>
        <w:rPr>
          <w:rFonts w:ascii="Times New Roman" w:hAnsi="Times New Roman" w:cs="Times New Roman"/>
          <w:color w:val="000000"/>
        </w:rPr>
        <w:t>年</w:t>
      </w:r>
      <w:r>
        <w:rPr>
          <w:rFonts w:hint="eastAsia" w:ascii="Times New Roman" w:hAnsi="Times New Roman" w:cs="Times New Roman"/>
          <w:color w:val="000000"/>
        </w:rPr>
        <w:t>12</w:t>
      </w:r>
      <w:r>
        <w:rPr>
          <w:rFonts w:ascii="Times New Roman" w:hAnsi="Times New Roman" w:cs="Times New Roman"/>
          <w:color w:val="000000"/>
        </w:rPr>
        <w:t>月</w:t>
      </w:r>
      <w:r>
        <w:rPr>
          <w:rFonts w:hint="eastAsia" w:ascii="Times New Roman" w:hAnsi="Times New Roman" w:cs="Times New Roman"/>
          <w:color w:val="000000"/>
        </w:rPr>
        <w:t>1</w:t>
      </w:r>
      <w:r>
        <w:rPr>
          <w:rFonts w:ascii="Times New Roman" w:hAnsi="Times New Roman" w:cs="Times New Roman"/>
          <w:color w:val="000000"/>
        </w:rPr>
        <w:t>6日-</w:t>
      </w:r>
      <w:r>
        <w:rPr>
          <w:rFonts w:hint="eastAsia" w:ascii="Times New Roman" w:hAnsi="Times New Roman" w:cs="Times New Roman"/>
          <w:color w:val="000000"/>
        </w:rPr>
        <w:t>1</w:t>
      </w:r>
      <w:r>
        <w:rPr>
          <w:rFonts w:ascii="Times New Roman" w:hAnsi="Times New Roman" w:cs="Times New Roman"/>
          <w:color w:val="000000"/>
        </w:rPr>
        <w:t>8日NO2监测结果统计表（单位mg/m</w:t>
      </w:r>
      <w:r>
        <w:rPr>
          <w:rFonts w:ascii="Times New Roman" w:hAnsi="Times New Roman" w:cs="Times New Roman"/>
          <w:color w:val="000000"/>
          <w:vertAlign w:val="superscript"/>
        </w:rPr>
        <w:t>3</w:t>
      </w:r>
      <w:r>
        <w:rPr>
          <w:rFonts w:ascii="Times New Roman" w:hAnsi="Times New Roman" w:cs="Times New Roman"/>
          <w:color w:val="000000"/>
        </w:rPr>
        <w:t>）</w:t>
      </w:r>
    </w:p>
    <w:tbl>
      <w:tblPr>
        <w:tblStyle w:val="27"/>
        <w:tblW w:w="0" w:type="auto"/>
        <w:tblInd w:w="-108"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021"/>
        <w:gridCol w:w="838"/>
        <w:gridCol w:w="743"/>
        <w:gridCol w:w="1356"/>
        <w:gridCol w:w="752"/>
        <w:gridCol w:w="922"/>
        <w:gridCol w:w="794"/>
        <w:gridCol w:w="681"/>
        <w:gridCol w:w="1421"/>
      </w:tblGrid>
      <w:tr w14:paraId="45D1FC2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021" w:type="dxa"/>
            <w:noWrap w:val="0"/>
            <w:vAlign w:val="top"/>
          </w:tcPr>
          <w:p w14:paraId="6DE5188C">
            <w:pPr>
              <w:rPr>
                <w:color w:val="000000"/>
              </w:rPr>
            </w:pPr>
            <w:r>
              <w:rPr>
                <w:color w:val="000000"/>
              </w:rPr>
              <w:t>监测点位</w:t>
            </w:r>
          </w:p>
        </w:tc>
        <w:tc>
          <w:tcPr>
            <w:tcW w:w="838" w:type="dxa"/>
            <w:noWrap w:val="0"/>
            <w:vAlign w:val="top"/>
          </w:tcPr>
          <w:p w14:paraId="0EC7156F">
            <w:pPr>
              <w:rPr>
                <w:color w:val="000000"/>
              </w:rPr>
            </w:pPr>
            <w:r>
              <w:rPr>
                <w:color w:val="000000"/>
              </w:rPr>
              <w:t>监测日期</w:t>
            </w:r>
          </w:p>
        </w:tc>
        <w:tc>
          <w:tcPr>
            <w:tcW w:w="743" w:type="dxa"/>
            <w:noWrap w:val="0"/>
            <w:vAlign w:val="top"/>
          </w:tcPr>
          <w:p w14:paraId="4E271574">
            <w:pPr>
              <w:rPr>
                <w:color w:val="000000"/>
              </w:rPr>
            </w:pPr>
            <w:r>
              <w:rPr>
                <w:color w:val="000000"/>
              </w:rPr>
              <w:t>采样时间</w:t>
            </w:r>
          </w:p>
        </w:tc>
        <w:tc>
          <w:tcPr>
            <w:tcW w:w="1356" w:type="dxa"/>
            <w:noWrap w:val="0"/>
            <w:vAlign w:val="top"/>
          </w:tcPr>
          <w:p w14:paraId="7C5FA5EB">
            <w:pPr>
              <w:rPr>
                <w:color w:val="000000"/>
              </w:rPr>
            </w:pPr>
            <w:r>
              <w:rPr>
                <w:color w:val="000000"/>
              </w:rPr>
              <w:t>小时均值范围</w:t>
            </w:r>
          </w:p>
        </w:tc>
        <w:tc>
          <w:tcPr>
            <w:tcW w:w="752" w:type="dxa"/>
            <w:noWrap w:val="0"/>
            <w:vAlign w:val="top"/>
          </w:tcPr>
          <w:p w14:paraId="133F15CF">
            <w:pPr>
              <w:rPr>
                <w:color w:val="000000"/>
              </w:rPr>
            </w:pPr>
            <w:r>
              <w:rPr>
                <w:color w:val="000000"/>
              </w:rPr>
              <w:t>日均值</w:t>
            </w:r>
          </w:p>
        </w:tc>
        <w:tc>
          <w:tcPr>
            <w:tcW w:w="922" w:type="dxa"/>
            <w:noWrap w:val="0"/>
            <w:vAlign w:val="top"/>
          </w:tcPr>
          <w:p w14:paraId="6D1A911D">
            <w:pPr>
              <w:rPr>
                <w:color w:val="000000"/>
              </w:rPr>
            </w:pPr>
            <w:r>
              <w:rPr>
                <w:color w:val="000000"/>
              </w:rPr>
              <w:t>日均值范围</w:t>
            </w:r>
          </w:p>
        </w:tc>
        <w:tc>
          <w:tcPr>
            <w:tcW w:w="794" w:type="dxa"/>
            <w:noWrap w:val="0"/>
            <w:vAlign w:val="top"/>
          </w:tcPr>
          <w:p w14:paraId="7199C345">
            <w:pPr>
              <w:jc w:val="center"/>
              <w:rPr>
                <w:color w:val="000000"/>
                <w:szCs w:val="21"/>
              </w:rPr>
            </w:pPr>
            <w:r>
              <w:rPr>
                <w:color w:val="000000"/>
                <w:szCs w:val="21"/>
              </w:rPr>
              <w:t>三日</w:t>
            </w:r>
          </w:p>
          <w:p w14:paraId="2EC19236">
            <w:pPr>
              <w:rPr>
                <w:color w:val="000000"/>
              </w:rPr>
            </w:pPr>
            <w:r>
              <w:rPr>
                <w:color w:val="000000"/>
                <w:szCs w:val="21"/>
              </w:rPr>
              <w:t>均值</w:t>
            </w:r>
          </w:p>
        </w:tc>
        <w:tc>
          <w:tcPr>
            <w:tcW w:w="681" w:type="dxa"/>
            <w:noWrap w:val="0"/>
            <w:vAlign w:val="top"/>
          </w:tcPr>
          <w:p w14:paraId="6D7237F5">
            <w:pPr>
              <w:rPr>
                <w:color w:val="000000"/>
              </w:rPr>
            </w:pPr>
            <w:r>
              <w:rPr>
                <w:color w:val="000000"/>
              </w:rPr>
              <w:t>达标情况</w:t>
            </w:r>
          </w:p>
        </w:tc>
        <w:tc>
          <w:tcPr>
            <w:tcW w:w="1421" w:type="dxa"/>
            <w:noWrap w:val="0"/>
            <w:vAlign w:val="top"/>
          </w:tcPr>
          <w:p w14:paraId="1FDEF54B">
            <w:pPr>
              <w:rPr>
                <w:color w:val="000000"/>
              </w:rPr>
            </w:pPr>
            <w:r>
              <w:rPr>
                <w:color w:val="000000"/>
              </w:rPr>
              <w:t>标准值</w:t>
            </w:r>
          </w:p>
        </w:tc>
      </w:tr>
      <w:tr w14:paraId="28F2E68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021" w:type="dxa"/>
            <w:vMerge w:val="restart"/>
            <w:noWrap w:val="0"/>
            <w:vAlign w:val="top"/>
          </w:tcPr>
          <w:p w14:paraId="0F319833">
            <w:pPr>
              <w:jc w:val="center"/>
              <w:rPr>
                <w:color w:val="000000"/>
                <w:szCs w:val="21"/>
              </w:rPr>
            </w:pPr>
            <w:r>
              <w:rPr>
                <w:rFonts w:hint="eastAsia"/>
                <w:color w:val="000000"/>
                <w:szCs w:val="21"/>
              </w:rPr>
              <w:t>德宏州环境监测站</w:t>
            </w:r>
          </w:p>
        </w:tc>
        <w:tc>
          <w:tcPr>
            <w:tcW w:w="838" w:type="dxa"/>
            <w:noWrap w:val="0"/>
            <w:vAlign w:val="top"/>
          </w:tcPr>
          <w:p w14:paraId="1B7C9591">
            <w:pPr>
              <w:rPr>
                <w:rFonts w:hint="eastAsia"/>
                <w:color w:val="000000"/>
              </w:rPr>
            </w:pPr>
            <w:r>
              <w:rPr>
                <w:rFonts w:hint="eastAsia"/>
                <w:color w:val="000000"/>
              </w:rPr>
              <w:t>12</w:t>
            </w:r>
            <w:r>
              <w:rPr>
                <w:color w:val="000000"/>
              </w:rPr>
              <w:t>.</w:t>
            </w:r>
            <w:r>
              <w:rPr>
                <w:rFonts w:hint="eastAsia"/>
                <w:color w:val="000000"/>
              </w:rPr>
              <w:t>16</w:t>
            </w:r>
          </w:p>
        </w:tc>
        <w:tc>
          <w:tcPr>
            <w:tcW w:w="743" w:type="dxa"/>
            <w:noWrap w:val="0"/>
            <w:vAlign w:val="top"/>
          </w:tcPr>
          <w:p w14:paraId="28FE448F">
            <w:pPr>
              <w:rPr>
                <w:color w:val="000000"/>
              </w:rPr>
            </w:pPr>
            <w:r>
              <w:rPr>
                <w:rFonts w:hint="eastAsia"/>
                <w:color w:val="000000"/>
              </w:rPr>
              <w:t>24</w:t>
            </w:r>
            <w:r>
              <w:rPr>
                <w:color w:val="000000"/>
              </w:rPr>
              <w:t>h</w:t>
            </w:r>
          </w:p>
        </w:tc>
        <w:tc>
          <w:tcPr>
            <w:tcW w:w="1356" w:type="dxa"/>
            <w:noWrap w:val="0"/>
            <w:vAlign w:val="top"/>
          </w:tcPr>
          <w:p w14:paraId="279B152A">
            <w:pPr>
              <w:rPr>
                <w:rFonts w:hint="eastAsia"/>
                <w:color w:val="000000"/>
              </w:rPr>
            </w:pPr>
            <w:r>
              <w:rPr>
                <w:rFonts w:hint="eastAsia"/>
                <w:color w:val="000000"/>
              </w:rPr>
              <w:t>0.001</w:t>
            </w:r>
            <w:r>
              <w:rPr>
                <w:color w:val="000000"/>
              </w:rPr>
              <w:t>~0.0</w:t>
            </w:r>
            <w:r>
              <w:rPr>
                <w:rFonts w:hint="eastAsia"/>
                <w:color w:val="000000"/>
              </w:rPr>
              <w:t>08</w:t>
            </w:r>
          </w:p>
        </w:tc>
        <w:tc>
          <w:tcPr>
            <w:tcW w:w="752" w:type="dxa"/>
            <w:noWrap w:val="0"/>
            <w:vAlign w:val="top"/>
          </w:tcPr>
          <w:p w14:paraId="261D3BE1">
            <w:pPr>
              <w:rPr>
                <w:rFonts w:hint="eastAsia"/>
                <w:color w:val="000000"/>
              </w:rPr>
            </w:pPr>
            <w:r>
              <w:rPr>
                <w:color w:val="000000"/>
              </w:rPr>
              <w:t>0.0</w:t>
            </w:r>
            <w:r>
              <w:rPr>
                <w:rFonts w:hint="eastAsia"/>
                <w:color w:val="000000"/>
              </w:rPr>
              <w:t>01</w:t>
            </w:r>
          </w:p>
        </w:tc>
        <w:tc>
          <w:tcPr>
            <w:tcW w:w="922" w:type="dxa"/>
            <w:vMerge w:val="restart"/>
            <w:noWrap w:val="0"/>
            <w:vAlign w:val="top"/>
          </w:tcPr>
          <w:p w14:paraId="43B0E8CA">
            <w:pPr>
              <w:rPr>
                <w:color w:val="000000"/>
                <w:szCs w:val="21"/>
              </w:rPr>
            </w:pPr>
            <w:r>
              <w:rPr>
                <w:color w:val="000000"/>
              </w:rPr>
              <w:t>0.0</w:t>
            </w:r>
            <w:r>
              <w:rPr>
                <w:rFonts w:hint="eastAsia"/>
                <w:color w:val="000000"/>
              </w:rPr>
              <w:t>01</w:t>
            </w:r>
            <w:r>
              <w:rPr>
                <w:color w:val="000000"/>
                <w:szCs w:val="21"/>
              </w:rPr>
              <w:t>－</w:t>
            </w:r>
          </w:p>
          <w:p w14:paraId="46BC4C99">
            <w:pPr>
              <w:rPr>
                <w:rFonts w:hint="eastAsia"/>
                <w:color w:val="000000"/>
              </w:rPr>
            </w:pPr>
            <w:r>
              <w:rPr>
                <w:color w:val="000000"/>
              </w:rPr>
              <w:t>0.0</w:t>
            </w:r>
            <w:r>
              <w:rPr>
                <w:rFonts w:hint="eastAsia"/>
                <w:color w:val="000000"/>
              </w:rPr>
              <w:t>08</w:t>
            </w:r>
          </w:p>
        </w:tc>
        <w:tc>
          <w:tcPr>
            <w:tcW w:w="794" w:type="dxa"/>
            <w:vMerge w:val="restart"/>
            <w:noWrap w:val="0"/>
            <w:vAlign w:val="top"/>
          </w:tcPr>
          <w:p w14:paraId="2D0B69F2">
            <w:pPr>
              <w:rPr>
                <w:color w:val="000000"/>
              </w:rPr>
            </w:pPr>
          </w:p>
          <w:p w14:paraId="2A12057C">
            <w:pPr>
              <w:rPr>
                <w:rFonts w:hint="eastAsia"/>
                <w:color w:val="000000"/>
              </w:rPr>
            </w:pPr>
            <w:r>
              <w:rPr>
                <w:color w:val="000000"/>
              </w:rPr>
              <w:t>0.0</w:t>
            </w:r>
            <w:r>
              <w:rPr>
                <w:rFonts w:hint="eastAsia"/>
                <w:color w:val="000000"/>
              </w:rPr>
              <w:t>053</w:t>
            </w:r>
          </w:p>
        </w:tc>
        <w:tc>
          <w:tcPr>
            <w:tcW w:w="681" w:type="dxa"/>
            <w:vMerge w:val="restart"/>
            <w:noWrap w:val="0"/>
            <w:vAlign w:val="top"/>
          </w:tcPr>
          <w:p w14:paraId="0B097A64">
            <w:pPr>
              <w:rPr>
                <w:color w:val="000000"/>
              </w:rPr>
            </w:pPr>
          </w:p>
          <w:p w14:paraId="1961E6D1">
            <w:pPr>
              <w:rPr>
                <w:color w:val="000000"/>
              </w:rPr>
            </w:pPr>
            <w:r>
              <w:rPr>
                <w:color w:val="000000"/>
              </w:rPr>
              <w:t>达标</w:t>
            </w:r>
          </w:p>
        </w:tc>
        <w:tc>
          <w:tcPr>
            <w:tcW w:w="1421" w:type="dxa"/>
            <w:vMerge w:val="restart"/>
            <w:noWrap w:val="0"/>
            <w:vAlign w:val="top"/>
          </w:tcPr>
          <w:p w14:paraId="7D657820">
            <w:pPr>
              <w:rPr>
                <w:color w:val="000000"/>
              </w:rPr>
            </w:pPr>
            <w:r>
              <w:rPr>
                <w:color w:val="000000"/>
              </w:rPr>
              <w:t>日均值0.08小时均值0.12</w:t>
            </w:r>
          </w:p>
        </w:tc>
      </w:tr>
      <w:tr w14:paraId="3ABF66D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021" w:type="dxa"/>
            <w:vMerge w:val="continue"/>
            <w:noWrap w:val="0"/>
            <w:vAlign w:val="top"/>
          </w:tcPr>
          <w:p w14:paraId="366A5F35">
            <w:pPr>
              <w:rPr>
                <w:color w:val="000000"/>
              </w:rPr>
            </w:pPr>
          </w:p>
        </w:tc>
        <w:tc>
          <w:tcPr>
            <w:tcW w:w="838" w:type="dxa"/>
            <w:noWrap w:val="0"/>
            <w:vAlign w:val="top"/>
          </w:tcPr>
          <w:p w14:paraId="0C576C35">
            <w:pPr>
              <w:rPr>
                <w:rFonts w:hint="eastAsia"/>
                <w:color w:val="000000"/>
              </w:rPr>
            </w:pPr>
            <w:r>
              <w:rPr>
                <w:rFonts w:hint="eastAsia"/>
                <w:color w:val="000000"/>
              </w:rPr>
              <w:t>12</w:t>
            </w:r>
            <w:r>
              <w:rPr>
                <w:color w:val="000000"/>
              </w:rPr>
              <w:t>.</w:t>
            </w:r>
            <w:r>
              <w:rPr>
                <w:rFonts w:hint="eastAsia"/>
                <w:color w:val="000000"/>
              </w:rPr>
              <w:t>17</w:t>
            </w:r>
          </w:p>
        </w:tc>
        <w:tc>
          <w:tcPr>
            <w:tcW w:w="743" w:type="dxa"/>
            <w:noWrap w:val="0"/>
            <w:vAlign w:val="top"/>
          </w:tcPr>
          <w:p w14:paraId="55920FA7">
            <w:pPr>
              <w:rPr>
                <w:color w:val="000000"/>
              </w:rPr>
            </w:pPr>
            <w:r>
              <w:rPr>
                <w:rFonts w:hint="eastAsia"/>
                <w:color w:val="000000"/>
              </w:rPr>
              <w:t>24</w:t>
            </w:r>
            <w:r>
              <w:rPr>
                <w:color w:val="000000"/>
              </w:rPr>
              <w:t>h</w:t>
            </w:r>
          </w:p>
        </w:tc>
        <w:tc>
          <w:tcPr>
            <w:tcW w:w="1356" w:type="dxa"/>
            <w:noWrap w:val="0"/>
            <w:vAlign w:val="top"/>
          </w:tcPr>
          <w:p w14:paraId="1E4EE456">
            <w:pPr>
              <w:rPr>
                <w:rFonts w:hint="eastAsia"/>
                <w:color w:val="000000"/>
              </w:rPr>
            </w:pPr>
            <w:r>
              <w:rPr>
                <w:color w:val="000000"/>
              </w:rPr>
              <w:t>0.0</w:t>
            </w:r>
            <w:r>
              <w:rPr>
                <w:rFonts w:hint="eastAsia"/>
                <w:color w:val="000000"/>
              </w:rPr>
              <w:t>04</w:t>
            </w:r>
            <w:r>
              <w:rPr>
                <w:color w:val="000000"/>
              </w:rPr>
              <w:t>~0.0</w:t>
            </w:r>
            <w:r>
              <w:rPr>
                <w:rFonts w:hint="eastAsia"/>
                <w:color w:val="000000"/>
              </w:rPr>
              <w:t>11</w:t>
            </w:r>
          </w:p>
        </w:tc>
        <w:tc>
          <w:tcPr>
            <w:tcW w:w="752" w:type="dxa"/>
            <w:noWrap w:val="0"/>
            <w:vAlign w:val="top"/>
          </w:tcPr>
          <w:p w14:paraId="211AD10A">
            <w:pPr>
              <w:rPr>
                <w:rFonts w:hint="eastAsia"/>
                <w:color w:val="000000"/>
              </w:rPr>
            </w:pPr>
            <w:r>
              <w:rPr>
                <w:color w:val="000000"/>
              </w:rPr>
              <w:t>0.0</w:t>
            </w:r>
            <w:r>
              <w:rPr>
                <w:rFonts w:hint="eastAsia"/>
                <w:color w:val="000000"/>
              </w:rPr>
              <w:t>07</w:t>
            </w:r>
          </w:p>
        </w:tc>
        <w:tc>
          <w:tcPr>
            <w:tcW w:w="922" w:type="dxa"/>
            <w:vMerge w:val="continue"/>
            <w:noWrap w:val="0"/>
            <w:vAlign w:val="top"/>
          </w:tcPr>
          <w:p w14:paraId="6E50B463">
            <w:pPr>
              <w:rPr>
                <w:color w:val="000000"/>
              </w:rPr>
            </w:pPr>
          </w:p>
        </w:tc>
        <w:tc>
          <w:tcPr>
            <w:tcW w:w="794" w:type="dxa"/>
            <w:vMerge w:val="continue"/>
            <w:noWrap w:val="0"/>
            <w:vAlign w:val="top"/>
          </w:tcPr>
          <w:p w14:paraId="10CB16A4">
            <w:pPr>
              <w:rPr>
                <w:color w:val="000000"/>
              </w:rPr>
            </w:pPr>
          </w:p>
        </w:tc>
        <w:tc>
          <w:tcPr>
            <w:tcW w:w="681" w:type="dxa"/>
            <w:vMerge w:val="continue"/>
            <w:noWrap w:val="0"/>
            <w:vAlign w:val="top"/>
          </w:tcPr>
          <w:p w14:paraId="12813AA8">
            <w:pPr>
              <w:rPr>
                <w:color w:val="000000"/>
              </w:rPr>
            </w:pPr>
          </w:p>
        </w:tc>
        <w:tc>
          <w:tcPr>
            <w:tcW w:w="1421" w:type="dxa"/>
            <w:vMerge w:val="continue"/>
            <w:noWrap w:val="0"/>
            <w:vAlign w:val="top"/>
          </w:tcPr>
          <w:p w14:paraId="2228905C">
            <w:pPr>
              <w:rPr>
                <w:color w:val="000000"/>
              </w:rPr>
            </w:pPr>
          </w:p>
        </w:tc>
      </w:tr>
      <w:tr w14:paraId="25DDBB8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021" w:type="dxa"/>
            <w:vMerge w:val="continue"/>
            <w:noWrap w:val="0"/>
            <w:vAlign w:val="top"/>
          </w:tcPr>
          <w:p w14:paraId="42D1C6AB">
            <w:pPr>
              <w:rPr>
                <w:color w:val="000000"/>
              </w:rPr>
            </w:pPr>
          </w:p>
        </w:tc>
        <w:tc>
          <w:tcPr>
            <w:tcW w:w="838" w:type="dxa"/>
            <w:noWrap w:val="0"/>
            <w:vAlign w:val="top"/>
          </w:tcPr>
          <w:p w14:paraId="6B6AFE3F">
            <w:pPr>
              <w:rPr>
                <w:rFonts w:hint="eastAsia"/>
                <w:color w:val="000000"/>
              </w:rPr>
            </w:pPr>
            <w:r>
              <w:rPr>
                <w:rFonts w:hint="eastAsia"/>
                <w:color w:val="000000"/>
              </w:rPr>
              <w:t>12</w:t>
            </w:r>
            <w:r>
              <w:rPr>
                <w:color w:val="000000"/>
              </w:rPr>
              <w:t>.</w:t>
            </w:r>
            <w:r>
              <w:rPr>
                <w:rFonts w:hint="eastAsia"/>
                <w:color w:val="000000"/>
              </w:rPr>
              <w:t>18</w:t>
            </w:r>
          </w:p>
        </w:tc>
        <w:tc>
          <w:tcPr>
            <w:tcW w:w="743" w:type="dxa"/>
            <w:noWrap w:val="0"/>
            <w:vAlign w:val="top"/>
          </w:tcPr>
          <w:p w14:paraId="329B7185">
            <w:pPr>
              <w:rPr>
                <w:color w:val="000000"/>
              </w:rPr>
            </w:pPr>
            <w:r>
              <w:rPr>
                <w:rFonts w:hint="eastAsia"/>
                <w:color w:val="000000"/>
              </w:rPr>
              <w:t>24</w:t>
            </w:r>
            <w:r>
              <w:rPr>
                <w:color w:val="000000"/>
              </w:rPr>
              <w:t>h</w:t>
            </w:r>
          </w:p>
        </w:tc>
        <w:tc>
          <w:tcPr>
            <w:tcW w:w="1356" w:type="dxa"/>
            <w:noWrap w:val="0"/>
            <w:vAlign w:val="top"/>
          </w:tcPr>
          <w:p w14:paraId="7ED08748">
            <w:pPr>
              <w:rPr>
                <w:color w:val="000000"/>
              </w:rPr>
            </w:pPr>
            <w:r>
              <w:rPr>
                <w:color w:val="000000"/>
              </w:rPr>
              <w:t>0.0</w:t>
            </w:r>
            <w:r>
              <w:rPr>
                <w:rFonts w:hint="eastAsia"/>
                <w:color w:val="000000"/>
              </w:rPr>
              <w:t>05</w:t>
            </w:r>
            <w:r>
              <w:rPr>
                <w:color w:val="000000"/>
              </w:rPr>
              <w:t>~0.0</w:t>
            </w:r>
            <w:r>
              <w:rPr>
                <w:rFonts w:hint="eastAsia"/>
                <w:color w:val="000000"/>
              </w:rPr>
              <w:t>1</w:t>
            </w:r>
            <w:r>
              <w:rPr>
                <w:color w:val="000000"/>
              </w:rPr>
              <w:t>2</w:t>
            </w:r>
          </w:p>
        </w:tc>
        <w:tc>
          <w:tcPr>
            <w:tcW w:w="752" w:type="dxa"/>
            <w:noWrap w:val="0"/>
            <w:vAlign w:val="top"/>
          </w:tcPr>
          <w:p w14:paraId="41AC5F13">
            <w:pPr>
              <w:rPr>
                <w:rFonts w:hint="eastAsia"/>
                <w:color w:val="000000"/>
              </w:rPr>
            </w:pPr>
            <w:r>
              <w:rPr>
                <w:color w:val="000000"/>
              </w:rPr>
              <w:t>0.0</w:t>
            </w:r>
            <w:r>
              <w:rPr>
                <w:rFonts w:hint="eastAsia"/>
                <w:color w:val="000000"/>
              </w:rPr>
              <w:t>08</w:t>
            </w:r>
          </w:p>
        </w:tc>
        <w:tc>
          <w:tcPr>
            <w:tcW w:w="922" w:type="dxa"/>
            <w:vMerge w:val="continue"/>
            <w:noWrap w:val="0"/>
            <w:vAlign w:val="top"/>
          </w:tcPr>
          <w:p w14:paraId="7C8CD36D">
            <w:pPr>
              <w:rPr>
                <w:color w:val="000000"/>
              </w:rPr>
            </w:pPr>
          </w:p>
        </w:tc>
        <w:tc>
          <w:tcPr>
            <w:tcW w:w="794" w:type="dxa"/>
            <w:vMerge w:val="continue"/>
            <w:noWrap w:val="0"/>
            <w:vAlign w:val="top"/>
          </w:tcPr>
          <w:p w14:paraId="1D90A92F">
            <w:pPr>
              <w:rPr>
                <w:color w:val="000000"/>
              </w:rPr>
            </w:pPr>
          </w:p>
        </w:tc>
        <w:tc>
          <w:tcPr>
            <w:tcW w:w="681" w:type="dxa"/>
            <w:vMerge w:val="continue"/>
            <w:noWrap w:val="0"/>
            <w:vAlign w:val="top"/>
          </w:tcPr>
          <w:p w14:paraId="4583B902">
            <w:pPr>
              <w:rPr>
                <w:color w:val="000000"/>
              </w:rPr>
            </w:pPr>
          </w:p>
        </w:tc>
        <w:tc>
          <w:tcPr>
            <w:tcW w:w="1421" w:type="dxa"/>
            <w:vMerge w:val="continue"/>
            <w:noWrap w:val="0"/>
            <w:vAlign w:val="top"/>
          </w:tcPr>
          <w:p w14:paraId="719C02CB">
            <w:pPr>
              <w:rPr>
                <w:color w:val="000000"/>
              </w:rPr>
            </w:pPr>
          </w:p>
        </w:tc>
      </w:tr>
    </w:tbl>
    <w:p w14:paraId="2198F8E3">
      <w:pPr>
        <w:spacing w:line="360" w:lineRule="auto"/>
        <w:ind w:firstLine="360"/>
        <w:rPr>
          <w:rFonts w:hint="eastAsia"/>
          <w:color w:val="000000"/>
          <w:sz w:val="24"/>
        </w:rPr>
      </w:pPr>
    </w:p>
    <w:p w14:paraId="2ACC98F0">
      <w:pPr>
        <w:spacing w:line="360" w:lineRule="auto"/>
        <w:ind w:firstLine="482"/>
        <w:rPr>
          <w:rFonts w:hint="eastAsia"/>
          <w:color w:val="000000"/>
          <w:sz w:val="24"/>
        </w:rPr>
      </w:pPr>
      <w:r>
        <w:rPr>
          <w:rFonts w:hint="eastAsia"/>
          <w:color w:val="000000"/>
          <w:sz w:val="24"/>
        </w:rPr>
        <w:t>4、现状评价</w:t>
      </w:r>
    </w:p>
    <w:p w14:paraId="0BF4338E">
      <w:pPr>
        <w:spacing w:line="360" w:lineRule="auto"/>
        <w:ind w:firstLine="480"/>
        <w:rPr>
          <w:rFonts w:ascii="宋体" w:hAnsi="宋体"/>
          <w:color w:val="000000"/>
          <w:sz w:val="24"/>
        </w:rPr>
      </w:pPr>
      <w:r>
        <w:rPr>
          <w:rFonts w:ascii="宋体" w:hAnsi="宋体"/>
          <w:color w:val="000000"/>
          <w:sz w:val="24"/>
        </w:rPr>
        <w:t>a评价方法</w:t>
      </w:r>
    </w:p>
    <w:p w14:paraId="766E3C5D">
      <w:pPr>
        <w:spacing w:line="360" w:lineRule="auto"/>
        <w:ind w:firstLine="480"/>
        <w:rPr>
          <w:rFonts w:ascii="宋体" w:hAnsi="宋体"/>
          <w:color w:val="000000"/>
          <w:sz w:val="24"/>
        </w:rPr>
      </w:pPr>
      <w:r>
        <w:rPr>
          <w:rFonts w:ascii="宋体" w:hAnsi="宋体"/>
          <w:color w:val="000000"/>
          <w:sz w:val="24"/>
        </w:rPr>
        <w:t>采用单位因子指数法：Ii=Ci/Si</w:t>
      </w:r>
    </w:p>
    <w:p w14:paraId="52F47BF2">
      <w:pPr>
        <w:spacing w:line="360" w:lineRule="auto"/>
        <w:ind w:firstLine="480"/>
        <w:rPr>
          <w:rFonts w:ascii="宋体" w:hAnsi="宋体"/>
          <w:color w:val="000000"/>
          <w:sz w:val="24"/>
        </w:rPr>
      </w:pPr>
      <w:r>
        <w:rPr>
          <w:rFonts w:ascii="宋体" w:hAnsi="宋体"/>
          <w:color w:val="000000"/>
          <w:sz w:val="24"/>
        </w:rPr>
        <w:t xml:space="preserve">    式中：Ii——评价指数：</w:t>
      </w:r>
    </w:p>
    <w:p w14:paraId="567578D3">
      <w:pPr>
        <w:spacing w:line="360" w:lineRule="auto"/>
        <w:ind w:firstLine="480"/>
        <w:rPr>
          <w:rFonts w:ascii="宋体" w:hAnsi="宋体"/>
          <w:color w:val="000000"/>
          <w:sz w:val="24"/>
        </w:rPr>
      </w:pPr>
      <w:r>
        <w:rPr>
          <w:rFonts w:ascii="宋体" w:hAnsi="宋体"/>
          <w:color w:val="000000"/>
          <w:sz w:val="24"/>
        </w:rPr>
        <w:t xml:space="preserve">          Ci——现状实测均值</w:t>
      </w:r>
    </w:p>
    <w:p w14:paraId="62B3D310">
      <w:pPr>
        <w:spacing w:line="360" w:lineRule="auto"/>
        <w:ind w:firstLine="480"/>
        <w:rPr>
          <w:rFonts w:ascii="宋体" w:hAnsi="宋体"/>
          <w:color w:val="000000"/>
          <w:sz w:val="24"/>
        </w:rPr>
      </w:pPr>
      <w:r>
        <w:rPr>
          <w:rFonts w:ascii="宋体" w:hAnsi="宋体"/>
          <w:color w:val="000000"/>
          <w:sz w:val="24"/>
        </w:rPr>
        <w:t xml:space="preserve">          Si——标准值。</w:t>
      </w:r>
    </w:p>
    <w:p w14:paraId="02C25F25">
      <w:pPr>
        <w:spacing w:line="360" w:lineRule="auto"/>
        <w:ind w:firstLine="480"/>
        <w:rPr>
          <w:rFonts w:ascii="宋体" w:hAnsi="宋体"/>
          <w:color w:val="000000"/>
          <w:sz w:val="24"/>
        </w:rPr>
      </w:pPr>
      <w:r>
        <w:rPr>
          <w:rFonts w:ascii="宋体" w:hAnsi="宋体"/>
          <w:color w:val="000000"/>
          <w:sz w:val="24"/>
        </w:rPr>
        <w:t>b评价结果：评价结果如表</w:t>
      </w:r>
      <w:r>
        <w:rPr>
          <w:rFonts w:hint="eastAsia" w:ascii="宋体" w:hAnsi="宋体"/>
          <w:color w:val="000000"/>
          <w:sz w:val="24"/>
        </w:rPr>
        <w:t>5.3-3</w:t>
      </w:r>
      <w:r>
        <w:rPr>
          <w:rFonts w:ascii="宋体" w:hAnsi="宋体"/>
          <w:color w:val="000000"/>
          <w:sz w:val="24"/>
        </w:rPr>
        <w:t>所示。</w:t>
      </w:r>
    </w:p>
    <w:p w14:paraId="486152FB">
      <w:pPr>
        <w:pStyle w:val="303"/>
        <w:rPr>
          <w:rFonts w:ascii="Times New Roman" w:hAnsi="Times New Roman" w:cs="Times New Roman"/>
          <w:color w:val="000000"/>
        </w:rPr>
      </w:pPr>
      <w:r>
        <w:rPr>
          <w:rFonts w:ascii="Times New Roman" w:hAnsi="Times New Roman" w:cs="Times New Roman"/>
          <w:color w:val="000000"/>
        </w:rPr>
        <w:t>表</w:t>
      </w:r>
      <w:r>
        <w:rPr>
          <w:rFonts w:hint="eastAsia" w:ascii="Times New Roman" w:hAnsi="Times New Roman" w:cs="Times New Roman"/>
          <w:color w:val="000000"/>
        </w:rPr>
        <w:t>5.3-3</w:t>
      </w:r>
      <w:r>
        <w:rPr>
          <w:rFonts w:ascii="Times New Roman" w:hAnsi="Times New Roman" w:cs="Times New Roman"/>
          <w:color w:val="000000"/>
        </w:rPr>
        <w:t xml:space="preserve">  环境空气现状污染分析指数统计表</w:t>
      </w:r>
    </w:p>
    <w:tbl>
      <w:tblPr>
        <w:tblStyle w:val="27"/>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471"/>
        <w:gridCol w:w="741"/>
        <w:gridCol w:w="2512"/>
        <w:gridCol w:w="1289"/>
        <w:gridCol w:w="1289"/>
        <w:gridCol w:w="1226"/>
      </w:tblGrid>
      <w:tr w14:paraId="054517F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471" w:type="dxa"/>
            <w:noWrap w:val="0"/>
            <w:vAlign w:val="top"/>
          </w:tcPr>
          <w:p w14:paraId="0BBFE182">
            <w:pPr>
              <w:jc w:val="center"/>
              <w:rPr>
                <w:color w:val="000000"/>
                <w:szCs w:val="21"/>
              </w:rPr>
            </w:pPr>
            <w:r>
              <w:rPr>
                <w:color w:val="000000"/>
                <w:szCs w:val="21"/>
              </w:rPr>
              <w:t>监测点位</w:t>
            </w:r>
          </w:p>
        </w:tc>
        <w:tc>
          <w:tcPr>
            <w:tcW w:w="741" w:type="dxa"/>
            <w:noWrap w:val="0"/>
            <w:vAlign w:val="top"/>
          </w:tcPr>
          <w:p w14:paraId="30DCC147">
            <w:pPr>
              <w:jc w:val="center"/>
              <w:rPr>
                <w:color w:val="000000"/>
                <w:szCs w:val="21"/>
              </w:rPr>
            </w:pPr>
            <w:r>
              <w:rPr>
                <w:color w:val="000000"/>
                <w:szCs w:val="21"/>
              </w:rPr>
              <w:t>项目</w:t>
            </w:r>
          </w:p>
        </w:tc>
        <w:tc>
          <w:tcPr>
            <w:tcW w:w="2512" w:type="dxa"/>
            <w:noWrap w:val="0"/>
            <w:vAlign w:val="top"/>
          </w:tcPr>
          <w:p w14:paraId="24496839">
            <w:pPr>
              <w:jc w:val="center"/>
              <w:rPr>
                <w:color w:val="000000"/>
                <w:szCs w:val="21"/>
              </w:rPr>
            </w:pPr>
            <w:r>
              <w:rPr>
                <w:color w:val="000000"/>
                <w:szCs w:val="21"/>
              </w:rPr>
              <w:t>现状实测三日均值Ci</w:t>
            </w:r>
          </w:p>
        </w:tc>
        <w:tc>
          <w:tcPr>
            <w:tcW w:w="1289" w:type="dxa"/>
            <w:noWrap w:val="0"/>
            <w:vAlign w:val="top"/>
          </w:tcPr>
          <w:p w14:paraId="472F11B7">
            <w:pPr>
              <w:jc w:val="center"/>
              <w:rPr>
                <w:color w:val="000000"/>
                <w:szCs w:val="21"/>
              </w:rPr>
            </w:pPr>
            <w:r>
              <w:rPr>
                <w:color w:val="000000"/>
                <w:szCs w:val="21"/>
              </w:rPr>
              <w:t>标准值Si</w:t>
            </w:r>
          </w:p>
        </w:tc>
        <w:tc>
          <w:tcPr>
            <w:tcW w:w="1289" w:type="dxa"/>
            <w:noWrap w:val="0"/>
            <w:vAlign w:val="top"/>
          </w:tcPr>
          <w:p w14:paraId="61DE497A">
            <w:pPr>
              <w:jc w:val="center"/>
              <w:rPr>
                <w:color w:val="000000"/>
                <w:szCs w:val="21"/>
              </w:rPr>
            </w:pPr>
            <w:r>
              <w:rPr>
                <w:color w:val="000000"/>
                <w:szCs w:val="21"/>
              </w:rPr>
              <w:t>分指数Ii</w:t>
            </w:r>
          </w:p>
        </w:tc>
        <w:tc>
          <w:tcPr>
            <w:tcW w:w="1226" w:type="dxa"/>
            <w:noWrap w:val="0"/>
            <w:vAlign w:val="top"/>
          </w:tcPr>
          <w:p w14:paraId="0E1BAFA8">
            <w:pPr>
              <w:jc w:val="center"/>
              <w:rPr>
                <w:color w:val="000000"/>
                <w:szCs w:val="21"/>
              </w:rPr>
            </w:pPr>
            <w:r>
              <w:rPr>
                <w:color w:val="000000"/>
                <w:szCs w:val="21"/>
              </w:rPr>
              <w:t>超标情况</w:t>
            </w:r>
          </w:p>
        </w:tc>
      </w:tr>
      <w:tr w14:paraId="683A455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471" w:type="dxa"/>
            <w:vMerge w:val="restart"/>
            <w:noWrap w:val="0"/>
            <w:vAlign w:val="top"/>
          </w:tcPr>
          <w:p w14:paraId="4A1D7A6B">
            <w:pPr>
              <w:jc w:val="center"/>
              <w:rPr>
                <w:color w:val="000000"/>
                <w:szCs w:val="21"/>
              </w:rPr>
            </w:pPr>
            <w:r>
              <w:rPr>
                <w:rFonts w:hint="eastAsia"/>
                <w:color w:val="000000"/>
                <w:szCs w:val="21"/>
              </w:rPr>
              <w:t>德宏州环境监测站</w:t>
            </w:r>
          </w:p>
        </w:tc>
        <w:tc>
          <w:tcPr>
            <w:tcW w:w="741" w:type="dxa"/>
            <w:noWrap w:val="0"/>
            <w:vAlign w:val="top"/>
          </w:tcPr>
          <w:p w14:paraId="1CD3912B">
            <w:pPr>
              <w:jc w:val="center"/>
              <w:rPr>
                <w:color w:val="000000"/>
                <w:szCs w:val="21"/>
              </w:rPr>
            </w:pPr>
            <w:r>
              <w:rPr>
                <w:color w:val="000000"/>
                <w:szCs w:val="21"/>
              </w:rPr>
              <w:t>NO</w:t>
            </w:r>
            <w:r>
              <w:rPr>
                <w:color w:val="000000"/>
                <w:szCs w:val="21"/>
                <w:vertAlign w:val="subscript"/>
              </w:rPr>
              <w:t>2</w:t>
            </w:r>
          </w:p>
        </w:tc>
        <w:tc>
          <w:tcPr>
            <w:tcW w:w="2512" w:type="dxa"/>
            <w:noWrap w:val="0"/>
            <w:vAlign w:val="top"/>
          </w:tcPr>
          <w:p w14:paraId="697B56CF">
            <w:pPr>
              <w:jc w:val="center"/>
              <w:rPr>
                <w:rFonts w:hint="eastAsia"/>
                <w:color w:val="000000"/>
                <w:szCs w:val="21"/>
              </w:rPr>
            </w:pPr>
            <w:r>
              <w:rPr>
                <w:rFonts w:hint="eastAsia"/>
                <w:color w:val="000000"/>
              </w:rPr>
              <w:t>0.0053</w:t>
            </w:r>
          </w:p>
        </w:tc>
        <w:tc>
          <w:tcPr>
            <w:tcW w:w="1289" w:type="dxa"/>
            <w:noWrap w:val="0"/>
            <w:vAlign w:val="top"/>
          </w:tcPr>
          <w:p w14:paraId="6ABE6312">
            <w:pPr>
              <w:jc w:val="center"/>
              <w:rPr>
                <w:color w:val="000000"/>
                <w:szCs w:val="21"/>
              </w:rPr>
            </w:pPr>
            <w:r>
              <w:rPr>
                <w:color w:val="000000"/>
              </w:rPr>
              <w:t>0.08</w:t>
            </w:r>
          </w:p>
        </w:tc>
        <w:tc>
          <w:tcPr>
            <w:tcW w:w="1289" w:type="dxa"/>
            <w:noWrap w:val="0"/>
            <w:vAlign w:val="top"/>
          </w:tcPr>
          <w:p w14:paraId="768B1B57">
            <w:pPr>
              <w:jc w:val="center"/>
              <w:rPr>
                <w:rFonts w:hint="eastAsia"/>
                <w:color w:val="000000"/>
                <w:szCs w:val="21"/>
              </w:rPr>
            </w:pPr>
            <w:r>
              <w:rPr>
                <w:color w:val="000000"/>
                <w:szCs w:val="21"/>
              </w:rPr>
              <w:t>0.</w:t>
            </w:r>
            <w:r>
              <w:rPr>
                <w:rFonts w:hint="eastAsia"/>
                <w:color w:val="000000"/>
                <w:szCs w:val="21"/>
              </w:rPr>
              <w:t>066</w:t>
            </w:r>
          </w:p>
        </w:tc>
        <w:tc>
          <w:tcPr>
            <w:tcW w:w="1226" w:type="dxa"/>
            <w:noWrap w:val="0"/>
            <w:vAlign w:val="top"/>
          </w:tcPr>
          <w:p w14:paraId="047D861D">
            <w:pPr>
              <w:jc w:val="center"/>
              <w:rPr>
                <w:color w:val="000000"/>
                <w:szCs w:val="21"/>
              </w:rPr>
            </w:pPr>
            <w:r>
              <w:rPr>
                <w:color w:val="000000"/>
                <w:szCs w:val="21"/>
              </w:rPr>
              <w:t>未超标</w:t>
            </w:r>
          </w:p>
        </w:tc>
      </w:tr>
      <w:tr w14:paraId="6E10F2F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16" w:hRule="atLeast"/>
          <w:jc w:val="center"/>
        </w:trPr>
        <w:tc>
          <w:tcPr>
            <w:tcW w:w="1471" w:type="dxa"/>
            <w:vMerge w:val="continue"/>
            <w:noWrap w:val="0"/>
            <w:vAlign w:val="top"/>
          </w:tcPr>
          <w:p w14:paraId="102BDE28">
            <w:pPr>
              <w:jc w:val="center"/>
              <w:rPr>
                <w:color w:val="000000"/>
                <w:szCs w:val="21"/>
              </w:rPr>
            </w:pPr>
          </w:p>
        </w:tc>
        <w:tc>
          <w:tcPr>
            <w:tcW w:w="741" w:type="dxa"/>
            <w:noWrap w:val="0"/>
            <w:vAlign w:val="top"/>
          </w:tcPr>
          <w:p w14:paraId="28A4D1DB">
            <w:pPr>
              <w:jc w:val="center"/>
              <w:rPr>
                <w:color w:val="000000"/>
                <w:szCs w:val="21"/>
              </w:rPr>
            </w:pPr>
            <w:r>
              <w:rPr>
                <w:color w:val="000000"/>
                <w:szCs w:val="21"/>
              </w:rPr>
              <w:t>PM</w:t>
            </w:r>
            <w:r>
              <w:rPr>
                <w:color w:val="000000"/>
                <w:szCs w:val="21"/>
                <w:vertAlign w:val="subscript"/>
              </w:rPr>
              <w:t>10</w:t>
            </w:r>
          </w:p>
        </w:tc>
        <w:tc>
          <w:tcPr>
            <w:tcW w:w="2512" w:type="dxa"/>
            <w:noWrap w:val="0"/>
            <w:vAlign w:val="top"/>
          </w:tcPr>
          <w:p w14:paraId="14317C0B">
            <w:pPr>
              <w:jc w:val="center"/>
              <w:rPr>
                <w:rFonts w:hint="eastAsia"/>
                <w:color w:val="000000"/>
                <w:szCs w:val="21"/>
              </w:rPr>
            </w:pPr>
            <w:r>
              <w:rPr>
                <w:rFonts w:hint="eastAsia"/>
                <w:color w:val="000000"/>
                <w:szCs w:val="21"/>
              </w:rPr>
              <w:t>0.052</w:t>
            </w:r>
          </w:p>
        </w:tc>
        <w:tc>
          <w:tcPr>
            <w:tcW w:w="1289" w:type="dxa"/>
            <w:noWrap w:val="0"/>
            <w:vAlign w:val="top"/>
          </w:tcPr>
          <w:p w14:paraId="4BA9E696">
            <w:pPr>
              <w:jc w:val="center"/>
              <w:rPr>
                <w:color w:val="000000"/>
                <w:szCs w:val="21"/>
              </w:rPr>
            </w:pPr>
            <w:r>
              <w:rPr>
                <w:color w:val="000000"/>
                <w:szCs w:val="21"/>
              </w:rPr>
              <w:t>0.15</w:t>
            </w:r>
          </w:p>
        </w:tc>
        <w:tc>
          <w:tcPr>
            <w:tcW w:w="1289" w:type="dxa"/>
            <w:noWrap w:val="0"/>
            <w:vAlign w:val="top"/>
          </w:tcPr>
          <w:p w14:paraId="5810AE7E">
            <w:pPr>
              <w:jc w:val="center"/>
              <w:rPr>
                <w:rFonts w:hint="eastAsia"/>
                <w:color w:val="000000"/>
                <w:szCs w:val="21"/>
              </w:rPr>
            </w:pPr>
            <w:r>
              <w:rPr>
                <w:color w:val="000000"/>
                <w:szCs w:val="21"/>
              </w:rPr>
              <w:t>0.</w:t>
            </w:r>
            <w:r>
              <w:rPr>
                <w:rFonts w:hint="eastAsia"/>
                <w:color w:val="000000"/>
                <w:szCs w:val="21"/>
              </w:rPr>
              <w:t>35</w:t>
            </w:r>
          </w:p>
        </w:tc>
        <w:tc>
          <w:tcPr>
            <w:tcW w:w="1226" w:type="dxa"/>
            <w:noWrap w:val="0"/>
            <w:vAlign w:val="top"/>
          </w:tcPr>
          <w:p w14:paraId="17577782">
            <w:pPr>
              <w:jc w:val="center"/>
              <w:rPr>
                <w:color w:val="000000"/>
                <w:szCs w:val="21"/>
              </w:rPr>
            </w:pPr>
            <w:r>
              <w:rPr>
                <w:color w:val="000000"/>
                <w:szCs w:val="21"/>
              </w:rPr>
              <w:t>未超标</w:t>
            </w:r>
          </w:p>
        </w:tc>
      </w:tr>
    </w:tbl>
    <w:p w14:paraId="13EFEC60">
      <w:pPr>
        <w:spacing w:line="360" w:lineRule="auto"/>
        <w:ind w:firstLine="360"/>
        <w:rPr>
          <w:rFonts w:hint="eastAsia"/>
          <w:color w:val="000000"/>
          <w:sz w:val="24"/>
        </w:rPr>
      </w:pPr>
      <w:r>
        <w:rPr>
          <w:rFonts w:ascii="宋体" w:hAnsi="宋体"/>
          <w:color w:val="000000"/>
          <w:sz w:val="24"/>
        </w:rPr>
        <w:t>由上表</w:t>
      </w:r>
      <w:r>
        <w:rPr>
          <w:rFonts w:hint="eastAsia" w:ascii="宋体" w:hAnsi="宋体"/>
          <w:color w:val="000000"/>
          <w:sz w:val="24"/>
        </w:rPr>
        <w:t>5.3-3</w:t>
      </w:r>
      <w:r>
        <w:rPr>
          <w:rFonts w:ascii="宋体" w:hAnsi="宋体"/>
          <w:color w:val="000000"/>
          <w:sz w:val="24"/>
        </w:rPr>
        <w:t>可以看出，Ii&lt;l，区域内监测点在监测期间环境空气质量良好，NO</w:t>
      </w:r>
      <w:r>
        <w:rPr>
          <w:rFonts w:ascii="宋体" w:hAnsi="宋体"/>
          <w:color w:val="000000"/>
          <w:sz w:val="24"/>
          <w:vertAlign w:val="subscript"/>
        </w:rPr>
        <w:t>2</w:t>
      </w:r>
      <w:r>
        <w:rPr>
          <w:rFonts w:ascii="宋体" w:hAnsi="宋体"/>
          <w:color w:val="000000"/>
          <w:sz w:val="24"/>
        </w:rPr>
        <w:t>、PM</w:t>
      </w:r>
      <w:r>
        <w:rPr>
          <w:rFonts w:ascii="宋体" w:hAnsi="宋体"/>
          <w:color w:val="000000"/>
          <w:sz w:val="24"/>
          <w:vertAlign w:val="subscript"/>
        </w:rPr>
        <w:t>10</w:t>
      </w:r>
      <w:r>
        <w:rPr>
          <w:rFonts w:ascii="宋体" w:hAnsi="宋体"/>
          <w:color w:val="000000"/>
          <w:sz w:val="24"/>
        </w:rPr>
        <w:t>均可达GB3095</w:t>
      </w:r>
      <w:r>
        <w:rPr>
          <w:rFonts w:hint="eastAsia" w:ascii="宋体" w:hAnsi="宋体"/>
          <w:color w:val="000000"/>
          <w:sz w:val="24"/>
        </w:rPr>
        <w:t>-2012</w:t>
      </w:r>
      <w:r>
        <w:rPr>
          <w:rFonts w:ascii="宋体" w:hAnsi="宋体"/>
          <w:color w:val="000000"/>
          <w:sz w:val="24"/>
        </w:rPr>
        <w:t>《环境空气质量标准》二级标准要求。</w:t>
      </w:r>
    </w:p>
    <w:p w14:paraId="5AABF00B">
      <w:pPr>
        <w:pStyle w:val="182"/>
        <w:ind w:firstLine="275"/>
        <w:rPr>
          <w:rFonts w:ascii="Times New Roman" w:hAnsi="Times New Roman" w:eastAsia="仿宋_GB2312" w:cs="Times New Roman"/>
          <w:color w:val="000000"/>
          <w:sz w:val="28"/>
          <w:szCs w:val="28"/>
        </w:rPr>
      </w:pPr>
      <w:bookmarkStart w:id="408" w:name="_Toc226608395"/>
      <w:bookmarkEnd w:id="408"/>
      <w:bookmarkStart w:id="409" w:name="_Toc241904967"/>
      <w:bookmarkEnd w:id="409"/>
      <w:bookmarkStart w:id="410" w:name="_Toc495500094"/>
      <w:r>
        <w:rPr>
          <w:rFonts w:ascii="Times New Roman" w:hAnsi="Times New Roman" w:eastAsia="仿宋_GB2312" w:cs="Times New Roman"/>
          <w:color w:val="000000"/>
          <w:sz w:val="28"/>
          <w:szCs w:val="28"/>
        </w:rPr>
        <w:t>5.4 声环境质量现状</w:t>
      </w:r>
      <w:bookmarkEnd w:id="410"/>
    </w:p>
    <w:p w14:paraId="4832E112">
      <w:pPr>
        <w:spacing w:line="360" w:lineRule="auto"/>
        <w:ind w:firstLine="480"/>
        <w:rPr>
          <w:rFonts w:hint="eastAsia"/>
          <w:color w:val="000000"/>
          <w:sz w:val="24"/>
        </w:rPr>
      </w:pPr>
      <w:r>
        <w:rPr>
          <w:color w:val="000000"/>
          <w:sz w:val="24"/>
        </w:rPr>
        <w:t>本项目环声环境质量现状引用</w:t>
      </w:r>
      <w:r>
        <w:rPr>
          <w:rFonts w:hint="eastAsia"/>
          <w:color w:val="000000"/>
          <w:sz w:val="24"/>
        </w:rPr>
        <w:t>云南坤发环境科技有限公司</w:t>
      </w:r>
      <w:r>
        <w:rPr>
          <w:color w:val="000000"/>
          <w:sz w:val="24"/>
        </w:rPr>
        <w:t>于201</w:t>
      </w:r>
      <w:r>
        <w:rPr>
          <w:rFonts w:hint="eastAsia"/>
          <w:color w:val="000000"/>
          <w:sz w:val="24"/>
        </w:rPr>
        <w:t>7</w:t>
      </w:r>
      <w:r>
        <w:rPr>
          <w:color w:val="000000"/>
          <w:sz w:val="24"/>
        </w:rPr>
        <w:t>年</w:t>
      </w:r>
      <w:r>
        <w:rPr>
          <w:rFonts w:hint="eastAsia"/>
          <w:color w:val="000000"/>
          <w:sz w:val="24"/>
        </w:rPr>
        <w:t>9</w:t>
      </w:r>
      <w:r>
        <w:rPr>
          <w:color w:val="000000"/>
          <w:sz w:val="24"/>
        </w:rPr>
        <w:t>月</w:t>
      </w:r>
      <w:r>
        <w:rPr>
          <w:rFonts w:hint="eastAsia"/>
          <w:color w:val="000000"/>
          <w:sz w:val="24"/>
        </w:rPr>
        <w:t>1</w:t>
      </w:r>
      <w:r>
        <w:rPr>
          <w:color w:val="000000"/>
          <w:sz w:val="24"/>
        </w:rPr>
        <w:t>7日-</w:t>
      </w:r>
      <w:r>
        <w:rPr>
          <w:rFonts w:hint="eastAsia"/>
          <w:color w:val="000000"/>
          <w:sz w:val="24"/>
        </w:rPr>
        <w:t>18</w:t>
      </w:r>
      <w:r>
        <w:rPr>
          <w:color w:val="000000"/>
          <w:sz w:val="24"/>
        </w:rPr>
        <w:t>日对本项目</w:t>
      </w:r>
      <w:r>
        <w:rPr>
          <w:rFonts w:hint="eastAsia"/>
          <w:color w:val="000000"/>
          <w:sz w:val="24"/>
        </w:rPr>
        <w:t>建设用地中心、建设用地厂界东、南、西、北共5</w:t>
      </w:r>
      <w:r>
        <w:rPr>
          <w:bCs/>
          <w:color w:val="000000"/>
          <w:sz w:val="24"/>
        </w:rPr>
        <w:t>个</w:t>
      </w:r>
      <w:r>
        <w:rPr>
          <w:rFonts w:hint="eastAsia"/>
          <w:bCs/>
          <w:color w:val="000000"/>
          <w:sz w:val="24"/>
        </w:rPr>
        <w:t>监测</w:t>
      </w:r>
      <w:r>
        <w:rPr>
          <w:bCs/>
          <w:color w:val="000000"/>
          <w:sz w:val="24"/>
        </w:rPr>
        <w:t>点位</w:t>
      </w:r>
      <w:r>
        <w:rPr>
          <w:color w:val="000000"/>
          <w:sz w:val="24"/>
        </w:rPr>
        <w:t>进行检测的结果，检测结果见下表：</w:t>
      </w:r>
    </w:p>
    <w:p w14:paraId="6093350A">
      <w:pPr>
        <w:spacing w:line="360" w:lineRule="auto"/>
        <w:ind w:firstLine="480"/>
        <w:rPr>
          <w:rFonts w:hint="eastAsia"/>
          <w:color w:val="000000"/>
          <w:sz w:val="24"/>
        </w:rPr>
      </w:pPr>
    </w:p>
    <w:p w14:paraId="1B10A71E">
      <w:pPr>
        <w:spacing w:line="360" w:lineRule="auto"/>
        <w:ind w:firstLine="480"/>
        <w:rPr>
          <w:rFonts w:hint="eastAsia" w:cs="宋体"/>
          <w:color w:val="000000"/>
          <w:spacing w:val="18"/>
          <w:sz w:val="24"/>
        </w:rPr>
      </w:pPr>
    </w:p>
    <w:p w14:paraId="5A9EDE07">
      <w:pPr>
        <w:spacing w:after="120" w:line="360" w:lineRule="auto"/>
        <w:jc w:val="center"/>
        <w:rPr>
          <w:color w:val="000000"/>
          <w:szCs w:val="21"/>
        </w:rPr>
      </w:pPr>
      <w:r>
        <w:rPr>
          <w:b/>
          <w:color w:val="000000"/>
          <w:sz w:val="24"/>
        </w:rPr>
        <w:t xml:space="preserve">       表5.4-1 声环境质量监测结果      </w:t>
      </w:r>
      <w:r>
        <w:rPr>
          <w:b/>
          <w:color w:val="000000"/>
          <w:szCs w:val="21"/>
        </w:rPr>
        <w:t>单位：dB(A)</w:t>
      </w:r>
    </w:p>
    <w:tbl>
      <w:tblPr>
        <w:tblStyle w:val="27"/>
        <w:tblW w:w="0" w:type="auto"/>
        <w:tblInd w:w="-108" w:type="dxa"/>
        <w:tblLayout w:type="fixed"/>
        <w:tblCellMar>
          <w:top w:w="0" w:type="dxa"/>
          <w:left w:w="108" w:type="dxa"/>
          <w:bottom w:w="0" w:type="dxa"/>
          <w:right w:w="108" w:type="dxa"/>
        </w:tblCellMar>
      </w:tblPr>
      <w:tblGrid>
        <w:gridCol w:w="1424"/>
        <w:gridCol w:w="2354"/>
        <w:gridCol w:w="1187"/>
        <w:gridCol w:w="1192"/>
        <w:gridCol w:w="1189"/>
        <w:gridCol w:w="1182"/>
      </w:tblGrid>
      <w:tr w14:paraId="1C3F49D8">
        <w:tblPrEx>
          <w:tblCellMar>
            <w:top w:w="0" w:type="dxa"/>
            <w:left w:w="108" w:type="dxa"/>
            <w:bottom w:w="0" w:type="dxa"/>
            <w:right w:w="108" w:type="dxa"/>
          </w:tblCellMar>
        </w:tblPrEx>
        <w:trPr>
          <w:trHeight w:val="205" w:hRule="atLeast"/>
        </w:trPr>
        <w:tc>
          <w:tcPr>
            <w:tcW w:w="1424" w:type="dxa"/>
            <w:vMerge w:val="restart"/>
            <w:tcBorders>
              <w:top w:val="single" w:color="000000" w:sz="4" w:space="0"/>
              <w:left w:val="single" w:color="000000" w:sz="4" w:space="0"/>
              <w:bottom w:val="single" w:color="000000" w:sz="4" w:space="0"/>
              <w:right w:val="single" w:color="000000" w:sz="4" w:space="0"/>
            </w:tcBorders>
            <w:noWrap w:val="0"/>
            <w:vAlign w:val="center"/>
          </w:tcPr>
          <w:p w14:paraId="09AD49F2">
            <w:pPr>
              <w:spacing w:after="120"/>
              <w:jc w:val="center"/>
              <w:rPr>
                <w:b/>
                <w:color w:val="000000"/>
                <w:szCs w:val="21"/>
              </w:rPr>
            </w:pPr>
            <w:r>
              <w:rPr>
                <w:b/>
                <w:color w:val="000000"/>
                <w:szCs w:val="21"/>
              </w:rPr>
              <w:t>监测</w:t>
            </w:r>
          </w:p>
          <w:p w14:paraId="66C32304">
            <w:pPr>
              <w:spacing w:after="120"/>
              <w:jc w:val="center"/>
              <w:rPr>
                <w:b/>
                <w:color w:val="000000"/>
                <w:szCs w:val="21"/>
              </w:rPr>
            </w:pPr>
            <w:r>
              <w:rPr>
                <w:b/>
                <w:color w:val="000000"/>
                <w:szCs w:val="21"/>
              </w:rPr>
              <w:t>内容</w:t>
            </w:r>
          </w:p>
        </w:tc>
        <w:tc>
          <w:tcPr>
            <w:tcW w:w="2354" w:type="dxa"/>
            <w:vMerge w:val="restart"/>
            <w:tcBorders>
              <w:top w:val="single" w:color="000000" w:sz="4" w:space="0"/>
              <w:left w:val="single" w:color="000000" w:sz="4" w:space="0"/>
              <w:bottom w:val="single" w:color="000000" w:sz="4" w:space="0"/>
              <w:right w:val="single" w:color="000000" w:sz="4" w:space="0"/>
            </w:tcBorders>
            <w:noWrap w:val="0"/>
            <w:vAlign w:val="center"/>
          </w:tcPr>
          <w:p w14:paraId="22A09647">
            <w:pPr>
              <w:spacing w:after="120"/>
              <w:jc w:val="center"/>
              <w:rPr>
                <w:b/>
                <w:color w:val="000000"/>
                <w:szCs w:val="21"/>
              </w:rPr>
            </w:pPr>
            <w:r>
              <w:rPr>
                <w:b/>
                <w:color w:val="000000"/>
                <w:szCs w:val="21"/>
              </w:rPr>
              <w:t>监测点</w:t>
            </w:r>
          </w:p>
          <w:p w14:paraId="29829836">
            <w:pPr>
              <w:spacing w:after="120"/>
              <w:jc w:val="center"/>
              <w:rPr>
                <w:b/>
                <w:color w:val="000000"/>
                <w:szCs w:val="21"/>
              </w:rPr>
            </w:pPr>
            <w:r>
              <w:rPr>
                <w:b/>
                <w:color w:val="000000"/>
                <w:szCs w:val="21"/>
              </w:rPr>
              <w:t>位置</w:t>
            </w:r>
          </w:p>
        </w:tc>
        <w:tc>
          <w:tcPr>
            <w:tcW w:w="4750" w:type="dxa"/>
            <w:gridSpan w:val="4"/>
            <w:tcBorders>
              <w:top w:val="single" w:color="000000" w:sz="4" w:space="0"/>
              <w:left w:val="single" w:color="000000" w:sz="4" w:space="0"/>
              <w:bottom w:val="single" w:color="000000" w:sz="4" w:space="0"/>
              <w:right w:val="single" w:color="000000" w:sz="4" w:space="0"/>
            </w:tcBorders>
            <w:noWrap w:val="0"/>
            <w:vAlign w:val="center"/>
          </w:tcPr>
          <w:p w14:paraId="518313B6">
            <w:pPr>
              <w:spacing w:after="120"/>
              <w:jc w:val="center"/>
              <w:rPr>
                <w:b/>
                <w:color w:val="000000"/>
                <w:szCs w:val="21"/>
              </w:rPr>
            </w:pPr>
            <w:r>
              <w:rPr>
                <w:b/>
                <w:color w:val="000000"/>
                <w:szCs w:val="21"/>
              </w:rPr>
              <w:t>监测结果Leq （dB (A)）</w:t>
            </w:r>
          </w:p>
        </w:tc>
      </w:tr>
      <w:tr w14:paraId="37FD1D06">
        <w:tblPrEx>
          <w:tblCellMar>
            <w:top w:w="0" w:type="dxa"/>
            <w:left w:w="108" w:type="dxa"/>
            <w:bottom w:w="0" w:type="dxa"/>
            <w:right w:w="108" w:type="dxa"/>
          </w:tblCellMar>
        </w:tblPrEx>
        <w:trPr>
          <w:trHeight w:val="205" w:hRule="atLeast"/>
        </w:trPr>
        <w:tc>
          <w:tcPr>
            <w:tcW w:w="1424" w:type="dxa"/>
            <w:vMerge w:val="continue"/>
            <w:tcBorders>
              <w:top w:val="single" w:color="000000" w:sz="4" w:space="0"/>
              <w:left w:val="single" w:color="000000" w:sz="4" w:space="0"/>
              <w:bottom w:val="single" w:color="000000" w:sz="4" w:space="0"/>
              <w:right w:val="single" w:color="000000" w:sz="4" w:space="0"/>
            </w:tcBorders>
            <w:noWrap w:val="0"/>
            <w:vAlign w:val="center"/>
          </w:tcPr>
          <w:p w14:paraId="0FBE8358">
            <w:pPr>
              <w:jc w:val="left"/>
              <w:rPr>
                <w:b/>
                <w:color w:val="000000"/>
                <w:szCs w:val="21"/>
              </w:rPr>
            </w:pPr>
          </w:p>
        </w:tc>
        <w:tc>
          <w:tcPr>
            <w:tcW w:w="23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5356626C">
            <w:pPr>
              <w:jc w:val="left"/>
              <w:rPr>
                <w:b/>
                <w:color w:val="000000"/>
                <w:szCs w:val="21"/>
              </w:rPr>
            </w:pPr>
          </w:p>
        </w:tc>
        <w:tc>
          <w:tcPr>
            <w:tcW w:w="2379" w:type="dxa"/>
            <w:gridSpan w:val="2"/>
            <w:tcBorders>
              <w:top w:val="single" w:color="000000" w:sz="4" w:space="0"/>
              <w:left w:val="single" w:color="000000" w:sz="4" w:space="0"/>
              <w:bottom w:val="single" w:color="000000" w:sz="4" w:space="0"/>
              <w:right w:val="single" w:color="000000" w:sz="4" w:space="0"/>
            </w:tcBorders>
            <w:noWrap w:val="0"/>
            <w:vAlign w:val="center"/>
          </w:tcPr>
          <w:p w14:paraId="3D100C4C">
            <w:pPr>
              <w:spacing w:after="120"/>
              <w:jc w:val="center"/>
              <w:rPr>
                <w:rFonts w:hint="eastAsia"/>
                <w:color w:val="000000"/>
                <w:szCs w:val="21"/>
              </w:rPr>
            </w:pPr>
            <w:r>
              <w:rPr>
                <w:color w:val="000000"/>
                <w:szCs w:val="21"/>
              </w:rPr>
              <w:t>201</w:t>
            </w:r>
            <w:r>
              <w:rPr>
                <w:rFonts w:hint="eastAsia"/>
                <w:color w:val="000000"/>
                <w:szCs w:val="21"/>
              </w:rPr>
              <w:t>7</w:t>
            </w:r>
            <w:r>
              <w:rPr>
                <w:color w:val="000000"/>
                <w:szCs w:val="21"/>
              </w:rPr>
              <w:t>.</w:t>
            </w:r>
            <w:r>
              <w:rPr>
                <w:rFonts w:hint="eastAsia"/>
                <w:color w:val="000000"/>
                <w:szCs w:val="21"/>
              </w:rPr>
              <w:t>9</w:t>
            </w:r>
            <w:r>
              <w:rPr>
                <w:color w:val="000000"/>
                <w:szCs w:val="21"/>
              </w:rPr>
              <w:t>.</w:t>
            </w:r>
            <w:r>
              <w:rPr>
                <w:rFonts w:hint="eastAsia"/>
                <w:color w:val="000000"/>
                <w:szCs w:val="21"/>
              </w:rPr>
              <w:t>17</w:t>
            </w:r>
          </w:p>
        </w:tc>
        <w:tc>
          <w:tcPr>
            <w:tcW w:w="2371" w:type="dxa"/>
            <w:gridSpan w:val="2"/>
            <w:tcBorders>
              <w:top w:val="single" w:color="000000" w:sz="4" w:space="0"/>
              <w:left w:val="single" w:color="000000" w:sz="4" w:space="0"/>
              <w:bottom w:val="single" w:color="000000" w:sz="4" w:space="0"/>
              <w:right w:val="single" w:color="000000" w:sz="4" w:space="0"/>
            </w:tcBorders>
            <w:noWrap w:val="0"/>
            <w:vAlign w:val="center"/>
          </w:tcPr>
          <w:p w14:paraId="21645B0B">
            <w:pPr>
              <w:spacing w:after="120"/>
              <w:jc w:val="center"/>
              <w:rPr>
                <w:rFonts w:hint="eastAsia"/>
                <w:color w:val="000000"/>
                <w:szCs w:val="21"/>
              </w:rPr>
            </w:pPr>
            <w:r>
              <w:rPr>
                <w:color w:val="000000"/>
                <w:szCs w:val="21"/>
              </w:rPr>
              <w:t>201</w:t>
            </w:r>
            <w:r>
              <w:rPr>
                <w:rFonts w:hint="eastAsia"/>
                <w:color w:val="000000"/>
                <w:szCs w:val="21"/>
              </w:rPr>
              <w:t>7</w:t>
            </w:r>
            <w:r>
              <w:rPr>
                <w:color w:val="000000"/>
                <w:szCs w:val="21"/>
              </w:rPr>
              <w:t>.</w:t>
            </w:r>
            <w:r>
              <w:rPr>
                <w:rFonts w:hint="eastAsia"/>
                <w:color w:val="000000"/>
                <w:szCs w:val="21"/>
              </w:rPr>
              <w:t>9</w:t>
            </w:r>
            <w:r>
              <w:rPr>
                <w:color w:val="000000"/>
                <w:szCs w:val="21"/>
              </w:rPr>
              <w:t>.</w:t>
            </w:r>
            <w:r>
              <w:rPr>
                <w:rFonts w:hint="eastAsia"/>
                <w:color w:val="000000"/>
                <w:szCs w:val="21"/>
              </w:rPr>
              <w:t>18</w:t>
            </w:r>
          </w:p>
        </w:tc>
      </w:tr>
      <w:tr w14:paraId="7A1BD613">
        <w:tblPrEx>
          <w:tblCellMar>
            <w:top w:w="0" w:type="dxa"/>
            <w:left w:w="108" w:type="dxa"/>
            <w:bottom w:w="0" w:type="dxa"/>
            <w:right w:w="108" w:type="dxa"/>
          </w:tblCellMar>
        </w:tblPrEx>
        <w:trPr>
          <w:trHeight w:val="205" w:hRule="atLeast"/>
        </w:trPr>
        <w:tc>
          <w:tcPr>
            <w:tcW w:w="1424" w:type="dxa"/>
            <w:vMerge w:val="continue"/>
            <w:tcBorders>
              <w:top w:val="single" w:color="000000" w:sz="4" w:space="0"/>
              <w:left w:val="single" w:color="000000" w:sz="4" w:space="0"/>
              <w:bottom w:val="single" w:color="000000" w:sz="4" w:space="0"/>
              <w:right w:val="single" w:color="000000" w:sz="4" w:space="0"/>
            </w:tcBorders>
            <w:noWrap w:val="0"/>
            <w:vAlign w:val="center"/>
          </w:tcPr>
          <w:p w14:paraId="6EB6CF20">
            <w:pPr>
              <w:jc w:val="left"/>
              <w:rPr>
                <w:color w:val="000000"/>
                <w:szCs w:val="21"/>
              </w:rPr>
            </w:pPr>
          </w:p>
        </w:tc>
        <w:tc>
          <w:tcPr>
            <w:tcW w:w="23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7C81C698">
            <w:pPr>
              <w:jc w:val="left"/>
              <w:rPr>
                <w:color w:val="000000"/>
                <w:szCs w:val="21"/>
              </w:rPr>
            </w:pPr>
          </w:p>
        </w:tc>
        <w:tc>
          <w:tcPr>
            <w:tcW w:w="1187" w:type="dxa"/>
            <w:tcBorders>
              <w:top w:val="single" w:color="000000" w:sz="4" w:space="0"/>
              <w:left w:val="single" w:color="000000" w:sz="4" w:space="0"/>
              <w:bottom w:val="single" w:color="000000" w:sz="4" w:space="0"/>
              <w:right w:val="single" w:color="000000" w:sz="4" w:space="0"/>
            </w:tcBorders>
            <w:noWrap w:val="0"/>
            <w:vAlign w:val="center"/>
          </w:tcPr>
          <w:p w14:paraId="2D732243">
            <w:pPr>
              <w:spacing w:after="120"/>
              <w:jc w:val="center"/>
              <w:rPr>
                <w:color w:val="000000"/>
                <w:szCs w:val="21"/>
              </w:rPr>
            </w:pPr>
            <w:r>
              <w:rPr>
                <w:color w:val="000000"/>
                <w:szCs w:val="21"/>
              </w:rPr>
              <w:t>昼间</w:t>
            </w:r>
          </w:p>
        </w:tc>
        <w:tc>
          <w:tcPr>
            <w:tcW w:w="1192" w:type="dxa"/>
            <w:tcBorders>
              <w:top w:val="single" w:color="000000" w:sz="4" w:space="0"/>
              <w:left w:val="single" w:color="000000" w:sz="4" w:space="0"/>
              <w:bottom w:val="single" w:color="000000" w:sz="4" w:space="0"/>
              <w:right w:val="single" w:color="000000" w:sz="4" w:space="0"/>
            </w:tcBorders>
            <w:noWrap w:val="0"/>
            <w:vAlign w:val="center"/>
          </w:tcPr>
          <w:p w14:paraId="07FFBCA3">
            <w:pPr>
              <w:spacing w:after="120"/>
              <w:jc w:val="center"/>
              <w:rPr>
                <w:color w:val="000000"/>
                <w:szCs w:val="21"/>
              </w:rPr>
            </w:pPr>
            <w:r>
              <w:rPr>
                <w:color w:val="000000"/>
                <w:szCs w:val="21"/>
              </w:rPr>
              <w:t>夜间</w:t>
            </w:r>
          </w:p>
        </w:tc>
        <w:tc>
          <w:tcPr>
            <w:tcW w:w="1189" w:type="dxa"/>
            <w:tcBorders>
              <w:top w:val="single" w:color="000000" w:sz="4" w:space="0"/>
              <w:left w:val="single" w:color="000000" w:sz="4" w:space="0"/>
              <w:bottom w:val="single" w:color="000000" w:sz="4" w:space="0"/>
              <w:right w:val="single" w:color="000000" w:sz="4" w:space="0"/>
            </w:tcBorders>
            <w:noWrap w:val="0"/>
            <w:vAlign w:val="center"/>
          </w:tcPr>
          <w:p w14:paraId="6F222CF0">
            <w:pPr>
              <w:spacing w:after="120"/>
              <w:jc w:val="center"/>
              <w:rPr>
                <w:color w:val="000000"/>
                <w:szCs w:val="21"/>
              </w:rPr>
            </w:pPr>
            <w:r>
              <w:rPr>
                <w:color w:val="000000"/>
                <w:szCs w:val="21"/>
              </w:rPr>
              <w:t>昼间</w:t>
            </w:r>
          </w:p>
        </w:tc>
        <w:tc>
          <w:tcPr>
            <w:tcW w:w="1182" w:type="dxa"/>
            <w:tcBorders>
              <w:top w:val="single" w:color="000000" w:sz="4" w:space="0"/>
              <w:left w:val="single" w:color="000000" w:sz="4" w:space="0"/>
              <w:bottom w:val="single" w:color="000000" w:sz="4" w:space="0"/>
              <w:right w:val="single" w:color="000000" w:sz="4" w:space="0"/>
            </w:tcBorders>
            <w:noWrap w:val="0"/>
            <w:vAlign w:val="center"/>
          </w:tcPr>
          <w:p w14:paraId="5CC6282E">
            <w:pPr>
              <w:spacing w:after="120"/>
              <w:jc w:val="center"/>
              <w:rPr>
                <w:color w:val="000000"/>
                <w:szCs w:val="21"/>
              </w:rPr>
            </w:pPr>
            <w:r>
              <w:rPr>
                <w:color w:val="000000"/>
                <w:szCs w:val="21"/>
              </w:rPr>
              <w:t>夜间</w:t>
            </w:r>
          </w:p>
        </w:tc>
      </w:tr>
      <w:tr w14:paraId="735C4705">
        <w:tblPrEx>
          <w:tblCellMar>
            <w:top w:w="0" w:type="dxa"/>
            <w:left w:w="108" w:type="dxa"/>
            <w:bottom w:w="0" w:type="dxa"/>
            <w:right w:w="108" w:type="dxa"/>
          </w:tblCellMar>
        </w:tblPrEx>
        <w:trPr>
          <w:trHeight w:val="205" w:hRule="atLeast"/>
        </w:trPr>
        <w:tc>
          <w:tcPr>
            <w:tcW w:w="1424" w:type="dxa"/>
            <w:tcBorders>
              <w:top w:val="single" w:color="000000" w:sz="4" w:space="0"/>
              <w:left w:val="single" w:color="000000" w:sz="4" w:space="0"/>
              <w:bottom w:val="single" w:color="000000" w:sz="4" w:space="0"/>
              <w:right w:val="single" w:color="000000" w:sz="4" w:space="0"/>
            </w:tcBorders>
            <w:noWrap w:val="0"/>
            <w:vAlign w:val="center"/>
          </w:tcPr>
          <w:p w14:paraId="6E2752AC">
            <w:pPr>
              <w:spacing w:after="120"/>
              <w:jc w:val="center"/>
              <w:rPr>
                <w:color w:val="000000"/>
                <w:szCs w:val="21"/>
              </w:rPr>
            </w:pPr>
            <w:r>
              <w:rPr>
                <w:color w:val="000000"/>
                <w:szCs w:val="21"/>
              </w:rPr>
              <w:t>环境噪声</w:t>
            </w:r>
          </w:p>
        </w:tc>
        <w:tc>
          <w:tcPr>
            <w:tcW w:w="2354" w:type="dxa"/>
            <w:tcBorders>
              <w:top w:val="single" w:color="000000" w:sz="4" w:space="0"/>
              <w:left w:val="single" w:color="000000" w:sz="4" w:space="0"/>
              <w:bottom w:val="single" w:color="000000" w:sz="4" w:space="0"/>
              <w:right w:val="single" w:color="000000" w:sz="4" w:space="0"/>
            </w:tcBorders>
            <w:noWrap w:val="0"/>
            <w:vAlign w:val="center"/>
          </w:tcPr>
          <w:p w14:paraId="7F940127">
            <w:pPr>
              <w:spacing w:after="120"/>
              <w:jc w:val="center"/>
              <w:rPr>
                <w:color w:val="000000"/>
                <w:szCs w:val="21"/>
              </w:rPr>
            </w:pPr>
            <w:r>
              <w:rPr>
                <w:color w:val="000000"/>
                <w:szCs w:val="21"/>
              </w:rPr>
              <w:t>项目</w:t>
            </w:r>
            <w:r>
              <w:rPr>
                <w:rFonts w:hint="eastAsia"/>
                <w:color w:val="000000"/>
                <w:szCs w:val="21"/>
              </w:rPr>
              <w:t>建设</w:t>
            </w:r>
            <w:r>
              <w:rPr>
                <w:color w:val="000000"/>
                <w:szCs w:val="21"/>
              </w:rPr>
              <w:t>用地中心</w:t>
            </w:r>
          </w:p>
        </w:tc>
        <w:tc>
          <w:tcPr>
            <w:tcW w:w="1187" w:type="dxa"/>
            <w:tcBorders>
              <w:top w:val="single" w:color="000000" w:sz="4" w:space="0"/>
              <w:left w:val="single" w:color="000000" w:sz="4" w:space="0"/>
              <w:bottom w:val="single" w:color="000000" w:sz="4" w:space="0"/>
              <w:right w:val="single" w:color="000000" w:sz="4" w:space="0"/>
            </w:tcBorders>
            <w:noWrap w:val="0"/>
            <w:vAlign w:val="center"/>
          </w:tcPr>
          <w:p w14:paraId="7DE05144">
            <w:pPr>
              <w:spacing w:after="120"/>
              <w:jc w:val="center"/>
              <w:rPr>
                <w:rFonts w:hint="eastAsia"/>
                <w:color w:val="000000"/>
                <w:szCs w:val="21"/>
              </w:rPr>
            </w:pPr>
            <w:r>
              <w:rPr>
                <w:rFonts w:hint="eastAsia"/>
                <w:color w:val="000000"/>
                <w:szCs w:val="21"/>
              </w:rPr>
              <w:t>50.1</w:t>
            </w:r>
          </w:p>
        </w:tc>
        <w:tc>
          <w:tcPr>
            <w:tcW w:w="1192" w:type="dxa"/>
            <w:tcBorders>
              <w:top w:val="single" w:color="000000" w:sz="4" w:space="0"/>
              <w:left w:val="single" w:color="000000" w:sz="4" w:space="0"/>
              <w:bottom w:val="single" w:color="000000" w:sz="4" w:space="0"/>
              <w:right w:val="single" w:color="000000" w:sz="4" w:space="0"/>
            </w:tcBorders>
            <w:noWrap w:val="0"/>
            <w:vAlign w:val="center"/>
          </w:tcPr>
          <w:p w14:paraId="48907BC4">
            <w:pPr>
              <w:spacing w:after="120"/>
              <w:jc w:val="center"/>
              <w:rPr>
                <w:rFonts w:hint="eastAsia"/>
                <w:color w:val="000000"/>
                <w:szCs w:val="21"/>
              </w:rPr>
            </w:pPr>
            <w:r>
              <w:rPr>
                <w:rFonts w:hint="eastAsia"/>
                <w:color w:val="000000"/>
                <w:szCs w:val="21"/>
              </w:rPr>
              <w:t>46.7</w:t>
            </w:r>
          </w:p>
        </w:tc>
        <w:tc>
          <w:tcPr>
            <w:tcW w:w="1189" w:type="dxa"/>
            <w:tcBorders>
              <w:top w:val="single" w:color="000000" w:sz="4" w:space="0"/>
              <w:left w:val="single" w:color="000000" w:sz="4" w:space="0"/>
              <w:bottom w:val="single" w:color="000000" w:sz="4" w:space="0"/>
              <w:right w:val="single" w:color="000000" w:sz="4" w:space="0"/>
            </w:tcBorders>
            <w:noWrap w:val="0"/>
            <w:vAlign w:val="center"/>
          </w:tcPr>
          <w:p w14:paraId="3D2F679B">
            <w:pPr>
              <w:spacing w:after="120"/>
              <w:jc w:val="center"/>
              <w:rPr>
                <w:rFonts w:hint="eastAsia"/>
                <w:color w:val="000000"/>
                <w:szCs w:val="21"/>
              </w:rPr>
            </w:pPr>
            <w:r>
              <w:rPr>
                <w:rFonts w:hint="eastAsia"/>
                <w:color w:val="000000"/>
                <w:szCs w:val="21"/>
              </w:rPr>
              <w:t>50.2</w:t>
            </w:r>
          </w:p>
        </w:tc>
        <w:tc>
          <w:tcPr>
            <w:tcW w:w="1182" w:type="dxa"/>
            <w:tcBorders>
              <w:top w:val="single" w:color="000000" w:sz="4" w:space="0"/>
              <w:left w:val="single" w:color="000000" w:sz="4" w:space="0"/>
              <w:bottom w:val="single" w:color="000000" w:sz="4" w:space="0"/>
              <w:right w:val="single" w:color="000000" w:sz="4" w:space="0"/>
            </w:tcBorders>
            <w:noWrap w:val="0"/>
            <w:vAlign w:val="center"/>
          </w:tcPr>
          <w:p w14:paraId="398BF20F">
            <w:pPr>
              <w:spacing w:after="120"/>
              <w:jc w:val="center"/>
              <w:rPr>
                <w:rFonts w:hint="eastAsia"/>
                <w:color w:val="000000"/>
                <w:szCs w:val="21"/>
              </w:rPr>
            </w:pPr>
            <w:r>
              <w:rPr>
                <w:rFonts w:hint="eastAsia"/>
                <w:color w:val="000000"/>
                <w:szCs w:val="21"/>
              </w:rPr>
              <w:t>45.3</w:t>
            </w:r>
          </w:p>
        </w:tc>
      </w:tr>
      <w:tr w14:paraId="0141C79A">
        <w:tblPrEx>
          <w:tblCellMar>
            <w:top w:w="0" w:type="dxa"/>
            <w:left w:w="108" w:type="dxa"/>
            <w:bottom w:w="0" w:type="dxa"/>
            <w:right w:w="108" w:type="dxa"/>
          </w:tblCellMar>
        </w:tblPrEx>
        <w:trPr>
          <w:trHeight w:val="205" w:hRule="atLeast"/>
        </w:trPr>
        <w:tc>
          <w:tcPr>
            <w:tcW w:w="1424" w:type="dxa"/>
            <w:tcBorders>
              <w:top w:val="single" w:color="000000" w:sz="4" w:space="0"/>
              <w:left w:val="single" w:color="000000" w:sz="4" w:space="0"/>
              <w:bottom w:val="single" w:color="000000" w:sz="4" w:space="0"/>
              <w:right w:val="single" w:color="000000" w:sz="4" w:space="0"/>
            </w:tcBorders>
            <w:noWrap w:val="0"/>
            <w:vAlign w:val="center"/>
          </w:tcPr>
          <w:p w14:paraId="7301D18C">
            <w:pPr>
              <w:spacing w:after="120"/>
              <w:jc w:val="center"/>
              <w:rPr>
                <w:color w:val="000000"/>
                <w:szCs w:val="21"/>
              </w:rPr>
            </w:pPr>
            <w:r>
              <w:rPr>
                <w:color w:val="000000"/>
                <w:szCs w:val="21"/>
              </w:rPr>
              <w:t>环境噪声</w:t>
            </w:r>
          </w:p>
        </w:tc>
        <w:tc>
          <w:tcPr>
            <w:tcW w:w="2354" w:type="dxa"/>
            <w:tcBorders>
              <w:top w:val="single" w:color="000000" w:sz="4" w:space="0"/>
              <w:left w:val="single" w:color="000000" w:sz="4" w:space="0"/>
              <w:bottom w:val="single" w:color="000000" w:sz="4" w:space="0"/>
              <w:right w:val="single" w:color="000000" w:sz="4" w:space="0"/>
            </w:tcBorders>
            <w:noWrap w:val="0"/>
            <w:vAlign w:val="center"/>
          </w:tcPr>
          <w:p w14:paraId="58E9C16E">
            <w:pPr>
              <w:spacing w:after="120"/>
              <w:jc w:val="center"/>
              <w:rPr>
                <w:rFonts w:hint="eastAsia"/>
                <w:color w:val="000000"/>
                <w:szCs w:val="21"/>
              </w:rPr>
            </w:pPr>
            <w:r>
              <w:rPr>
                <w:rFonts w:hint="eastAsia"/>
                <w:color w:val="000000"/>
                <w:szCs w:val="21"/>
              </w:rPr>
              <w:t>东面</w:t>
            </w:r>
          </w:p>
        </w:tc>
        <w:tc>
          <w:tcPr>
            <w:tcW w:w="1187" w:type="dxa"/>
            <w:tcBorders>
              <w:top w:val="single" w:color="000000" w:sz="4" w:space="0"/>
              <w:left w:val="single" w:color="000000" w:sz="4" w:space="0"/>
              <w:bottom w:val="single" w:color="000000" w:sz="4" w:space="0"/>
              <w:right w:val="single" w:color="000000" w:sz="4" w:space="0"/>
            </w:tcBorders>
            <w:noWrap w:val="0"/>
            <w:vAlign w:val="center"/>
          </w:tcPr>
          <w:p w14:paraId="7FF5C950">
            <w:pPr>
              <w:spacing w:after="120"/>
              <w:jc w:val="center"/>
              <w:rPr>
                <w:rFonts w:hint="eastAsia"/>
                <w:color w:val="000000"/>
                <w:szCs w:val="21"/>
              </w:rPr>
            </w:pPr>
            <w:r>
              <w:rPr>
                <w:rFonts w:hint="eastAsia"/>
                <w:color w:val="000000"/>
                <w:szCs w:val="21"/>
              </w:rPr>
              <w:t>51.6</w:t>
            </w:r>
          </w:p>
        </w:tc>
        <w:tc>
          <w:tcPr>
            <w:tcW w:w="1192" w:type="dxa"/>
            <w:tcBorders>
              <w:top w:val="single" w:color="000000" w:sz="4" w:space="0"/>
              <w:left w:val="single" w:color="000000" w:sz="4" w:space="0"/>
              <w:bottom w:val="single" w:color="000000" w:sz="4" w:space="0"/>
              <w:right w:val="single" w:color="000000" w:sz="4" w:space="0"/>
            </w:tcBorders>
            <w:noWrap w:val="0"/>
            <w:vAlign w:val="center"/>
          </w:tcPr>
          <w:p w14:paraId="57FB24F1">
            <w:pPr>
              <w:spacing w:after="120"/>
              <w:jc w:val="center"/>
              <w:rPr>
                <w:rFonts w:hint="eastAsia"/>
                <w:color w:val="000000"/>
                <w:szCs w:val="21"/>
              </w:rPr>
            </w:pPr>
            <w:r>
              <w:rPr>
                <w:rFonts w:hint="eastAsia"/>
                <w:color w:val="000000"/>
                <w:szCs w:val="21"/>
              </w:rPr>
              <w:t>46.8</w:t>
            </w:r>
          </w:p>
        </w:tc>
        <w:tc>
          <w:tcPr>
            <w:tcW w:w="1189" w:type="dxa"/>
            <w:tcBorders>
              <w:top w:val="single" w:color="000000" w:sz="4" w:space="0"/>
              <w:left w:val="single" w:color="000000" w:sz="4" w:space="0"/>
              <w:bottom w:val="single" w:color="000000" w:sz="4" w:space="0"/>
              <w:right w:val="single" w:color="000000" w:sz="4" w:space="0"/>
            </w:tcBorders>
            <w:noWrap w:val="0"/>
            <w:vAlign w:val="center"/>
          </w:tcPr>
          <w:p w14:paraId="39073ACD">
            <w:pPr>
              <w:spacing w:after="120"/>
              <w:jc w:val="center"/>
              <w:rPr>
                <w:rFonts w:hint="eastAsia"/>
                <w:color w:val="000000"/>
                <w:szCs w:val="21"/>
              </w:rPr>
            </w:pPr>
            <w:r>
              <w:rPr>
                <w:rFonts w:hint="eastAsia"/>
                <w:color w:val="000000"/>
                <w:szCs w:val="21"/>
              </w:rPr>
              <w:t>51.7</w:t>
            </w:r>
          </w:p>
        </w:tc>
        <w:tc>
          <w:tcPr>
            <w:tcW w:w="1182" w:type="dxa"/>
            <w:tcBorders>
              <w:top w:val="single" w:color="000000" w:sz="4" w:space="0"/>
              <w:left w:val="single" w:color="000000" w:sz="4" w:space="0"/>
              <w:bottom w:val="single" w:color="000000" w:sz="4" w:space="0"/>
              <w:right w:val="single" w:color="000000" w:sz="4" w:space="0"/>
            </w:tcBorders>
            <w:noWrap w:val="0"/>
            <w:vAlign w:val="center"/>
          </w:tcPr>
          <w:p w14:paraId="04736266">
            <w:pPr>
              <w:spacing w:after="120"/>
              <w:jc w:val="center"/>
              <w:rPr>
                <w:rFonts w:hint="eastAsia"/>
                <w:color w:val="000000"/>
                <w:szCs w:val="21"/>
              </w:rPr>
            </w:pPr>
            <w:r>
              <w:rPr>
                <w:rFonts w:hint="eastAsia"/>
                <w:color w:val="000000"/>
                <w:szCs w:val="21"/>
              </w:rPr>
              <w:t>46.7</w:t>
            </w:r>
          </w:p>
        </w:tc>
      </w:tr>
      <w:tr w14:paraId="1E27049D">
        <w:tblPrEx>
          <w:tblCellMar>
            <w:top w:w="0" w:type="dxa"/>
            <w:left w:w="108" w:type="dxa"/>
            <w:bottom w:w="0" w:type="dxa"/>
            <w:right w:w="108" w:type="dxa"/>
          </w:tblCellMar>
        </w:tblPrEx>
        <w:trPr>
          <w:trHeight w:val="205" w:hRule="atLeast"/>
        </w:trPr>
        <w:tc>
          <w:tcPr>
            <w:tcW w:w="1424" w:type="dxa"/>
            <w:tcBorders>
              <w:top w:val="single" w:color="000000" w:sz="4" w:space="0"/>
              <w:left w:val="single" w:color="000000" w:sz="4" w:space="0"/>
              <w:bottom w:val="single" w:color="000000" w:sz="4" w:space="0"/>
              <w:right w:val="single" w:color="000000" w:sz="4" w:space="0"/>
            </w:tcBorders>
            <w:noWrap w:val="0"/>
            <w:vAlign w:val="center"/>
          </w:tcPr>
          <w:p w14:paraId="78884A99">
            <w:pPr>
              <w:spacing w:after="120"/>
              <w:jc w:val="center"/>
              <w:rPr>
                <w:color w:val="000000"/>
                <w:szCs w:val="21"/>
              </w:rPr>
            </w:pPr>
            <w:r>
              <w:rPr>
                <w:color w:val="000000"/>
                <w:szCs w:val="21"/>
              </w:rPr>
              <w:t>环境噪声</w:t>
            </w:r>
          </w:p>
        </w:tc>
        <w:tc>
          <w:tcPr>
            <w:tcW w:w="2354" w:type="dxa"/>
            <w:tcBorders>
              <w:top w:val="single" w:color="000000" w:sz="4" w:space="0"/>
              <w:left w:val="single" w:color="000000" w:sz="4" w:space="0"/>
              <w:bottom w:val="single" w:color="000000" w:sz="4" w:space="0"/>
              <w:right w:val="single" w:color="000000" w:sz="4" w:space="0"/>
            </w:tcBorders>
            <w:noWrap w:val="0"/>
            <w:vAlign w:val="center"/>
          </w:tcPr>
          <w:p w14:paraId="58D76C91">
            <w:pPr>
              <w:spacing w:after="120"/>
              <w:jc w:val="center"/>
              <w:rPr>
                <w:rFonts w:hint="eastAsia"/>
                <w:color w:val="000000"/>
                <w:szCs w:val="21"/>
              </w:rPr>
            </w:pPr>
            <w:r>
              <w:rPr>
                <w:rFonts w:hint="eastAsia"/>
                <w:color w:val="000000"/>
                <w:szCs w:val="21"/>
              </w:rPr>
              <w:t>南面</w:t>
            </w:r>
          </w:p>
        </w:tc>
        <w:tc>
          <w:tcPr>
            <w:tcW w:w="1187" w:type="dxa"/>
            <w:tcBorders>
              <w:top w:val="single" w:color="000000" w:sz="4" w:space="0"/>
              <w:left w:val="single" w:color="000000" w:sz="4" w:space="0"/>
              <w:bottom w:val="single" w:color="000000" w:sz="4" w:space="0"/>
              <w:right w:val="single" w:color="000000" w:sz="4" w:space="0"/>
            </w:tcBorders>
            <w:noWrap w:val="0"/>
            <w:vAlign w:val="center"/>
          </w:tcPr>
          <w:p w14:paraId="04D0062B">
            <w:pPr>
              <w:spacing w:after="120"/>
              <w:jc w:val="center"/>
              <w:rPr>
                <w:rFonts w:hint="eastAsia"/>
                <w:color w:val="000000"/>
                <w:szCs w:val="21"/>
              </w:rPr>
            </w:pPr>
            <w:r>
              <w:rPr>
                <w:rFonts w:hint="eastAsia"/>
                <w:color w:val="000000"/>
                <w:szCs w:val="21"/>
              </w:rPr>
              <w:t>52.6</w:t>
            </w:r>
          </w:p>
        </w:tc>
        <w:tc>
          <w:tcPr>
            <w:tcW w:w="1192" w:type="dxa"/>
            <w:tcBorders>
              <w:top w:val="single" w:color="000000" w:sz="4" w:space="0"/>
              <w:left w:val="single" w:color="000000" w:sz="4" w:space="0"/>
              <w:bottom w:val="single" w:color="000000" w:sz="4" w:space="0"/>
              <w:right w:val="single" w:color="000000" w:sz="4" w:space="0"/>
            </w:tcBorders>
            <w:noWrap w:val="0"/>
            <w:vAlign w:val="center"/>
          </w:tcPr>
          <w:p w14:paraId="758DDFB8">
            <w:pPr>
              <w:spacing w:after="120"/>
              <w:jc w:val="center"/>
              <w:rPr>
                <w:rFonts w:hint="eastAsia"/>
                <w:color w:val="000000"/>
                <w:szCs w:val="21"/>
              </w:rPr>
            </w:pPr>
            <w:r>
              <w:rPr>
                <w:rFonts w:hint="eastAsia"/>
                <w:color w:val="000000"/>
                <w:szCs w:val="21"/>
              </w:rPr>
              <w:t>48.8</w:t>
            </w:r>
          </w:p>
        </w:tc>
        <w:tc>
          <w:tcPr>
            <w:tcW w:w="1189" w:type="dxa"/>
            <w:tcBorders>
              <w:top w:val="single" w:color="000000" w:sz="4" w:space="0"/>
              <w:left w:val="single" w:color="000000" w:sz="4" w:space="0"/>
              <w:bottom w:val="single" w:color="000000" w:sz="4" w:space="0"/>
              <w:right w:val="single" w:color="000000" w:sz="4" w:space="0"/>
            </w:tcBorders>
            <w:noWrap w:val="0"/>
            <w:vAlign w:val="center"/>
          </w:tcPr>
          <w:p w14:paraId="5AD2703B">
            <w:pPr>
              <w:spacing w:after="120"/>
              <w:jc w:val="center"/>
              <w:rPr>
                <w:rFonts w:hint="eastAsia"/>
                <w:color w:val="000000"/>
                <w:szCs w:val="21"/>
              </w:rPr>
            </w:pPr>
            <w:r>
              <w:rPr>
                <w:rFonts w:hint="eastAsia"/>
                <w:color w:val="000000"/>
                <w:szCs w:val="21"/>
              </w:rPr>
              <w:t>53.1</w:t>
            </w:r>
          </w:p>
        </w:tc>
        <w:tc>
          <w:tcPr>
            <w:tcW w:w="1182" w:type="dxa"/>
            <w:tcBorders>
              <w:top w:val="single" w:color="000000" w:sz="4" w:space="0"/>
              <w:left w:val="single" w:color="000000" w:sz="4" w:space="0"/>
              <w:bottom w:val="single" w:color="000000" w:sz="4" w:space="0"/>
              <w:right w:val="single" w:color="000000" w:sz="4" w:space="0"/>
            </w:tcBorders>
            <w:noWrap w:val="0"/>
            <w:vAlign w:val="center"/>
          </w:tcPr>
          <w:p w14:paraId="138DA973">
            <w:pPr>
              <w:spacing w:after="120"/>
              <w:jc w:val="center"/>
              <w:rPr>
                <w:rFonts w:hint="eastAsia"/>
                <w:color w:val="000000"/>
                <w:szCs w:val="21"/>
              </w:rPr>
            </w:pPr>
            <w:r>
              <w:rPr>
                <w:rFonts w:hint="eastAsia"/>
                <w:color w:val="000000"/>
                <w:szCs w:val="21"/>
              </w:rPr>
              <w:t>47.8</w:t>
            </w:r>
          </w:p>
        </w:tc>
      </w:tr>
      <w:tr w14:paraId="2C4F8E76">
        <w:tblPrEx>
          <w:tblCellMar>
            <w:top w:w="0" w:type="dxa"/>
            <w:left w:w="108" w:type="dxa"/>
            <w:bottom w:w="0" w:type="dxa"/>
            <w:right w:w="108" w:type="dxa"/>
          </w:tblCellMar>
        </w:tblPrEx>
        <w:trPr>
          <w:trHeight w:val="205" w:hRule="atLeast"/>
        </w:trPr>
        <w:tc>
          <w:tcPr>
            <w:tcW w:w="1424" w:type="dxa"/>
            <w:tcBorders>
              <w:top w:val="single" w:color="000000" w:sz="4" w:space="0"/>
              <w:left w:val="single" w:color="000000" w:sz="4" w:space="0"/>
              <w:bottom w:val="single" w:color="000000" w:sz="4" w:space="0"/>
              <w:right w:val="single" w:color="000000" w:sz="4" w:space="0"/>
            </w:tcBorders>
            <w:noWrap w:val="0"/>
            <w:vAlign w:val="center"/>
          </w:tcPr>
          <w:p w14:paraId="221A1C96">
            <w:pPr>
              <w:spacing w:after="120"/>
              <w:jc w:val="center"/>
              <w:rPr>
                <w:color w:val="000000"/>
                <w:szCs w:val="21"/>
              </w:rPr>
            </w:pPr>
            <w:r>
              <w:rPr>
                <w:color w:val="000000"/>
                <w:szCs w:val="21"/>
              </w:rPr>
              <w:t>环境噪声</w:t>
            </w:r>
          </w:p>
        </w:tc>
        <w:tc>
          <w:tcPr>
            <w:tcW w:w="2354" w:type="dxa"/>
            <w:tcBorders>
              <w:top w:val="single" w:color="000000" w:sz="4" w:space="0"/>
              <w:left w:val="single" w:color="000000" w:sz="4" w:space="0"/>
              <w:bottom w:val="single" w:color="000000" w:sz="4" w:space="0"/>
              <w:right w:val="single" w:color="000000" w:sz="4" w:space="0"/>
            </w:tcBorders>
            <w:noWrap w:val="0"/>
            <w:vAlign w:val="center"/>
          </w:tcPr>
          <w:p w14:paraId="4BB3D35B">
            <w:pPr>
              <w:spacing w:after="120"/>
              <w:jc w:val="center"/>
              <w:rPr>
                <w:rFonts w:hint="eastAsia"/>
                <w:color w:val="000000"/>
                <w:szCs w:val="21"/>
              </w:rPr>
            </w:pPr>
            <w:r>
              <w:rPr>
                <w:rFonts w:hint="eastAsia"/>
                <w:color w:val="000000"/>
                <w:szCs w:val="21"/>
              </w:rPr>
              <w:t>西面</w:t>
            </w:r>
          </w:p>
        </w:tc>
        <w:tc>
          <w:tcPr>
            <w:tcW w:w="1187" w:type="dxa"/>
            <w:tcBorders>
              <w:top w:val="single" w:color="000000" w:sz="4" w:space="0"/>
              <w:left w:val="single" w:color="000000" w:sz="4" w:space="0"/>
              <w:bottom w:val="single" w:color="000000" w:sz="4" w:space="0"/>
              <w:right w:val="single" w:color="000000" w:sz="4" w:space="0"/>
            </w:tcBorders>
            <w:noWrap w:val="0"/>
            <w:vAlign w:val="center"/>
          </w:tcPr>
          <w:p w14:paraId="51DEFB4D">
            <w:pPr>
              <w:spacing w:after="120"/>
              <w:jc w:val="center"/>
              <w:rPr>
                <w:rFonts w:hint="eastAsia"/>
                <w:color w:val="000000"/>
                <w:szCs w:val="21"/>
              </w:rPr>
            </w:pPr>
            <w:r>
              <w:rPr>
                <w:rFonts w:hint="eastAsia"/>
                <w:color w:val="000000"/>
                <w:szCs w:val="21"/>
              </w:rPr>
              <w:t>53.7</w:t>
            </w:r>
          </w:p>
        </w:tc>
        <w:tc>
          <w:tcPr>
            <w:tcW w:w="1192" w:type="dxa"/>
            <w:tcBorders>
              <w:top w:val="single" w:color="000000" w:sz="4" w:space="0"/>
              <w:left w:val="single" w:color="000000" w:sz="4" w:space="0"/>
              <w:bottom w:val="single" w:color="000000" w:sz="4" w:space="0"/>
              <w:right w:val="single" w:color="000000" w:sz="4" w:space="0"/>
            </w:tcBorders>
            <w:noWrap w:val="0"/>
            <w:vAlign w:val="center"/>
          </w:tcPr>
          <w:p w14:paraId="328A8CA8">
            <w:pPr>
              <w:spacing w:after="120"/>
              <w:jc w:val="center"/>
              <w:rPr>
                <w:rFonts w:hint="eastAsia"/>
                <w:color w:val="000000"/>
                <w:szCs w:val="21"/>
              </w:rPr>
            </w:pPr>
            <w:r>
              <w:rPr>
                <w:rFonts w:hint="eastAsia"/>
                <w:color w:val="000000"/>
                <w:szCs w:val="21"/>
              </w:rPr>
              <w:t>47.9</w:t>
            </w:r>
          </w:p>
        </w:tc>
        <w:tc>
          <w:tcPr>
            <w:tcW w:w="1189" w:type="dxa"/>
            <w:tcBorders>
              <w:top w:val="single" w:color="000000" w:sz="4" w:space="0"/>
              <w:left w:val="single" w:color="000000" w:sz="4" w:space="0"/>
              <w:bottom w:val="single" w:color="000000" w:sz="4" w:space="0"/>
              <w:right w:val="single" w:color="000000" w:sz="4" w:space="0"/>
            </w:tcBorders>
            <w:noWrap w:val="0"/>
            <w:vAlign w:val="center"/>
          </w:tcPr>
          <w:p w14:paraId="4EC55056">
            <w:pPr>
              <w:spacing w:after="120"/>
              <w:jc w:val="center"/>
              <w:rPr>
                <w:rFonts w:hint="eastAsia"/>
                <w:color w:val="000000"/>
                <w:szCs w:val="21"/>
              </w:rPr>
            </w:pPr>
            <w:r>
              <w:rPr>
                <w:rFonts w:hint="eastAsia"/>
                <w:color w:val="000000"/>
                <w:szCs w:val="21"/>
              </w:rPr>
              <w:t>54.2</w:t>
            </w:r>
          </w:p>
        </w:tc>
        <w:tc>
          <w:tcPr>
            <w:tcW w:w="1182" w:type="dxa"/>
            <w:tcBorders>
              <w:top w:val="single" w:color="000000" w:sz="4" w:space="0"/>
              <w:left w:val="single" w:color="000000" w:sz="4" w:space="0"/>
              <w:bottom w:val="single" w:color="000000" w:sz="4" w:space="0"/>
              <w:right w:val="single" w:color="000000" w:sz="4" w:space="0"/>
            </w:tcBorders>
            <w:noWrap w:val="0"/>
            <w:vAlign w:val="center"/>
          </w:tcPr>
          <w:p w14:paraId="131975E8">
            <w:pPr>
              <w:spacing w:after="120"/>
              <w:jc w:val="center"/>
              <w:rPr>
                <w:rFonts w:hint="eastAsia"/>
                <w:color w:val="000000"/>
                <w:szCs w:val="21"/>
              </w:rPr>
            </w:pPr>
            <w:r>
              <w:rPr>
                <w:rFonts w:hint="eastAsia"/>
                <w:color w:val="000000"/>
                <w:szCs w:val="21"/>
              </w:rPr>
              <w:t>47.9</w:t>
            </w:r>
          </w:p>
        </w:tc>
      </w:tr>
      <w:tr w14:paraId="58855B39">
        <w:tblPrEx>
          <w:tblCellMar>
            <w:top w:w="0" w:type="dxa"/>
            <w:left w:w="108" w:type="dxa"/>
            <w:bottom w:w="0" w:type="dxa"/>
            <w:right w:w="108" w:type="dxa"/>
          </w:tblCellMar>
        </w:tblPrEx>
        <w:trPr>
          <w:trHeight w:val="210" w:hRule="atLeast"/>
        </w:trPr>
        <w:tc>
          <w:tcPr>
            <w:tcW w:w="1424" w:type="dxa"/>
            <w:tcBorders>
              <w:top w:val="single" w:color="000000" w:sz="4" w:space="0"/>
              <w:left w:val="single" w:color="000000" w:sz="4" w:space="0"/>
              <w:bottom w:val="single" w:color="000000" w:sz="4" w:space="0"/>
              <w:right w:val="single" w:color="000000" w:sz="4" w:space="0"/>
            </w:tcBorders>
            <w:noWrap w:val="0"/>
            <w:vAlign w:val="center"/>
          </w:tcPr>
          <w:p w14:paraId="5973838C">
            <w:pPr>
              <w:spacing w:after="120"/>
              <w:jc w:val="center"/>
              <w:rPr>
                <w:color w:val="000000"/>
                <w:szCs w:val="21"/>
              </w:rPr>
            </w:pPr>
            <w:r>
              <w:rPr>
                <w:color w:val="000000"/>
                <w:szCs w:val="21"/>
              </w:rPr>
              <w:t>环境噪声</w:t>
            </w:r>
          </w:p>
        </w:tc>
        <w:tc>
          <w:tcPr>
            <w:tcW w:w="2354" w:type="dxa"/>
            <w:tcBorders>
              <w:top w:val="single" w:color="000000" w:sz="4" w:space="0"/>
              <w:left w:val="single" w:color="000000" w:sz="4" w:space="0"/>
              <w:bottom w:val="single" w:color="000000" w:sz="4" w:space="0"/>
              <w:right w:val="single" w:color="000000" w:sz="4" w:space="0"/>
            </w:tcBorders>
            <w:noWrap w:val="0"/>
            <w:vAlign w:val="center"/>
          </w:tcPr>
          <w:p w14:paraId="54369812">
            <w:pPr>
              <w:spacing w:after="120"/>
              <w:jc w:val="center"/>
              <w:rPr>
                <w:rFonts w:hint="eastAsia"/>
                <w:color w:val="000000"/>
                <w:szCs w:val="21"/>
              </w:rPr>
            </w:pPr>
            <w:r>
              <w:rPr>
                <w:rFonts w:hint="eastAsia"/>
                <w:color w:val="000000"/>
                <w:szCs w:val="21"/>
              </w:rPr>
              <w:t>北面</w:t>
            </w:r>
          </w:p>
        </w:tc>
        <w:tc>
          <w:tcPr>
            <w:tcW w:w="1187" w:type="dxa"/>
            <w:tcBorders>
              <w:top w:val="single" w:color="000000" w:sz="4" w:space="0"/>
              <w:left w:val="single" w:color="000000" w:sz="4" w:space="0"/>
              <w:bottom w:val="single" w:color="000000" w:sz="4" w:space="0"/>
              <w:right w:val="single" w:color="000000" w:sz="4" w:space="0"/>
            </w:tcBorders>
            <w:noWrap w:val="0"/>
            <w:vAlign w:val="center"/>
          </w:tcPr>
          <w:p w14:paraId="7797560E">
            <w:pPr>
              <w:spacing w:after="120"/>
              <w:jc w:val="center"/>
              <w:rPr>
                <w:rFonts w:hint="eastAsia"/>
                <w:color w:val="000000"/>
                <w:szCs w:val="21"/>
              </w:rPr>
            </w:pPr>
            <w:r>
              <w:rPr>
                <w:rFonts w:hint="eastAsia"/>
                <w:color w:val="000000"/>
                <w:szCs w:val="21"/>
              </w:rPr>
              <w:t>53.8</w:t>
            </w:r>
          </w:p>
        </w:tc>
        <w:tc>
          <w:tcPr>
            <w:tcW w:w="1192" w:type="dxa"/>
            <w:tcBorders>
              <w:top w:val="single" w:color="000000" w:sz="4" w:space="0"/>
              <w:left w:val="single" w:color="000000" w:sz="4" w:space="0"/>
              <w:bottom w:val="single" w:color="000000" w:sz="4" w:space="0"/>
              <w:right w:val="single" w:color="000000" w:sz="4" w:space="0"/>
            </w:tcBorders>
            <w:noWrap w:val="0"/>
            <w:vAlign w:val="center"/>
          </w:tcPr>
          <w:p w14:paraId="367044B5">
            <w:pPr>
              <w:spacing w:after="120"/>
              <w:jc w:val="center"/>
              <w:rPr>
                <w:rFonts w:hint="eastAsia"/>
                <w:color w:val="000000"/>
                <w:szCs w:val="21"/>
              </w:rPr>
            </w:pPr>
            <w:r>
              <w:rPr>
                <w:rFonts w:hint="eastAsia"/>
                <w:color w:val="000000"/>
                <w:szCs w:val="21"/>
              </w:rPr>
              <w:t>46.8</w:t>
            </w:r>
          </w:p>
        </w:tc>
        <w:tc>
          <w:tcPr>
            <w:tcW w:w="1189" w:type="dxa"/>
            <w:tcBorders>
              <w:top w:val="single" w:color="000000" w:sz="4" w:space="0"/>
              <w:left w:val="single" w:color="000000" w:sz="4" w:space="0"/>
              <w:bottom w:val="single" w:color="000000" w:sz="4" w:space="0"/>
              <w:right w:val="single" w:color="000000" w:sz="4" w:space="0"/>
            </w:tcBorders>
            <w:noWrap w:val="0"/>
            <w:vAlign w:val="center"/>
          </w:tcPr>
          <w:p w14:paraId="588F6305">
            <w:pPr>
              <w:spacing w:after="120"/>
              <w:jc w:val="center"/>
              <w:rPr>
                <w:rFonts w:hint="eastAsia"/>
                <w:color w:val="000000"/>
                <w:szCs w:val="21"/>
              </w:rPr>
            </w:pPr>
            <w:r>
              <w:rPr>
                <w:rFonts w:hint="eastAsia"/>
                <w:color w:val="000000"/>
                <w:szCs w:val="21"/>
              </w:rPr>
              <w:t>54.7</w:t>
            </w:r>
          </w:p>
        </w:tc>
        <w:tc>
          <w:tcPr>
            <w:tcW w:w="1182" w:type="dxa"/>
            <w:tcBorders>
              <w:top w:val="single" w:color="000000" w:sz="4" w:space="0"/>
              <w:left w:val="single" w:color="000000" w:sz="4" w:space="0"/>
              <w:bottom w:val="single" w:color="000000" w:sz="4" w:space="0"/>
              <w:right w:val="single" w:color="000000" w:sz="4" w:space="0"/>
            </w:tcBorders>
            <w:noWrap w:val="0"/>
            <w:vAlign w:val="center"/>
          </w:tcPr>
          <w:p w14:paraId="1D420036">
            <w:pPr>
              <w:spacing w:after="120"/>
              <w:jc w:val="center"/>
              <w:rPr>
                <w:rFonts w:hint="eastAsia"/>
                <w:color w:val="000000"/>
                <w:szCs w:val="21"/>
              </w:rPr>
            </w:pPr>
            <w:r>
              <w:rPr>
                <w:rFonts w:hint="eastAsia"/>
                <w:color w:val="000000"/>
                <w:szCs w:val="21"/>
              </w:rPr>
              <w:t>46.9</w:t>
            </w:r>
          </w:p>
        </w:tc>
      </w:tr>
      <w:tr w14:paraId="2576D9AA">
        <w:tblPrEx>
          <w:tblCellMar>
            <w:top w:w="0" w:type="dxa"/>
            <w:left w:w="108" w:type="dxa"/>
            <w:bottom w:w="0" w:type="dxa"/>
            <w:right w:w="108" w:type="dxa"/>
          </w:tblCellMar>
        </w:tblPrEx>
        <w:trPr>
          <w:trHeight w:val="210" w:hRule="atLeast"/>
        </w:trPr>
        <w:tc>
          <w:tcPr>
            <w:tcW w:w="8528" w:type="dxa"/>
            <w:gridSpan w:val="6"/>
            <w:tcBorders>
              <w:top w:val="single" w:color="000000" w:sz="4" w:space="0"/>
              <w:left w:val="single" w:color="000000" w:sz="4" w:space="0"/>
              <w:bottom w:val="single" w:color="000000" w:sz="4" w:space="0"/>
              <w:right w:val="single" w:color="000000" w:sz="4" w:space="0"/>
            </w:tcBorders>
            <w:noWrap w:val="0"/>
            <w:vAlign w:val="center"/>
          </w:tcPr>
          <w:p w14:paraId="09F78A07">
            <w:pPr>
              <w:spacing w:after="120"/>
              <w:jc w:val="center"/>
              <w:rPr>
                <w:rFonts w:hint="eastAsia" w:ascii="宋体" w:hAnsi="宋体"/>
                <w:color w:val="000000"/>
                <w:szCs w:val="21"/>
              </w:rPr>
            </w:pPr>
            <w:r>
              <w:rPr>
                <w:rFonts w:ascii="宋体" w:hAnsi="宋体"/>
                <w:color w:val="000000"/>
                <w:szCs w:val="21"/>
              </w:rPr>
              <w:t>《声环境质量标准》（GB 3096-2008）2类标准：昼间60，夜间50</w:t>
            </w:r>
          </w:p>
          <w:p w14:paraId="4EA87F7A">
            <w:pPr>
              <w:spacing w:after="120"/>
              <w:jc w:val="center"/>
              <w:rPr>
                <w:rFonts w:hint="eastAsia"/>
                <w:color w:val="000000"/>
                <w:szCs w:val="21"/>
              </w:rPr>
            </w:pPr>
            <w:r>
              <w:rPr>
                <w:rFonts w:ascii="宋体" w:hAnsi="宋体"/>
                <w:color w:val="000000"/>
                <w:szCs w:val="21"/>
              </w:rPr>
              <w:t>《声环境质量标准》（GB 3096-2008）4a类标准：昼间70，夜间55</w:t>
            </w:r>
          </w:p>
        </w:tc>
      </w:tr>
    </w:tbl>
    <w:p w14:paraId="0D7F49FC">
      <w:pPr>
        <w:spacing w:before="120" w:line="360" w:lineRule="auto"/>
        <w:ind w:firstLine="482"/>
        <w:rPr>
          <w:color w:val="000000"/>
          <w:sz w:val="24"/>
        </w:rPr>
      </w:pPr>
      <w:r>
        <w:rPr>
          <w:rFonts w:hint="eastAsia"/>
          <w:color w:val="000000"/>
          <w:sz w:val="24"/>
        </w:rPr>
        <w:t>本项目评价方法采用监测值与标准限值直接进行比较。</w:t>
      </w:r>
      <w:r>
        <w:rPr>
          <w:color w:val="000000"/>
          <w:sz w:val="24"/>
        </w:rPr>
        <w:t>从上表可以看出，</w:t>
      </w:r>
      <w:r>
        <w:rPr>
          <w:rFonts w:hint="eastAsia"/>
          <w:color w:val="000000"/>
          <w:sz w:val="24"/>
        </w:rPr>
        <w:t>项目区</w:t>
      </w:r>
      <w:r>
        <w:rPr>
          <w:color w:val="000000"/>
          <w:sz w:val="24"/>
        </w:rPr>
        <w:t>声环境</w:t>
      </w:r>
      <w:r>
        <w:rPr>
          <w:rFonts w:hint="eastAsia"/>
          <w:color w:val="000000"/>
          <w:sz w:val="24"/>
        </w:rPr>
        <w:t>质量</w:t>
      </w:r>
      <w:r>
        <w:rPr>
          <w:color w:val="000000"/>
          <w:sz w:val="24"/>
        </w:rPr>
        <w:t>现状较好，</w:t>
      </w:r>
      <w:r>
        <w:rPr>
          <w:rFonts w:hint="eastAsia"/>
          <w:color w:val="000000"/>
          <w:sz w:val="24"/>
        </w:rPr>
        <w:t>各监测点的</w:t>
      </w:r>
      <w:r>
        <w:rPr>
          <w:color w:val="000000"/>
          <w:sz w:val="24"/>
        </w:rPr>
        <w:t>噪声值</w:t>
      </w:r>
      <w:r>
        <w:rPr>
          <w:rFonts w:hint="eastAsia"/>
          <w:color w:val="000000"/>
          <w:sz w:val="24"/>
        </w:rPr>
        <w:t>均</w:t>
      </w:r>
      <w:r>
        <w:rPr>
          <w:color w:val="000000"/>
          <w:sz w:val="24"/>
        </w:rPr>
        <w:t>可以达到《声环境质量标准》2类</w:t>
      </w:r>
      <w:r>
        <w:rPr>
          <w:rFonts w:hint="eastAsia" w:hAnsi="宋体"/>
          <w:color w:val="000000"/>
          <w:sz w:val="24"/>
        </w:rPr>
        <w:t>和</w:t>
      </w:r>
      <w:r>
        <w:rPr>
          <w:color w:val="000000"/>
          <w:sz w:val="24"/>
        </w:rPr>
        <w:t>4a</w:t>
      </w:r>
      <w:r>
        <w:rPr>
          <w:rFonts w:hAnsi="宋体"/>
          <w:color w:val="000000"/>
          <w:sz w:val="24"/>
        </w:rPr>
        <w:t>类标准要求。</w:t>
      </w:r>
    </w:p>
    <w:p w14:paraId="3746442A">
      <w:pPr>
        <w:spacing w:line="360" w:lineRule="auto"/>
        <w:ind w:firstLine="480"/>
        <w:rPr>
          <w:color w:val="000000"/>
          <w:sz w:val="24"/>
        </w:rPr>
      </w:pPr>
    </w:p>
    <w:p w14:paraId="5F0AA63D">
      <w:pPr>
        <w:spacing w:line="360" w:lineRule="auto"/>
        <w:ind w:firstLine="480"/>
        <w:rPr>
          <w:color w:val="000000"/>
          <w:sz w:val="24"/>
        </w:rPr>
        <w:sectPr>
          <w:pgSz w:w="11906" w:h="16838" w:orient="landscape"/>
          <w:pgMar w:top="1440" w:right="1797" w:bottom="1440" w:left="1797" w:header="851" w:footer="992" w:gutter="0"/>
          <w:cols w:space="1701" w:num="1"/>
        </w:sectPr>
      </w:pPr>
    </w:p>
    <w:p w14:paraId="4FBA7AAF">
      <w:pPr>
        <w:pStyle w:val="181"/>
        <w:rPr>
          <w:rFonts w:eastAsia="仿宋_GB2312"/>
          <w:color w:val="000000"/>
          <w:sz w:val="30"/>
          <w:szCs w:val="30"/>
        </w:rPr>
      </w:pPr>
      <w:bookmarkStart w:id="411" w:name="_Toc217711353"/>
      <w:bookmarkEnd w:id="411"/>
      <w:bookmarkStart w:id="412" w:name="_Toc495500095"/>
      <w:r>
        <w:rPr>
          <w:rFonts w:eastAsia="仿宋_GB2312"/>
          <w:color w:val="000000"/>
          <w:sz w:val="30"/>
          <w:szCs w:val="30"/>
        </w:rPr>
        <w:t>6、环境影响分析及评价</w:t>
      </w:r>
      <w:bookmarkEnd w:id="412"/>
    </w:p>
    <w:p w14:paraId="2E817D19">
      <w:pPr>
        <w:pStyle w:val="182"/>
        <w:ind w:firstLine="275"/>
        <w:rPr>
          <w:rFonts w:ascii="Times New Roman" w:hAnsi="Times New Roman" w:eastAsia="仿宋_GB2312" w:cs="Times New Roman"/>
          <w:color w:val="000000"/>
          <w:sz w:val="28"/>
          <w:szCs w:val="28"/>
        </w:rPr>
      </w:pPr>
      <w:bookmarkStart w:id="413" w:name="_Toc217711354"/>
      <w:bookmarkEnd w:id="413"/>
      <w:bookmarkStart w:id="414" w:name="_Toc495500096"/>
      <w:r>
        <w:rPr>
          <w:rFonts w:ascii="Times New Roman" w:hAnsi="Times New Roman" w:eastAsia="仿宋_GB2312" w:cs="Times New Roman"/>
          <w:color w:val="000000"/>
          <w:sz w:val="28"/>
          <w:szCs w:val="28"/>
        </w:rPr>
        <w:t>6.1施工期环境影响分析及评价</w:t>
      </w:r>
      <w:bookmarkEnd w:id="414"/>
    </w:p>
    <w:p w14:paraId="1646EB8A">
      <w:pPr>
        <w:pStyle w:val="311"/>
        <w:spacing w:line="360" w:lineRule="auto"/>
        <w:ind w:firstLine="480"/>
        <w:jc w:val="both"/>
        <w:rPr>
          <w:color w:val="000000"/>
          <w:sz w:val="24"/>
          <w:szCs w:val="24"/>
        </w:rPr>
      </w:pPr>
      <w:r>
        <w:rPr>
          <w:color w:val="000000"/>
          <w:sz w:val="24"/>
          <w:szCs w:val="24"/>
        </w:rPr>
        <w:t>本项目施工期的主要内容主要包括部分场地开挖、基础打桩、主体建筑和配套设施建设、室内装修及绿化等，施工场地设置围墙与外界隔离，本项目不设施工营地。</w:t>
      </w:r>
    </w:p>
    <w:p w14:paraId="7344EE09">
      <w:pPr>
        <w:spacing w:line="360" w:lineRule="auto"/>
        <w:ind w:firstLine="480"/>
        <w:rPr>
          <w:color w:val="000000"/>
          <w:sz w:val="24"/>
        </w:rPr>
      </w:pPr>
      <w:r>
        <w:rPr>
          <w:color w:val="000000"/>
          <w:sz w:val="24"/>
        </w:rPr>
        <w:t>施工期环境影响主要为施工废水、各类建材及土石方进出造成的扬尘和运输车辆产生的尾气、室内装修有毒有害废气、施工废水、各类建筑机械噪声、因土方开挖而造成土方增加和建筑过程产生的建筑垃圾等对环境造成的影响。</w:t>
      </w:r>
    </w:p>
    <w:p w14:paraId="6C0E15D1">
      <w:pPr>
        <w:pStyle w:val="183"/>
        <w:ind w:firstLine="472"/>
        <w:rPr>
          <w:rFonts w:eastAsia="仿宋_GB2312"/>
          <w:color w:val="000000"/>
          <w:sz w:val="24"/>
          <w:szCs w:val="24"/>
        </w:rPr>
      </w:pPr>
      <w:bookmarkStart w:id="415" w:name="_Toc217800823"/>
      <w:bookmarkEnd w:id="415"/>
      <w:bookmarkStart w:id="416" w:name="_Toc495500097"/>
      <w:r>
        <w:rPr>
          <w:rFonts w:eastAsia="仿宋_GB2312"/>
          <w:color w:val="000000"/>
          <w:sz w:val="24"/>
          <w:szCs w:val="24"/>
        </w:rPr>
        <w:t>6.1.1水环境影响评价</w:t>
      </w:r>
      <w:bookmarkEnd w:id="416"/>
    </w:p>
    <w:p w14:paraId="431DF7C5">
      <w:pPr>
        <w:pStyle w:val="221"/>
        <w:spacing w:after="0" w:line="360" w:lineRule="auto"/>
        <w:ind w:left="0" w:firstLine="480"/>
        <w:rPr>
          <w:color w:val="000000"/>
          <w:sz w:val="24"/>
        </w:rPr>
      </w:pPr>
      <w:bookmarkStart w:id="417" w:name="_Toc226608400"/>
      <w:bookmarkEnd w:id="417"/>
      <w:bookmarkStart w:id="418" w:name="_Toc241904972"/>
      <w:bookmarkEnd w:id="418"/>
      <w:r>
        <w:rPr>
          <w:color w:val="000000"/>
          <w:sz w:val="24"/>
        </w:rPr>
        <w:t xml:space="preserve">（1）施工期生活污水影响分析 </w:t>
      </w:r>
      <w:bookmarkStart w:id="419" w:name="_Toc226608401"/>
      <w:bookmarkEnd w:id="419"/>
    </w:p>
    <w:p w14:paraId="4142BC29">
      <w:pPr>
        <w:pStyle w:val="221"/>
        <w:spacing w:after="0" w:line="360" w:lineRule="auto"/>
        <w:ind w:left="0" w:firstLine="480"/>
        <w:rPr>
          <w:rFonts w:hint="eastAsia"/>
          <w:color w:val="000000"/>
          <w:sz w:val="24"/>
        </w:rPr>
      </w:pPr>
      <w:r>
        <w:rPr>
          <w:rFonts w:hint="eastAsia"/>
          <w:color w:val="000000"/>
          <w:sz w:val="24"/>
        </w:rPr>
        <w:t>项目在基础建设施工期对地表水环境的影响主要为工程废水和施工人员、管理人员的生活污水。该项目施工期的施工人员平均每天约100人，高峰期约150人。施工期使用周边已建有的厕所，大部分施工人员在医院周边村子解决住宿问题。</w:t>
      </w:r>
      <w:r>
        <w:rPr>
          <w:rFonts w:hint="eastAsia" w:ascii="宋体" w:hAnsi="宋体"/>
          <w:color w:val="000000"/>
          <w:sz w:val="24"/>
        </w:rPr>
        <w:t>据现场调查，大约3人就住于场地内看守材料。</w:t>
      </w:r>
      <w:r>
        <w:rPr>
          <w:rFonts w:hint="eastAsia"/>
          <w:color w:val="000000"/>
          <w:sz w:val="24"/>
        </w:rPr>
        <w:t>按照每人用水量50L/d计，污水排放系数按0.8计，排水量40L/d，施工人员污水量为0.04m</w:t>
      </w:r>
      <w:r>
        <w:rPr>
          <w:rFonts w:hint="eastAsia"/>
          <w:color w:val="000000"/>
          <w:sz w:val="24"/>
          <w:vertAlign w:val="superscript"/>
        </w:rPr>
        <w:t>3</w:t>
      </w:r>
      <w:r>
        <w:rPr>
          <w:rFonts w:hint="eastAsia"/>
          <w:color w:val="000000"/>
          <w:sz w:val="24"/>
        </w:rPr>
        <w:t>/d，类比类似房地产企业排放浓度，COD</w:t>
      </w:r>
      <w:r>
        <w:rPr>
          <w:rFonts w:hint="eastAsia"/>
          <w:color w:val="000000"/>
          <w:sz w:val="24"/>
          <w:vertAlign w:val="subscript"/>
        </w:rPr>
        <w:t>cr</w:t>
      </w:r>
      <w:r>
        <w:rPr>
          <w:rFonts w:hint="eastAsia"/>
          <w:color w:val="000000"/>
          <w:sz w:val="24"/>
        </w:rPr>
        <w:t>为250mg/L，BOD</w:t>
      </w:r>
      <w:r>
        <w:rPr>
          <w:rFonts w:hint="eastAsia"/>
          <w:color w:val="000000"/>
          <w:sz w:val="24"/>
          <w:vertAlign w:val="subscript"/>
        </w:rPr>
        <w:t>5</w:t>
      </w:r>
      <w:r>
        <w:rPr>
          <w:rFonts w:hint="eastAsia"/>
          <w:color w:val="000000"/>
          <w:sz w:val="24"/>
        </w:rPr>
        <w:t>为150mg/L，SS为200mg/L，动植物油30mg/L。</w:t>
      </w:r>
    </w:p>
    <w:p w14:paraId="5A9E6BD1">
      <w:pPr>
        <w:pStyle w:val="221"/>
        <w:spacing w:after="0" w:line="360" w:lineRule="auto"/>
        <w:ind w:left="0" w:firstLine="480"/>
        <w:rPr>
          <w:rFonts w:hint="eastAsia"/>
          <w:color w:val="000000"/>
          <w:sz w:val="24"/>
        </w:rPr>
      </w:pPr>
      <w:r>
        <w:rPr>
          <w:rFonts w:hint="eastAsia"/>
          <w:color w:val="000000"/>
          <w:sz w:val="24"/>
        </w:rPr>
        <w:t>施工人员用餐、洗衣服、洗澡等不在场地范围内，在场地范围内用水主要为日常洗手、临时就餐洗手、临时居住人员日常生活等用水。</w:t>
      </w:r>
    </w:p>
    <w:p w14:paraId="72353A3E">
      <w:pPr>
        <w:pStyle w:val="221"/>
        <w:spacing w:after="0" w:line="360" w:lineRule="auto"/>
        <w:ind w:left="0" w:firstLine="480"/>
        <w:rPr>
          <w:color w:val="000000"/>
          <w:sz w:val="24"/>
        </w:rPr>
      </w:pPr>
      <w:r>
        <w:rPr>
          <w:rFonts w:hint="eastAsia"/>
          <w:color w:val="000000"/>
          <w:sz w:val="24"/>
        </w:rPr>
        <w:t>虽然污水产生量少，但必须加强对施工人员的管理，通过修建临时沉淀池对生活污水进行处理后回用，禁止施工期生活污水外排。</w:t>
      </w:r>
    </w:p>
    <w:p w14:paraId="6C832073">
      <w:pPr>
        <w:pStyle w:val="221"/>
        <w:spacing w:after="0" w:line="360" w:lineRule="auto"/>
        <w:ind w:left="0" w:firstLine="480"/>
        <w:rPr>
          <w:color w:val="000000"/>
          <w:sz w:val="24"/>
        </w:rPr>
      </w:pPr>
      <w:bookmarkStart w:id="420" w:name="_Toc241904973"/>
      <w:bookmarkEnd w:id="420"/>
      <w:r>
        <w:rPr>
          <w:color w:val="000000"/>
          <w:sz w:val="24"/>
        </w:rPr>
        <w:t>（2）施工期施工废水影响分析</w:t>
      </w:r>
    </w:p>
    <w:p w14:paraId="668FC8F7">
      <w:pPr>
        <w:pStyle w:val="221"/>
        <w:spacing w:after="0" w:line="360" w:lineRule="auto"/>
        <w:ind w:left="0" w:firstLine="480"/>
        <w:rPr>
          <w:color w:val="000000"/>
          <w:sz w:val="24"/>
        </w:rPr>
      </w:pPr>
      <w:r>
        <w:rPr>
          <w:color w:val="000000"/>
          <w:sz w:val="24"/>
        </w:rPr>
        <w:t>本项目使用商品混凝土，施工废水根据工程分析，项目施工期的废水主要为施工废水、雨天地表径流。</w:t>
      </w:r>
    </w:p>
    <w:p w14:paraId="736BF2F0">
      <w:pPr>
        <w:pStyle w:val="221"/>
        <w:spacing w:after="0" w:line="360" w:lineRule="auto"/>
        <w:ind w:left="0" w:firstLine="480"/>
        <w:rPr>
          <w:color w:val="000000"/>
          <w:sz w:val="24"/>
        </w:rPr>
      </w:pPr>
      <w:r>
        <w:rPr>
          <w:color w:val="000000"/>
          <w:sz w:val="24"/>
        </w:rPr>
        <w:t>施工废水主要来源机械、工具清洗等等。施工机械清洗废水主要污染物为悬浮物，根据类比资料悬浮物浓度平均为500～2000mg/L，建设单位需在施工场地内设置1m</w:t>
      </w:r>
      <w:r>
        <w:rPr>
          <w:color w:val="000000"/>
          <w:sz w:val="24"/>
          <w:vertAlign w:val="superscript"/>
        </w:rPr>
        <w:t>3</w:t>
      </w:r>
      <w:r>
        <w:rPr>
          <w:color w:val="000000"/>
          <w:sz w:val="24"/>
        </w:rPr>
        <w:t>临时沉淀池处理施工废水，并回用于项目施工。</w:t>
      </w:r>
    </w:p>
    <w:p w14:paraId="49BDE1CA">
      <w:pPr>
        <w:pStyle w:val="221"/>
        <w:spacing w:after="0" w:line="360" w:lineRule="auto"/>
        <w:ind w:left="0" w:firstLine="480"/>
        <w:rPr>
          <w:color w:val="000000"/>
          <w:sz w:val="24"/>
        </w:rPr>
      </w:pPr>
      <w:r>
        <w:rPr>
          <w:color w:val="000000"/>
          <w:sz w:val="24"/>
        </w:rPr>
        <w:t>据区域地质资料分析，推测场地区地下水位埋深大于10m，为干燥场地。根据设计资料项目的最大开挖深度为5.5m，不涉及地下涌水。另外在挖孔打桩阶段，若遇雨季施工，会产生地表径流和孔内涌水，设计孔内涌水采用水泵抽排至沉淀池内沉淀处理后回用于施工抑尘。产生的地表径流采取在项目场地区内修截流沟排至沉砂池内沉淀处理后外排至市政雨水管网。</w:t>
      </w:r>
    </w:p>
    <w:p w14:paraId="7CC97EE1">
      <w:pPr>
        <w:pStyle w:val="221"/>
        <w:spacing w:after="0" w:line="360" w:lineRule="auto"/>
        <w:ind w:left="0" w:firstLine="480"/>
        <w:rPr>
          <w:color w:val="000000"/>
          <w:sz w:val="24"/>
        </w:rPr>
      </w:pPr>
      <w:bookmarkStart w:id="421" w:name="_Toc241904974"/>
      <w:bookmarkEnd w:id="421"/>
      <w:bookmarkStart w:id="422" w:name="_Toc226608402"/>
      <w:bookmarkEnd w:id="422"/>
      <w:r>
        <w:rPr>
          <w:color w:val="000000"/>
          <w:sz w:val="24"/>
        </w:rPr>
        <w:t>（3）施工期雨水</w:t>
      </w:r>
    </w:p>
    <w:p w14:paraId="7F58C3F3">
      <w:pPr>
        <w:spacing w:line="360" w:lineRule="auto"/>
        <w:ind w:firstLine="557"/>
        <w:rPr>
          <w:color w:val="000000"/>
          <w:sz w:val="24"/>
        </w:rPr>
      </w:pPr>
      <w:r>
        <w:rPr>
          <w:color w:val="000000"/>
          <w:sz w:val="24"/>
        </w:rPr>
        <w:t>暴雨后的地表径流冲刷浮土、建筑砂石、垃圾等形成的泥浆水，会携带大量泥沙、土壤养分、水泥及其它地表固体污染物。当部分进入水体后可能造成水体污染，致使水体水质下降。虽然当地无明显侵蚀区域、滑坡现象，但若雨季施工，降雨径流冲刷地表，易产生水土流失。故施工单位必须加强施工管理，合理安排施工时间，避免雨季施工。</w:t>
      </w:r>
    </w:p>
    <w:p w14:paraId="24C10E11">
      <w:pPr>
        <w:spacing w:line="360" w:lineRule="auto"/>
        <w:ind w:firstLine="557"/>
        <w:rPr>
          <w:color w:val="000000"/>
          <w:sz w:val="24"/>
        </w:rPr>
      </w:pPr>
      <w:r>
        <w:rPr>
          <w:color w:val="000000"/>
          <w:sz w:val="24"/>
        </w:rPr>
        <w:t>综上所述，项目施工期的生活污水、施工废水和暴雨后的地表径流污染，若处理不当对周围地表水体将造成不利影响。</w:t>
      </w:r>
    </w:p>
    <w:p w14:paraId="57AF8A82">
      <w:pPr>
        <w:spacing w:line="360" w:lineRule="auto"/>
        <w:ind w:firstLine="557"/>
        <w:rPr>
          <w:color w:val="000000"/>
          <w:sz w:val="24"/>
        </w:rPr>
      </w:pPr>
      <w:r>
        <w:rPr>
          <w:color w:val="000000"/>
          <w:sz w:val="24"/>
        </w:rPr>
        <w:t>本项目施工期产生的废水，统一收集引入沉砂池，经过沉淀处理后回用项目施工抑尘。项目区内雨季产生的地表径流通过雨水沟汇集于临时沉砂池后排入周边雨水沟渠，项目区外的雨水不进入项目区。</w:t>
      </w:r>
    </w:p>
    <w:p w14:paraId="63B67178">
      <w:pPr>
        <w:spacing w:line="360" w:lineRule="auto"/>
        <w:ind w:firstLine="557"/>
        <w:rPr>
          <w:color w:val="000000"/>
          <w:sz w:val="24"/>
        </w:rPr>
      </w:pPr>
      <w:r>
        <w:rPr>
          <w:color w:val="000000"/>
          <w:sz w:val="24"/>
        </w:rPr>
        <w:t>通过加强施工管理，合理安排施工时间，对施工期产生的废水进行有效处理，施工期废水预处理后回用于施工过程，施工废水对周围水环境的影响不大。</w:t>
      </w:r>
    </w:p>
    <w:p w14:paraId="6000C935">
      <w:pPr>
        <w:pStyle w:val="183"/>
        <w:ind w:firstLine="472"/>
        <w:rPr>
          <w:rFonts w:eastAsia="仿宋_GB2312"/>
          <w:color w:val="000000"/>
          <w:sz w:val="24"/>
          <w:szCs w:val="24"/>
        </w:rPr>
      </w:pPr>
      <w:bookmarkStart w:id="423" w:name="_Toc495500098"/>
      <w:r>
        <w:rPr>
          <w:rFonts w:eastAsia="仿宋_GB2312"/>
          <w:color w:val="000000"/>
          <w:sz w:val="24"/>
          <w:szCs w:val="24"/>
        </w:rPr>
        <w:t>6.1.2大气环境影响评价</w:t>
      </w:r>
      <w:bookmarkEnd w:id="423"/>
    </w:p>
    <w:p w14:paraId="2E896F99">
      <w:pPr>
        <w:pStyle w:val="221"/>
        <w:spacing w:after="0" w:line="360" w:lineRule="auto"/>
        <w:ind w:left="0" w:firstLine="480"/>
        <w:rPr>
          <w:rFonts w:ascii="宋体" w:hAnsi="宋体"/>
          <w:color w:val="000000"/>
          <w:sz w:val="24"/>
        </w:rPr>
      </w:pPr>
      <w:bookmarkStart w:id="424" w:name="_Toc241904976"/>
      <w:bookmarkEnd w:id="424"/>
      <w:bookmarkStart w:id="425" w:name="_Toc226608404"/>
      <w:bookmarkEnd w:id="425"/>
      <w:r>
        <w:rPr>
          <w:rFonts w:hint="eastAsia" w:ascii="宋体" w:hAnsi="宋体"/>
          <w:color w:val="000000"/>
          <w:sz w:val="24"/>
        </w:rPr>
        <w:t>（1）</w:t>
      </w:r>
      <w:r>
        <w:rPr>
          <w:rFonts w:ascii="宋体" w:hAnsi="宋体"/>
          <w:color w:val="000000"/>
          <w:sz w:val="24"/>
        </w:rPr>
        <w:t xml:space="preserve"> 污染源分析</w:t>
      </w:r>
    </w:p>
    <w:p w14:paraId="409DDE6B">
      <w:pPr>
        <w:spacing w:line="360" w:lineRule="auto"/>
        <w:ind w:firstLine="480"/>
        <w:rPr>
          <w:rFonts w:hint="eastAsia" w:ascii="宋体" w:hAnsi="宋体"/>
          <w:color w:val="000000"/>
          <w:sz w:val="24"/>
        </w:rPr>
      </w:pPr>
      <w:r>
        <w:rPr>
          <w:rFonts w:hint="eastAsia" w:ascii="宋体" w:hAnsi="宋体"/>
          <w:color w:val="000000"/>
          <w:sz w:val="24"/>
        </w:rPr>
        <w:t>施工期空气环境影响主要来自填土、开挖、施工建设、运输等活动产生扬（粉）尘及施工机械和运输工具产生的废气影响。施工扬（粉）尘是施工期的主要不利影响。</w:t>
      </w:r>
    </w:p>
    <w:p w14:paraId="1CC1AFFC">
      <w:pPr>
        <w:pStyle w:val="221"/>
        <w:spacing w:after="0" w:line="360" w:lineRule="auto"/>
        <w:ind w:left="0" w:firstLine="480"/>
        <w:rPr>
          <w:rFonts w:ascii="宋体" w:hAnsi="宋体"/>
          <w:color w:val="000000"/>
          <w:sz w:val="24"/>
        </w:rPr>
      </w:pPr>
      <w:bookmarkStart w:id="426" w:name="_Toc241904978"/>
      <w:bookmarkStart w:id="427" w:name="_Toc226608406"/>
      <w:r>
        <w:rPr>
          <w:rFonts w:hint="eastAsia" w:ascii="宋体" w:hAnsi="宋体"/>
          <w:color w:val="000000"/>
          <w:sz w:val="24"/>
        </w:rPr>
        <w:t>（2）</w:t>
      </w:r>
      <w:r>
        <w:rPr>
          <w:rFonts w:ascii="宋体" w:hAnsi="宋体"/>
          <w:color w:val="000000"/>
          <w:sz w:val="24"/>
        </w:rPr>
        <w:t xml:space="preserve"> 扬尘影响</w:t>
      </w:r>
      <w:bookmarkEnd w:id="426"/>
      <w:bookmarkEnd w:id="427"/>
    </w:p>
    <w:p w14:paraId="0FFCDBCF">
      <w:pPr>
        <w:spacing w:line="360" w:lineRule="auto"/>
        <w:ind w:firstLine="480"/>
        <w:rPr>
          <w:rFonts w:hint="eastAsia" w:ascii="宋体" w:hAnsi="宋体"/>
          <w:color w:val="000000"/>
          <w:sz w:val="24"/>
        </w:rPr>
      </w:pPr>
      <w:r>
        <w:rPr>
          <w:rFonts w:hint="eastAsia" w:ascii="宋体" w:hAnsi="宋体"/>
          <w:color w:val="000000"/>
          <w:sz w:val="24"/>
        </w:rPr>
        <w:t>项目施工期对空气环境影响的主要污染物为扬尘。在项目的施工建设过程中，地基开挖造成地表裸露，土地回填平整，建筑材料的运输、堆放，车辆运输，建筑施工等将产生不同程度的地面扬尘，扬尘呈无组织排放，散落在施工场地和周围地表，并随降水的冲刷而转移至水体。在旱季风速较大的情况下，以上建设过程会导致施工现场尘土飞扬，使空气中颗粒物浓度升高，影响项目所在区域周围的环境空气质量。</w:t>
      </w:r>
    </w:p>
    <w:p w14:paraId="6ABA319F">
      <w:pPr>
        <w:spacing w:line="360" w:lineRule="auto"/>
        <w:ind w:firstLine="480"/>
        <w:rPr>
          <w:rFonts w:ascii="宋体" w:hAnsi="宋体"/>
          <w:color w:val="000000"/>
          <w:sz w:val="24"/>
        </w:rPr>
      </w:pPr>
      <w:r>
        <w:rPr>
          <w:rFonts w:ascii="宋体" w:hAnsi="宋体"/>
          <w:color w:val="000000"/>
          <w:sz w:val="24"/>
        </w:rPr>
        <w:t>对整个施工期而言，施工产生的扬尘主要集中在土建施工阶段。按起尘的原因可分为风力起尘和动力起尘，其中风力起尘主要是由于露天堆放的建材及裸露的施工区表层浮尘因天气干燥及大风，产生风尘扬尘；而动力起尘，主要是在建材的装卸过程中，由于外力而产生的尘粒再悬浮而造成，其中施工及装卸车辆造成的扬尘最为严重。据有关文献资料介绍，车辆行驶产生的扬尘占总扬尘的60%上。据了解，该项目建设过程中的运输车辆以使用</w:t>
      </w:r>
      <w:r>
        <w:rPr>
          <w:rFonts w:hint="eastAsia" w:ascii="宋体" w:hAnsi="宋体"/>
          <w:color w:val="000000"/>
          <w:sz w:val="24"/>
        </w:rPr>
        <w:t>5t</w:t>
      </w:r>
      <w:r>
        <w:rPr>
          <w:rFonts w:ascii="宋体" w:hAnsi="宋体"/>
          <w:color w:val="000000"/>
          <w:sz w:val="24"/>
        </w:rPr>
        <w:t>的卡车较多，车辆行驶产生的扬尘，在完全干燥情况下的经验计算公式为：</w:t>
      </w:r>
    </w:p>
    <w:p w14:paraId="5D4E2117">
      <w:pPr>
        <w:tabs>
          <w:tab w:val="left" w:pos="280"/>
        </w:tabs>
        <w:spacing w:line="360" w:lineRule="auto"/>
        <w:ind w:firstLine="420"/>
        <w:rPr>
          <w:rFonts w:ascii="宋体" w:hAnsi="宋体"/>
          <w:color w:val="000000"/>
          <w:sz w:val="24"/>
        </w:rPr>
      </w:pPr>
      <w:r>
        <w:rPr>
          <w:rFonts w:ascii="宋体" w:hAnsi="宋体"/>
          <w:color w:val="000000"/>
          <w:sz w:val="24"/>
        </w:rPr>
        <w:t xml:space="preserve">   </w:t>
      </w:r>
      <w:r>
        <w:rPr>
          <w:rFonts w:hint="eastAsia" w:ascii="宋体" w:hAnsi="宋体"/>
          <w:color w:val="000000"/>
          <w:sz w:val="24"/>
        </w:rPr>
        <w:t xml:space="preserve">      </w:t>
      </w:r>
      <w:r>
        <w:rPr>
          <w:rFonts w:ascii="宋体" w:hAnsi="宋体"/>
          <w:color w:val="000000"/>
          <w:position w:val="-8"/>
          <w:sz w:val="24"/>
        </w:rPr>
        <w:drawing>
          <wp:inline distT="0" distB="0" distL="0" distR="0">
            <wp:extent cx="2456815" cy="313690"/>
            <wp:effectExtent l="0" t="0" r="0" b="0"/>
            <wp:docPr id="158" name="_x0000_i1372"/>
            <wp:cNvGraphicFramePr/>
            <a:graphic xmlns:a="http://schemas.openxmlformats.org/drawingml/2006/main">
              <a:graphicData uri="http://schemas.openxmlformats.org/drawingml/2006/picture">
                <pic:pic xmlns:pic="http://schemas.openxmlformats.org/drawingml/2006/picture">
                  <pic:nvPicPr>
                    <pic:cNvPr id="158" name="_x0000_i1372"/>
                    <pic:cNvPicPr/>
                  </pic:nvPicPr>
                  <pic:blipFill>
                    <a:blip r:embed="rId29"/>
                    <a:stretch>
                      <a:fillRect/>
                    </a:stretch>
                  </pic:blipFill>
                  <pic:spPr>
                    <a:xfrm>
                      <a:off x="0" y="0"/>
                      <a:ext cx="2457285" cy="314071"/>
                    </a:xfrm>
                    <a:prstGeom prst="rect">
                      <a:avLst/>
                    </a:prstGeom>
                    <a:noFill/>
                    <a:ln>
                      <a:noFill/>
                      <a:bevel/>
                    </a:ln>
                  </pic:spPr>
                </pic:pic>
              </a:graphicData>
            </a:graphic>
          </wp:inline>
        </w:drawing>
      </w:r>
    </w:p>
    <w:p w14:paraId="4DA63047">
      <w:pPr>
        <w:tabs>
          <w:tab w:val="left" w:pos="280"/>
        </w:tabs>
        <w:spacing w:line="360" w:lineRule="auto"/>
        <w:ind w:firstLine="960"/>
        <w:rPr>
          <w:rFonts w:ascii="宋体" w:hAnsi="宋体"/>
          <w:color w:val="000000"/>
          <w:sz w:val="24"/>
        </w:rPr>
      </w:pPr>
      <w:r>
        <w:rPr>
          <w:rFonts w:ascii="宋体" w:hAnsi="宋体"/>
          <w:color w:val="000000"/>
          <w:sz w:val="24"/>
        </w:rPr>
        <w:t>式中：Q——汽车行驶的扬尘，</w:t>
      </w:r>
      <w:r>
        <w:rPr>
          <w:rFonts w:hint="eastAsia" w:ascii="宋体" w:hAnsi="宋体"/>
          <w:color w:val="000000"/>
          <w:sz w:val="24"/>
        </w:rPr>
        <w:t>k</w:t>
      </w:r>
      <w:r>
        <w:rPr>
          <w:rFonts w:ascii="宋体" w:hAnsi="宋体"/>
          <w:color w:val="000000"/>
          <w:sz w:val="24"/>
        </w:rPr>
        <w:t>g/km·辆；</w:t>
      </w:r>
    </w:p>
    <w:p w14:paraId="3F9648A9">
      <w:pPr>
        <w:tabs>
          <w:tab w:val="left" w:pos="280"/>
        </w:tabs>
        <w:spacing w:line="360" w:lineRule="auto"/>
        <w:ind w:firstLine="1668"/>
        <w:rPr>
          <w:rFonts w:ascii="宋体" w:hAnsi="宋体"/>
          <w:color w:val="000000"/>
          <w:sz w:val="24"/>
        </w:rPr>
      </w:pPr>
      <w:r>
        <w:rPr>
          <w:rFonts w:ascii="宋体" w:hAnsi="宋体"/>
          <w:color w:val="000000"/>
          <w:sz w:val="24"/>
        </w:rPr>
        <w:t>V——汽车速度，</w:t>
      </w:r>
      <w:r>
        <w:rPr>
          <w:rFonts w:hint="eastAsia" w:ascii="宋体" w:hAnsi="宋体"/>
          <w:color w:val="000000"/>
          <w:sz w:val="24"/>
        </w:rPr>
        <w:t>k</w:t>
      </w:r>
      <w:r>
        <w:rPr>
          <w:rFonts w:ascii="宋体" w:hAnsi="宋体"/>
          <w:color w:val="000000"/>
          <w:sz w:val="24"/>
        </w:rPr>
        <w:t>m/hr；</w:t>
      </w:r>
    </w:p>
    <w:p w14:paraId="01C5977E">
      <w:pPr>
        <w:tabs>
          <w:tab w:val="left" w:pos="280"/>
        </w:tabs>
        <w:spacing w:line="360" w:lineRule="auto"/>
        <w:ind w:firstLine="1668"/>
        <w:rPr>
          <w:rFonts w:ascii="宋体" w:hAnsi="宋体"/>
          <w:color w:val="000000"/>
          <w:sz w:val="24"/>
        </w:rPr>
      </w:pPr>
      <w:r>
        <w:rPr>
          <w:rFonts w:ascii="宋体" w:hAnsi="宋体"/>
          <w:color w:val="000000"/>
          <w:sz w:val="24"/>
        </w:rPr>
        <w:t>W——汽车载重量，吨；</w:t>
      </w:r>
    </w:p>
    <w:p w14:paraId="4981BEE9">
      <w:pPr>
        <w:tabs>
          <w:tab w:val="left" w:pos="280"/>
        </w:tabs>
        <w:spacing w:line="360" w:lineRule="auto"/>
        <w:ind w:firstLine="1668"/>
        <w:rPr>
          <w:rFonts w:ascii="宋体" w:hAnsi="宋体"/>
          <w:color w:val="000000"/>
          <w:sz w:val="24"/>
        </w:rPr>
      </w:pPr>
      <w:r>
        <w:rPr>
          <w:rFonts w:ascii="宋体" w:hAnsi="宋体"/>
          <w:color w:val="000000"/>
          <w:sz w:val="24"/>
        </w:rPr>
        <w:t>P——道路表面粉尘量，kg/m</w:t>
      </w:r>
      <w:r>
        <w:rPr>
          <w:rFonts w:ascii="宋体" w:hAnsi="宋体"/>
          <w:color w:val="000000"/>
          <w:sz w:val="24"/>
          <w:vertAlign w:val="superscript"/>
        </w:rPr>
        <w:t>2</w:t>
      </w:r>
      <w:r>
        <w:rPr>
          <w:rFonts w:ascii="宋体" w:hAnsi="宋体"/>
          <w:color w:val="000000"/>
          <w:sz w:val="24"/>
        </w:rPr>
        <w:t>。</w:t>
      </w:r>
    </w:p>
    <w:p w14:paraId="07C6837D">
      <w:pPr>
        <w:spacing w:line="360" w:lineRule="auto"/>
        <w:ind w:firstLine="480"/>
        <w:rPr>
          <w:rFonts w:ascii="宋体" w:hAnsi="宋体"/>
          <w:color w:val="000000"/>
          <w:sz w:val="24"/>
        </w:rPr>
      </w:pPr>
      <w:r>
        <w:rPr>
          <w:rFonts w:ascii="宋体" w:hAnsi="宋体"/>
          <w:color w:val="000000"/>
          <w:sz w:val="24"/>
        </w:rPr>
        <w:t>表</w:t>
      </w:r>
      <w:r>
        <w:rPr>
          <w:rFonts w:hint="eastAsia" w:ascii="宋体" w:hAnsi="宋体"/>
          <w:color w:val="000000"/>
          <w:sz w:val="24"/>
        </w:rPr>
        <w:t>6.1-1</w:t>
      </w:r>
      <w:r>
        <w:rPr>
          <w:rFonts w:ascii="宋体" w:hAnsi="宋体"/>
          <w:color w:val="000000"/>
          <w:sz w:val="24"/>
        </w:rPr>
        <w:t>为一辆载重5吨的卡车，通过一段长度为500</w:t>
      </w:r>
      <w:r>
        <w:rPr>
          <w:rFonts w:hint="eastAsia" w:ascii="宋体" w:hAnsi="宋体"/>
          <w:color w:val="000000"/>
          <w:sz w:val="24"/>
        </w:rPr>
        <w:t>m</w:t>
      </w:r>
      <w:r>
        <w:rPr>
          <w:rFonts w:ascii="宋体" w:hAnsi="宋体"/>
          <w:color w:val="000000"/>
          <w:sz w:val="24"/>
        </w:rPr>
        <w:t>的路面时，不同路面清洁程度，不同行驶速度情况下产生的扬尘量。由此可见，在同样路面清洁情况下，车速越快，扬尘量越大；而在同样车速情况下，路面清洁度越差，则扬尘量越大。</w:t>
      </w:r>
    </w:p>
    <w:p w14:paraId="629B7D8D">
      <w:pPr>
        <w:widowControl/>
        <w:spacing w:line="360" w:lineRule="auto"/>
        <w:jc w:val="center"/>
        <w:rPr>
          <w:rFonts w:ascii="宋体" w:hAnsi="宋体"/>
          <w:b/>
          <w:color w:val="000000"/>
          <w:sz w:val="24"/>
        </w:rPr>
      </w:pPr>
      <w:r>
        <w:rPr>
          <w:rFonts w:hint="eastAsia" w:ascii="宋体" w:hAnsi="宋体"/>
          <w:b/>
          <w:color w:val="000000"/>
          <w:sz w:val="24"/>
        </w:rPr>
        <w:t>表6.1-1 不同车速和地面清洁程度时的汽车扬尘</w:t>
      </w:r>
    </w:p>
    <w:tbl>
      <w:tblPr>
        <w:tblStyle w:val="27"/>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28" w:type="dxa"/>
          <w:bottom w:w="0" w:type="dxa"/>
          <w:right w:w="28" w:type="dxa"/>
        </w:tblCellMar>
      </w:tblPr>
      <w:tblGrid>
        <w:gridCol w:w="2475"/>
        <w:gridCol w:w="983"/>
        <w:gridCol w:w="982"/>
        <w:gridCol w:w="982"/>
        <w:gridCol w:w="982"/>
        <w:gridCol w:w="982"/>
        <w:gridCol w:w="982"/>
      </w:tblGrid>
      <w:tr w14:paraId="39E3673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cantSplit/>
          <w:trHeight w:val="356" w:hRule="atLeast"/>
          <w:jc w:val="center"/>
        </w:trPr>
        <w:tc>
          <w:tcPr>
            <w:tcW w:w="2475" w:type="dxa"/>
            <w:vMerge w:val="restart"/>
            <w:noWrap w:val="0"/>
            <w:tcMar>
              <w:left w:w="28" w:type="dxa"/>
              <w:right w:w="28" w:type="dxa"/>
            </w:tcMar>
            <w:vAlign w:val="center"/>
          </w:tcPr>
          <w:p w14:paraId="715E64A9">
            <w:pPr>
              <w:widowControl/>
              <w:spacing w:line="360" w:lineRule="auto"/>
              <w:ind w:firstLine="1757"/>
              <w:jc w:val="left"/>
              <w:rPr>
                <w:rFonts w:ascii="宋体" w:hAnsi="宋体"/>
                <w:color w:val="000000"/>
              </w:rPr>
            </w:pPr>
            <w:r>
              <w:rPr>
                <w:rFonts w:ascii="宋体" w:hAnsi="宋体"/>
                <w:color w:val="000000"/>
              </w:rPr>
              <w:t>P</w:t>
            </w:r>
          </w:p>
          <w:p w14:paraId="78E71B04">
            <w:pPr>
              <w:widowControl/>
              <w:spacing w:line="360" w:lineRule="auto"/>
              <w:jc w:val="left"/>
              <w:rPr>
                <w:rFonts w:ascii="宋体" w:hAnsi="宋体"/>
                <w:color w:val="000000"/>
              </w:rPr>
            </w:pPr>
            <w:r>
              <w:rPr>
                <w:rFonts w:ascii="宋体" w:hAnsi="宋体"/>
                <w:color w:val="000000"/>
              </w:rPr>
              <w:t>汽车速度，km/h</w:t>
            </w:r>
          </w:p>
        </w:tc>
        <w:tc>
          <w:tcPr>
            <w:tcW w:w="5893" w:type="dxa"/>
            <w:gridSpan w:val="6"/>
            <w:noWrap w:val="0"/>
            <w:tcMar>
              <w:left w:w="28" w:type="dxa"/>
              <w:right w:w="28" w:type="dxa"/>
            </w:tcMar>
            <w:vAlign w:val="center"/>
          </w:tcPr>
          <w:p w14:paraId="7CA57785">
            <w:pPr>
              <w:widowControl/>
              <w:spacing w:line="360" w:lineRule="auto"/>
              <w:jc w:val="center"/>
              <w:rPr>
                <w:rFonts w:ascii="宋体" w:hAnsi="宋体"/>
                <w:color w:val="000000"/>
              </w:rPr>
            </w:pPr>
            <w:r>
              <w:rPr>
                <w:rFonts w:ascii="宋体" w:hAnsi="宋体"/>
                <w:color w:val="000000"/>
              </w:rPr>
              <w:t>道路表面粉尘量，kg/m</w:t>
            </w:r>
            <w:r>
              <w:rPr>
                <w:rFonts w:ascii="宋体" w:hAnsi="宋体"/>
                <w:color w:val="000000"/>
                <w:vertAlign w:val="superscript"/>
              </w:rPr>
              <w:t>2</w:t>
            </w:r>
          </w:p>
        </w:tc>
      </w:tr>
      <w:tr w14:paraId="6C953D4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cantSplit/>
          <w:trHeight w:val="222" w:hRule="atLeast"/>
          <w:jc w:val="center"/>
        </w:trPr>
        <w:tc>
          <w:tcPr>
            <w:tcW w:w="2475" w:type="dxa"/>
            <w:vMerge w:val="continue"/>
            <w:noWrap w:val="0"/>
            <w:tcMar>
              <w:left w:w="28" w:type="dxa"/>
              <w:right w:w="28" w:type="dxa"/>
            </w:tcMar>
            <w:vAlign w:val="center"/>
          </w:tcPr>
          <w:p w14:paraId="5C6B72B2">
            <w:pPr>
              <w:widowControl/>
              <w:spacing w:line="360" w:lineRule="auto"/>
              <w:jc w:val="left"/>
              <w:rPr>
                <w:rFonts w:ascii="宋体" w:hAnsi="宋体"/>
                <w:color w:val="000000"/>
              </w:rPr>
            </w:pPr>
          </w:p>
        </w:tc>
        <w:tc>
          <w:tcPr>
            <w:tcW w:w="983" w:type="dxa"/>
            <w:noWrap w:val="0"/>
            <w:tcMar>
              <w:left w:w="28" w:type="dxa"/>
              <w:right w:w="28" w:type="dxa"/>
            </w:tcMar>
            <w:vAlign w:val="center"/>
          </w:tcPr>
          <w:p w14:paraId="3D07876B">
            <w:pPr>
              <w:widowControl/>
              <w:spacing w:line="360" w:lineRule="auto"/>
              <w:jc w:val="center"/>
              <w:rPr>
                <w:rFonts w:ascii="宋体" w:hAnsi="宋体"/>
                <w:color w:val="000000"/>
              </w:rPr>
            </w:pPr>
            <w:r>
              <w:rPr>
                <w:rFonts w:ascii="宋体" w:hAnsi="宋体"/>
                <w:color w:val="000000"/>
              </w:rPr>
              <w:t>0.1</w:t>
            </w:r>
          </w:p>
        </w:tc>
        <w:tc>
          <w:tcPr>
            <w:tcW w:w="982" w:type="dxa"/>
            <w:noWrap w:val="0"/>
            <w:tcMar>
              <w:left w:w="28" w:type="dxa"/>
              <w:right w:w="28" w:type="dxa"/>
            </w:tcMar>
            <w:vAlign w:val="center"/>
          </w:tcPr>
          <w:p w14:paraId="46100607">
            <w:pPr>
              <w:widowControl/>
              <w:spacing w:line="360" w:lineRule="auto"/>
              <w:jc w:val="center"/>
              <w:rPr>
                <w:rFonts w:ascii="宋体" w:hAnsi="宋体"/>
                <w:color w:val="000000"/>
              </w:rPr>
            </w:pPr>
            <w:r>
              <w:rPr>
                <w:rFonts w:ascii="宋体" w:hAnsi="宋体"/>
                <w:color w:val="000000"/>
              </w:rPr>
              <w:t>0.2</w:t>
            </w:r>
          </w:p>
        </w:tc>
        <w:tc>
          <w:tcPr>
            <w:tcW w:w="982" w:type="dxa"/>
            <w:noWrap w:val="0"/>
            <w:tcMar>
              <w:left w:w="28" w:type="dxa"/>
              <w:right w:w="28" w:type="dxa"/>
            </w:tcMar>
            <w:vAlign w:val="center"/>
          </w:tcPr>
          <w:p w14:paraId="5A0D8514">
            <w:pPr>
              <w:widowControl/>
              <w:spacing w:line="360" w:lineRule="auto"/>
              <w:jc w:val="center"/>
              <w:rPr>
                <w:rFonts w:ascii="宋体" w:hAnsi="宋体"/>
                <w:color w:val="000000"/>
              </w:rPr>
            </w:pPr>
            <w:r>
              <w:rPr>
                <w:rFonts w:ascii="宋体" w:hAnsi="宋体"/>
                <w:color w:val="000000"/>
              </w:rPr>
              <w:t>0.3</w:t>
            </w:r>
          </w:p>
        </w:tc>
        <w:tc>
          <w:tcPr>
            <w:tcW w:w="982" w:type="dxa"/>
            <w:noWrap w:val="0"/>
            <w:tcMar>
              <w:left w:w="28" w:type="dxa"/>
              <w:right w:w="28" w:type="dxa"/>
            </w:tcMar>
            <w:vAlign w:val="center"/>
          </w:tcPr>
          <w:p w14:paraId="18EB2573">
            <w:pPr>
              <w:widowControl/>
              <w:spacing w:line="360" w:lineRule="auto"/>
              <w:jc w:val="center"/>
              <w:rPr>
                <w:rFonts w:ascii="宋体" w:hAnsi="宋体"/>
                <w:color w:val="000000"/>
              </w:rPr>
            </w:pPr>
            <w:r>
              <w:rPr>
                <w:rFonts w:ascii="宋体" w:hAnsi="宋体"/>
                <w:color w:val="000000"/>
              </w:rPr>
              <w:t>0.4</w:t>
            </w:r>
          </w:p>
        </w:tc>
        <w:tc>
          <w:tcPr>
            <w:tcW w:w="982" w:type="dxa"/>
            <w:noWrap w:val="0"/>
            <w:tcMar>
              <w:left w:w="28" w:type="dxa"/>
              <w:right w:w="28" w:type="dxa"/>
            </w:tcMar>
            <w:vAlign w:val="center"/>
          </w:tcPr>
          <w:p w14:paraId="368F828E">
            <w:pPr>
              <w:widowControl/>
              <w:spacing w:line="360" w:lineRule="auto"/>
              <w:jc w:val="center"/>
              <w:rPr>
                <w:rFonts w:ascii="宋体" w:hAnsi="宋体"/>
                <w:color w:val="000000"/>
              </w:rPr>
            </w:pPr>
            <w:r>
              <w:rPr>
                <w:rFonts w:ascii="宋体" w:hAnsi="宋体"/>
                <w:color w:val="000000"/>
              </w:rPr>
              <w:t>0.5</w:t>
            </w:r>
          </w:p>
        </w:tc>
        <w:tc>
          <w:tcPr>
            <w:tcW w:w="982" w:type="dxa"/>
            <w:noWrap w:val="0"/>
            <w:tcMar>
              <w:left w:w="28" w:type="dxa"/>
              <w:right w:w="28" w:type="dxa"/>
            </w:tcMar>
            <w:vAlign w:val="center"/>
          </w:tcPr>
          <w:p w14:paraId="08BCC2AC">
            <w:pPr>
              <w:widowControl/>
              <w:spacing w:line="360" w:lineRule="auto"/>
              <w:jc w:val="center"/>
              <w:rPr>
                <w:rFonts w:ascii="宋体" w:hAnsi="宋体"/>
                <w:color w:val="000000"/>
              </w:rPr>
            </w:pPr>
            <w:r>
              <w:rPr>
                <w:rFonts w:ascii="宋体" w:hAnsi="宋体"/>
                <w:color w:val="000000"/>
              </w:rPr>
              <w:t>1.0</w:t>
            </w:r>
          </w:p>
        </w:tc>
      </w:tr>
      <w:tr w14:paraId="0C480D5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2475" w:type="dxa"/>
            <w:noWrap w:val="0"/>
            <w:tcMar>
              <w:left w:w="28" w:type="dxa"/>
              <w:right w:w="28" w:type="dxa"/>
            </w:tcMar>
            <w:vAlign w:val="center"/>
          </w:tcPr>
          <w:p w14:paraId="26842666">
            <w:pPr>
              <w:widowControl/>
              <w:spacing w:line="360" w:lineRule="auto"/>
              <w:jc w:val="center"/>
              <w:rPr>
                <w:rFonts w:ascii="宋体" w:hAnsi="宋体"/>
                <w:color w:val="000000"/>
              </w:rPr>
            </w:pPr>
            <w:r>
              <w:rPr>
                <w:rFonts w:ascii="宋体" w:hAnsi="宋体"/>
                <w:color w:val="000000"/>
              </w:rPr>
              <w:t>5</w:t>
            </w:r>
          </w:p>
        </w:tc>
        <w:tc>
          <w:tcPr>
            <w:tcW w:w="983" w:type="dxa"/>
            <w:noWrap w:val="0"/>
            <w:tcMar>
              <w:left w:w="28" w:type="dxa"/>
              <w:right w:w="28" w:type="dxa"/>
            </w:tcMar>
            <w:vAlign w:val="center"/>
          </w:tcPr>
          <w:p w14:paraId="04DD451B">
            <w:pPr>
              <w:widowControl/>
              <w:spacing w:line="360" w:lineRule="auto"/>
              <w:jc w:val="center"/>
              <w:rPr>
                <w:rFonts w:ascii="宋体" w:hAnsi="宋体"/>
                <w:color w:val="000000"/>
              </w:rPr>
            </w:pPr>
            <w:r>
              <w:rPr>
                <w:rFonts w:ascii="宋体" w:hAnsi="宋体"/>
                <w:color w:val="000000"/>
              </w:rPr>
              <w:t>0.0283</w:t>
            </w:r>
          </w:p>
        </w:tc>
        <w:tc>
          <w:tcPr>
            <w:tcW w:w="982" w:type="dxa"/>
            <w:noWrap w:val="0"/>
            <w:tcMar>
              <w:left w:w="28" w:type="dxa"/>
              <w:right w:w="28" w:type="dxa"/>
            </w:tcMar>
            <w:vAlign w:val="center"/>
          </w:tcPr>
          <w:p w14:paraId="3E1C9426">
            <w:pPr>
              <w:widowControl/>
              <w:spacing w:line="360" w:lineRule="auto"/>
              <w:jc w:val="center"/>
              <w:rPr>
                <w:rFonts w:ascii="宋体" w:hAnsi="宋体"/>
                <w:color w:val="000000"/>
              </w:rPr>
            </w:pPr>
            <w:r>
              <w:rPr>
                <w:rFonts w:ascii="宋体" w:hAnsi="宋体"/>
                <w:color w:val="000000"/>
              </w:rPr>
              <w:t>0.0476</w:t>
            </w:r>
          </w:p>
        </w:tc>
        <w:tc>
          <w:tcPr>
            <w:tcW w:w="982" w:type="dxa"/>
            <w:noWrap w:val="0"/>
            <w:tcMar>
              <w:left w:w="28" w:type="dxa"/>
              <w:right w:w="28" w:type="dxa"/>
            </w:tcMar>
            <w:vAlign w:val="center"/>
          </w:tcPr>
          <w:p w14:paraId="7BEB148C">
            <w:pPr>
              <w:widowControl/>
              <w:spacing w:line="360" w:lineRule="auto"/>
              <w:jc w:val="center"/>
              <w:rPr>
                <w:rFonts w:ascii="宋体" w:hAnsi="宋体"/>
                <w:color w:val="000000"/>
              </w:rPr>
            </w:pPr>
            <w:r>
              <w:rPr>
                <w:rFonts w:ascii="宋体" w:hAnsi="宋体"/>
                <w:color w:val="000000"/>
              </w:rPr>
              <w:t>0.0646</w:t>
            </w:r>
          </w:p>
        </w:tc>
        <w:tc>
          <w:tcPr>
            <w:tcW w:w="982" w:type="dxa"/>
            <w:noWrap w:val="0"/>
            <w:tcMar>
              <w:left w:w="28" w:type="dxa"/>
              <w:right w:w="28" w:type="dxa"/>
            </w:tcMar>
            <w:vAlign w:val="center"/>
          </w:tcPr>
          <w:p w14:paraId="718B44AA">
            <w:pPr>
              <w:widowControl/>
              <w:spacing w:line="360" w:lineRule="auto"/>
              <w:jc w:val="center"/>
              <w:rPr>
                <w:rFonts w:ascii="宋体" w:hAnsi="宋体"/>
                <w:color w:val="000000"/>
              </w:rPr>
            </w:pPr>
            <w:r>
              <w:rPr>
                <w:rFonts w:ascii="宋体" w:hAnsi="宋体"/>
                <w:color w:val="000000"/>
              </w:rPr>
              <w:t>0.0801</w:t>
            </w:r>
          </w:p>
        </w:tc>
        <w:tc>
          <w:tcPr>
            <w:tcW w:w="982" w:type="dxa"/>
            <w:noWrap w:val="0"/>
            <w:tcMar>
              <w:left w:w="28" w:type="dxa"/>
              <w:right w:w="28" w:type="dxa"/>
            </w:tcMar>
            <w:vAlign w:val="center"/>
          </w:tcPr>
          <w:p w14:paraId="62BE34CE">
            <w:pPr>
              <w:widowControl/>
              <w:spacing w:line="360" w:lineRule="auto"/>
              <w:jc w:val="center"/>
              <w:rPr>
                <w:rFonts w:ascii="宋体" w:hAnsi="宋体"/>
                <w:color w:val="000000"/>
              </w:rPr>
            </w:pPr>
            <w:r>
              <w:rPr>
                <w:rFonts w:ascii="宋体" w:hAnsi="宋体"/>
                <w:color w:val="000000"/>
              </w:rPr>
              <w:t>0.0947</w:t>
            </w:r>
          </w:p>
        </w:tc>
        <w:tc>
          <w:tcPr>
            <w:tcW w:w="982" w:type="dxa"/>
            <w:noWrap w:val="0"/>
            <w:tcMar>
              <w:left w:w="28" w:type="dxa"/>
              <w:right w:w="28" w:type="dxa"/>
            </w:tcMar>
            <w:vAlign w:val="center"/>
          </w:tcPr>
          <w:p w14:paraId="2189A9FE">
            <w:pPr>
              <w:widowControl/>
              <w:spacing w:line="360" w:lineRule="auto"/>
              <w:jc w:val="center"/>
              <w:rPr>
                <w:rFonts w:ascii="宋体" w:hAnsi="宋体"/>
                <w:color w:val="000000"/>
              </w:rPr>
            </w:pPr>
            <w:r>
              <w:rPr>
                <w:rFonts w:ascii="宋体" w:hAnsi="宋体"/>
                <w:color w:val="000000"/>
              </w:rPr>
              <w:t>0.1593</w:t>
            </w:r>
          </w:p>
        </w:tc>
      </w:tr>
      <w:tr w14:paraId="2451C73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305" w:hRule="atLeast"/>
          <w:jc w:val="center"/>
        </w:trPr>
        <w:tc>
          <w:tcPr>
            <w:tcW w:w="2475" w:type="dxa"/>
            <w:noWrap w:val="0"/>
            <w:tcMar>
              <w:left w:w="28" w:type="dxa"/>
              <w:right w:w="28" w:type="dxa"/>
            </w:tcMar>
            <w:vAlign w:val="center"/>
          </w:tcPr>
          <w:p w14:paraId="5790CDC9">
            <w:pPr>
              <w:widowControl/>
              <w:spacing w:line="360" w:lineRule="auto"/>
              <w:jc w:val="center"/>
              <w:rPr>
                <w:rFonts w:ascii="宋体" w:hAnsi="宋体"/>
                <w:color w:val="000000"/>
              </w:rPr>
            </w:pPr>
            <w:r>
              <w:rPr>
                <w:rFonts w:ascii="宋体" w:hAnsi="宋体"/>
                <w:color w:val="000000"/>
              </w:rPr>
              <w:t>10</w:t>
            </w:r>
          </w:p>
        </w:tc>
        <w:tc>
          <w:tcPr>
            <w:tcW w:w="983" w:type="dxa"/>
            <w:noWrap w:val="0"/>
            <w:tcMar>
              <w:left w:w="28" w:type="dxa"/>
              <w:right w:w="28" w:type="dxa"/>
            </w:tcMar>
            <w:vAlign w:val="center"/>
          </w:tcPr>
          <w:p w14:paraId="30D3AD22">
            <w:pPr>
              <w:widowControl/>
              <w:spacing w:line="360" w:lineRule="auto"/>
              <w:jc w:val="center"/>
              <w:rPr>
                <w:rFonts w:ascii="宋体" w:hAnsi="宋体"/>
                <w:color w:val="000000"/>
              </w:rPr>
            </w:pPr>
            <w:r>
              <w:rPr>
                <w:rFonts w:ascii="宋体" w:hAnsi="宋体"/>
                <w:color w:val="000000"/>
              </w:rPr>
              <w:t>0.0566</w:t>
            </w:r>
          </w:p>
        </w:tc>
        <w:tc>
          <w:tcPr>
            <w:tcW w:w="982" w:type="dxa"/>
            <w:noWrap w:val="0"/>
            <w:tcMar>
              <w:left w:w="28" w:type="dxa"/>
              <w:right w:w="28" w:type="dxa"/>
            </w:tcMar>
            <w:vAlign w:val="center"/>
          </w:tcPr>
          <w:p w14:paraId="00285D33">
            <w:pPr>
              <w:widowControl/>
              <w:spacing w:line="360" w:lineRule="auto"/>
              <w:jc w:val="center"/>
              <w:rPr>
                <w:rFonts w:ascii="宋体" w:hAnsi="宋体"/>
                <w:color w:val="000000"/>
              </w:rPr>
            </w:pPr>
            <w:r>
              <w:rPr>
                <w:rFonts w:ascii="宋体" w:hAnsi="宋体"/>
                <w:color w:val="000000"/>
              </w:rPr>
              <w:t>0.0953</w:t>
            </w:r>
          </w:p>
        </w:tc>
        <w:tc>
          <w:tcPr>
            <w:tcW w:w="982" w:type="dxa"/>
            <w:noWrap w:val="0"/>
            <w:tcMar>
              <w:left w:w="28" w:type="dxa"/>
              <w:right w:w="28" w:type="dxa"/>
            </w:tcMar>
            <w:vAlign w:val="center"/>
          </w:tcPr>
          <w:p w14:paraId="35B6A21A">
            <w:pPr>
              <w:widowControl/>
              <w:spacing w:line="360" w:lineRule="auto"/>
              <w:jc w:val="center"/>
              <w:rPr>
                <w:rFonts w:ascii="宋体" w:hAnsi="宋体"/>
                <w:color w:val="000000"/>
              </w:rPr>
            </w:pPr>
            <w:r>
              <w:rPr>
                <w:rFonts w:ascii="宋体" w:hAnsi="宋体"/>
                <w:color w:val="000000"/>
              </w:rPr>
              <w:t>0.1291</w:t>
            </w:r>
          </w:p>
        </w:tc>
        <w:tc>
          <w:tcPr>
            <w:tcW w:w="982" w:type="dxa"/>
            <w:noWrap w:val="0"/>
            <w:tcMar>
              <w:left w:w="28" w:type="dxa"/>
              <w:right w:w="28" w:type="dxa"/>
            </w:tcMar>
            <w:vAlign w:val="center"/>
          </w:tcPr>
          <w:p w14:paraId="587B476F">
            <w:pPr>
              <w:widowControl/>
              <w:spacing w:line="360" w:lineRule="auto"/>
              <w:jc w:val="center"/>
              <w:rPr>
                <w:rFonts w:ascii="宋体" w:hAnsi="宋体"/>
                <w:color w:val="000000"/>
              </w:rPr>
            </w:pPr>
            <w:r>
              <w:rPr>
                <w:rFonts w:ascii="宋体" w:hAnsi="宋体"/>
                <w:color w:val="000000"/>
              </w:rPr>
              <w:t>0.1602</w:t>
            </w:r>
          </w:p>
        </w:tc>
        <w:tc>
          <w:tcPr>
            <w:tcW w:w="982" w:type="dxa"/>
            <w:noWrap w:val="0"/>
            <w:tcMar>
              <w:left w:w="28" w:type="dxa"/>
              <w:right w:w="28" w:type="dxa"/>
            </w:tcMar>
            <w:vAlign w:val="center"/>
          </w:tcPr>
          <w:p w14:paraId="563C1294">
            <w:pPr>
              <w:widowControl/>
              <w:spacing w:line="360" w:lineRule="auto"/>
              <w:jc w:val="center"/>
              <w:rPr>
                <w:rFonts w:ascii="宋体" w:hAnsi="宋体"/>
                <w:color w:val="000000"/>
              </w:rPr>
            </w:pPr>
            <w:r>
              <w:rPr>
                <w:rFonts w:ascii="宋体" w:hAnsi="宋体"/>
                <w:color w:val="000000"/>
              </w:rPr>
              <w:t>0.1894</w:t>
            </w:r>
          </w:p>
        </w:tc>
        <w:tc>
          <w:tcPr>
            <w:tcW w:w="982" w:type="dxa"/>
            <w:noWrap w:val="0"/>
            <w:tcMar>
              <w:left w:w="28" w:type="dxa"/>
              <w:right w:w="28" w:type="dxa"/>
            </w:tcMar>
            <w:vAlign w:val="center"/>
          </w:tcPr>
          <w:p w14:paraId="4668C1DE">
            <w:pPr>
              <w:widowControl/>
              <w:spacing w:line="360" w:lineRule="auto"/>
              <w:jc w:val="center"/>
              <w:rPr>
                <w:rFonts w:ascii="宋体" w:hAnsi="宋体"/>
                <w:color w:val="000000"/>
              </w:rPr>
            </w:pPr>
            <w:r>
              <w:rPr>
                <w:rFonts w:ascii="宋体" w:hAnsi="宋体"/>
                <w:color w:val="000000"/>
              </w:rPr>
              <w:t>0.3186</w:t>
            </w:r>
          </w:p>
        </w:tc>
      </w:tr>
      <w:tr w14:paraId="721EE76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305" w:hRule="atLeast"/>
          <w:jc w:val="center"/>
        </w:trPr>
        <w:tc>
          <w:tcPr>
            <w:tcW w:w="2475" w:type="dxa"/>
            <w:noWrap w:val="0"/>
            <w:tcMar>
              <w:left w:w="28" w:type="dxa"/>
              <w:right w:w="28" w:type="dxa"/>
            </w:tcMar>
            <w:vAlign w:val="center"/>
          </w:tcPr>
          <w:p w14:paraId="3E12E750">
            <w:pPr>
              <w:widowControl/>
              <w:spacing w:line="360" w:lineRule="auto"/>
              <w:jc w:val="center"/>
              <w:rPr>
                <w:rFonts w:ascii="宋体" w:hAnsi="宋体"/>
                <w:color w:val="000000"/>
              </w:rPr>
            </w:pPr>
            <w:r>
              <w:rPr>
                <w:rFonts w:ascii="宋体" w:hAnsi="宋体"/>
                <w:color w:val="000000"/>
              </w:rPr>
              <w:t>15</w:t>
            </w:r>
          </w:p>
        </w:tc>
        <w:tc>
          <w:tcPr>
            <w:tcW w:w="983" w:type="dxa"/>
            <w:noWrap w:val="0"/>
            <w:tcMar>
              <w:left w:w="28" w:type="dxa"/>
              <w:right w:w="28" w:type="dxa"/>
            </w:tcMar>
            <w:vAlign w:val="center"/>
          </w:tcPr>
          <w:p w14:paraId="558030F9">
            <w:pPr>
              <w:widowControl/>
              <w:spacing w:line="360" w:lineRule="auto"/>
              <w:jc w:val="center"/>
              <w:rPr>
                <w:rFonts w:ascii="宋体" w:hAnsi="宋体"/>
                <w:color w:val="000000"/>
              </w:rPr>
            </w:pPr>
            <w:r>
              <w:rPr>
                <w:rFonts w:ascii="宋体" w:hAnsi="宋体"/>
                <w:color w:val="000000"/>
              </w:rPr>
              <w:t>0.0850</w:t>
            </w:r>
          </w:p>
        </w:tc>
        <w:tc>
          <w:tcPr>
            <w:tcW w:w="982" w:type="dxa"/>
            <w:noWrap w:val="0"/>
            <w:tcMar>
              <w:left w:w="28" w:type="dxa"/>
              <w:right w:w="28" w:type="dxa"/>
            </w:tcMar>
            <w:vAlign w:val="center"/>
          </w:tcPr>
          <w:p w14:paraId="36E634FB">
            <w:pPr>
              <w:widowControl/>
              <w:spacing w:line="360" w:lineRule="auto"/>
              <w:jc w:val="center"/>
              <w:rPr>
                <w:rFonts w:ascii="宋体" w:hAnsi="宋体"/>
                <w:color w:val="000000"/>
              </w:rPr>
            </w:pPr>
            <w:r>
              <w:rPr>
                <w:rFonts w:ascii="宋体" w:hAnsi="宋体"/>
                <w:color w:val="000000"/>
              </w:rPr>
              <w:t>0.1429</w:t>
            </w:r>
          </w:p>
        </w:tc>
        <w:tc>
          <w:tcPr>
            <w:tcW w:w="982" w:type="dxa"/>
            <w:noWrap w:val="0"/>
            <w:tcMar>
              <w:left w:w="28" w:type="dxa"/>
              <w:right w:w="28" w:type="dxa"/>
            </w:tcMar>
            <w:vAlign w:val="center"/>
          </w:tcPr>
          <w:p w14:paraId="358EC33C">
            <w:pPr>
              <w:widowControl/>
              <w:spacing w:line="360" w:lineRule="auto"/>
              <w:jc w:val="center"/>
              <w:rPr>
                <w:rFonts w:ascii="宋体" w:hAnsi="宋体"/>
                <w:color w:val="000000"/>
              </w:rPr>
            </w:pPr>
            <w:r>
              <w:rPr>
                <w:rFonts w:ascii="宋体" w:hAnsi="宋体"/>
                <w:color w:val="000000"/>
              </w:rPr>
              <w:t>0.1937</w:t>
            </w:r>
          </w:p>
        </w:tc>
        <w:tc>
          <w:tcPr>
            <w:tcW w:w="982" w:type="dxa"/>
            <w:noWrap w:val="0"/>
            <w:tcMar>
              <w:left w:w="28" w:type="dxa"/>
              <w:right w:w="28" w:type="dxa"/>
            </w:tcMar>
            <w:vAlign w:val="center"/>
          </w:tcPr>
          <w:p w14:paraId="066467B0">
            <w:pPr>
              <w:widowControl/>
              <w:spacing w:line="360" w:lineRule="auto"/>
              <w:jc w:val="center"/>
              <w:rPr>
                <w:rFonts w:ascii="宋体" w:hAnsi="宋体"/>
                <w:color w:val="000000"/>
              </w:rPr>
            </w:pPr>
            <w:r>
              <w:rPr>
                <w:rFonts w:ascii="宋体" w:hAnsi="宋体"/>
                <w:color w:val="000000"/>
              </w:rPr>
              <w:t>0.2403</w:t>
            </w:r>
          </w:p>
        </w:tc>
        <w:tc>
          <w:tcPr>
            <w:tcW w:w="982" w:type="dxa"/>
            <w:noWrap w:val="0"/>
            <w:tcMar>
              <w:left w:w="28" w:type="dxa"/>
              <w:right w:w="28" w:type="dxa"/>
            </w:tcMar>
            <w:vAlign w:val="center"/>
          </w:tcPr>
          <w:p w14:paraId="5F981464">
            <w:pPr>
              <w:widowControl/>
              <w:spacing w:line="360" w:lineRule="auto"/>
              <w:jc w:val="center"/>
              <w:rPr>
                <w:rFonts w:ascii="宋体" w:hAnsi="宋体"/>
                <w:color w:val="000000"/>
              </w:rPr>
            </w:pPr>
            <w:r>
              <w:rPr>
                <w:rFonts w:ascii="宋体" w:hAnsi="宋体"/>
                <w:color w:val="000000"/>
              </w:rPr>
              <w:t>0.2841</w:t>
            </w:r>
          </w:p>
        </w:tc>
        <w:tc>
          <w:tcPr>
            <w:tcW w:w="982" w:type="dxa"/>
            <w:noWrap w:val="0"/>
            <w:tcMar>
              <w:left w:w="28" w:type="dxa"/>
              <w:right w:w="28" w:type="dxa"/>
            </w:tcMar>
            <w:vAlign w:val="center"/>
          </w:tcPr>
          <w:p w14:paraId="00FE3CE3">
            <w:pPr>
              <w:widowControl/>
              <w:spacing w:line="360" w:lineRule="auto"/>
              <w:jc w:val="center"/>
              <w:rPr>
                <w:rFonts w:ascii="宋体" w:hAnsi="宋体"/>
                <w:color w:val="000000"/>
              </w:rPr>
            </w:pPr>
            <w:r>
              <w:rPr>
                <w:rFonts w:ascii="宋体" w:hAnsi="宋体"/>
                <w:color w:val="000000"/>
              </w:rPr>
              <w:t>0.4778</w:t>
            </w:r>
          </w:p>
        </w:tc>
      </w:tr>
      <w:tr w14:paraId="79FC745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182" w:hRule="atLeast"/>
          <w:jc w:val="center"/>
        </w:trPr>
        <w:tc>
          <w:tcPr>
            <w:tcW w:w="2475" w:type="dxa"/>
            <w:noWrap w:val="0"/>
            <w:tcMar>
              <w:left w:w="28" w:type="dxa"/>
              <w:right w:w="28" w:type="dxa"/>
            </w:tcMar>
            <w:vAlign w:val="center"/>
          </w:tcPr>
          <w:p w14:paraId="468AF76D">
            <w:pPr>
              <w:widowControl/>
              <w:spacing w:line="360" w:lineRule="auto"/>
              <w:jc w:val="center"/>
              <w:rPr>
                <w:rFonts w:ascii="宋体" w:hAnsi="宋体"/>
                <w:color w:val="000000"/>
              </w:rPr>
            </w:pPr>
            <w:r>
              <w:rPr>
                <w:rFonts w:ascii="宋体" w:hAnsi="宋体"/>
                <w:color w:val="000000"/>
              </w:rPr>
              <w:t>20</w:t>
            </w:r>
          </w:p>
        </w:tc>
        <w:tc>
          <w:tcPr>
            <w:tcW w:w="983" w:type="dxa"/>
            <w:noWrap w:val="0"/>
            <w:tcMar>
              <w:left w:w="28" w:type="dxa"/>
              <w:right w:w="28" w:type="dxa"/>
            </w:tcMar>
            <w:vAlign w:val="center"/>
          </w:tcPr>
          <w:p w14:paraId="2799B87E">
            <w:pPr>
              <w:widowControl/>
              <w:spacing w:line="360" w:lineRule="auto"/>
              <w:jc w:val="center"/>
              <w:rPr>
                <w:rFonts w:ascii="宋体" w:hAnsi="宋体"/>
                <w:color w:val="000000"/>
              </w:rPr>
            </w:pPr>
            <w:r>
              <w:rPr>
                <w:rFonts w:ascii="宋体" w:hAnsi="宋体"/>
                <w:color w:val="000000"/>
              </w:rPr>
              <w:t>0.1133</w:t>
            </w:r>
          </w:p>
        </w:tc>
        <w:tc>
          <w:tcPr>
            <w:tcW w:w="982" w:type="dxa"/>
            <w:noWrap w:val="0"/>
            <w:tcMar>
              <w:left w:w="28" w:type="dxa"/>
              <w:right w:w="28" w:type="dxa"/>
            </w:tcMar>
            <w:vAlign w:val="center"/>
          </w:tcPr>
          <w:p w14:paraId="68423807">
            <w:pPr>
              <w:widowControl/>
              <w:spacing w:line="360" w:lineRule="auto"/>
              <w:jc w:val="center"/>
              <w:rPr>
                <w:rFonts w:ascii="宋体" w:hAnsi="宋体"/>
                <w:color w:val="000000"/>
              </w:rPr>
            </w:pPr>
            <w:r>
              <w:rPr>
                <w:rFonts w:ascii="宋体" w:hAnsi="宋体"/>
                <w:color w:val="000000"/>
              </w:rPr>
              <w:t>0.1905</w:t>
            </w:r>
          </w:p>
        </w:tc>
        <w:tc>
          <w:tcPr>
            <w:tcW w:w="982" w:type="dxa"/>
            <w:noWrap w:val="0"/>
            <w:tcMar>
              <w:left w:w="28" w:type="dxa"/>
              <w:right w:w="28" w:type="dxa"/>
            </w:tcMar>
            <w:vAlign w:val="center"/>
          </w:tcPr>
          <w:p w14:paraId="29DF8A01">
            <w:pPr>
              <w:widowControl/>
              <w:spacing w:line="360" w:lineRule="auto"/>
              <w:jc w:val="center"/>
              <w:rPr>
                <w:rFonts w:ascii="宋体" w:hAnsi="宋体"/>
                <w:color w:val="000000"/>
              </w:rPr>
            </w:pPr>
            <w:r>
              <w:rPr>
                <w:rFonts w:ascii="宋体" w:hAnsi="宋体"/>
                <w:color w:val="000000"/>
              </w:rPr>
              <w:t>0.2583</w:t>
            </w:r>
          </w:p>
        </w:tc>
        <w:tc>
          <w:tcPr>
            <w:tcW w:w="982" w:type="dxa"/>
            <w:noWrap w:val="0"/>
            <w:tcMar>
              <w:left w:w="28" w:type="dxa"/>
              <w:right w:w="28" w:type="dxa"/>
            </w:tcMar>
            <w:vAlign w:val="center"/>
          </w:tcPr>
          <w:p w14:paraId="0F8EECEB">
            <w:pPr>
              <w:widowControl/>
              <w:spacing w:line="360" w:lineRule="auto"/>
              <w:jc w:val="center"/>
              <w:rPr>
                <w:rFonts w:ascii="宋体" w:hAnsi="宋体"/>
                <w:color w:val="000000"/>
              </w:rPr>
            </w:pPr>
            <w:r>
              <w:rPr>
                <w:rFonts w:ascii="宋体" w:hAnsi="宋体"/>
                <w:color w:val="000000"/>
              </w:rPr>
              <w:t>0.3204</w:t>
            </w:r>
          </w:p>
        </w:tc>
        <w:tc>
          <w:tcPr>
            <w:tcW w:w="982" w:type="dxa"/>
            <w:noWrap w:val="0"/>
            <w:tcMar>
              <w:left w:w="28" w:type="dxa"/>
              <w:right w:w="28" w:type="dxa"/>
            </w:tcMar>
            <w:vAlign w:val="center"/>
          </w:tcPr>
          <w:p w14:paraId="0156FCDC">
            <w:pPr>
              <w:widowControl/>
              <w:spacing w:line="360" w:lineRule="auto"/>
              <w:jc w:val="center"/>
              <w:rPr>
                <w:rFonts w:ascii="宋体" w:hAnsi="宋体"/>
                <w:color w:val="000000"/>
              </w:rPr>
            </w:pPr>
            <w:r>
              <w:rPr>
                <w:rFonts w:ascii="宋体" w:hAnsi="宋体"/>
                <w:color w:val="000000"/>
              </w:rPr>
              <w:t>0.3788</w:t>
            </w:r>
          </w:p>
        </w:tc>
        <w:tc>
          <w:tcPr>
            <w:tcW w:w="982" w:type="dxa"/>
            <w:noWrap w:val="0"/>
            <w:tcMar>
              <w:left w:w="28" w:type="dxa"/>
              <w:right w:w="28" w:type="dxa"/>
            </w:tcMar>
            <w:vAlign w:val="center"/>
          </w:tcPr>
          <w:p w14:paraId="0CF218E1">
            <w:pPr>
              <w:widowControl/>
              <w:spacing w:line="360" w:lineRule="auto"/>
              <w:jc w:val="center"/>
              <w:rPr>
                <w:rFonts w:ascii="宋体" w:hAnsi="宋体"/>
                <w:color w:val="000000"/>
              </w:rPr>
            </w:pPr>
            <w:r>
              <w:rPr>
                <w:rFonts w:ascii="宋体" w:hAnsi="宋体"/>
                <w:color w:val="000000"/>
              </w:rPr>
              <w:t>0.6371</w:t>
            </w:r>
          </w:p>
        </w:tc>
      </w:tr>
    </w:tbl>
    <w:p w14:paraId="761D8606">
      <w:pPr>
        <w:widowControl/>
        <w:spacing w:before="120" w:line="360" w:lineRule="auto"/>
        <w:ind w:firstLine="480"/>
        <w:jc w:val="left"/>
        <w:rPr>
          <w:rFonts w:hint="eastAsia" w:ascii="宋体" w:hAnsi="宋体"/>
          <w:color w:val="000000"/>
          <w:sz w:val="24"/>
        </w:rPr>
      </w:pPr>
      <w:r>
        <w:rPr>
          <w:rFonts w:ascii="宋体" w:hAnsi="宋体"/>
          <w:color w:val="000000"/>
          <w:sz w:val="24"/>
        </w:rPr>
        <w:t>如果在施工期间对车辆行驶的路面实施洒水抑尘，每天洒水4</w:t>
      </w:r>
      <w:r>
        <w:rPr>
          <w:rFonts w:hint="eastAsia" w:ascii="宋体" w:hAnsi="宋体"/>
          <w:color w:val="000000"/>
          <w:sz w:val="24"/>
        </w:rPr>
        <w:t>～</w:t>
      </w:r>
      <w:r>
        <w:rPr>
          <w:rFonts w:ascii="宋体" w:hAnsi="宋体"/>
          <w:color w:val="000000"/>
          <w:sz w:val="24"/>
        </w:rPr>
        <w:t>5次，可使扬尘减少70%左右，表</w:t>
      </w:r>
      <w:r>
        <w:rPr>
          <w:rFonts w:hint="eastAsia" w:ascii="宋体" w:hAnsi="宋体"/>
          <w:color w:val="000000"/>
          <w:sz w:val="24"/>
        </w:rPr>
        <w:t>6.1-2</w:t>
      </w:r>
      <w:r>
        <w:rPr>
          <w:rFonts w:ascii="宋体" w:hAnsi="宋体"/>
          <w:color w:val="000000"/>
          <w:sz w:val="24"/>
        </w:rPr>
        <w:t>为施工场地洒水抑尘的试验结果，结果表明实施每天洒水4</w:t>
      </w:r>
      <w:r>
        <w:rPr>
          <w:rFonts w:hint="eastAsia" w:ascii="宋体" w:hAnsi="宋体"/>
          <w:color w:val="000000"/>
          <w:sz w:val="24"/>
        </w:rPr>
        <w:t>～</w:t>
      </w:r>
      <w:r>
        <w:rPr>
          <w:rFonts w:ascii="宋体" w:hAnsi="宋体"/>
          <w:color w:val="000000"/>
          <w:sz w:val="24"/>
        </w:rPr>
        <w:t>5 次进行抑尘，可有效地控制施工扬尘将TSP污染距离缩小到20</w:t>
      </w:r>
      <w:r>
        <w:rPr>
          <w:rFonts w:hint="eastAsia" w:ascii="宋体" w:hAnsi="宋体"/>
          <w:color w:val="000000"/>
          <w:sz w:val="24"/>
        </w:rPr>
        <w:t>～</w:t>
      </w:r>
      <w:r>
        <w:rPr>
          <w:rFonts w:ascii="宋体" w:hAnsi="宋体"/>
          <w:color w:val="000000"/>
          <w:sz w:val="24"/>
        </w:rPr>
        <w:t>50m范围。</w:t>
      </w:r>
    </w:p>
    <w:p w14:paraId="5836D2E4">
      <w:pPr>
        <w:widowControl/>
        <w:spacing w:line="360" w:lineRule="auto"/>
        <w:jc w:val="center"/>
        <w:rPr>
          <w:rFonts w:ascii="宋体" w:hAnsi="宋体"/>
          <w:b/>
          <w:color w:val="000000"/>
          <w:sz w:val="24"/>
        </w:rPr>
      </w:pPr>
      <w:r>
        <w:rPr>
          <w:rFonts w:hint="eastAsia" w:ascii="宋体" w:hAnsi="宋体"/>
          <w:b/>
          <w:color w:val="000000"/>
          <w:sz w:val="24"/>
        </w:rPr>
        <w:t>表6.1-2    施工场地洒水抑尘试验结果</w:t>
      </w:r>
    </w:p>
    <w:tbl>
      <w:tblPr>
        <w:tblStyle w:val="27"/>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28" w:type="dxa"/>
          <w:bottom w:w="0" w:type="dxa"/>
          <w:right w:w="28" w:type="dxa"/>
        </w:tblCellMar>
      </w:tblPr>
      <w:tblGrid>
        <w:gridCol w:w="2317"/>
        <w:gridCol w:w="1185"/>
        <w:gridCol w:w="1384"/>
        <w:gridCol w:w="1136"/>
        <w:gridCol w:w="1285"/>
        <w:gridCol w:w="1061"/>
      </w:tblGrid>
      <w:tr w14:paraId="5FDAC96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cantSplit/>
          <w:trHeight w:val="378" w:hRule="atLeast"/>
          <w:jc w:val="center"/>
        </w:trPr>
        <w:tc>
          <w:tcPr>
            <w:tcW w:w="3502" w:type="dxa"/>
            <w:gridSpan w:val="2"/>
            <w:noWrap w:val="0"/>
            <w:tcMar>
              <w:left w:w="28" w:type="dxa"/>
              <w:right w:w="28" w:type="dxa"/>
            </w:tcMar>
            <w:vAlign w:val="center"/>
          </w:tcPr>
          <w:p w14:paraId="714D9878">
            <w:pPr>
              <w:widowControl/>
              <w:spacing w:line="360" w:lineRule="auto"/>
              <w:jc w:val="center"/>
              <w:rPr>
                <w:rFonts w:ascii="宋体" w:hAnsi="宋体"/>
                <w:color w:val="000000"/>
              </w:rPr>
            </w:pPr>
            <w:r>
              <w:rPr>
                <w:rFonts w:ascii="宋体" w:hAnsi="宋体"/>
                <w:color w:val="000000"/>
              </w:rPr>
              <w:t>距离(m)</w:t>
            </w:r>
          </w:p>
        </w:tc>
        <w:tc>
          <w:tcPr>
            <w:tcW w:w="1384" w:type="dxa"/>
            <w:noWrap w:val="0"/>
            <w:tcMar>
              <w:left w:w="28" w:type="dxa"/>
              <w:right w:w="28" w:type="dxa"/>
            </w:tcMar>
            <w:vAlign w:val="center"/>
          </w:tcPr>
          <w:p w14:paraId="29CA59F4">
            <w:pPr>
              <w:widowControl/>
              <w:spacing w:line="360" w:lineRule="auto"/>
              <w:jc w:val="center"/>
              <w:rPr>
                <w:rFonts w:ascii="宋体" w:hAnsi="宋体"/>
                <w:color w:val="000000"/>
              </w:rPr>
            </w:pPr>
            <w:r>
              <w:rPr>
                <w:rFonts w:ascii="宋体" w:hAnsi="宋体"/>
                <w:color w:val="000000"/>
              </w:rPr>
              <w:t>5</w:t>
            </w:r>
          </w:p>
        </w:tc>
        <w:tc>
          <w:tcPr>
            <w:tcW w:w="1136" w:type="dxa"/>
            <w:noWrap w:val="0"/>
            <w:tcMar>
              <w:left w:w="28" w:type="dxa"/>
              <w:right w:w="28" w:type="dxa"/>
            </w:tcMar>
            <w:vAlign w:val="center"/>
          </w:tcPr>
          <w:p w14:paraId="40EF22A3">
            <w:pPr>
              <w:widowControl/>
              <w:spacing w:line="360" w:lineRule="auto"/>
              <w:jc w:val="center"/>
              <w:rPr>
                <w:rFonts w:ascii="宋体" w:hAnsi="宋体"/>
                <w:color w:val="000000"/>
              </w:rPr>
            </w:pPr>
            <w:r>
              <w:rPr>
                <w:rFonts w:ascii="宋体" w:hAnsi="宋体"/>
                <w:color w:val="000000"/>
              </w:rPr>
              <w:t>20</w:t>
            </w:r>
          </w:p>
        </w:tc>
        <w:tc>
          <w:tcPr>
            <w:tcW w:w="1285" w:type="dxa"/>
            <w:noWrap w:val="0"/>
            <w:tcMar>
              <w:left w:w="28" w:type="dxa"/>
              <w:right w:w="28" w:type="dxa"/>
            </w:tcMar>
            <w:vAlign w:val="center"/>
          </w:tcPr>
          <w:p w14:paraId="174D89B1">
            <w:pPr>
              <w:widowControl/>
              <w:spacing w:line="360" w:lineRule="auto"/>
              <w:jc w:val="center"/>
              <w:rPr>
                <w:rFonts w:ascii="宋体" w:hAnsi="宋体"/>
                <w:color w:val="000000"/>
              </w:rPr>
            </w:pPr>
            <w:r>
              <w:rPr>
                <w:rFonts w:ascii="宋体" w:hAnsi="宋体"/>
                <w:color w:val="000000"/>
              </w:rPr>
              <w:t>50</w:t>
            </w:r>
          </w:p>
        </w:tc>
        <w:tc>
          <w:tcPr>
            <w:tcW w:w="1061" w:type="dxa"/>
            <w:noWrap w:val="0"/>
            <w:tcMar>
              <w:left w:w="28" w:type="dxa"/>
              <w:right w:w="28" w:type="dxa"/>
            </w:tcMar>
            <w:vAlign w:val="center"/>
          </w:tcPr>
          <w:p w14:paraId="24BEAA41">
            <w:pPr>
              <w:widowControl/>
              <w:spacing w:line="360" w:lineRule="auto"/>
              <w:jc w:val="center"/>
              <w:rPr>
                <w:rFonts w:ascii="宋体" w:hAnsi="宋体"/>
                <w:color w:val="000000"/>
              </w:rPr>
            </w:pPr>
            <w:r>
              <w:rPr>
                <w:rFonts w:ascii="宋体" w:hAnsi="宋体"/>
                <w:color w:val="000000"/>
              </w:rPr>
              <w:t>100</w:t>
            </w:r>
          </w:p>
        </w:tc>
      </w:tr>
      <w:tr w14:paraId="7551BE4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cantSplit/>
          <w:trHeight w:val="388" w:hRule="atLeast"/>
          <w:jc w:val="center"/>
        </w:trPr>
        <w:tc>
          <w:tcPr>
            <w:tcW w:w="2317" w:type="dxa"/>
            <w:vMerge w:val="restart"/>
            <w:noWrap w:val="0"/>
            <w:tcMar>
              <w:left w:w="28" w:type="dxa"/>
              <w:right w:w="28" w:type="dxa"/>
            </w:tcMar>
            <w:vAlign w:val="center"/>
          </w:tcPr>
          <w:p w14:paraId="4052593B">
            <w:pPr>
              <w:widowControl/>
              <w:spacing w:line="360" w:lineRule="auto"/>
              <w:jc w:val="center"/>
              <w:rPr>
                <w:rFonts w:ascii="宋体" w:hAnsi="宋体"/>
                <w:color w:val="000000"/>
              </w:rPr>
            </w:pPr>
            <w:r>
              <w:rPr>
                <w:rFonts w:ascii="宋体" w:hAnsi="宋体"/>
                <w:color w:val="000000"/>
              </w:rPr>
              <w:t>TSP小时平均</w:t>
            </w:r>
          </w:p>
          <w:p w14:paraId="23F2EC6D">
            <w:pPr>
              <w:widowControl/>
              <w:spacing w:line="360" w:lineRule="auto"/>
              <w:jc w:val="center"/>
              <w:rPr>
                <w:rFonts w:ascii="宋体" w:hAnsi="宋体"/>
                <w:color w:val="000000"/>
              </w:rPr>
            </w:pPr>
            <w:r>
              <w:rPr>
                <w:rFonts w:ascii="宋体" w:hAnsi="宋体"/>
                <w:color w:val="000000"/>
              </w:rPr>
              <w:t>浓度、mg/m</w:t>
            </w:r>
            <w:r>
              <w:rPr>
                <w:rFonts w:ascii="宋体" w:hAnsi="宋体"/>
                <w:color w:val="000000"/>
                <w:vertAlign w:val="superscript"/>
              </w:rPr>
              <w:t>3</w:t>
            </w:r>
          </w:p>
        </w:tc>
        <w:tc>
          <w:tcPr>
            <w:tcW w:w="1185" w:type="dxa"/>
            <w:noWrap w:val="0"/>
            <w:tcMar>
              <w:left w:w="28" w:type="dxa"/>
              <w:right w:w="28" w:type="dxa"/>
            </w:tcMar>
            <w:vAlign w:val="center"/>
          </w:tcPr>
          <w:p w14:paraId="3AC948F9">
            <w:pPr>
              <w:widowControl/>
              <w:spacing w:line="360" w:lineRule="auto"/>
              <w:jc w:val="center"/>
              <w:rPr>
                <w:rFonts w:ascii="宋体" w:hAnsi="宋体"/>
                <w:color w:val="000000"/>
              </w:rPr>
            </w:pPr>
            <w:r>
              <w:rPr>
                <w:rFonts w:ascii="宋体" w:hAnsi="宋体"/>
                <w:color w:val="000000"/>
              </w:rPr>
              <w:t>不洒水</w:t>
            </w:r>
          </w:p>
        </w:tc>
        <w:tc>
          <w:tcPr>
            <w:tcW w:w="1384" w:type="dxa"/>
            <w:noWrap w:val="0"/>
            <w:tcMar>
              <w:left w:w="28" w:type="dxa"/>
              <w:right w:w="28" w:type="dxa"/>
            </w:tcMar>
            <w:vAlign w:val="center"/>
          </w:tcPr>
          <w:p w14:paraId="61AA4B12">
            <w:pPr>
              <w:widowControl/>
              <w:spacing w:line="360" w:lineRule="auto"/>
              <w:jc w:val="center"/>
              <w:rPr>
                <w:rFonts w:ascii="宋体" w:hAnsi="宋体"/>
                <w:color w:val="000000"/>
              </w:rPr>
            </w:pPr>
            <w:r>
              <w:rPr>
                <w:rFonts w:ascii="宋体" w:hAnsi="宋体"/>
                <w:color w:val="000000"/>
              </w:rPr>
              <w:t>10.14</w:t>
            </w:r>
          </w:p>
        </w:tc>
        <w:tc>
          <w:tcPr>
            <w:tcW w:w="1136" w:type="dxa"/>
            <w:noWrap w:val="0"/>
            <w:tcMar>
              <w:left w:w="28" w:type="dxa"/>
              <w:right w:w="28" w:type="dxa"/>
            </w:tcMar>
            <w:vAlign w:val="center"/>
          </w:tcPr>
          <w:p w14:paraId="2AB6200D">
            <w:pPr>
              <w:widowControl/>
              <w:spacing w:line="360" w:lineRule="auto"/>
              <w:jc w:val="center"/>
              <w:rPr>
                <w:rFonts w:ascii="宋体" w:hAnsi="宋体"/>
                <w:color w:val="000000"/>
              </w:rPr>
            </w:pPr>
            <w:r>
              <w:rPr>
                <w:rFonts w:ascii="宋体" w:hAnsi="宋体"/>
                <w:color w:val="000000"/>
              </w:rPr>
              <w:t>2.89</w:t>
            </w:r>
          </w:p>
        </w:tc>
        <w:tc>
          <w:tcPr>
            <w:tcW w:w="1285" w:type="dxa"/>
            <w:noWrap w:val="0"/>
            <w:tcMar>
              <w:left w:w="28" w:type="dxa"/>
              <w:right w:w="28" w:type="dxa"/>
            </w:tcMar>
            <w:vAlign w:val="center"/>
          </w:tcPr>
          <w:p w14:paraId="566ED807">
            <w:pPr>
              <w:widowControl/>
              <w:spacing w:line="360" w:lineRule="auto"/>
              <w:jc w:val="center"/>
              <w:rPr>
                <w:rFonts w:ascii="宋体" w:hAnsi="宋体"/>
                <w:color w:val="000000"/>
              </w:rPr>
            </w:pPr>
            <w:r>
              <w:rPr>
                <w:rFonts w:ascii="宋体" w:hAnsi="宋体"/>
                <w:color w:val="000000"/>
              </w:rPr>
              <w:t>1.15</w:t>
            </w:r>
          </w:p>
        </w:tc>
        <w:tc>
          <w:tcPr>
            <w:tcW w:w="1061" w:type="dxa"/>
            <w:noWrap w:val="0"/>
            <w:tcMar>
              <w:left w:w="28" w:type="dxa"/>
              <w:right w:w="28" w:type="dxa"/>
            </w:tcMar>
            <w:vAlign w:val="center"/>
          </w:tcPr>
          <w:p w14:paraId="0BA4B993">
            <w:pPr>
              <w:widowControl/>
              <w:spacing w:line="360" w:lineRule="auto"/>
              <w:jc w:val="center"/>
              <w:rPr>
                <w:rFonts w:ascii="宋体" w:hAnsi="宋体"/>
                <w:color w:val="000000"/>
              </w:rPr>
            </w:pPr>
            <w:r>
              <w:rPr>
                <w:rFonts w:ascii="宋体" w:hAnsi="宋体"/>
                <w:color w:val="000000"/>
              </w:rPr>
              <w:t>0.86</w:t>
            </w:r>
          </w:p>
        </w:tc>
      </w:tr>
      <w:tr w14:paraId="241541C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cantSplit/>
          <w:trHeight w:val="57" w:hRule="atLeast"/>
          <w:jc w:val="center"/>
        </w:trPr>
        <w:tc>
          <w:tcPr>
            <w:tcW w:w="2317" w:type="dxa"/>
            <w:vMerge w:val="continue"/>
            <w:noWrap w:val="0"/>
            <w:tcMar>
              <w:left w:w="28" w:type="dxa"/>
              <w:right w:w="28" w:type="dxa"/>
            </w:tcMar>
            <w:vAlign w:val="center"/>
          </w:tcPr>
          <w:p w14:paraId="5CD95648">
            <w:pPr>
              <w:widowControl/>
              <w:spacing w:line="360" w:lineRule="auto"/>
              <w:ind w:firstLine="480"/>
              <w:jc w:val="center"/>
              <w:rPr>
                <w:rFonts w:ascii="宋体" w:hAnsi="宋体"/>
                <w:color w:val="000000"/>
              </w:rPr>
            </w:pPr>
          </w:p>
        </w:tc>
        <w:tc>
          <w:tcPr>
            <w:tcW w:w="1185" w:type="dxa"/>
            <w:shd w:val="clear" w:color="auto" w:fill="FFFFFF"/>
            <w:noWrap w:val="0"/>
            <w:tcMar>
              <w:left w:w="28" w:type="dxa"/>
              <w:right w:w="28" w:type="dxa"/>
            </w:tcMar>
            <w:vAlign w:val="center"/>
          </w:tcPr>
          <w:p w14:paraId="3E1FE1E8">
            <w:pPr>
              <w:widowControl/>
              <w:spacing w:line="360" w:lineRule="auto"/>
              <w:jc w:val="center"/>
              <w:rPr>
                <w:rFonts w:ascii="宋体" w:hAnsi="宋体"/>
                <w:color w:val="000000"/>
              </w:rPr>
            </w:pPr>
            <w:r>
              <w:rPr>
                <w:rFonts w:ascii="宋体" w:hAnsi="宋体"/>
                <w:color w:val="000000"/>
              </w:rPr>
              <w:t>洒  水</w:t>
            </w:r>
          </w:p>
        </w:tc>
        <w:tc>
          <w:tcPr>
            <w:tcW w:w="1384" w:type="dxa"/>
            <w:shd w:val="clear" w:color="auto" w:fill="FFFFFF"/>
            <w:noWrap w:val="0"/>
            <w:tcMar>
              <w:left w:w="28" w:type="dxa"/>
              <w:right w:w="28" w:type="dxa"/>
            </w:tcMar>
            <w:vAlign w:val="center"/>
          </w:tcPr>
          <w:p w14:paraId="306FCB00">
            <w:pPr>
              <w:widowControl/>
              <w:spacing w:line="360" w:lineRule="auto"/>
              <w:jc w:val="center"/>
              <w:rPr>
                <w:rFonts w:ascii="宋体" w:hAnsi="宋体"/>
                <w:color w:val="000000"/>
              </w:rPr>
            </w:pPr>
            <w:r>
              <w:rPr>
                <w:rFonts w:ascii="宋体" w:hAnsi="宋体"/>
                <w:color w:val="000000"/>
              </w:rPr>
              <w:t>2.01</w:t>
            </w:r>
          </w:p>
        </w:tc>
        <w:tc>
          <w:tcPr>
            <w:tcW w:w="1136" w:type="dxa"/>
            <w:shd w:val="clear" w:color="auto" w:fill="FFFFFF"/>
            <w:noWrap w:val="0"/>
            <w:tcMar>
              <w:left w:w="28" w:type="dxa"/>
              <w:right w:w="28" w:type="dxa"/>
            </w:tcMar>
            <w:vAlign w:val="center"/>
          </w:tcPr>
          <w:p w14:paraId="3D83DE29">
            <w:pPr>
              <w:widowControl/>
              <w:spacing w:line="360" w:lineRule="auto"/>
              <w:jc w:val="center"/>
              <w:rPr>
                <w:rFonts w:ascii="宋体" w:hAnsi="宋体"/>
                <w:color w:val="000000"/>
              </w:rPr>
            </w:pPr>
            <w:r>
              <w:rPr>
                <w:rFonts w:ascii="宋体" w:hAnsi="宋体"/>
                <w:color w:val="000000"/>
              </w:rPr>
              <w:t>1.40</w:t>
            </w:r>
          </w:p>
        </w:tc>
        <w:tc>
          <w:tcPr>
            <w:tcW w:w="1285" w:type="dxa"/>
            <w:shd w:val="clear" w:color="auto" w:fill="FFFFFF"/>
            <w:noWrap w:val="0"/>
            <w:tcMar>
              <w:left w:w="28" w:type="dxa"/>
              <w:right w:w="28" w:type="dxa"/>
            </w:tcMar>
            <w:vAlign w:val="center"/>
          </w:tcPr>
          <w:p w14:paraId="5E602015">
            <w:pPr>
              <w:widowControl/>
              <w:spacing w:line="360" w:lineRule="auto"/>
              <w:jc w:val="center"/>
              <w:rPr>
                <w:rFonts w:ascii="宋体" w:hAnsi="宋体"/>
                <w:color w:val="000000"/>
              </w:rPr>
            </w:pPr>
            <w:r>
              <w:rPr>
                <w:rFonts w:ascii="宋体" w:hAnsi="宋体"/>
                <w:color w:val="000000"/>
              </w:rPr>
              <w:t>0.67</w:t>
            </w:r>
          </w:p>
        </w:tc>
        <w:tc>
          <w:tcPr>
            <w:tcW w:w="1061" w:type="dxa"/>
            <w:shd w:val="clear" w:color="auto" w:fill="FFFFFF"/>
            <w:noWrap w:val="0"/>
            <w:tcMar>
              <w:left w:w="28" w:type="dxa"/>
              <w:right w:w="28" w:type="dxa"/>
            </w:tcMar>
            <w:vAlign w:val="center"/>
          </w:tcPr>
          <w:p w14:paraId="5EC27DA6">
            <w:pPr>
              <w:widowControl/>
              <w:spacing w:line="360" w:lineRule="auto"/>
              <w:jc w:val="center"/>
              <w:rPr>
                <w:rFonts w:ascii="宋体" w:hAnsi="宋体"/>
                <w:color w:val="000000"/>
              </w:rPr>
            </w:pPr>
            <w:r>
              <w:rPr>
                <w:rFonts w:ascii="宋体" w:hAnsi="宋体"/>
                <w:color w:val="000000"/>
              </w:rPr>
              <w:t>0.60</w:t>
            </w:r>
          </w:p>
        </w:tc>
      </w:tr>
    </w:tbl>
    <w:p w14:paraId="1DAA4606">
      <w:pPr>
        <w:widowControl/>
        <w:spacing w:before="120" w:line="360" w:lineRule="auto"/>
        <w:ind w:firstLine="480"/>
        <w:jc w:val="left"/>
        <w:rPr>
          <w:rFonts w:ascii="宋体" w:hAnsi="宋体"/>
          <w:color w:val="000000"/>
          <w:sz w:val="24"/>
        </w:rPr>
      </w:pPr>
      <w:r>
        <w:rPr>
          <w:rFonts w:hint="eastAsia" w:ascii="宋体" w:hAnsi="宋体"/>
          <w:color w:val="000000"/>
          <w:sz w:val="24"/>
        </w:rPr>
        <w:t>如果不采取洒水措施，根据</w:t>
      </w:r>
      <w:r>
        <w:rPr>
          <w:rFonts w:ascii="宋体" w:hAnsi="宋体"/>
          <w:color w:val="000000"/>
          <w:sz w:val="24"/>
        </w:rPr>
        <w:t>施工期无组织排放颗粒物执行 GB16297-1996《大气污染物综合排放标准》表2中颗粒物≤1.0 mg/m</w:t>
      </w:r>
      <w:r>
        <w:rPr>
          <w:rFonts w:ascii="宋体" w:hAnsi="宋体"/>
          <w:color w:val="000000"/>
          <w:sz w:val="24"/>
          <w:vertAlign w:val="superscript"/>
        </w:rPr>
        <w:t>3</w:t>
      </w:r>
      <w:r>
        <w:rPr>
          <w:rFonts w:hint="eastAsia" w:ascii="宋体" w:hAnsi="宋体"/>
          <w:color w:val="000000"/>
          <w:sz w:val="24"/>
        </w:rPr>
        <w:t>，项目50m范围内施工粉尘达不到</w:t>
      </w:r>
      <w:r>
        <w:rPr>
          <w:rFonts w:ascii="宋体" w:hAnsi="宋体"/>
          <w:color w:val="000000"/>
          <w:sz w:val="24"/>
        </w:rPr>
        <w:t>GB16297-1996《大气污染物综合排放标准》表2中颗粒物≤1.0 mg/m</w:t>
      </w:r>
      <w:r>
        <w:rPr>
          <w:rFonts w:ascii="宋体" w:hAnsi="宋体"/>
          <w:color w:val="000000"/>
          <w:sz w:val="24"/>
          <w:vertAlign w:val="superscript"/>
        </w:rPr>
        <w:t>3</w:t>
      </w:r>
      <w:r>
        <w:rPr>
          <w:rFonts w:hint="eastAsia" w:ascii="宋体" w:hAnsi="宋体"/>
          <w:color w:val="000000"/>
          <w:sz w:val="24"/>
        </w:rPr>
        <w:t>标准。因此项目施工过程中需采取</w:t>
      </w:r>
      <w:r>
        <w:rPr>
          <w:rFonts w:ascii="宋体" w:hAnsi="宋体"/>
          <w:color w:val="000000"/>
          <w:sz w:val="24"/>
        </w:rPr>
        <w:t>限速行驶及保持路面清洁，同时适当洒水</w:t>
      </w:r>
      <w:r>
        <w:rPr>
          <w:rFonts w:hint="eastAsia" w:ascii="宋体" w:hAnsi="宋体"/>
          <w:color w:val="000000"/>
          <w:sz w:val="24"/>
        </w:rPr>
        <w:t>等措施来</w:t>
      </w:r>
      <w:r>
        <w:rPr>
          <w:rFonts w:ascii="宋体" w:hAnsi="宋体"/>
          <w:color w:val="000000"/>
          <w:sz w:val="24"/>
        </w:rPr>
        <w:t>减少汽车扬尘</w:t>
      </w:r>
      <w:r>
        <w:rPr>
          <w:rFonts w:hint="eastAsia" w:ascii="宋体" w:hAnsi="宋体"/>
          <w:color w:val="000000"/>
          <w:sz w:val="24"/>
        </w:rPr>
        <w:t>对环境的影响</w:t>
      </w:r>
      <w:r>
        <w:rPr>
          <w:rFonts w:ascii="宋体" w:hAnsi="宋体"/>
          <w:color w:val="000000"/>
          <w:sz w:val="24"/>
        </w:rPr>
        <w:t>。</w:t>
      </w:r>
    </w:p>
    <w:p w14:paraId="0336A744">
      <w:pPr>
        <w:widowControl/>
        <w:spacing w:line="360" w:lineRule="auto"/>
        <w:ind w:firstLine="480"/>
        <w:jc w:val="left"/>
        <w:rPr>
          <w:rFonts w:ascii="宋体" w:hAnsi="宋体"/>
          <w:color w:val="000000"/>
          <w:sz w:val="24"/>
        </w:rPr>
      </w:pPr>
      <w:r>
        <w:rPr>
          <w:rFonts w:ascii="宋体" w:hAnsi="宋体"/>
          <w:color w:val="000000"/>
          <w:sz w:val="24"/>
        </w:rPr>
        <w:t>施工期扬尘的另一个主要原因是露天堆场和裸露场地的风力扬尘。由于施工的需要，一些建材需露天堆放；一些施工点表层土壤需人工开挖、堆放，在气候干燥又有风的情况下，会产生扬尘，堆场起尘的经验计算公式为：</w:t>
      </w:r>
    </w:p>
    <w:p w14:paraId="61B73FBB">
      <w:pPr>
        <w:tabs>
          <w:tab w:val="left" w:pos="280"/>
        </w:tabs>
        <w:spacing w:line="360" w:lineRule="auto"/>
        <w:ind w:firstLine="2040"/>
        <w:rPr>
          <w:rFonts w:ascii="宋体" w:hAnsi="宋体"/>
          <w:color w:val="000000"/>
          <w:sz w:val="24"/>
        </w:rPr>
      </w:pPr>
      <w:r>
        <w:rPr>
          <w:rFonts w:ascii="宋体" w:hAnsi="宋体"/>
          <w:color w:val="000000"/>
          <w:position w:val="-12"/>
          <w:sz w:val="24"/>
        </w:rPr>
        <w:drawing>
          <wp:inline distT="0" distB="0" distL="0" distR="0">
            <wp:extent cx="1571625" cy="285115"/>
            <wp:effectExtent l="0" t="0" r="0" b="0"/>
            <wp:docPr id="159" name="_x0000_i1373"/>
            <wp:cNvGraphicFramePr/>
            <a:graphic xmlns:a="http://schemas.openxmlformats.org/drawingml/2006/main">
              <a:graphicData uri="http://schemas.openxmlformats.org/drawingml/2006/picture">
                <pic:pic xmlns:pic="http://schemas.openxmlformats.org/drawingml/2006/picture">
                  <pic:nvPicPr>
                    <pic:cNvPr id="159" name="_x0000_i1373"/>
                    <pic:cNvPicPr/>
                  </pic:nvPicPr>
                  <pic:blipFill>
                    <a:blip r:embed="rId30"/>
                    <a:stretch>
                      <a:fillRect/>
                    </a:stretch>
                  </pic:blipFill>
                  <pic:spPr>
                    <a:xfrm>
                      <a:off x="0" y="0"/>
                      <a:ext cx="1571790" cy="285429"/>
                    </a:xfrm>
                    <a:prstGeom prst="rect">
                      <a:avLst/>
                    </a:prstGeom>
                    <a:noFill/>
                    <a:ln>
                      <a:noFill/>
                    </a:ln>
                  </pic:spPr>
                </pic:pic>
              </a:graphicData>
            </a:graphic>
          </wp:inline>
        </w:drawing>
      </w:r>
    </w:p>
    <w:p w14:paraId="5AF99128">
      <w:pPr>
        <w:tabs>
          <w:tab w:val="left" w:pos="280"/>
        </w:tabs>
        <w:spacing w:line="360" w:lineRule="auto"/>
        <w:ind w:firstLine="1516"/>
        <w:rPr>
          <w:rFonts w:ascii="宋体" w:hAnsi="宋体"/>
          <w:color w:val="000000"/>
          <w:sz w:val="24"/>
        </w:rPr>
      </w:pPr>
      <w:r>
        <w:rPr>
          <w:rFonts w:ascii="宋体" w:hAnsi="宋体"/>
          <w:color w:val="000000"/>
          <w:sz w:val="24"/>
        </w:rPr>
        <w:t>其中：Q——起尘量，kg/吨·年；</w:t>
      </w:r>
    </w:p>
    <w:p w14:paraId="45AFF2DC">
      <w:pPr>
        <w:tabs>
          <w:tab w:val="left" w:pos="280"/>
        </w:tabs>
        <w:spacing w:line="360" w:lineRule="auto"/>
        <w:ind w:firstLine="2148"/>
        <w:rPr>
          <w:rFonts w:ascii="宋体" w:hAnsi="宋体"/>
          <w:color w:val="000000"/>
          <w:sz w:val="24"/>
        </w:rPr>
      </w:pPr>
      <w:r>
        <w:rPr>
          <w:rFonts w:ascii="宋体" w:hAnsi="宋体"/>
          <w:color w:val="000000"/>
          <w:sz w:val="24"/>
        </w:rPr>
        <w:t>V</w:t>
      </w:r>
      <w:r>
        <w:rPr>
          <w:rFonts w:ascii="宋体" w:hAnsi="宋体"/>
          <w:color w:val="000000"/>
          <w:sz w:val="24"/>
          <w:vertAlign w:val="subscript"/>
        </w:rPr>
        <w:t>50</w:t>
      </w:r>
      <w:r>
        <w:rPr>
          <w:rFonts w:ascii="宋体" w:hAnsi="宋体"/>
          <w:color w:val="000000"/>
          <w:sz w:val="24"/>
        </w:rPr>
        <w:t>——距地面50m处风速，m/s；</w:t>
      </w:r>
    </w:p>
    <w:p w14:paraId="5904C094">
      <w:pPr>
        <w:tabs>
          <w:tab w:val="left" w:pos="280"/>
        </w:tabs>
        <w:spacing w:line="360" w:lineRule="auto"/>
        <w:ind w:firstLine="2148"/>
        <w:rPr>
          <w:rFonts w:ascii="宋体" w:hAnsi="宋体"/>
          <w:color w:val="000000"/>
          <w:sz w:val="24"/>
        </w:rPr>
      </w:pPr>
      <w:r>
        <w:rPr>
          <w:rFonts w:ascii="宋体" w:hAnsi="宋体"/>
          <w:color w:val="000000"/>
          <w:sz w:val="24"/>
        </w:rPr>
        <w:t>V</w:t>
      </w:r>
      <w:r>
        <w:rPr>
          <w:rFonts w:ascii="宋体" w:hAnsi="宋体"/>
          <w:color w:val="000000"/>
          <w:sz w:val="24"/>
          <w:vertAlign w:val="subscript"/>
        </w:rPr>
        <w:t>0</w:t>
      </w:r>
      <w:r>
        <w:rPr>
          <w:rFonts w:ascii="宋体" w:hAnsi="宋体"/>
          <w:color w:val="000000"/>
          <w:sz w:val="24"/>
        </w:rPr>
        <w:t>——起尘风速，m/s；</w:t>
      </w:r>
    </w:p>
    <w:p w14:paraId="0696C1BB">
      <w:pPr>
        <w:tabs>
          <w:tab w:val="left" w:pos="280"/>
        </w:tabs>
        <w:spacing w:line="360" w:lineRule="auto"/>
        <w:ind w:firstLine="2148"/>
        <w:rPr>
          <w:rFonts w:ascii="宋体" w:hAnsi="宋体"/>
          <w:color w:val="000000"/>
          <w:sz w:val="24"/>
        </w:rPr>
      </w:pPr>
      <w:r>
        <w:rPr>
          <w:rFonts w:ascii="宋体" w:hAnsi="宋体"/>
          <w:color w:val="000000"/>
          <w:sz w:val="24"/>
        </w:rPr>
        <w:t>W——尘粒的含水率，%。</w:t>
      </w:r>
    </w:p>
    <w:p w14:paraId="49347A07">
      <w:pPr>
        <w:tabs>
          <w:tab w:val="left" w:pos="280"/>
        </w:tabs>
        <w:spacing w:line="360" w:lineRule="auto"/>
        <w:ind w:firstLine="560"/>
        <w:rPr>
          <w:rFonts w:hint="eastAsia" w:ascii="宋体" w:hAnsi="宋体"/>
          <w:color w:val="000000"/>
          <w:sz w:val="24"/>
        </w:rPr>
      </w:pPr>
      <w:r>
        <w:rPr>
          <w:rFonts w:ascii="宋体" w:hAnsi="宋体"/>
          <w:color w:val="000000"/>
          <w:sz w:val="24"/>
        </w:rPr>
        <w:t>尘粒在空气中的传播扩散情况与风速等气象条件有关，也与尘粒本身的沉降速度有关。不同粒径的尘粒的沉降速度见表</w:t>
      </w:r>
      <w:r>
        <w:rPr>
          <w:rFonts w:hint="eastAsia" w:ascii="宋体" w:hAnsi="宋体"/>
          <w:color w:val="000000"/>
          <w:sz w:val="24"/>
        </w:rPr>
        <w:t>6.1-3</w:t>
      </w:r>
      <w:r>
        <w:rPr>
          <w:rFonts w:ascii="宋体" w:hAnsi="宋体"/>
          <w:color w:val="000000"/>
          <w:sz w:val="24"/>
        </w:rPr>
        <w:t>。</w:t>
      </w:r>
    </w:p>
    <w:p w14:paraId="4EC99FA4">
      <w:pPr>
        <w:tabs>
          <w:tab w:val="left" w:pos="280"/>
        </w:tabs>
        <w:spacing w:line="360" w:lineRule="auto"/>
        <w:ind w:firstLine="482"/>
        <w:jc w:val="center"/>
        <w:rPr>
          <w:rFonts w:ascii="宋体" w:hAnsi="宋体"/>
          <w:b/>
          <w:color w:val="000000"/>
          <w:sz w:val="24"/>
        </w:rPr>
      </w:pPr>
      <w:r>
        <w:rPr>
          <w:rFonts w:hint="eastAsia" w:ascii="宋体" w:hAnsi="宋体"/>
          <w:b/>
          <w:color w:val="000000"/>
          <w:sz w:val="24"/>
        </w:rPr>
        <w:t>表6.1-3  不同粒径尘粒的沉降速度</w:t>
      </w:r>
    </w:p>
    <w:tbl>
      <w:tblPr>
        <w:tblStyle w:val="27"/>
        <w:tblW w:w="0" w:type="auto"/>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695"/>
        <w:gridCol w:w="971"/>
        <w:gridCol w:w="970"/>
        <w:gridCol w:w="873"/>
        <w:gridCol w:w="1006"/>
        <w:gridCol w:w="1006"/>
        <w:gridCol w:w="970"/>
        <w:gridCol w:w="1037"/>
      </w:tblGrid>
      <w:tr w14:paraId="6FF0ED8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548" w:hRule="atLeast"/>
          <w:jc w:val="center"/>
        </w:trPr>
        <w:tc>
          <w:tcPr>
            <w:tcW w:w="1695" w:type="dxa"/>
            <w:noWrap w:val="0"/>
            <w:vAlign w:val="center"/>
          </w:tcPr>
          <w:p w14:paraId="416371C2">
            <w:pPr>
              <w:jc w:val="center"/>
              <w:rPr>
                <w:rFonts w:ascii="宋体" w:hAnsi="宋体"/>
                <w:color w:val="000000"/>
              </w:rPr>
            </w:pPr>
            <w:r>
              <w:rPr>
                <w:rFonts w:ascii="宋体" w:hAnsi="宋体"/>
                <w:color w:val="000000"/>
              </w:rPr>
              <w:t>粒径，μm</w:t>
            </w:r>
          </w:p>
        </w:tc>
        <w:tc>
          <w:tcPr>
            <w:tcW w:w="971" w:type="dxa"/>
            <w:noWrap w:val="0"/>
            <w:vAlign w:val="center"/>
          </w:tcPr>
          <w:p w14:paraId="3267E4BA">
            <w:pPr>
              <w:jc w:val="center"/>
              <w:rPr>
                <w:rFonts w:ascii="宋体" w:hAnsi="宋体"/>
                <w:color w:val="000000"/>
              </w:rPr>
            </w:pPr>
            <w:r>
              <w:rPr>
                <w:rFonts w:ascii="宋体" w:hAnsi="宋体"/>
                <w:color w:val="000000"/>
              </w:rPr>
              <w:t>10</w:t>
            </w:r>
          </w:p>
        </w:tc>
        <w:tc>
          <w:tcPr>
            <w:tcW w:w="970" w:type="dxa"/>
            <w:noWrap w:val="0"/>
            <w:vAlign w:val="center"/>
          </w:tcPr>
          <w:p w14:paraId="7DCC4660">
            <w:pPr>
              <w:jc w:val="center"/>
              <w:rPr>
                <w:rFonts w:ascii="宋体" w:hAnsi="宋体"/>
                <w:color w:val="000000"/>
              </w:rPr>
            </w:pPr>
            <w:r>
              <w:rPr>
                <w:rFonts w:ascii="宋体" w:hAnsi="宋体"/>
                <w:color w:val="000000"/>
              </w:rPr>
              <w:t>20</w:t>
            </w:r>
          </w:p>
        </w:tc>
        <w:tc>
          <w:tcPr>
            <w:tcW w:w="873" w:type="dxa"/>
            <w:noWrap w:val="0"/>
            <w:vAlign w:val="center"/>
          </w:tcPr>
          <w:p w14:paraId="6338F1CE">
            <w:pPr>
              <w:jc w:val="center"/>
              <w:rPr>
                <w:rFonts w:ascii="宋体" w:hAnsi="宋体"/>
                <w:color w:val="000000"/>
              </w:rPr>
            </w:pPr>
            <w:r>
              <w:rPr>
                <w:rFonts w:ascii="宋体" w:hAnsi="宋体"/>
                <w:color w:val="000000"/>
              </w:rPr>
              <w:t>30</w:t>
            </w:r>
          </w:p>
        </w:tc>
        <w:tc>
          <w:tcPr>
            <w:tcW w:w="1006" w:type="dxa"/>
            <w:noWrap w:val="0"/>
            <w:vAlign w:val="center"/>
          </w:tcPr>
          <w:p w14:paraId="70B29364">
            <w:pPr>
              <w:jc w:val="center"/>
              <w:rPr>
                <w:rFonts w:ascii="宋体" w:hAnsi="宋体"/>
                <w:color w:val="000000"/>
              </w:rPr>
            </w:pPr>
            <w:r>
              <w:rPr>
                <w:rFonts w:ascii="宋体" w:hAnsi="宋体"/>
                <w:color w:val="000000"/>
              </w:rPr>
              <w:t>40</w:t>
            </w:r>
          </w:p>
        </w:tc>
        <w:tc>
          <w:tcPr>
            <w:tcW w:w="1006" w:type="dxa"/>
            <w:noWrap w:val="0"/>
            <w:vAlign w:val="center"/>
          </w:tcPr>
          <w:p w14:paraId="34C8CB02">
            <w:pPr>
              <w:jc w:val="center"/>
              <w:rPr>
                <w:rFonts w:ascii="宋体" w:hAnsi="宋体"/>
                <w:color w:val="000000"/>
              </w:rPr>
            </w:pPr>
            <w:r>
              <w:rPr>
                <w:rFonts w:ascii="宋体" w:hAnsi="宋体"/>
                <w:color w:val="000000"/>
              </w:rPr>
              <w:t>50</w:t>
            </w:r>
          </w:p>
        </w:tc>
        <w:tc>
          <w:tcPr>
            <w:tcW w:w="970" w:type="dxa"/>
            <w:noWrap w:val="0"/>
            <w:vAlign w:val="center"/>
          </w:tcPr>
          <w:p w14:paraId="021FB850">
            <w:pPr>
              <w:jc w:val="center"/>
              <w:rPr>
                <w:rFonts w:ascii="宋体" w:hAnsi="宋体"/>
                <w:color w:val="000000"/>
              </w:rPr>
            </w:pPr>
            <w:r>
              <w:rPr>
                <w:rFonts w:ascii="宋体" w:hAnsi="宋体"/>
                <w:color w:val="000000"/>
              </w:rPr>
              <w:t>60</w:t>
            </w:r>
          </w:p>
        </w:tc>
        <w:tc>
          <w:tcPr>
            <w:tcW w:w="1037" w:type="dxa"/>
            <w:noWrap w:val="0"/>
            <w:vAlign w:val="center"/>
          </w:tcPr>
          <w:p w14:paraId="1DFA7B85">
            <w:pPr>
              <w:jc w:val="center"/>
              <w:rPr>
                <w:rFonts w:ascii="宋体" w:hAnsi="宋体"/>
                <w:color w:val="000000"/>
              </w:rPr>
            </w:pPr>
            <w:r>
              <w:rPr>
                <w:rFonts w:ascii="宋体" w:hAnsi="宋体"/>
                <w:color w:val="000000"/>
              </w:rPr>
              <w:t>70</w:t>
            </w:r>
          </w:p>
        </w:tc>
      </w:tr>
      <w:tr w14:paraId="7C77579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570" w:hRule="atLeast"/>
          <w:jc w:val="center"/>
        </w:trPr>
        <w:tc>
          <w:tcPr>
            <w:tcW w:w="1695" w:type="dxa"/>
            <w:noWrap w:val="0"/>
            <w:vAlign w:val="center"/>
          </w:tcPr>
          <w:p w14:paraId="19631FC8">
            <w:pPr>
              <w:jc w:val="center"/>
              <w:rPr>
                <w:rFonts w:ascii="宋体" w:hAnsi="宋体"/>
                <w:color w:val="000000"/>
              </w:rPr>
            </w:pPr>
            <w:r>
              <w:rPr>
                <w:rFonts w:ascii="宋体" w:hAnsi="宋体"/>
                <w:color w:val="000000"/>
              </w:rPr>
              <w:t>沉降速度，m/s</w:t>
            </w:r>
          </w:p>
        </w:tc>
        <w:tc>
          <w:tcPr>
            <w:tcW w:w="971" w:type="dxa"/>
            <w:noWrap w:val="0"/>
            <w:vAlign w:val="center"/>
          </w:tcPr>
          <w:p w14:paraId="53B250E7">
            <w:pPr>
              <w:jc w:val="center"/>
              <w:rPr>
                <w:rFonts w:ascii="宋体" w:hAnsi="宋体"/>
                <w:color w:val="000000"/>
              </w:rPr>
            </w:pPr>
            <w:r>
              <w:rPr>
                <w:rFonts w:ascii="宋体" w:hAnsi="宋体"/>
                <w:color w:val="000000"/>
              </w:rPr>
              <w:t>0.003</w:t>
            </w:r>
          </w:p>
        </w:tc>
        <w:tc>
          <w:tcPr>
            <w:tcW w:w="970" w:type="dxa"/>
            <w:noWrap w:val="0"/>
            <w:vAlign w:val="center"/>
          </w:tcPr>
          <w:p w14:paraId="6C936082">
            <w:pPr>
              <w:jc w:val="center"/>
              <w:rPr>
                <w:rFonts w:ascii="宋体" w:hAnsi="宋体"/>
                <w:color w:val="000000"/>
              </w:rPr>
            </w:pPr>
            <w:r>
              <w:rPr>
                <w:rFonts w:ascii="宋体" w:hAnsi="宋体"/>
                <w:color w:val="000000"/>
              </w:rPr>
              <w:t>0.012</w:t>
            </w:r>
          </w:p>
        </w:tc>
        <w:tc>
          <w:tcPr>
            <w:tcW w:w="873" w:type="dxa"/>
            <w:noWrap w:val="0"/>
            <w:vAlign w:val="center"/>
          </w:tcPr>
          <w:p w14:paraId="017DC4A8">
            <w:pPr>
              <w:jc w:val="center"/>
              <w:rPr>
                <w:rFonts w:ascii="宋体" w:hAnsi="宋体"/>
                <w:color w:val="000000"/>
              </w:rPr>
            </w:pPr>
            <w:r>
              <w:rPr>
                <w:rFonts w:ascii="宋体" w:hAnsi="宋体"/>
                <w:color w:val="000000"/>
              </w:rPr>
              <w:t>0.027</w:t>
            </w:r>
          </w:p>
        </w:tc>
        <w:tc>
          <w:tcPr>
            <w:tcW w:w="1006" w:type="dxa"/>
            <w:noWrap w:val="0"/>
            <w:vAlign w:val="center"/>
          </w:tcPr>
          <w:p w14:paraId="021728CC">
            <w:pPr>
              <w:jc w:val="center"/>
              <w:rPr>
                <w:rFonts w:ascii="宋体" w:hAnsi="宋体"/>
                <w:color w:val="000000"/>
              </w:rPr>
            </w:pPr>
            <w:r>
              <w:rPr>
                <w:rFonts w:ascii="宋体" w:hAnsi="宋体"/>
                <w:color w:val="000000"/>
              </w:rPr>
              <w:t>0.048</w:t>
            </w:r>
          </w:p>
        </w:tc>
        <w:tc>
          <w:tcPr>
            <w:tcW w:w="1006" w:type="dxa"/>
            <w:noWrap w:val="0"/>
            <w:vAlign w:val="center"/>
          </w:tcPr>
          <w:p w14:paraId="33CABCFC">
            <w:pPr>
              <w:jc w:val="center"/>
              <w:rPr>
                <w:rFonts w:ascii="宋体" w:hAnsi="宋体"/>
                <w:color w:val="000000"/>
              </w:rPr>
            </w:pPr>
            <w:r>
              <w:rPr>
                <w:rFonts w:ascii="宋体" w:hAnsi="宋体"/>
                <w:color w:val="000000"/>
              </w:rPr>
              <w:t>0.075</w:t>
            </w:r>
          </w:p>
        </w:tc>
        <w:tc>
          <w:tcPr>
            <w:tcW w:w="970" w:type="dxa"/>
            <w:noWrap w:val="0"/>
            <w:vAlign w:val="center"/>
          </w:tcPr>
          <w:p w14:paraId="158F1A0D">
            <w:pPr>
              <w:jc w:val="center"/>
              <w:rPr>
                <w:rFonts w:ascii="宋体" w:hAnsi="宋体"/>
                <w:color w:val="000000"/>
              </w:rPr>
            </w:pPr>
            <w:r>
              <w:rPr>
                <w:rFonts w:ascii="宋体" w:hAnsi="宋体"/>
                <w:color w:val="000000"/>
              </w:rPr>
              <w:t>0.108</w:t>
            </w:r>
          </w:p>
        </w:tc>
        <w:tc>
          <w:tcPr>
            <w:tcW w:w="1037" w:type="dxa"/>
            <w:noWrap w:val="0"/>
            <w:vAlign w:val="center"/>
          </w:tcPr>
          <w:p w14:paraId="7FFDE49D">
            <w:pPr>
              <w:jc w:val="center"/>
              <w:rPr>
                <w:rFonts w:ascii="宋体" w:hAnsi="宋体"/>
                <w:color w:val="000000"/>
              </w:rPr>
            </w:pPr>
            <w:r>
              <w:rPr>
                <w:rFonts w:ascii="宋体" w:hAnsi="宋体"/>
                <w:color w:val="000000"/>
              </w:rPr>
              <w:t>0.147</w:t>
            </w:r>
          </w:p>
        </w:tc>
      </w:tr>
      <w:tr w14:paraId="5BE30C8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570" w:hRule="atLeast"/>
          <w:jc w:val="center"/>
        </w:trPr>
        <w:tc>
          <w:tcPr>
            <w:tcW w:w="1695" w:type="dxa"/>
            <w:noWrap w:val="0"/>
            <w:vAlign w:val="center"/>
          </w:tcPr>
          <w:p w14:paraId="57CFBA7E">
            <w:pPr>
              <w:jc w:val="center"/>
              <w:rPr>
                <w:rFonts w:ascii="宋体" w:hAnsi="宋体"/>
                <w:color w:val="000000"/>
              </w:rPr>
            </w:pPr>
            <w:r>
              <w:rPr>
                <w:rFonts w:ascii="宋体" w:hAnsi="宋体"/>
                <w:color w:val="000000"/>
              </w:rPr>
              <w:t>粒径，μm</w:t>
            </w:r>
          </w:p>
        </w:tc>
        <w:tc>
          <w:tcPr>
            <w:tcW w:w="971" w:type="dxa"/>
            <w:noWrap w:val="0"/>
            <w:vAlign w:val="center"/>
          </w:tcPr>
          <w:p w14:paraId="75BDFAAB">
            <w:pPr>
              <w:jc w:val="center"/>
              <w:rPr>
                <w:rFonts w:ascii="宋体" w:hAnsi="宋体"/>
                <w:color w:val="000000"/>
              </w:rPr>
            </w:pPr>
            <w:r>
              <w:rPr>
                <w:rFonts w:ascii="宋体" w:hAnsi="宋体"/>
                <w:color w:val="000000"/>
              </w:rPr>
              <w:t>80</w:t>
            </w:r>
          </w:p>
        </w:tc>
        <w:tc>
          <w:tcPr>
            <w:tcW w:w="970" w:type="dxa"/>
            <w:noWrap w:val="0"/>
            <w:vAlign w:val="center"/>
          </w:tcPr>
          <w:p w14:paraId="3EC4C752">
            <w:pPr>
              <w:jc w:val="center"/>
              <w:rPr>
                <w:rFonts w:ascii="宋体" w:hAnsi="宋体"/>
                <w:color w:val="000000"/>
              </w:rPr>
            </w:pPr>
            <w:r>
              <w:rPr>
                <w:rFonts w:ascii="宋体" w:hAnsi="宋体"/>
                <w:color w:val="000000"/>
              </w:rPr>
              <w:t>90</w:t>
            </w:r>
          </w:p>
        </w:tc>
        <w:tc>
          <w:tcPr>
            <w:tcW w:w="873" w:type="dxa"/>
            <w:noWrap w:val="0"/>
            <w:vAlign w:val="center"/>
          </w:tcPr>
          <w:p w14:paraId="2B8CF8E9">
            <w:pPr>
              <w:jc w:val="center"/>
              <w:rPr>
                <w:rFonts w:ascii="宋体" w:hAnsi="宋体"/>
                <w:color w:val="000000"/>
              </w:rPr>
            </w:pPr>
            <w:r>
              <w:rPr>
                <w:rFonts w:ascii="宋体" w:hAnsi="宋体"/>
                <w:color w:val="000000"/>
              </w:rPr>
              <w:t>100</w:t>
            </w:r>
          </w:p>
        </w:tc>
        <w:tc>
          <w:tcPr>
            <w:tcW w:w="1006" w:type="dxa"/>
            <w:noWrap w:val="0"/>
            <w:vAlign w:val="center"/>
          </w:tcPr>
          <w:p w14:paraId="1D707A74">
            <w:pPr>
              <w:jc w:val="center"/>
              <w:rPr>
                <w:rFonts w:ascii="宋体" w:hAnsi="宋体"/>
                <w:color w:val="000000"/>
              </w:rPr>
            </w:pPr>
            <w:r>
              <w:rPr>
                <w:rFonts w:ascii="宋体" w:hAnsi="宋体"/>
                <w:color w:val="000000"/>
              </w:rPr>
              <w:t>156.06</w:t>
            </w:r>
          </w:p>
        </w:tc>
        <w:tc>
          <w:tcPr>
            <w:tcW w:w="1006" w:type="dxa"/>
            <w:noWrap w:val="0"/>
            <w:vAlign w:val="center"/>
          </w:tcPr>
          <w:p w14:paraId="562C087E">
            <w:pPr>
              <w:jc w:val="center"/>
              <w:rPr>
                <w:rFonts w:ascii="宋体" w:hAnsi="宋体"/>
                <w:color w:val="000000"/>
              </w:rPr>
            </w:pPr>
            <w:r>
              <w:rPr>
                <w:rFonts w:ascii="宋体" w:hAnsi="宋体"/>
                <w:color w:val="000000"/>
              </w:rPr>
              <w:t>200</w:t>
            </w:r>
          </w:p>
        </w:tc>
        <w:tc>
          <w:tcPr>
            <w:tcW w:w="970" w:type="dxa"/>
            <w:noWrap w:val="0"/>
            <w:vAlign w:val="center"/>
          </w:tcPr>
          <w:p w14:paraId="7FDA34AD">
            <w:pPr>
              <w:jc w:val="center"/>
              <w:rPr>
                <w:rFonts w:ascii="宋体" w:hAnsi="宋体"/>
                <w:color w:val="000000"/>
              </w:rPr>
            </w:pPr>
            <w:r>
              <w:rPr>
                <w:rFonts w:ascii="宋体" w:hAnsi="宋体"/>
                <w:color w:val="000000"/>
              </w:rPr>
              <w:t>250</w:t>
            </w:r>
          </w:p>
        </w:tc>
        <w:tc>
          <w:tcPr>
            <w:tcW w:w="1037" w:type="dxa"/>
            <w:noWrap w:val="0"/>
            <w:vAlign w:val="center"/>
          </w:tcPr>
          <w:p w14:paraId="3E856D75">
            <w:pPr>
              <w:jc w:val="center"/>
              <w:rPr>
                <w:rFonts w:ascii="宋体" w:hAnsi="宋体"/>
                <w:color w:val="000000"/>
              </w:rPr>
            </w:pPr>
            <w:r>
              <w:rPr>
                <w:rFonts w:ascii="宋体" w:hAnsi="宋体"/>
                <w:color w:val="000000"/>
              </w:rPr>
              <w:t>350</w:t>
            </w:r>
          </w:p>
        </w:tc>
      </w:tr>
      <w:tr w14:paraId="4A6F42C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548" w:hRule="atLeast"/>
          <w:jc w:val="center"/>
        </w:trPr>
        <w:tc>
          <w:tcPr>
            <w:tcW w:w="1695" w:type="dxa"/>
            <w:noWrap w:val="0"/>
            <w:vAlign w:val="center"/>
          </w:tcPr>
          <w:p w14:paraId="3B7F72F6">
            <w:pPr>
              <w:jc w:val="center"/>
              <w:rPr>
                <w:rFonts w:ascii="宋体" w:hAnsi="宋体"/>
                <w:color w:val="000000"/>
              </w:rPr>
            </w:pPr>
            <w:r>
              <w:rPr>
                <w:rFonts w:ascii="宋体" w:hAnsi="宋体"/>
                <w:color w:val="000000"/>
              </w:rPr>
              <w:t>沉降速度，m/s</w:t>
            </w:r>
          </w:p>
        </w:tc>
        <w:tc>
          <w:tcPr>
            <w:tcW w:w="971" w:type="dxa"/>
            <w:noWrap w:val="0"/>
            <w:vAlign w:val="center"/>
          </w:tcPr>
          <w:p w14:paraId="359B6DA8">
            <w:pPr>
              <w:jc w:val="center"/>
              <w:rPr>
                <w:rFonts w:ascii="宋体" w:hAnsi="宋体"/>
                <w:color w:val="000000"/>
              </w:rPr>
            </w:pPr>
            <w:r>
              <w:rPr>
                <w:rFonts w:ascii="宋体" w:hAnsi="宋体"/>
                <w:color w:val="000000"/>
              </w:rPr>
              <w:t>0.158</w:t>
            </w:r>
          </w:p>
        </w:tc>
        <w:tc>
          <w:tcPr>
            <w:tcW w:w="970" w:type="dxa"/>
            <w:noWrap w:val="0"/>
            <w:vAlign w:val="center"/>
          </w:tcPr>
          <w:p w14:paraId="4F62A9AF">
            <w:pPr>
              <w:jc w:val="center"/>
              <w:rPr>
                <w:rFonts w:ascii="宋体" w:hAnsi="宋体"/>
                <w:color w:val="000000"/>
              </w:rPr>
            </w:pPr>
            <w:r>
              <w:rPr>
                <w:rFonts w:ascii="宋体" w:hAnsi="宋体"/>
                <w:color w:val="000000"/>
              </w:rPr>
              <w:t>0.170</w:t>
            </w:r>
          </w:p>
        </w:tc>
        <w:tc>
          <w:tcPr>
            <w:tcW w:w="873" w:type="dxa"/>
            <w:noWrap w:val="0"/>
            <w:vAlign w:val="center"/>
          </w:tcPr>
          <w:p w14:paraId="174DBC6E">
            <w:pPr>
              <w:jc w:val="center"/>
              <w:rPr>
                <w:rFonts w:ascii="宋体" w:hAnsi="宋体"/>
                <w:color w:val="000000"/>
              </w:rPr>
            </w:pPr>
            <w:r>
              <w:rPr>
                <w:rFonts w:ascii="宋体" w:hAnsi="宋体"/>
                <w:color w:val="000000"/>
              </w:rPr>
              <w:t>0.182</w:t>
            </w:r>
          </w:p>
        </w:tc>
        <w:tc>
          <w:tcPr>
            <w:tcW w:w="1006" w:type="dxa"/>
            <w:noWrap w:val="0"/>
            <w:vAlign w:val="center"/>
          </w:tcPr>
          <w:p w14:paraId="30901B9F">
            <w:pPr>
              <w:jc w:val="center"/>
              <w:rPr>
                <w:rFonts w:ascii="宋体" w:hAnsi="宋体"/>
                <w:color w:val="000000"/>
              </w:rPr>
            </w:pPr>
            <w:r>
              <w:rPr>
                <w:rFonts w:ascii="宋体" w:hAnsi="宋体"/>
                <w:color w:val="000000"/>
              </w:rPr>
              <w:t>0.239</w:t>
            </w:r>
          </w:p>
        </w:tc>
        <w:tc>
          <w:tcPr>
            <w:tcW w:w="1006" w:type="dxa"/>
            <w:noWrap w:val="0"/>
            <w:vAlign w:val="center"/>
          </w:tcPr>
          <w:p w14:paraId="2C928CB3">
            <w:pPr>
              <w:jc w:val="center"/>
              <w:rPr>
                <w:rFonts w:ascii="宋体" w:hAnsi="宋体"/>
                <w:color w:val="000000"/>
              </w:rPr>
            </w:pPr>
            <w:r>
              <w:rPr>
                <w:rFonts w:ascii="宋体" w:hAnsi="宋体"/>
                <w:color w:val="000000"/>
              </w:rPr>
              <w:t>0.804</w:t>
            </w:r>
          </w:p>
        </w:tc>
        <w:tc>
          <w:tcPr>
            <w:tcW w:w="970" w:type="dxa"/>
            <w:noWrap w:val="0"/>
            <w:vAlign w:val="center"/>
          </w:tcPr>
          <w:p w14:paraId="6C294877">
            <w:pPr>
              <w:jc w:val="center"/>
              <w:rPr>
                <w:rFonts w:ascii="宋体" w:hAnsi="宋体"/>
                <w:color w:val="000000"/>
              </w:rPr>
            </w:pPr>
            <w:r>
              <w:rPr>
                <w:rFonts w:ascii="宋体" w:hAnsi="宋体"/>
                <w:color w:val="000000"/>
              </w:rPr>
              <w:t>1.005</w:t>
            </w:r>
          </w:p>
        </w:tc>
        <w:tc>
          <w:tcPr>
            <w:tcW w:w="1037" w:type="dxa"/>
            <w:noWrap w:val="0"/>
            <w:vAlign w:val="center"/>
          </w:tcPr>
          <w:p w14:paraId="57236CEE">
            <w:pPr>
              <w:jc w:val="center"/>
              <w:rPr>
                <w:rFonts w:ascii="宋体" w:hAnsi="宋体"/>
                <w:color w:val="000000"/>
              </w:rPr>
            </w:pPr>
            <w:r>
              <w:rPr>
                <w:rFonts w:ascii="宋体" w:hAnsi="宋体"/>
                <w:color w:val="000000"/>
              </w:rPr>
              <w:t>1.829</w:t>
            </w:r>
          </w:p>
        </w:tc>
      </w:tr>
      <w:tr w14:paraId="124E88D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570" w:hRule="atLeast"/>
          <w:jc w:val="center"/>
        </w:trPr>
        <w:tc>
          <w:tcPr>
            <w:tcW w:w="1695" w:type="dxa"/>
            <w:noWrap w:val="0"/>
            <w:vAlign w:val="center"/>
          </w:tcPr>
          <w:p w14:paraId="44210622">
            <w:pPr>
              <w:jc w:val="center"/>
              <w:rPr>
                <w:rFonts w:ascii="宋体" w:hAnsi="宋体"/>
                <w:color w:val="000000"/>
              </w:rPr>
            </w:pPr>
            <w:r>
              <w:rPr>
                <w:rFonts w:ascii="宋体" w:hAnsi="宋体"/>
                <w:color w:val="000000"/>
              </w:rPr>
              <w:t>粒径，μm</w:t>
            </w:r>
          </w:p>
        </w:tc>
        <w:tc>
          <w:tcPr>
            <w:tcW w:w="971" w:type="dxa"/>
            <w:noWrap w:val="0"/>
            <w:vAlign w:val="center"/>
          </w:tcPr>
          <w:p w14:paraId="7770DD04">
            <w:pPr>
              <w:jc w:val="center"/>
              <w:rPr>
                <w:rFonts w:ascii="宋体" w:hAnsi="宋体"/>
                <w:color w:val="000000"/>
              </w:rPr>
            </w:pPr>
            <w:r>
              <w:rPr>
                <w:rFonts w:ascii="宋体" w:hAnsi="宋体"/>
                <w:color w:val="000000"/>
              </w:rPr>
              <w:t>450</w:t>
            </w:r>
          </w:p>
        </w:tc>
        <w:tc>
          <w:tcPr>
            <w:tcW w:w="970" w:type="dxa"/>
            <w:noWrap w:val="0"/>
            <w:vAlign w:val="center"/>
          </w:tcPr>
          <w:p w14:paraId="5F40EEF2">
            <w:pPr>
              <w:jc w:val="center"/>
              <w:rPr>
                <w:rFonts w:ascii="宋体" w:hAnsi="宋体"/>
                <w:color w:val="000000"/>
              </w:rPr>
            </w:pPr>
            <w:r>
              <w:rPr>
                <w:rFonts w:ascii="宋体" w:hAnsi="宋体"/>
                <w:color w:val="000000"/>
              </w:rPr>
              <w:t>550</w:t>
            </w:r>
          </w:p>
        </w:tc>
        <w:tc>
          <w:tcPr>
            <w:tcW w:w="873" w:type="dxa"/>
            <w:noWrap w:val="0"/>
            <w:vAlign w:val="center"/>
          </w:tcPr>
          <w:p w14:paraId="1CC90DED">
            <w:pPr>
              <w:jc w:val="center"/>
              <w:rPr>
                <w:rFonts w:ascii="宋体" w:hAnsi="宋体"/>
                <w:color w:val="000000"/>
              </w:rPr>
            </w:pPr>
            <w:r>
              <w:rPr>
                <w:rFonts w:ascii="宋体" w:hAnsi="宋体"/>
                <w:color w:val="000000"/>
              </w:rPr>
              <w:t>650</w:t>
            </w:r>
          </w:p>
        </w:tc>
        <w:tc>
          <w:tcPr>
            <w:tcW w:w="1006" w:type="dxa"/>
            <w:noWrap w:val="0"/>
            <w:vAlign w:val="center"/>
          </w:tcPr>
          <w:p w14:paraId="1D2D69F9">
            <w:pPr>
              <w:jc w:val="center"/>
              <w:rPr>
                <w:rFonts w:ascii="宋体" w:hAnsi="宋体"/>
                <w:color w:val="000000"/>
              </w:rPr>
            </w:pPr>
            <w:r>
              <w:rPr>
                <w:rFonts w:ascii="宋体" w:hAnsi="宋体"/>
                <w:color w:val="000000"/>
              </w:rPr>
              <w:t>750</w:t>
            </w:r>
          </w:p>
        </w:tc>
        <w:tc>
          <w:tcPr>
            <w:tcW w:w="1006" w:type="dxa"/>
            <w:noWrap w:val="0"/>
            <w:vAlign w:val="center"/>
          </w:tcPr>
          <w:p w14:paraId="1E1348C7">
            <w:pPr>
              <w:jc w:val="center"/>
              <w:rPr>
                <w:rFonts w:ascii="宋体" w:hAnsi="宋体"/>
                <w:color w:val="000000"/>
              </w:rPr>
            </w:pPr>
            <w:r>
              <w:rPr>
                <w:rFonts w:ascii="宋体" w:hAnsi="宋体"/>
                <w:color w:val="000000"/>
              </w:rPr>
              <w:t>850</w:t>
            </w:r>
          </w:p>
        </w:tc>
        <w:tc>
          <w:tcPr>
            <w:tcW w:w="970" w:type="dxa"/>
            <w:noWrap w:val="0"/>
            <w:vAlign w:val="center"/>
          </w:tcPr>
          <w:p w14:paraId="60F00F48">
            <w:pPr>
              <w:jc w:val="center"/>
              <w:rPr>
                <w:rFonts w:ascii="宋体" w:hAnsi="宋体"/>
                <w:color w:val="000000"/>
              </w:rPr>
            </w:pPr>
            <w:r>
              <w:rPr>
                <w:rFonts w:ascii="宋体" w:hAnsi="宋体"/>
                <w:color w:val="000000"/>
              </w:rPr>
              <w:t>950</w:t>
            </w:r>
          </w:p>
        </w:tc>
        <w:tc>
          <w:tcPr>
            <w:tcW w:w="1037" w:type="dxa"/>
            <w:noWrap w:val="0"/>
            <w:vAlign w:val="center"/>
          </w:tcPr>
          <w:p w14:paraId="41ACD7D7">
            <w:pPr>
              <w:jc w:val="center"/>
              <w:rPr>
                <w:rFonts w:ascii="宋体" w:hAnsi="宋体"/>
                <w:color w:val="000000"/>
              </w:rPr>
            </w:pPr>
            <w:r>
              <w:rPr>
                <w:rFonts w:ascii="宋体" w:hAnsi="宋体"/>
                <w:color w:val="000000"/>
              </w:rPr>
              <w:t>1050</w:t>
            </w:r>
          </w:p>
        </w:tc>
      </w:tr>
      <w:tr w14:paraId="12943F1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503" w:hRule="atLeast"/>
          <w:jc w:val="center"/>
        </w:trPr>
        <w:tc>
          <w:tcPr>
            <w:tcW w:w="1695" w:type="dxa"/>
            <w:noWrap w:val="0"/>
            <w:vAlign w:val="center"/>
          </w:tcPr>
          <w:p w14:paraId="697ED4D9">
            <w:pPr>
              <w:jc w:val="center"/>
              <w:rPr>
                <w:rFonts w:ascii="宋体" w:hAnsi="宋体"/>
                <w:color w:val="000000"/>
              </w:rPr>
            </w:pPr>
            <w:r>
              <w:rPr>
                <w:rFonts w:ascii="宋体" w:hAnsi="宋体"/>
                <w:color w:val="000000"/>
              </w:rPr>
              <w:t>沉降速度，m/s</w:t>
            </w:r>
          </w:p>
        </w:tc>
        <w:tc>
          <w:tcPr>
            <w:tcW w:w="971" w:type="dxa"/>
            <w:noWrap w:val="0"/>
            <w:vAlign w:val="center"/>
          </w:tcPr>
          <w:p w14:paraId="447F8303">
            <w:pPr>
              <w:jc w:val="center"/>
              <w:rPr>
                <w:rFonts w:ascii="宋体" w:hAnsi="宋体"/>
                <w:color w:val="000000"/>
              </w:rPr>
            </w:pPr>
            <w:r>
              <w:rPr>
                <w:rFonts w:ascii="宋体" w:hAnsi="宋体"/>
                <w:color w:val="000000"/>
              </w:rPr>
              <w:t>2.211</w:t>
            </w:r>
          </w:p>
        </w:tc>
        <w:tc>
          <w:tcPr>
            <w:tcW w:w="970" w:type="dxa"/>
            <w:noWrap w:val="0"/>
            <w:vAlign w:val="center"/>
          </w:tcPr>
          <w:p w14:paraId="5797A222">
            <w:pPr>
              <w:jc w:val="center"/>
              <w:rPr>
                <w:rFonts w:ascii="宋体" w:hAnsi="宋体"/>
                <w:color w:val="000000"/>
              </w:rPr>
            </w:pPr>
            <w:r>
              <w:rPr>
                <w:rFonts w:ascii="宋体" w:hAnsi="宋体"/>
                <w:color w:val="000000"/>
              </w:rPr>
              <w:t>2.614</w:t>
            </w:r>
          </w:p>
        </w:tc>
        <w:tc>
          <w:tcPr>
            <w:tcW w:w="873" w:type="dxa"/>
            <w:noWrap w:val="0"/>
            <w:vAlign w:val="center"/>
          </w:tcPr>
          <w:p w14:paraId="36DE74C1">
            <w:pPr>
              <w:jc w:val="center"/>
              <w:rPr>
                <w:rFonts w:ascii="宋体" w:hAnsi="宋体"/>
                <w:color w:val="000000"/>
              </w:rPr>
            </w:pPr>
            <w:r>
              <w:rPr>
                <w:rFonts w:ascii="宋体" w:hAnsi="宋体"/>
                <w:color w:val="000000"/>
              </w:rPr>
              <w:t>3.016</w:t>
            </w:r>
          </w:p>
        </w:tc>
        <w:tc>
          <w:tcPr>
            <w:tcW w:w="1006" w:type="dxa"/>
            <w:noWrap w:val="0"/>
            <w:vAlign w:val="center"/>
          </w:tcPr>
          <w:p w14:paraId="7A5EEF76">
            <w:pPr>
              <w:jc w:val="center"/>
              <w:rPr>
                <w:rFonts w:ascii="宋体" w:hAnsi="宋体"/>
                <w:color w:val="000000"/>
              </w:rPr>
            </w:pPr>
            <w:r>
              <w:rPr>
                <w:rFonts w:ascii="宋体" w:hAnsi="宋体"/>
                <w:color w:val="000000"/>
              </w:rPr>
              <w:t>3.418</w:t>
            </w:r>
          </w:p>
        </w:tc>
        <w:tc>
          <w:tcPr>
            <w:tcW w:w="1006" w:type="dxa"/>
            <w:noWrap w:val="0"/>
            <w:vAlign w:val="center"/>
          </w:tcPr>
          <w:p w14:paraId="524F38C5">
            <w:pPr>
              <w:jc w:val="center"/>
              <w:rPr>
                <w:rFonts w:ascii="宋体" w:hAnsi="宋体"/>
                <w:color w:val="000000"/>
              </w:rPr>
            </w:pPr>
            <w:r>
              <w:rPr>
                <w:rFonts w:ascii="宋体" w:hAnsi="宋体"/>
                <w:color w:val="000000"/>
              </w:rPr>
              <w:t>3.820</w:t>
            </w:r>
          </w:p>
        </w:tc>
        <w:tc>
          <w:tcPr>
            <w:tcW w:w="970" w:type="dxa"/>
            <w:noWrap w:val="0"/>
            <w:vAlign w:val="center"/>
          </w:tcPr>
          <w:p w14:paraId="75575336">
            <w:pPr>
              <w:jc w:val="center"/>
              <w:rPr>
                <w:rFonts w:ascii="宋体" w:hAnsi="宋体"/>
                <w:color w:val="000000"/>
              </w:rPr>
            </w:pPr>
            <w:r>
              <w:rPr>
                <w:rFonts w:ascii="宋体" w:hAnsi="宋体"/>
                <w:color w:val="000000"/>
              </w:rPr>
              <w:t>4.222</w:t>
            </w:r>
          </w:p>
        </w:tc>
        <w:tc>
          <w:tcPr>
            <w:tcW w:w="1037" w:type="dxa"/>
            <w:noWrap w:val="0"/>
            <w:vAlign w:val="center"/>
          </w:tcPr>
          <w:p w14:paraId="2EEA5A91">
            <w:pPr>
              <w:jc w:val="center"/>
              <w:rPr>
                <w:rFonts w:ascii="宋体" w:hAnsi="宋体"/>
                <w:color w:val="000000"/>
              </w:rPr>
            </w:pPr>
            <w:r>
              <w:rPr>
                <w:rFonts w:ascii="宋体" w:hAnsi="宋体"/>
                <w:color w:val="000000"/>
              </w:rPr>
              <w:t>4.624</w:t>
            </w:r>
          </w:p>
        </w:tc>
      </w:tr>
    </w:tbl>
    <w:p w14:paraId="6A00EFA5">
      <w:pPr>
        <w:spacing w:line="360" w:lineRule="auto"/>
        <w:ind w:firstLine="480"/>
        <w:rPr>
          <w:rFonts w:hint="eastAsia" w:ascii="宋体" w:hAnsi="宋体"/>
          <w:color w:val="000000"/>
          <w:sz w:val="24"/>
        </w:rPr>
      </w:pPr>
      <w:r>
        <w:rPr>
          <w:rFonts w:hint="eastAsia" w:ascii="宋体" w:hAnsi="宋体"/>
          <w:color w:val="000000"/>
          <w:sz w:val="24"/>
        </w:rPr>
        <w:t>根据芒市气象资料分析，项目区</w:t>
      </w:r>
      <w:r>
        <w:rPr>
          <w:rFonts w:hint="eastAsia" w:ascii="宋体" w:hAnsi="宋体" w:cs="宋体"/>
          <w:color w:val="000000"/>
          <w:sz w:val="24"/>
        </w:rPr>
        <w:t>全年以西南风出现的频率最高，多年的年平均风速为0.9</w:t>
      </w:r>
      <w:r>
        <w:rPr>
          <w:rFonts w:hint="eastAsia" w:ascii="宋体" w:hAnsi="宋体"/>
          <w:color w:val="000000"/>
          <w:sz w:val="24"/>
        </w:rPr>
        <w:t>m/s，2010年风速最大为</w:t>
      </w:r>
      <w:r>
        <w:rPr>
          <w:rFonts w:hint="eastAsia" w:ascii="宋体" w:hAnsi="宋体" w:cs="宋体"/>
          <w:color w:val="000000"/>
          <w:sz w:val="24"/>
        </w:rPr>
        <w:t>1.56m/s</w:t>
      </w:r>
      <w:r>
        <w:rPr>
          <w:rFonts w:hint="eastAsia" w:ascii="宋体" w:hAnsi="宋体"/>
          <w:color w:val="000000"/>
          <w:sz w:val="24"/>
        </w:rPr>
        <w:t>。根据表6.1-4项目所在区风速小于2.1m/s，施工不易造成建筑施工工地下风向150</w:t>
      </w:r>
      <w:r>
        <w:rPr>
          <w:rFonts w:ascii="宋体" w:hAnsi="宋体"/>
          <w:color w:val="000000"/>
          <w:sz w:val="24"/>
        </w:rPr>
        <w:t>m</w:t>
      </w:r>
      <w:r>
        <w:rPr>
          <w:rFonts w:hint="eastAsia" w:ascii="宋体" w:hAnsi="宋体"/>
          <w:color w:val="000000"/>
          <w:sz w:val="24"/>
        </w:rPr>
        <w:t>范围内的TSP超过环境空气质量二级标准，但项目近距离范围内有可能超标，所以施工期间应注意降尘。</w:t>
      </w:r>
      <w:r>
        <w:rPr>
          <w:rFonts w:ascii="宋体" w:hAnsi="宋体"/>
          <w:color w:val="000000"/>
          <w:sz w:val="24"/>
        </w:rPr>
        <w:t>根据有关资料，在施工现场近地面的粉尘浓度一般为0.3－0.6mg/m</w:t>
      </w:r>
      <w:r>
        <w:rPr>
          <w:rFonts w:ascii="宋体" w:hAnsi="宋体"/>
          <w:color w:val="000000"/>
          <w:sz w:val="24"/>
          <w:vertAlign w:val="superscript"/>
        </w:rPr>
        <w:t>3</w:t>
      </w:r>
      <w:r>
        <w:rPr>
          <w:rFonts w:ascii="宋体" w:hAnsi="宋体"/>
          <w:color w:val="000000"/>
          <w:sz w:val="24"/>
        </w:rPr>
        <w:t>，随地面风速，开挖土方和弃土的湿度而发生较大变化。在干燥和风速较大的天气情况下，施工现场近地面粉尘浓度将会超过《环境空气质量标准》（GB309</w:t>
      </w:r>
      <w:r>
        <w:rPr>
          <w:rFonts w:hint="eastAsia" w:ascii="宋体" w:hAnsi="宋体"/>
          <w:color w:val="000000"/>
          <w:sz w:val="24"/>
        </w:rPr>
        <w:t>5</w:t>
      </w:r>
      <w:r>
        <w:rPr>
          <w:rFonts w:ascii="宋体" w:hAnsi="宋体"/>
          <w:color w:val="000000"/>
          <w:sz w:val="24"/>
        </w:rPr>
        <w:t>－</w:t>
      </w:r>
      <w:r>
        <w:rPr>
          <w:rFonts w:hint="eastAsia" w:ascii="宋体" w:hAnsi="宋体"/>
          <w:color w:val="000000"/>
          <w:sz w:val="24"/>
        </w:rPr>
        <w:t>2012</w:t>
      </w:r>
      <w:r>
        <w:rPr>
          <w:rFonts w:ascii="宋体" w:hAnsi="宋体"/>
          <w:color w:val="000000"/>
          <w:sz w:val="24"/>
        </w:rPr>
        <w:t>）二级标准中日平均值0.3 mg/m</w:t>
      </w:r>
      <w:r>
        <w:rPr>
          <w:rFonts w:ascii="宋体" w:hAnsi="宋体"/>
          <w:color w:val="000000"/>
          <w:sz w:val="24"/>
          <w:vertAlign w:val="superscript"/>
        </w:rPr>
        <w:t>3</w:t>
      </w:r>
      <w:r>
        <w:rPr>
          <w:rFonts w:ascii="宋体" w:hAnsi="宋体"/>
          <w:color w:val="000000"/>
          <w:sz w:val="24"/>
        </w:rPr>
        <w:t xml:space="preserve"> 的1－2倍，污染较严重。</w:t>
      </w:r>
    </w:p>
    <w:p w14:paraId="62EFC757">
      <w:pPr>
        <w:spacing w:line="360" w:lineRule="auto"/>
        <w:jc w:val="center"/>
        <w:rPr>
          <w:rFonts w:ascii="宋体" w:hAnsi="宋体"/>
          <w:b/>
          <w:bCs/>
          <w:color w:val="000000"/>
          <w:sz w:val="24"/>
        </w:rPr>
      </w:pPr>
      <w:r>
        <w:rPr>
          <w:rFonts w:hint="eastAsia" w:ascii="宋体" w:hAnsi="宋体"/>
          <w:b/>
          <w:bCs/>
          <w:color w:val="000000"/>
          <w:sz w:val="24"/>
        </w:rPr>
        <w:t>表6.1</w:t>
      </w:r>
      <w:r>
        <w:rPr>
          <w:rFonts w:ascii="宋体" w:hAnsi="宋体"/>
          <w:b/>
          <w:bCs/>
          <w:color w:val="000000"/>
          <w:sz w:val="24"/>
        </w:rPr>
        <w:t>-</w:t>
      </w:r>
      <w:r>
        <w:rPr>
          <w:rFonts w:hint="eastAsia" w:ascii="宋体" w:hAnsi="宋体"/>
          <w:b/>
          <w:bCs/>
          <w:color w:val="000000"/>
          <w:sz w:val="24"/>
        </w:rPr>
        <w:t>4</w:t>
      </w:r>
      <w:r>
        <w:rPr>
          <w:rFonts w:ascii="宋体" w:hAnsi="宋体"/>
          <w:b/>
          <w:bCs/>
          <w:color w:val="000000"/>
          <w:sz w:val="24"/>
        </w:rPr>
        <w:t xml:space="preserve">  </w:t>
      </w:r>
      <w:r>
        <w:rPr>
          <w:rFonts w:hint="eastAsia" w:ascii="宋体" w:hAnsi="宋体"/>
          <w:b/>
          <w:bCs/>
          <w:color w:val="000000"/>
          <w:sz w:val="24"/>
        </w:rPr>
        <w:t>类比建筑施工工地扬尘污染情况（</w:t>
      </w:r>
      <w:r>
        <w:rPr>
          <w:rFonts w:ascii="宋体" w:hAnsi="宋体"/>
          <w:b/>
          <w:bCs/>
          <w:color w:val="000000"/>
          <w:sz w:val="24"/>
        </w:rPr>
        <w:t>mg/m</w:t>
      </w:r>
      <w:r>
        <w:rPr>
          <w:rFonts w:ascii="宋体" w:hAnsi="宋体"/>
          <w:b/>
          <w:bCs/>
          <w:color w:val="000000"/>
          <w:sz w:val="24"/>
          <w:vertAlign w:val="superscript"/>
        </w:rPr>
        <w:t>3</w:t>
      </w:r>
      <w:r>
        <w:rPr>
          <w:rFonts w:hint="eastAsia" w:ascii="宋体" w:hAnsi="宋体"/>
          <w:b/>
          <w:bCs/>
          <w:color w:val="000000"/>
          <w:sz w:val="24"/>
        </w:rPr>
        <w:t>）</w:t>
      </w:r>
    </w:p>
    <w:tbl>
      <w:tblPr>
        <w:tblStyle w:val="27"/>
        <w:tblW w:w="0" w:type="auto"/>
        <w:tblInd w:w="-108" w:type="dxa"/>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Layout w:type="fixed"/>
        <w:tblCellMar>
          <w:top w:w="0" w:type="dxa"/>
          <w:left w:w="108" w:type="dxa"/>
          <w:bottom w:w="0" w:type="dxa"/>
          <w:right w:w="108" w:type="dxa"/>
        </w:tblCellMar>
      </w:tblPr>
      <w:tblGrid>
        <w:gridCol w:w="892"/>
        <w:gridCol w:w="1337"/>
        <w:gridCol w:w="1303"/>
        <w:gridCol w:w="1303"/>
        <w:gridCol w:w="1303"/>
        <w:gridCol w:w="1305"/>
        <w:gridCol w:w="1085"/>
      </w:tblGrid>
      <w:tr w14:paraId="24407E44">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c>
          <w:tcPr>
            <w:tcW w:w="892" w:type="dxa"/>
            <w:vMerge w:val="restart"/>
            <w:noWrap w:val="0"/>
            <w:vAlign w:val="top"/>
          </w:tcPr>
          <w:p w14:paraId="5CE94F3A">
            <w:pPr>
              <w:jc w:val="center"/>
              <w:rPr>
                <w:rFonts w:hint="eastAsia" w:ascii="宋体" w:hAnsi="宋体"/>
                <w:color w:val="000000"/>
              </w:rPr>
            </w:pPr>
            <w:r>
              <w:rPr>
                <w:rFonts w:hint="eastAsia" w:ascii="宋体" w:hAnsi="宋体"/>
                <w:color w:val="000000"/>
              </w:rPr>
              <w:t>检测</w:t>
            </w:r>
          </w:p>
          <w:p w14:paraId="7C7EB3AD">
            <w:pPr>
              <w:jc w:val="center"/>
              <w:rPr>
                <w:rFonts w:hint="eastAsia" w:ascii="宋体" w:hAnsi="宋体"/>
                <w:color w:val="000000"/>
              </w:rPr>
            </w:pPr>
            <w:r>
              <w:rPr>
                <w:rFonts w:hint="eastAsia" w:ascii="宋体" w:hAnsi="宋体"/>
                <w:color w:val="000000"/>
              </w:rPr>
              <w:t>位置</w:t>
            </w:r>
          </w:p>
        </w:tc>
        <w:tc>
          <w:tcPr>
            <w:tcW w:w="1337" w:type="dxa"/>
            <w:vMerge w:val="restart"/>
            <w:noWrap w:val="0"/>
            <w:vAlign w:val="center"/>
          </w:tcPr>
          <w:p w14:paraId="54FF33AF">
            <w:pPr>
              <w:jc w:val="center"/>
              <w:rPr>
                <w:rFonts w:ascii="宋体" w:hAnsi="宋体"/>
                <w:color w:val="000000"/>
              </w:rPr>
            </w:pPr>
            <w:r>
              <w:rPr>
                <w:rFonts w:hint="eastAsia" w:ascii="宋体" w:hAnsi="宋体"/>
                <w:color w:val="000000"/>
              </w:rPr>
              <w:t>工地上风向</w:t>
            </w:r>
            <w:r>
              <w:rPr>
                <w:rFonts w:ascii="宋体" w:hAnsi="宋体"/>
                <w:color w:val="000000"/>
              </w:rPr>
              <w:t>50m</w:t>
            </w:r>
          </w:p>
        </w:tc>
        <w:tc>
          <w:tcPr>
            <w:tcW w:w="1303" w:type="dxa"/>
            <w:vMerge w:val="restart"/>
            <w:noWrap w:val="0"/>
            <w:vAlign w:val="center"/>
          </w:tcPr>
          <w:p w14:paraId="0DC85363">
            <w:pPr>
              <w:jc w:val="center"/>
              <w:rPr>
                <w:rFonts w:ascii="宋体" w:hAnsi="宋体"/>
                <w:color w:val="000000"/>
              </w:rPr>
            </w:pPr>
            <w:r>
              <w:rPr>
                <w:rFonts w:hint="eastAsia" w:ascii="宋体" w:hAnsi="宋体"/>
                <w:color w:val="000000"/>
              </w:rPr>
              <w:t>工地内</w:t>
            </w:r>
          </w:p>
        </w:tc>
        <w:tc>
          <w:tcPr>
            <w:tcW w:w="3911" w:type="dxa"/>
            <w:gridSpan w:val="3"/>
            <w:noWrap w:val="0"/>
            <w:vAlign w:val="top"/>
          </w:tcPr>
          <w:p w14:paraId="49A496A2">
            <w:pPr>
              <w:spacing w:line="360" w:lineRule="auto"/>
              <w:ind w:firstLine="1365"/>
              <w:rPr>
                <w:rFonts w:ascii="宋体" w:hAnsi="宋体"/>
                <w:color w:val="000000"/>
                <w:sz w:val="24"/>
              </w:rPr>
            </w:pPr>
            <w:r>
              <w:rPr>
                <w:rFonts w:hint="eastAsia" w:ascii="宋体" w:hAnsi="宋体"/>
                <w:color w:val="000000"/>
              </w:rPr>
              <w:t>工地下风向</w:t>
            </w:r>
          </w:p>
        </w:tc>
        <w:tc>
          <w:tcPr>
            <w:tcW w:w="1085" w:type="dxa"/>
            <w:vMerge w:val="restart"/>
            <w:noWrap w:val="0"/>
            <w:vAlign w:val="center"/>
          </w:tcPr>
          <w:p w14:paraId="52768F39">
            <w:pPr>
              <w:jc w:val="center"/>
              <w:rPr>
                <w:rFonts w:ascii="宋体" w:hAnsi="宋体"/>
                <w:color w:val="000000"/>
              </w:rPr>
            </w:pPr>
            <w:r>
              <w:rPr>
                <w:rFonts w:hint="eastAsia" w:ascii="宋体" w:hAnsi="宋体"/>
                <w:color w:val="000000"/>
              </w:rPr>
              <w:t>备注</w:t>
            </w:r>
          </w:p>
        </w:tc>
      </w:tr>
      <w:tr w14:paraId="00855A4B">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c>
          <w:tcPr>
            <w:tcW w:w="892" w:type="dxa"/>
            <w:vMerge w:val="continue"/>
            <w:noWrap w:val="0"/>
            <w:vAlign w:val="top"/>
          </w:tcPr>
          <w:p w14:paraId="7D2DB3E9">
            <w:pPr>
              <w:spacing w:line="360" w:lineRule="auto"/>
              <w:rPr>
                <w:rFonts w:ascii="宋体" w:hAnsi="宋体"/>
                <w:color w:val="000000"/>
                <w:sz w:val="24"/>
              </w:rPr>
            </w:pPr>
          </w:p>
        </w:tc>
        <w:tc>
          <w:tcPr>
            <w:tcW w:w="1337" w:type="dxa"/>
            <w:vMerge w:val="continue"/>
            <w:noWrap w:val="0"/>
            <w:vAlign w:val="top"/>
          </w:tcPr>
          <w:p w14:paraId="56407936">
            <w:pPr>
              <w:spacing w:line="360" w:lineRule="auto"/>
              <w:rPr>
                <w:rFonts w:ascii="宋体" w:hAnsi="宋体"/>
                <w:color w:val="000000"/>
                <w:sz w:val="24"/>
              </w:rPr>
            </w:pPr>
          </w:p>
        </w:tc>
        <w:tc>
          <w:tcPr>
            <w:tcW w:w="1303" w:type="dxa"/>
            <w:vMerge w:val="continue"/>
            <w:noWrap w:val="0"/>
            <w:vAlign w:val="top"/>
          </w:tcPr>
          <w:p w14:paraId="2D5E6793">
            <w:pPr>
              <w:spacing w:line="360" w:lineRule="auto"/>
              <w:rPr>
                <w:rFonts w:ascii="宋体" w:hAnsi="宋体"/>
                <w:color w:val="000000"/>
                <w:sz w:val="24"/>
              </w:rPr>
            </w:pPr>
          </w:p>
        </w:tc>
        <w:tc>
          <w:tcPr>
            <w:tcW w:w="1303" w:type="dxa"/>
            <w:noWrap w:val="0"/>
            <w:vAlign w:val="center"/>
          </w:tcPr>
          <w:p w14:paraId="48DAB6BC">
            <w:pPr>
              <w:jc w:val="center"/>
              <w:rPr>
                <w:rFonts w:ascii="宋体" w:hAnsi="宋体"/>
                <w:color w:val="000000"/>
              </w:rPr>
            </w:pPr>
            <w:r>
              <w:rPr>
                <w:rFonts w:ascii="宋体" w:hAnsi="宋体"/>
                <w:color w:val="000000"/>
              </w:rPr>
              <w:t>50 m</w:t>
            </w:r>
          </w:p>
        </w:tc>
        <w:tc>
          <w:tcPr>
            <w:tcW w:w="1303" w:type="dxa"/>
            <w:noWrap w:val="0"/>
            <w:vAlign w:val="center"/>
          </w:tcPr>
          <w:p w14:paraId="4DC44226">
            <w:pPr>
              <w:jc w:val="center"/>
              <w:rPr>
                <w:rFonts w:ascii="宋体" w:hAnsi="宋体"/>
                <w:color w:val="000000"/>
              </w:rPr>
            </w:pPr>
            <w:r>
              <w:rPr>
                <w:rFonts w:ascii="宋体" w:hAnsi="宋体"/>
                <w:color w:val="000000"/>
              </w:rPr>
              <w:t>100m</w:t>
            </w:r>
          </w:p>
        </w:tc>
        <w:tc>
          <w:tcPr>
            <w:tcW w:w="1305" w:type="dxa"/>
            <w:noWrap w:val="0"/>
            <w:vAlign w:val="center"/>
          </w:tcPr>
          <w:p w14:paraId="5128693C">
            <w:pPr>
              <w:jc w:val="center"/>
              <w:rPr>
                <w:rFonts w:hint="eastAsia" w:ascii="宋体" w:hAnsi="宋体"/>
                <w:color w:val="000000"/>
              </w:rPr>
            </w:pPr>
            <w:r>
              <w:rPr>
                <w:rFonts w:hint="eastAsia" w:ascii="宋体" w:hAnsi="宋体"/>
                <w:color w:val="000000"/>
              </w:rPr>
              <w:t>150</w:t>
            </w:r>
            <w:r>
              <w:rPr>
                <w:rFonts w:ascii="宋体" w:hAnsi="宋体"/>
                <w:color w:val="000000"/>
              </w:rPr>
              <w:t xml:space="preserve"> m</w:t>
            </w:r>
          </w:p>
        </w:tc>
        <w:tc>
          <w:tcPr>
            <w:tcW w:w="1085" w:type="dxa"/>
            <w:vMerge w:val="continue"/>
            <w:noWrap w:val="0"/>
            <w:vAlign w:val="top"/>
          </w:tcPr>
          <w:p w14:paraId="4CEA6AAE">
            <w:pPr>
              <w:spacing w:line="360" w:lineRule="auto"/>
              <w:rPr>
                <w:rFonts w:ascii="宋体" w:hAnsi="宋体"/>
                <w:color w:val="000000"/>
                <w:sz w:val="24"/>
              </w:rPr>
            </w:pPr>
          </w:p>
        </w:tc>
      </w:tr>
      <w:tr w14:paraId="6AA58FF1">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c>
          <w:tcPr>
            <w:tcW w:w="892" w:type="dxa"/>
            <w:noWrap w:val="0"/>
            <w:vAlign w:val="top"/>
          </w:tcPr>
          <w:p w14:paraId="15EC6DCE">
            <w:pPr>
              <w:jc w:val="center"/>
              <w:rPr>
                <w:rFonts w:ascii="宋体" w:hAnsi="宋体"/>
                <w:color w:val="000000"/>
              </w:rPr>
            </w:pPr>
            <w:r>
              <w:rPr>
                <w:rFonts w:hint="eastAsia" w:ascii="宋体" w:hAnsi="宋体"/>
                <w:color w:val="000000"/>
              </w:rPr>
              <w:t>范围值</w:t>
            </w:r>
          </w:p>
        </w:tc>
        <w:tc>
          <w:tcPr>
            <w:tcW w:w="1337" w:type="dxa"/>
            <w:noWrap w:val="0"/>
            <w:vAlign w:val="center"/>
          </w:tcPr>
          <w:p w14:paraId="36D9277A">
            <w:pPr>
              <w:jc w:val="center"/>
              <w:rPr>
                <w:rFonts w:ascii="宋体" w:hAnsi="宋体"/>
                <w:color w:val="000000"/>
              </w:rPr>
            </w:pPr>
            <w:r>
              <w:rPr>
                <w:rFonts w:ascii="宋体" w:hAnsi="宋体"/>
                <w:color w:val="000000"/>
              </w:rPr>
              <w:t>0.303</w:t>
            </w:r>
            <w:r>
              <w:rPr>
                <w:rFonts w:hint="eastAsia" w:ascii="宋体" w:hAnsi="宋体"/>
                <w:color w:val="000000"/>
              </w:rPr>
              <w:t>～</w:t>
            </w:r>
            <w:r>
              <w:rPr>
                <w:rFonts w:ascii="宋体" w:hAnsi="宋体"/>
                <w:color w:val="000000"/>
              </w:rPr>
              <w:t>0.328</w:t>
            </w:r>
          </w:p>
        </w:tc>
        <w:tc>
          <w:tcPr>
            <w:tcW w:w="1303" w:type="dxa"/>
            <w:noWrap w:val="0"/>
            <w:vAlign w:val="center"/>
          </w:tcPr>
          <w:p w14:paraId="63B0D64B">
            <w:pPr>
              <w:jc w:val="center"/>
              <w:rPr>
                <w:rFonts w:ascii="宋体" w:hAnsi="宋体"/>
                <w:color w:val="000000"/>
              </w:rPr>
            </w:pPr>
            <w:r>
              <w:rPr>
                <w:rFonts w:ascii="宋体" w:hAnsi="宋体"/>
                <w:color w:val="000000"/>
              </w:rPr>
              <w:t>0.409</w:t>
            </w:r>
            <w:r>
              <w:rPr>
                <w:rFonts w:hint="eastAsia" w:ascii="宋体" w:hAnsi="宋体"/>
                <w:color w:val="000000"/>
              </w:rPr>
              <w:t>～</w:t>
            </w:r>
            <w:r>
              <w:rPr>
                <w:rFonts w:ascii="宋体" w:hAnsi="宋体"/>
                <w:color w:val="000000"/>
              </w:rPr>
              <w:t>0.759</w:t>
            </w:r>
          </w:p>
        </w:tc>
        <w:tc>
          <w:tcPr>
            <w:tcW w:w="1303" w:type="dxa"/>
            <w:noWrap w:val="0"/>
            <w:vAlign w:val="center"/>
          </w:tcPr>
          <w:p w14:paraId="623059C1">
            <w:pPr>
              <w:jc w:val="center"/>
              <w:rPr>
                <w:rFonts w:ascii="宋体" w:hAnsi="宋体"/>
                <w:color w:val="000000"/>
              </w:rPr>
            </w:pPr>
            <w:r>
              <w:rPr>
                <w:rFonts w:ascii="宋体" w:hAnsi="宋体"/>
                <w:color w:val="000000"/>
              </w:rPr>
              <w:t>0.434</w:t>
            </w:r>
            <w:r>
              <w:rPr>
                <w:rFonts w:hint="eastAsia" w:ascii="宋体" w:hAnsi="宋体"/>
                <w:color w:val="000000"/>
              </w:rPr>
              <w:t>～</w:t>
            </w:r>
            <w:r>
              <w:rPr>
                <w:rFonts w:ascii="宋体" w:hAnsi="宋体"/>
                <w:color w:val="000000"/>
              </w:rPr>
              <w:t>0.538</w:t>
            </w:r>
          </w:p>
        </w:tc>
        <w:tc>
          <w:tcPr>
            <w:tcW w:w="1303" w:type="dxa"/>
            <w:noWrap w:val="0"/>
            <w:vAlign w:val="center"/>
          </w:tcPr>
          <w:p w14:paraId="0B02407C">
            <w:pPr>
              <w:jc w:val="center"/>
              <w:rPr>
                <w:rFonts w:hint="eastAsia" w:ascii="宋体" w:hAnsi="宋体"/>
                <w:color w:val="000000"/>
              </w:rPr>
            </w:pPr>
            <w:r>
              <w:rPr>
                <w:rFonts w:hint="eastAsia" w:ascii="宋体" w:hAnsi="宋体"/>
                <w:color w:val="000000"/>
              </w:rPr>
              <w:t>0.356～</w:t>
            </w:r>
            <w:r>
              <w:rPr>
                <w:rFonts w:ascii="宋体" w:hAnsi="宋体"/>
                <w:color w:val="000000"/>
              </w:rPr>
              <w:t>0.</w:t>
            </w:r>
            <w:r>
              <w:rPr>
                <w:rFonts w:hint="eastAsia" w:ascii="宋体" w:hAnsi="宋体"/>
                <w:color w:val="000000"/>
              </w:rPr>
              <w:t>465</w:t>
            </w:r>
          </w:p>
        </w:tc>
        <w:tc>
          <w:tcPr>
            <w:tcW w:w="1305" w:type="dxa"/>
            <w:noWrap w:val="0"/>
            <w:vAlign w:val="center"/>
          </w:tcPr>
          <w:p w14:paraId="7CD87B35">
            <w:pPr>
              <w:jc w:val="center"/>
              <w:rPr>
                <w:rFonts w:hint="eastAsia" w:ascii="宋体" w:hAnsi="宋体"/>
                <w:color w:val="000000"/>
              </w:rPr>
            </w:pPr>
            <w:r>
              <w:rPr>
                <w:rFonts w:hint="eastAsia" w:ascii="宋体" w:hAnsi="宋体"/>
                <w:color w:val="000000"/>
              </w:rPr>
              <w:t>0.309～0.336</w:t>
            </w:r>
          </w:p>
        </w:tc>
        <w:tc>
          <w:tcPr>
            <w:tcW w:w="1085" w:type="dxa"/>
            <w:vMerge w:val="restart"/>
            <w:noWrap w:val="0"/>
            <w:vAlign w:val="top"/>
          </w:tcPr>
          <w:p w14:paraId="6523CEC6">
            <w:pPr>
              <w:spacing w:line="360" w:lineRule="auto"/>
              <w:rPr>
                <w:rFonts w:hint="eastAsia" w:ascii="宋体" w:hAnsi="宋体"/>
                <w:color w:val="000000"/>
                <w:szCs w:val="21"/>
              </w:rPr>
            </w:pPr>
            <w:r>
              <w:rPr>
                <w:rFonts w:hint="eastAsia" w:ascii="宋体" w:hAnsi="宋体"/>
                <w:color w:val="000000"/>
                <w:szCs w:val="21"/>
              </w:rPr>
              <w:t>平均风速2.1m/s</w:t>
            </w:r>
          </w:p>
        </w:tc>
      </w:tr>
      <w:tr w14:paraId="465951FE">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c>
          <w:tcPr>
            <w:tcW w:w="892" w:type="dxa"/>
            <w:noWrap w:val="0"/>
            <w:vAlign w:val="top"/>
          </w:tcPr>
          <w:p w14:paraId="6F5B42D1">
            <w:pPr>
              <w:jc w:val="center"/>
              <w:rPr>
                <w:rFonts w:ascii="宋体" w:hAnsi="宋体"/>
                <w:color w:val="000000"/>
              </w:rPr>
            </w:pPr>
            <w:r>
              <w:rPr>
                <w:rFonts w:hint="eastAsia" w:ascii="宋体" w:hAnsi="宋体"/>
                <w:color w:val="000000"/>
              </w:rPr>
              <w:t>均值</w:t>
            </w:r>
          </w:p>
        </w:tc>
        <w:tc>
          <w:tcPr>
            <w:tcW w:w="1337" w:type="dxa"/>
            <w:noWrap w:val="0"/>
            <w:vAlign w:val="center"/>
          </w:tcPr>
          <w:p w14:paraId="0149301C">
            <w:pPr>
              <w:jc w:val="center"/>
              <w:rPr>
                <w:rFonts w:ascii="宋体" w:hAnsi="宋体"/>
                <w:color w:val="000000"/>
              </w:rPr>
            </w:pPr>
            <w:r>
              <w:rPr>
                <w:rFonts w:ascii="宋体" w:hAnsi="宋体"/>
                <w:color w:val="000000"/>
              </w:rPr>
              <w:t>0.317</w:t>
            </w:r>
          </w:p>
        </w:tc>
        <w:tc>
          <w:tcPr>
            <w:tcW w:w="1303" w:type="dxa"/>
            <w:noWrap w:val="0"/>
            <w:vAlign w:val="center"/>
          </w:tcPr>
          <w:p w14:paraId="1CD790FC">
            <w:pPr>
              <w:jc w:val="center"/>
              <w:rPr>
                <w:rFonts w:ascii="宋体" w:hAnsi="宋体"/>
                <w:color w:val="000000"/>
              </w:rPr>
            </w:pPr>
            <w:r>
              <w:rPr>
                <w:rFonts w:ascii="宋体" w:hAnsi="宋体"/>
                <w:color w:val="000000"/>
              </w:rPr>
              <w:t>0.596</w:t>
            </w:r>
          </w:p>
        </w:tc>
        <w:tc>
          <w:tcPr>
            <w:tcW w:w="1303" w:type="dxa"/>
            <w:noWrap w:val="0"/>
            <w:vAlign w:val="center"/>
          </w:tcPr>
          <w:p w14:paraId="35C11E60">
            <w:pPr>
              <w:jc w:val="center"/>
              <w:rPr>
                <w:rFonts w:ascii="宋体" w:hAnsi="宋体"/>
                <w:color w:val="000000"/>
              </w:rPr>
            </w:pPr>
            <w:r>
              <w:rPr>
                <w:rFonts w:ascii="宋体" w:hAnsi="宋体"/>
                <w:color w:val="000000"/>
              </w:rPr>
              <w:t>0.487</w:t>
            </w:r>
          </w:p>
        </w:tc>
        <w:tc>
          <w:tcPr>
            <w:tcW w:w="1303" w:type="dxa"/>
            <w:noWrap w:val="0"/>
            <w:vAlign w:val="center"/>
          </w:tcPr>
          <w:p w14:paraId="519B0118">
            <w:pPr>
              <w:jc w:val="center"/>
              <w:rPr>
                <w:rFonts w:ascii="宋体" w:hAnsi="宋体"/>
                <w:color w:val="000000"/>
              </w:rPr>
            </w:pPr>
            <w:r>
              <w:rPr>
                <w:rFonts w:ascii="宋体" w:hAnsi="宋体"/>
                <w:color w:val="000000"/>
              </w:rPr>
              <w:t>0.390</w:t>
            </w:r>
          </w:p>
        </w:tc>
        <w:tc>
          <w:tcPr>
            <w:tcW w:w="1305" w:type="dxa"/>
            <w:noWrap w:val="0"/>
            <w:vAlign w:val="center"/>
          </w:tcPr>
          <w:p w14:paraId="149A4E29">
            <w:pPr>
              <w:jc w:val="center"/>
              <w:rPr>
                <w:rFonts w:hint="eastAsia" w:ascii="宋体" w:hAnsi="宋体"/>
                <w:color w:val="000000"/>
              </w:rPr>
            </w:pPr>
            <w:r>
              <w:rPr>
                <w:rFonts w:hint="eastAsia" w:ascii="宋体" w:hAnsi="宋体"/>
                <w:color w:val="000000"/>
              </w:rPr>
              <w:t>0.322</w:t>
            </w:r>
          </w:p>
        </w:tc>
        <w:tc>
          <w:tcPr>
            <w:tcW w:w="1085" w:type="dxa"/>
            <w:vMerge w:val="continue"/>
            <w:noWrap w:val="0"/>
            <w:vAlign w:val="top"/>
          </w:tcPr>
          <w:p w14:paraId="6F4D13F0">
            <w:pPr>
              <w:spacing w:line="360" w:lineRule="auto"/>
              <w:rPr>
                <w:rFonts w:ascii="宋体" w:hAnsi="宋体"/>
                <w:color w:val="000000"/>
                <w:sz w:val="24"/>
              </w:rPr>
            </w:pPr>
          </w:p>
        </w:tc>
      </w:tr>
    </w:tbl>
    <w:p w14:paraId="595BC337">
      <w:pPr>
        <w:pStyle w:val="221"/>
        <w:spacing w:before="120" w:after="0" w:line="360" w:lineRule="auto"/>
        <w:ind w:left="0" w:firstLine="482"/>
        <w:rPr>
          <w:rFonts w:hint="eastAsia" w:ascii="宋体" w:hAnsi="宋体"/>
          <w:color w:val="000000"/>
          <w:sz w:val="24"/>
        </w:rPr>
      </w:pPr>
      <w:r>
        <w:rPr>
          <w:rFonts w:hint="eastAsia" w:ascii="宋体" w:hAnsi="宋体"/>
          <w:color w:val="000000"/>
          <w:sz w:val="24"/>
        </w:rPr>
        <w:t>（3）对院外关心点的影响</w:t>
      </w:r>
    </w:p>
    <w:p w14:paraId="2D244458">
      <w:pPr>
        <w:spacing w:line="360" w:lineRule="auto"/>
        <w:ind w:firstLine="480"/>
        <w:rPr>
          <w:rFonts w:hint="eastAsia" w:ascii="宋体" w:hAnsi="宋体"/>
          <w:color w:val="000000"/>
          <w:sz w:val="24"/>
        </w:rPr>
      </w:pPr>
      <w:r>
        <w:rPr>
          <w:rFonts w:hint="eastAsia" w:ascii="宋体" w:hAnsi="宋体"/>
          <w:color w:val="000000"/>
          <w:sz w:val="24"/>
        </w:rPr>
        <w:t>在本项目下风向的居民区距离较近，扬尘对其影响较大，TSP浓度将</w:t>
      </w:r>
      <w:r>
        <w:rPr>
          <w:rFonts w:hint="eastAsia" w:ascii="宋体" w:hAnsi="宋体"/>
          <w:bCs/>
          <w:color w:val="000000"/>
          <w:sz w:val="24"/>
        </w:rPr>
        <w:t>超过环境空气质量标准</w:t>
      </w:r>
      <w:r>
        <w:rPr>
          <w:rFonts w:ascii="宋体" w:hAnsi="宋体"/>
          <w:color w:val="000000"/>
          <w:sz w:val="24"/>
        </w:rPr>
        <w:t>二级标准</w:t>
      </w:r>
      <w:r>
        <w:rPr>
          <w:rFonts w:hint="eastAsia" w:ascii="宋体" w:hAnsi="宋体"/>
          <w:bCs/>
          <w:color w:val="000000"/>
          <w:sz w:val="24"/>
        </w:rPr>
        <w:t>，下风向200米出可达到环境空气质量标准二级，其余关心点均在项目的上风向或侧风向，扬尘对其影响较小。项目采用围墙封闭施工现场，配有洒水车对施工场地洒水抑尘，将扬尘对环境的影响降到最低。</w:t>
      </w:r>
    </w:p>
    <w:p w14:paraId="578BCFFE">
      <w:pPr>
        <w:pStyle w:val="221"/>
        <w:spacing w:after="0" w:line="360" w:lineRule="auto"/>
        <w:ind w:left="0" w:firstLine="480"/>
        <w:rPr>
          <w:rFonts w:ascii="宋体" w:hAnsi="宋体"/>
          <w:color w:val="000000"/>
          <w:sz w:val="24"/>
        </w:rPr>
      </w:pPr>
      <w:bookmarkStart w:id="428" w:name="_Toc226608407"/>
      <w:bookmarkStart w:id="429" w:name="_Toc241904979"/>
      <w:r>
        <w:rPr>
          <w:rFonts w:hint="eastAsia" w:ascii="宋体" w:hAnsi="宋体"/>
          <w:color w:val="000000"/>
          <w:sz w:val="24"/>
        </w:rPr>
        <w:t>（4）</w:t>
      </w:r>
      <w:r>
        <w:rPr>
          <w:rFonts w:ascii="宋体" w:hAnsi="宋体"/>
          <w:color w:val="000000"/>
          <w:sz w:val="24"/>
        </w:rPr>
        <w:t>机械、运输</w:t>
      </w:r>
      <w:r>
        <w:rPr>
          <w:rFonts w:hint="eastAsia" w:ascii="宋体" w:hAnsi="宋体"/>
          <w:color w:val="000000"/>
          <w:sz w:val="24"/>
        </w:rPr>
        <w:t>车辆</w:t>
      </w:r>
      <w:r>
        <w:rPr>
          <w:rFonts w:ascii="宋体" w:hAnsi="宋体"/>
          <w:color w:val="000000"/>
          <w:sz w:val="24"/>
        </w:rPr>
        <w:t>废气对环境的影响</w:t>
      </w:r>
      <w:bookmarkEnd w:id="428"/>
      <w:bookmarkEnd w:id="429"/>
    </w:p>
    <w:p w14:paraId="05664F8B">
      <w:pPr>
        <w:spacing w:line="360" w:lineRule="auto"/>
        <w:ind w:firstLine="480"/>
        <w:rPr>
          <w:rFonts w:hint="eastAsia" w:ascii="宋体" w:hAnsi="宋体"/>
          <w:color w:val="000000"/>
          <w:sz w:val="24"/>
        </w:rPr>
      </w:pPr>
      <w:r>
        <w:rPr>
          <w:rFonts w:hint="eastAsia" w:ascii="宋体" w:hAnsi="宋体"/>
          <w:color w:val="000000"/>
          <w:sz w:val="24"/>
        </w:rPr>
        <w:t>施工机械和运输车辆在施工期间产生的废气主要是CO、碳氢化合物等，也将对周围环境产生影响，由于施工区域相对广阔，而施工机械和运输车辆尾气排放相对较小，有利于施工机械和运输车辆尾气的污染物稀释扩散，因此施工机械和运输车辆所产生污染在空气中经自然扩散和稀释后，对评价区域的空气环境质量影响不大，对周边关心点的影响不大。</w:t>
      </w:r>
    </w:p>
    <w:p w14:paraId="27F08DD5">
      <w:pPr>
        <w:pStyle w:val="221"/>
        <w:spacing w:after="0" w:line="360" w:lineRule="auto"/>
        <w:ind w:left="0" w:firstLine="480"/>
        <w:rPr>
          <w:rFonts w:hint="eastAsia" w:ascii="宋体" w:hAnsi="宋体"/>
          <w:color w:val="000000"/>
          <w:sz w:val="24"/>
        </w:rPr>
      </w:pPr>
      <w:r>
        <w:rPr>
          <w:rFonts w:hint="eastAsia" w:ascii="宋体" w:hAnsi="宋体"/>
          <w:color w:val="000000"/>
          <w:sz w:val="24"/>
        </w:rPr>
        <w:t>（5）装修废气影响</w:t>
      </w:r>
    </w:p>
    <w:p w14:paraId="386D0851">
      <w:pPr>
        <w:spacing w:line="360" w:lineRule="auto"/>
        <w:ind w:firstLine="555"/>
        <w:rPr>
          <w:rFonts w:ascii="宋体" w:hAnsi="宋体"/>
          <w:color w:val="000000"/>
          <w:sz w:val="24"/>
        </w:rPr>
      </w:pPr>
      <w:r>
        <w:rPr>
          <w:rFonts w:ascii="宋体" w:hAnsi="宋体"/>
          <w:color w:val="000000"/>
          <w:sz w:val="24"/>
        </w:rPr>
        <w:t>项目在装修施工过程中，产生的主要废气</w:t>
      </w:r>
      <w:r>
        <w:rPr>
          <w:rFonts w:hint="eastAsia" w:ascii="宋体" w:hAnsi="宋体"/>
          <w:color w:val="000000"/>
          <w:sz w:val="24"/>
        </w:rPr>
        <w:t>为</w:t>
      </w:r>
      <w:r>
        <w:rPr>
          <w:rFonts w:ascii="宋体" w:hAnsi="宋体"/>
          <w:color w:val="000000"/>
          <w:sz w:val="24"/>
        </w:rPr>
        <w:t>油漆废气。油漆废气主要来自于房屋装修阶段，该废气的排放属无组织排放，其主要污染因子为二甲苯和甲苯，此外还有极少量的汽油、丁醇和丙醇等。</w:t>
      </w:r>
    </w:p>
    <w:p w14:paraId="5A3D61C7">
      <w:pPr>
        <w:spacing w:line="360" w:lineRule="auto"/>
        <w:ind w:firstLine="480"/>
        <w:rPr>
          <w:rFonts w:ascii="宋体" w:hAnsi="宋体"/>
          <w:color w:val="000000"/>
          <w:sz w:val="24"/>
        </w:rPr>
      </w:pPr>
      <w:r>
        <w:rPr>
          <w:rFonts w:ascii="宋体" w:hAnsi="宋体"/>
          <w:bCs/>
          <w:color w:val="000000"/>
          <w:sz w:val="24"/>
        </w:rPr>
        <w:t>根据市场调查，每150m</w:t>
      </w:r>
      <w:r>
        <w:rPr>
          <w:rFonts w:ascii="宋体" w:hAnsi="宋体"/>
          <w:bCs/>
          <w:color w:val="000000"/>
          <w:sz w:val="24"/>
          <w:vertAlign w:val="superscript"/>
        </w:rPr>
        <w:t>2</w:t>
      </w:r>
      <w:r>
        <w:rPr>
          <w:rFonts w:ascii="宋体" w:hAnsi="宋体"/>
          <w:bCs/>
          <w:color w:val="000000"/>
          <w:sz w:val="24"/>
        </w:rPr>
        <w:t>的面积装修时需耗涂料15组份左右（包括地板漆、墙面漆、家具漆、内墙涂料等），每组份涂料为10kg，即每150m</w:t>
      </w:r>
      <w:r>
        <w:rPr>
          <w:rFonts w:ascii="宋体" w:hAnsi="宋体"/>
          <w:bCs/>
          <w:color w:val="000000"/>
          <w:sz w:val="24"/>
          <w:vertAlign w:val="superscript"/>
        </w:rPr>
        <w:t>2</w:t>
      </w:r>
      <w:r>
        <w:rPr>
          <w:rFonts w:ascii="宋体" w:hAnsi="宋体"/>
          <w:bCs/>
          <w:color w:val="000000"/>
          <w:sz w:val="24"/>
        </w:rPr>
        <w:t>需耗涂料约150kg。涂料废气中有害气体主要为油漆废气，油漆废气的主要污染因子为油性涂料中的甲醛、二甲苯和甲苯，此外还有极少量的汽油、丁醇、丙醇等。油漆在装修过程挥发成废气的含量约为涂料耗量的10%，每150m</w:t>
      </w:r>
      <w:r>
        <w:rPr>
          <w:rFonts w:ascii="宋体" w:hAnsi="宋体"/>
          <w:bCs/>
          <w:color w:val="000000"/>
          <w:sz w:val="24"/>
          <w:vertAlign w:val="superscript"/>
        </w:rPr>
        <w:t>2</w:t>
      </w:r>
      <w:r>
        <w:rPr>
          <w:rFonts w:ascii="宋体" w:hAnsi="宋体"/>
          <w:bCs/>
          <w:color w:val="000000"/>
          <w:sz w:val="24"/>
        </w:rPr>
        <w:t>油漆废气的排放量约15kg，其中含甲苯和二甲苯约20%，因此每150m</w:t>
      </w:r>
      <w:r>
        <w:rPr>
          <w:rFonts w:ascii="宋体" w:hAnsi="宋体"/>
          <w:bCs/>
          <w:color w:val="000000"/>
          <w:sz w:val="24"/>
          <w:vertAlign w:val="superscript"/>
        </w:rPr>
        <w:t>2</w:t>
      </w:r>
      <w:r>
        <w:rPr>
          <w:rFonts w:ascii="宋体" w:hAnsi="宋体"/>
          <w:bCs/>
          <w:color w:val="000000"/>
          <w:sz w:val="24"/>
        </w:rPr>
        <w:t>建筑面积装修完成，需向周围大气环境排放甲苯和二甲苯3kg。项目</w:t>
      </w:r>
      <w:r>
        <w:rPr>
          <w:rFonts w:hint="eastAsia" w:ascii="宋体" w:hAnsi="宋体"/>
          <w:bCs/>
          <w:color w:val="000000"/>
          <w:sz w:val="24"/>
        </w:rPr>
        <w:t>装修</w:t>
      </w:r>
      <w:r>
        <w:rPr>
          <w:rFonts w:ascii="宋体" w:hAnsi="宋体"/>
          <w:bCs/>
          <w:color w:val="000000"/>
          <w:sz w:val="24"/>
        </w:rPr>
        <w:t>面积为</w:t>
      </w:r>
      <w:r>
        <w:rPr>
          <w:rFonts w:hint="eastAsia" w:ascii="宋体" w:hAnsi="宋体"/>
          <w:bCs/>
          <w:color w:val="000000"/>
          <w:sz w:val="24"/>
        </w:rPr>
        <w:t>34286</w:t>
      </w:r>
      <w:r>
        <w:rPr>
          <w:rFonts w:ascii="宋体" w:hAnsi="宋体"/>
          <w:bCs/>
          <w:color w:val="000000"/>
          <w:sz w:val="24"/>
        </w:rPr>
        <w:t>m</w:t>
      </w:r>
      <w:r>
        <w:rPr>
          <w:rFonts w:ascii="宋体" w:hAnsi="宋体"/>
          <w:bCs/>
          <w:color w:val="000000"/>
          <w:sz w:val="24"/>
          <w:vertAlign w:val="superscript"/>
        </w:rPr>
        <w:t>2</w:t>
      </w:r>
      <w:r>
        <w:rPr>
          <w:rFonts w:ascii="宋体" w:hAnsi="宋体"/>
          <w:bCs/>
          <w:color w:val="000000"/>
          <w:sz w:val="24"/>
        </w:rPr>
        <w:t>，则全部装修完</w:t>
      </w:r>
      <w:r>
        <w:rPr>
          <w:rFonts w:hint="eastAsia" w:ascii="宋体" w:hAnsi="宋体"/>
          <w:bCs/>
          <w:color w:val="000000"/>
          <w:sz w:val="24"/>
        </w:rPr>
        <w:t>必</w:t>
      </w:r>
      <w:r>
        <w:rPr>
          <w:rFonts w:ascii="宋体" w:hAnsi="宋体"/>
          <w:bCs/>
          <w:color w:val="000000"/>
          <w:sz w:val="24"/>
        </w:rPr>
        <w:t>需要向大气环境排放甲苯和二甲苯</w:t>
      </w:r>
      <w:r>
        <w:rPr>
          <w:rFonts w:ascii="宋体" w:hAnsi="宋体"/>
          <w:color w:val="000000"/>
          <w:sz w:val="24"/>
        </w:rPr>
        <w:t>约</w:t>
      </w:r>
      <w:r>
        <w:rPr>
          <w:rFonts w:hint="eastAsia" w:ascii="宋体" w:hAnsi="宋体"/>
          <w:color w:val="000000"/>
          <w:sz w:val="24"/>
        </w:rPr>
        <w:t>0.685</w:t>
      </w:r>
      <w:r>
        <w:rPr>
          <w:rFonts w:ascii="宋体" w:hAnsi="宋体"/>
          <w:color w:val="000000"/>
          <w:sz w:val="24"/>
        </w:rPr>
        <w:t>t。挥发时间主要集中在装修阶段</w:t>
      </w:r>
      <w:r>
        <w:rPr>
          <w:rFonts w:hint="eastAsia" w:ascii="宋体" w:hAnsi="宋体"/>
          <w:color w:val="000000"/>
          <w:sz w:val="24"/>
        </w:rPr>
        <w:t>1</w:t>
      </w:r>
      <w:r>
        <w:rPr>
          <w:rFonts w:ascii="宋体" w:hAnsi="宋体"/>
          <w:color w:val="000000"/>
          <w:sz w:val="24"/>
        </w:rPr>
        <w:t>个月以内，由于排放场所分布面积广，</w:t>
      </w:r>
      <w:r>
        <w:rPr>
          <w:rFonts w:hint="eastAsia" w:ascii="宋体" w:hAnsi="宋体"/>
          <w:color w:val="000000"/>
          <w:sz w:val="24"/>
        </w:rPr>
        <w:t>扩散条件好，</w:t>
      </w:r>
      <w:r>
        <w:rPr>
          <w:rFonts w:ascii="宋体" w:hAnsi="宋体"/>
          <w:color w:val="000000"/>
          <w:sz w:val="24"/>
        </w:rPr>
        <w:t>呈无组织排放，故对外环境影响不大。</w:t>
      </w:r>
    </w:p>
    <w:p w14:paraId="28469D2E">
      <w:pPr>
        <w:spacing w:line="360" w:lineRule="auto"/>
        <w:ind w:firstLine="480"/>
        <w:rPr>
          <w:color w:val="000000"/>
          <w:sz w:val="24"/>
        </w:rPr>
      </w:pPr>
      <w:r>
        <w:rPr>
          <w:rFonts w:ascii="宋体" w:hAnsi="宋体"/>
          <w:color w:val="000000"/>
          <w:sz w:val="24"/>
        </w:rPr>
        <w:t>为减轻装修废气污染物对</w:t>
      </w:r>
      <w:r>
        <w:rPr>
          <w:rFonts w:hint="eastAsia" w:ascii="宋体" w:hAnsi="宋体"/>
          <w:color w:val="000000"/>
          <w:sz w:val="24"/>
        </w:rPr>
        <w:t>居住人员</w:t>
      </w:r>
      <w:r>
        <w:rPr>
          <w:rFonts w:ascii="宋体" w:hAnsi="宋体"/>
          <w:color w:val="000000"/>
          <w:sz w:val="24"/>
        </w:rPr>
        <w:t>的影响，对装修废气污染首先应在源头上进行控制，选择无毒或低毒的环保产品；建议不要刚完成装修就投入使用，至少要在装修完后一至三个月后使用为宜。</w:t>
      </w:r>
    </w:p>
    <w:p w14:paraId="6D8CFCB3">
      <w:pPr>
        <w:pStyle w:val="183"/>
        <w:ind w:firstLine="472"/>
        <w:rPr>
          <w:rFonts w:eastAsia="仿宋_GB2312"/>
          <w:color w:val="000000"/>
          <w:sz w:val="24"/>
          <w:szCs w:val="24"/>
        </w:rPr>
      </w:pPr>
      <w:bookmarkStart w:id="430" w:name="_Toc495500099"/>
      <w:r>
        <w:rPr>
          <w:rFonts w:eastAsia="仿宋_GB2312"/>
          <w:color w:val="000000"/>
          <w:sz w:val="24"/>
          <w:szCs w:val="24"/>
        </w:rPr>
        <w:t>6.1.3声环境影响评价</w:t>
      </w:r>
      <w:bookmarkEnd w:id="430"/>
    </w:p>
    <w:p w14:paraId="74E365BE">
      <w:pPr>
        <w:pStyle w:val="221"/>
        <w:spacing w:after="0" w:line="360" w:lineRule="auto"/>
        <w:ind w:left="0" w:firstLine="480"/>
        <w:rPr>
          <w:color w:val="000000"/>
          <w:sz w:val="24"/>
        </w:rPr>
      </w:pPr>
      <w:bookmarkStart w:id="431" w:name="_Toc226608409"/>
      <w:bookmarkEnd w:id="431"/>
      <w:bookmarkStart w:id="432" w:name="_Toc241904981"/>
      <w:bookmarkEnd w:id="432"/>
      <w:r>
        <w:rPr>
          <w:rFonts w:hint="eastAsia"/>
          <w:color w:val="000000"/>
          <w:sz w:val="24"/>
        </w:rPr>
        <w:t>（1）</w:t>
      </w:r>
      <w:r>
        <w:rPr>
          <w:color w:val="000000"/>
          <w:sz w:val="24"/>
        </w:rPr>
        <w:t>噪声源影响分析</w:t>
      </w:r>
    </w:p>
    <w:p w14:paraId="3C856FFE">
      <w:pPr>
        <w:pStyle w:val="201"/>
        <w:spacing w:line="360" w:lineRule="auto"/>
        <w:ind w:firstLine="540"/>
        <w:rPr>
          <w:rFonts w:ascii="Times New Roman" w:hAnsi="Times New Roman" w:cs="Times New Roman"/>
          <w:color w:val="000000"/>
          <w:sz w:val="24"/>
          <w:szCs w:val="24"/>
        </w:rPr>
      </w:pPr>
      <w:r>
        <w:rPr>
          <w:rFonts w:ascii="Times New Roman" w:hAnsi="Times New Roman" w:cs="Times New Roman"/>
          <w:color w:val="000000"/>
          <w:sz w:val="24"/>
          <w:szCs w:val="24"/>
        </w:rPr>
        <w:t>该项目施工期主要噪声来源是各类施工机械噪声和运输车辆，其中施工机械包括打桩机、挖掘机、搅拌机等，运输车辆多为运输车和混凝土搅拌车，主要噪声源强为</w:t>
      </w:r>
      <w:r>
        <w:rPr>
          <w:rFonts w:hint="eastAsia" w:ascii="Times New Roman" w:hAnsi="Times New Roman" w:cs="Times New Roman"/>
          <w:color w:val="000000"/>
          <w:sz w:val="24"/>
          <w:szCs w:val="24"/>
        </w:rPr>
        <w:t>7</w:t>
      </w:r>
      <w:r>
        <w:rPr>
          <w:rFonts w:ascii="Times New Roman" w:hAnsi="Times New Roman" w:cs="Times New Roman"/>
          <w:color w:val="000000"/>
          <w:sz w:val="24"/>
          <w:szCs w:val="24"/>
        </w:rPr>
        <w:t>5-11</w:t>
      </w:r>
      <w:r>
        <w:rPr>
          <w:rFonts w:hint="eastAsia" w:ascii="Times New Roman" w:hAnsi="Times New Roman" w:cs="Times New Roman"/>
          <w:color w:val="000000"/>
          <w:sz w:val="24"/>
          <w:szCs w:val="24"/>
        </w:rPr>
        <w:t>0</w:t>
      </w:r>
      <w:r>
        <w:rPr>
          <w:rFonts w:ascii="Times New Roman" w:hAnsi="Times New Roman" w:cs="Times New Roman"/>
          <w:color w:val="000000"/>
          <w:sz w:val="24"/>
          <w:szCs w:val="24"/>
        </w:rPr>
        <w:t xml:space="preserve"> dB（A），均超过《建筑施工场界</w:t>
      </w:r>
      <w:r>
        <w:rPr>
          <w:rFonts w:hint="eastAsia" w:ascii="Times New Roman" w:hAnsi="Times New Roman" w:cs="Times New Roman"/>
          <w:color w:val="000000"/>
          <w:sz w:val="24"/>
          <w:szCs w:val="24"/>
        </w:rPr>
        <w:t>环境</w:t>
      </w:r>
      <w:r>
        <w:rPr>
          <w:rFonts w:ascii="Times New Roman" w:hAnsi="Times New Roman" w:cs="Times New Roman"/>
          <w:color w:val="000000"/>
          <w:sz w:val="24"/>
          <w:szCs w:val="24"/>
        </w:rPr>
        <w:t>噪声</w:t>
      </w:r>
      <w:r>
        <w:rPr>
          <w:rFonts w:hint="eastAsia" w:ascii="Times New Roman" w:hAnsi="Times New Roman" w:cs="Times New Roman"/>
          <w:color w:val="000000"/>
          <w:sz w:val="24"/>
          <w:szCs w:val="24"/>
        </w:rPr>
        <w:t>排放标准</w:t>
      </w:r>
      <w:r>
        <w:rPr>
          <w:rFonts w:ascii="Times New Roman" w:hAnsi="Times New Roman" w:cs="Times New Roman"/>
          <w:color w:val="000000"/>
          <w:sz w:val="24"/>
          <w:szCs w:val="24"/>
        </w:rPr>
        <w:t>》（GB12523-</w:t>
      </w:r>
      <w:r>
        <w:rPr>
          <w:rFonts w:hint="eastAsia" w:ascii="Times New Roman" w:hAnsi="Times New Roman" w:cs="Times New Roman"/>
          <w:color w:val="000000"/>
          <w:sz w:val="24"/>
          <w:szCs w:val="24"/>
        </w:rPr>
        <w:t>2011</w:t>
      </w:r>
      <w:r>
        <w:rPr>
          <w:rFonts w:ascii="Times New Roman" w:hAnsi="Times New Roman" w:cs="Times New Roman"/>
          <w:color w:val="000000"/>
          <w:sz w:val="24"/>
          <w:szCs w:val="24"/>
        </w:rPr>
        <w:t>）的要求。在多台机械设备同时作业时，各台设备产生的噪声会产生叠加，根据类比调查，叠加后的噪声增值约为3-8dB。</w:t>
      </w:r>
    </w:p>
    <w:p w14:paraId="3251FEEC">
      <w:pPr>
        <w:pStyle w:val="221"/>
        <w:spacing w:after="0" w:line="360" w:lineRule="auto"/>
        <w:ind w:left="0" w:firstLine="480"/>
        <w:rPr>
          <w:color w:val="000000"/>
          <w:sz w:val="24"/>
        </w:rPr>
      </w:pPr>
      <w:bookmarkStart w:id="433" w:name="_Toc226608410"/>
      <w:bookmarkEnd w:id="433"/>
      <w:bookmarkStart w:id="434" w:name="_Toc241904982"/>
      <w:bookmarkEnd w:id="434"/>
      <w:r>
        <w:rPr>
          <w:rFonts w:hint="eastAsia"/>
          <w:color w:val="000000"/>
          <w:sz w:val="24"/>
        </w:rPr>
        <w:t>（2）</w:t>
      </w:r>
      <w:r>
        <w:rPr>
          <w:color w:val="000000"/>
          <w:sz w:val="24"/>
        </w:rPr>
        <w:t>施工噪声预测分析</w:t>
      </w:r>
    </w:p>
    <w:p w14:paraId="08CB0B45">
      <w:pPr>
        <w:pStyle w:val="221"/>
        <w:spacing w:after="0" w:line="360" w:lineRule="auto"/>
        <w:ind w:left="0" w:firstLine="480"/>
        <w:rPr>
          <w:color w:val="000000"/>
          <w:sz w:val="24"/>
        </w:rPr>
      </w:pPr>
      <w:r>
        <w:rPr>
          <w:rFonts w:hint="eastAsia"/>
          <w:color w:val="000000"/>
          <w:sz w:val="24"/>
        </w:rPr>
        <w:t>1）</w:t>
      </w:r>
      <w:r>
        <w:rPr>
          <w:color w:val="000000"/>
          <w:sz w:val="24"/>
        </w:rPr>
        <w:t>噪声源及源强</w:t>
      </w:r>
    </w:p>
    <w:p w14:paraId="2507EE8B">
      <w:pPr>
        <w:spacing w:line="360" w:lineRule="auto"/>
        <w:ind w:firstLine="557"/>
        <w:rPr>
          <w:color w:val="000000"/>
          <w:sz w:val="24"/>
        </w:rPr>
      </w:pPr>
      <w:r>
        <w:rPr>
          <w:color w:val="000000"/>
          <w:sz w:val="24"/>
        </w:rPr>
        <w:t>建筑施工全过程根据作业性质一般可分为以下几个阶段：</w:t>
      </w:r>
    </w:p>
    <w:p w14:paraId="0819903E">
      <w:pPr>
        <w:spacing w:line="360" w:lineRule="auto"/>
        <w:ind w:firstLine="557"/>
        <w:rPr>
          <w:color w:val="000000"/>
          <w:sz w:val="24"/>
        </w:rPr>
      </w:pPr>
      <w:r>
        <w:rPr>
          <w:color w:val="000000"/>
          <w:sz w:val="24"/>
        </w:rPr>
        <w:t>清理场地阶段：包括清理树木、清除垃圾等；</w:t>
      </w:r>
    </w:p>
    <w:p w14:paraId="3D19F876">
      <w:pPr>
        <w:spacing w:line="360" w:lineRule="auto"/>
        <w:ind w:firstLine="557"/>
        <w:rPr>
          <w:color w:val="000000"/>
          <w:sz w:val="24"/>
        </w:rPr>
      </w:pPr>
      <w:r>
        <w:rPr>
          <w:color w:val="000000"/>
          <w:sz w:val="24"/>
        </w:rPr>
        <w:t>土石方阶段：包括挖掘土方石方等；</w:t>
      </w:r>
    </w:p>
    <w:p w14:paraId="225DA3B5">
      <w:pPr>
        <w:spacing w:line="360" w:lineRule="auto"/>
        <w:ind w:firstLine="557"/>
        <w:rPr>
          <w:color w:val="000000"/>
          <w:sz w:val="24"/>
        </w:rPr>
      </w:pPr>
      <w:r>
        <w:rPr>
          <w:color w:val="000000"/>
          <w:sz w:val="24"/>
        </w:rPr>
        <w:t>基础工程阶段：包括打桩、砌筑基础等；</w:t>
      </w:r>
    </w:p>
    <w:p w14:paraId="52B6E09D">
      <w:pPr>
        <w:spacing w:line="360" w:lineRule="auto"/>
        <w:ind w:firstLine="557"/>
        <w:rPr>
          <w:color w:val="000000"/>
          <w:sz w:val="24"/>
        </w:rPr>
      </w:pPr>
      <w:r>
        <w:rPr>
          <w:color w:val="000000"/>
          <w:sz w:val="24"/>
        </w:rPr>
        <w:t>主体工程阶段：包括钢筋、混凝土工程，钢木工程、砌体工程和装修等；</w:t>
      </w:r>
    </w:p>
    <w:p w14:paraId="3969EE45">
      <w:pPr>
        <w:spacing w:line="360" w:lineRule="auto"/>
        <w:ind w:firstLine="557"/>
        <w:rPr>
          <w:color w:val="000000"/>
          <w:sz w:val="24"/>
        </w:rPr>
      </w:pPr>
      <w:r>
        <w:rPr>
          <w:color w:val="000000"/>
          <w:sz w:val="24"/>
        </w:rPr>
        <w:t>扫尾工程：包括回填土方、修路、清理现场等。</w:t>
      </w:r>
    </w:p>
    <w:p w14:paraId="65036C51">
      <w:pPr>
        <w:spacing w:line="360" w:lineRule="auto"/>
        <w:ind w:firstLine="557"/>
        <w:rPr>
          <w:color w:val="000000"/>
          <w:sz w:val="24"/>
        </w:rPr>
      </w:pPr>
      <w:r>
        <w:rPr>
          <w:color w:val="000000"/>
          <w:sz w:val="24"/>
        </w:rPr>
        <w:t>据调查，施工常用机械设备有：静压打桩机、混凝土输送泵、振捣机、电焊机、电锯、电钻、装载车辆等。各施工阶段的主要噪声源及其声级值见表</w:t>
      </w:r>
      <w:r>
        <w:rPr>
          <w:rFonts w:hint="eastAsia"/>
          <w:color w:val="000000"/>
          <w:sz w:val="24"/>
        </w:rPr>
        <w:t>6.1</w:t>
      </w:r>
      <w:r>
        <w:rPr>
          <w:color w:val="000000"/>
          <w:sz w:val="24"/>
        </w:rPr>
        <w:t>-</w:t>
      </w:r>
      <w:r>
        <w:rPr>
          <w:rFonts w:hint="eastAsia"/>
          <w:color w:val="000000"/>
          <w:sz w:val="24"/>
        </w:rPr>
        <w:t>5</w:t>
      </w:r>
      <w:r>
        <w:rPr>
          <w:color w:val="000000"/>
          <w:sz w:val="24"/>
        </w:rPr>
        <w:t>。</w:t>
      </w:r>
    </w:p>
    <w:p w14:paraId="5C703A73">
      <w:pPr>
        <w:spacing w:line="360" w:lineRule="auto"/>
        <w:jc w:val="center"/>
        <w:rPr>
          <w:b/>
          <w:color w:val="000000"/>
          <w:sz w:val="24"/>
        </w:rPr>
      </w:pPr>
      <w:r>
        <w:rPr>
          <w:b/>
          <w:color w:val="000000"/>
          <w:sz w:val="24"/>
        </w:rPr>
        <w:t>表</w:t>
      </w:r>
      <w:r>
        <w:rPr>
          <w:rFonts w:hint="eastAsia"/>
          <w:b/>
          <w:color w:val="000000"/>
          <w:sz w:val="24"/>
        </w:rPr>
        <w:t>6.1-5</w:t>
      </w:r>
      <w:r>
        <w:rPr>
          <w:b/>
          <w:color w:val="000000"/>
          <w:sz w:val="24"/>
        </w:rPr>
        <w:t xml:space="preserve">  施工期噪声排污参数</w:t>
      </w:r>
    </w:p>
    <w:tbl>
      <w:tblPr>
        <w:tblStyle w:val="27"/>
        <w:tblW w:w="0" w:type="auto"/>
        <w:tblInd w:w="-108" w:type="dxa"/>
        <w:tblLayout w:type="fixed"/>
        <w:tblCellMar>
          <w:top w:w="0" w:type="dxa"/>
          <w:left w:w="108" w:type="dxa"/>
          <w:bottom w:w="0" w:type="dxa"/>
          <w:right w:w="108" w:type="dxa"/>
        </w:tblCellMar>
      </w:tblPr>
      <w:tblGrid>
        <w:gridCol w:w="1096"/>
        <w:gridCol w:w="2062"/>
        <w:gridCol w:w="2685"/>
        <w:gridCol w:w="2685"/>
      </w:tblGrid>
      <w:tr w14:paraId="22603248">
        <w:tblPrEx>
          <w:tblCellMar>
            <w:top w:w="0" w:type="dxa"/>
            <w:left w:w="108" w:type="dxa"/>
            <w:bottom w:w="0" w:type="dxa"/>
            <w:right w:w="108" w:type="dxa"/>
          </w:tblCellMar>
        </w:tblPrEx>
        <w:trPr>
          <w:cantSplit/>
          <w:trHeight w:val="283" w:hRule="atLeast"/>
        </w:trPr>
        <w:tc>
          <w:tcPr>
            <w:tcW w:w="1096" w:type="dxa"/>
            <w:vMerge w:val="restart"/>
            <w:tcBorders>
              <w:top w:val="single" w:color="000000" w:sz="4" w:space="0"/>
              <w:left w:val="single" w:color="000000" w:sz="4" w:space="0"/>
              <w:bottom w:val="single" w:color="000000" w:sz="4" w:space="0"/>
              <w:right w:val="single" w:color="000000" w:sz="4" w:space="0"/>
            </w:tcBorders>
            <w:noWrap w:val="0"/>
            <w:vAlign w:val="center"/>
          </w:tcPr>
          <w:p w14:paraId="78BD30A2">
            <w:pPr>
              <w:jc w:val="center"/>
              <w:rPr>
                <w:color w:val="000000"/>
                <w:szCs w:val="21"/>
              </w:rPr>
            </w:pPr>
            <w:bookmarkStart w:id="435" w:name="_Toc263083605"/>
            <w:bookmarkEnd w:id="435"/>
            <w:bookmarkStart w:id="436" w:name="_Toc269075696"/>
            <w:bookmarkEnd w:id="436"/>
            <w:r>
              <w:rPr>
                <w:color w:val="000000"/>
                <w:szCs w:val="21"/>
              </w:rPr>
              <w:t>施工阶段</w:t>
            </w:r>
          </w:p>
        </w:tc>
        <w:tc>
          <w:tcPr>
            <w:tcW w:w="2062" w:type="dxa"/>
            <w:tcBorders>
              <w:top w:val="single" w:color="000000" w:sz="4" w:space="0"/>
              <w:left w:val="single" w:color="000000" w:sz="4" w:space="0"/>
              <w:bottom w:val="single" w:color="000000" w:sz="4" w:space="0"/>
              <w:right w:val="single" w:color="000000" w:sz="4" w:space="0"/>
            </w:tcBorders>
            <w:noWrap w:val="0"/>
            <w:vAlign w:val="center"/>
          </w:tcPr>
          <w:p w14:paraId="097A8259">
            <w:pPr>
              <w:jc w:val="center"/>
              <w:rPr>
                <w:b/>
                <w:color w:val="000000"/>
                <w:szCs w:val="21"/>
              </w:rPr>
            </w:pPr>
            <w:r>
              <w:rPr>
                <w:b/>
                <w:color w:val="000000"/>
                <w:szCs w:val="21"/>
              </w:rPr>
              <w:t>设备名称</w:t>
            </w:r>
          </w:p>
        </w:tc>
        <w:tc>
          <w:tcPr>
            <w:tcW w:w="2685" w:type="dxa"/>
            <w:tcBorders>
              <w:top w:val="single" w:color="000000" w:sz="4" w:space="0"/>
              <w:left w:val="single" w:color="000000" w:sz="4" w:space="0"/>
              <w:bottom w:val="single" w:color="000000" w:sz="4" w:space="0"/>
              <w:right w:val="single" w:color="000000" w:sz="4" w:space="0"/>
            </w:tcBorders>
            <w:noWrap w:val="0"/>
            <w:vAlign w:val="top"/>
          </w:tcPr>
          <w:p w14:paraId="43C8C5CB">
            <w:pPr>
              <w:jc w:val="center"/>
              <w:rPr>
                <w:b/>
                <w:color w:val="000000"/>
                <w:szCs w:val="21"/>
              </w:rPr>
            </w:pPr>
            <w:r>
              <w:rPr>
                <w:b/>
                <w:color w:val="000000"/>
                <w:szCs w:val="21"/>
              </w:rPr>
              <w:t>距声源5m[dB(A)]</w:t>
            </w:r>
          </w:p>
        </w:tc>
        <w:tc>
          <w:tcPr>
            <w:tcW w:w="2685" w:type="dxa"/>
            <w:tcBorders>
              <w:top w:val="single" w:color="000000" w:sz="4" w:space="0"/>
              <w:left w:val="single" w:color="000000" w:sz="4" w:space="0"/>
              <w:bottom w:val="single" w:color="000000" w:sz="4" w:space="0"/>
              <w:right w:val="single" w:color="000000" w:sz="4" w:space="0"/>
            </w:tcBorders>
            <w:noWrap w:val="0"/>
            <w:vAlign w:val="center"/>
          </w:tcPr>
          <w:p w14:paraId="425D93E3">
            <w:pPr>
              <w:jc w:val="center"/>
              <w:rPr>
                <w:b/>
                <w:color w:val="000000"/>
                <w:szCs w:val="21"/>
              </w:rPr>
            </w:pPr>
            <w:r>
              <w:rPr>
                <w:rFonts w:hint="eastAsia"/>
                <w:b/>
                <w:color w:val="000000"/>
                <w:szCs w:val="21"/>
              </w:rPr>
              <w:t>距声源10m</w:t>
            </w:r>
            <w:r>
              <w:rPr>
                <w:b/>
                <w:color w:val="000000"/>
                <w:szCs w:val="21"/>
              </w:rPr>
              <w:t>[dB(A)]</w:t>
            </w:r>
          </w:p>
        </w:tc>
      </w:tr>
      <w:tr w14:paraId="5972D00D">
        <w:tblPrEx>
          <w:tblCellMar>
            <w:top w:w="0" w:type="dxa"/>
            <w:left w:w="108" w:type="dxa"/>
            <w:bottom w:w="0" w:type="dxa"/>
            <w:right w:w="108" w:type="dxa"/>
          </w:tblCellMar>
        </w:tblPrEx>
        <w:trPr>
          <w:cantSplit/>
          <w:trHeight w:val="283" w:hRule="atLeast"/>
        </w:trPr>
        <w:tc>
          <w:tcPr>
            <w:tcW w:w="1096" w:type="dxa"/>
            <w:vMerge w:val="continue"/>
            <w:tcBorders>
              <w:top w:val="single" w:color="000000" w:sz="4" w:space="0"/>
              <w:left w:val="single" w:color="000000" w:sz="4" w:space="0"/>
              <w:bottom w:val="single" w:color="000000" w:sz="4" w:space="0"/>
              <w:right w:val="single" w:color="000000" w:sz="4" w:space="0"/>
            </w:tcBorders>
            <w:noWrap w:val="0"/>
            <w:vAlign w:val="center"/>
          </w:tcPr>
          <w:p w14:paraId="26EA444F">
            <w:pPr>
              <w:jc w:val="left"/>
              <w:rPr>
                <w:b/>
                <w:color w:val="000000"/>
                <w:szCs w:val="21"/>
              </w:rPr>
            </w:pPr>
          </w:p>
        </w:tc>
        <w:tc>
          <w:tcPr>
            <w:tcW w:w="2062" w:type="dxa"/>
            <w:tcBorders>
              <w:top w:val="single" w:color="000000" w:sz="4" w:space="0"/>
              <w:left w:val="single" w:color="000000" w:sz="4" w:space="0"/>
              <w:bottom w:val="single" w:color="000000" w:sz="4" w:space="0"/>
              <w:right w:val="single" w:color="000000" w:sz="4" w:space="0"/>
            </w:tcBorders>
            <w:noWrap w:val="0"/>
            <w:vAlign w:val="center"/>
          </w:tcPr>
          <w:p w14:paraId="69489213">
            <w:pPr>
              <w:jc w:val="center"/>
              <w:rPr>
                <w:color w:val="000000"/>
                <w:szCs w:val="21"/>
              </w:rPr>
            </w:pPr>
            <w:r>
              <w:rPr>
                <w:color w:val="000000"/>
                <w:szCs w:val="21"/>
              </w:rPr>
              <w:t>静</w:t>
            </w:r>
            <w:r>
              <w:rPr>
                <w:rFonts w:hint="eastAsia"/>
                <w:color w:val="000000"/>
                <w:szCs w:val="21"/>
              </w:rPr>
              <w:t>力</w:t>
            </w:r>
            <w:r>
              <w:rPr>
                <w:color w:val="000000"/>
                <w:szCs w:val="21"/>
              </w:rPr>
              <w:t>打桩机</w:t>
            </w:r>
          </w:p>
        </w:tc>
        <w:tc>
          <w:tcPr>
            <w:tcW w:w="2685" w:type="dxa"/>
            <w:tcBorders>
              <w:top w:val="single" w:color="000000" w:sz="4" w:space="0"/>
              <w:left w:val="single" w:color="000000" w:sz="4" w:space="0"/>
              <w:bottom w:val="single" w:color="000000" w:sz="4" w:space="0"/>
              <w:right w:val="single" w:color="000000" w:sz="4" w:space="0"/>
            </w:tcBorders>
            <w:noWrap w:val="0"/>
            <w:vAlign w:val="top"/>
          </w:tcPr>
          <w:p w14:paraId="2D7DF9D3">
            <w:pPr>
              <w:jc w:val="center"/>
              <w:rPr>
                <w:color w:val="000000"/>
                <w:szCs w:val="21"/>
              </w:rPr>
            </w:pPr>
            <w:r>
              <w:rPr>
                <w:color w:val="000000"/>
                <w:szCs w:val="21"/>
              </w:rPr>
              <w:t>70-75</w:t>
            </w:r>
          </w:p>
        </w:tc>
        <w:tc>
          <w:tcPr>
            <w:tcW w:w="2685" w:type="dxa"/>
            <w:tcBorders>
              <w:top w:val="single" w:color="000000" w:sz="4" w:space="0"/>
              <w:left w:val="single" w:color="000000" w:sz="4" w:space="0"/>
              <w:bottom w:val="single" w:color="000000" w:sz="4" w:space="0"/>
              <w:right w:val="single" w:color="000000" w:sz="4" w:space="0"/>
            </w:tcBorders>
            <w:noWrap w:val="0"/>
            <w:vAlign w:val="center"/>
          </w:tcPr>
          <w:p w14:paraId="6FC004D3">
            <w:pPr>
              <w:jc w:val="center"/>
              <w:rPr>
                <w:color w:val="000000"/>
                <w:szCs w:val="21"/>
              </w:rPr>
            </w:pPr>
            <w:r>
              <w:rPr>
                <w:color w:val="000000"/>
                <w:szCs w:val="21"/>
              </w:rPr>
              <w:t>68-73</w:t>
            </w:r>
          </w:p>
        </w:tc>
      </w:tr>
      <w:tr w14:paraId="1E398F48">
        <w:tblPrEx>
          <w:tblCellMar>
            <w:top w:w="0" w:type="dxa"/>
            <w:left w:w="108" w:type="dxa"/>
            <w:bottom w:w="0" w:type="dxa"/>
            <w:right w:w="108" w:type="dxa"/>
          </w:tblCellMar>
        </w:tblPrEx>
        <w:trPr>
          <w:cantSplit/>
          <w:trHeight w:val="283" w:hRule="atLeast"/>
        </w:trPr>
        <w:tc>
          <w:tcPr>
            <w:tcW w:w="1096" w:type="dxa"/>
            <w:vMerge w:val="continue"/>
            <w:tcBorders>
              <w:top w:val="single" w:color="000000" w:sz="4" w:space="0"/>
              <w:left w:val="single" w:color="000000" w:sz="4" w:space="0"/>
              <w:bottom w:val="single" w:color="000000" w:sz="4" w:space="0"/>
              <w:right w:val="single" w:color="000000" w:sz="4" w:space="0"/>
            </w:tcBorders>
            <w:noWrap w:val="0"/>
            <w:vAlign w:val="center"/>
          </w:tcPr>
          <w:p w14:paraId="6334618C">
            <w:pPr>
              <w:jc w:val="left"/>
              <w:rPr>
                <w:color w:val="000000"/>
                <w:szCs w:val="21"/>
              </w:rPr>
            </w:pPr>
          </w:p>
        </w:tc>
        <w:tc>
          <w:tcPr>
            <w:tcW w:w="2062" w:type="dxa"/>
            <w:tcBorders>
              <w:top w:val="single" w:color="000000" w:sz="4" w:space="0"/>
              <w:left w:val="single" w:color="000000" w:sz="4" w:space="0"/>
              <w:bottom w:val="single" w:color="000000" w:sz="4" w:space="0"/>
              <w:right w:val="single" w:color="000000" w:sz="4" w:space="0"/>
            </w:tcBorders>
            <w:noWrap w:val="0"/>
            <w:vAlign w:val="center"/>
          </w:tcPr>
          <w:p w14:paraId="13782A82">
            <w:pPr>
              <w:jc w:val="center"/>
              <w:rPr>
                <w:color w:val="000000"/>
                <w:szCs w:val="21"/>
              </w:rPr>
            </w:pPr>
            <w:r>
              <w:rPr>
                <w:color w:val="000000"/>
                <w:szCs w:val="21"/>
              </w:rPr>
              <w:t>空压机</w:t>
            </w:r>
          </w:p>
        </w:tc>
        <w:tc>
          <w:tcPr>
            <w:tcW w:w="2685" w:type="dxa"/>
            <w:tcBorders>
              <w:top w:val="single" w:color="000000" w:sz="4" w:space="0"/>
              <w:left w:val="single" w:color="000000" w:sz="4" w:space="0"/>
              <w:bottom w:val="single" w:color="000000" w:sz="4" w:space="0"/>
              <w:right w:val="single" w:color="000000" w:sz="4" w:space="0"/>
            </w:tcBorders>
            <w:noWrap w:val="0"/>
            <w:vAlign w:val="top"/>
          </w:tcPr>
          <w:p w14:paraId="26F182A4">
            <w:pPr>
              <w:jc w:val="center"/>
              <w:rPr>
                <w:color w:val="000000"/>
                <w:szCs w:val="21"/>
              </w:rPr>
            </w:pPr>
            <w:r>
              <w:rPr>
                <w:color w:val="000000"/>
                <w:szCs w:val="21"/>
              </w:rPr>
              <w:t>88-92</w:t>
            </w:r>
          </w:p>
        </w:tc>
        <w:tc>
          <w:tcPr>
            <w:tcW w:w="2685" w:type="dxa"/>
            <w:tcBorders>
              <w:top w:val="single" w:color="000000" w:sz="4" w:space="0"/>
              <w:left w:val="single" w:color="000000" w:sz="4" w:space="0"/>
              <w:bottom w:val="single" w:color="000000" w:sz="4" w:space="0"/>
              <w:right w:val="single" w:color="000000" w:sz="4" w:space="0"/>
            </w:tcBorders>
            <w:noWrap w:val="0"/>
            <w:vAlign w:val="center"/>
          </w:tcPr>
          <w:p w14:paraId="72EEA2A0">
            <w:pPr>
              <w:jc w:val="center"/>
              <w:rPr>
                <w:color w:val="000000"/>
                <w:szCs w:val="21"/>
              </w:rPr>
            </w:pPr>
            <w:r>
              <w:rPr>
                <w:color w:val="000000"/>
                <w:szCs w:val="21"/>
              </w:rPr>
              <w:t>83-88</w:t>
            </w:r>
          </w:p>
        </w:tc>
      </w:tr>
      <w:tr w14:paraId="1F6DD815">
        <w:tblPrEx>
          <w:tblCellMar>
            <w:top w:w="0" w:type="dxa"/>
            <w:left w:w="108" w:type="dxa"/>
            <w:bottom w:w="0" w:type="dxa"/>
            <w:right w:w="108" w:type="dxa"/>
          </w:tblCellMar>
        </w:tblPrEx>
        <w:trPr>
          <w:cantSplit/>
          <w:trHeight w:val="283" w:hRule="atLeast"/>
        </w:trPr>
        <w:tc>
          <w:tcPr>
            <w:tcW w:w="1096" w:type="dxa"/>
            <w:vMerge w:val="continue"/>
            <w:tcBorders>
              <w:top w:val="single" w:color="000000" w:sz="4" w:space="0"/>
              <w:left w:val="single" w:color="000000" w:sz="4" w:space="0"/>
              <w:bottom w:val="single" w:color="000000" w:sz="4" w:space="0"/>
              <w:right w:val="single" w:color="000000" w:sz="4" w:space="0"/>
            </w:tcBorders>
            <w:noWrap w:val="0"/>
            <w:vAlign w:val="center"/>
          </w:tcPr>
          <w:p w14:paraId="4C63A366">
            <w:pPr>
              <w:jc w:val="left"/>
              <w:rPr>
                <w:color w:val="000000"/>
                <w:szCs w:val="21"/>
              </w:rPr>
            </w:pPr>
          </w:p>
        </w:tc>
        <w:tc>
          <w:tcPr>
            <w:tcW w:w="2062" w:type="dxa"/>
            <w:tcBorders>
              <w:top w:val="single" w:color="000000" w:sz="4" w:space="0"/>
              <w:left w:val="single" w:color="000000" w:sz="4" w:space="0"/>
              <w:bottom w:val="single" w:color="000000" w:sz="4" w:space="0"/>
              <w:right w:val="single" w:color="000000" w:sz="4" w:space="0"/>
            </w:tcBorders>
            <w:noWrap w:val="0"/>
            <w:vAlign w:val="center"/>
          </w:tcPr>
          <w:p w14:paraId="3372DD8C">
            <w:pPr>
              <w:jc w:val="center"/>
              <w:rPr>
                <w:color w:val="000000"/>
                <w:szCs w:val="21"/>
              </w:rPr>
            </w:pPr>
            <w:r>
              <w:rPr>
                <w:color w:val="000000"/>
                <w:szCs w:val="21"/>
              </w:rPr>
              <w:t>混凝土输送泵</w:t>
            </w:r>
          </w:p>
        </w:tc>
        <w:tc>
          <w:tcPr>
            <w:tcW w:w="2685" w:type="dxa"/>
            <w:tcBorders>
              <w:top w:val="single" w:color="000000" w:sz="4" w:space="0"/>
              <w:left w:val="single" w:color="000000" w:sz="4" w:space="0"/>
              <w:bottom w:val="single" w:color="000000" w:sz="4" w:space="0"/>
              <w:right w:val="single" w:color="000000" w:sz="4" w:space="0"/>
            </w:tcBorders>
            <w:noWrap w:val="0"/>
            <w:vAlign w:val="top"/>
          </w:tcPr>
          <w:p w14:paraId="22DBC45D">
            <w:pPr>
              <w:jc w:val="center"/>
              <w:rPr>
                <w:color w:val="000000"/>
                <w:szCs w:val="21"/>
              </w:rPr>
            </w:pPr>
            <w:r>
              <w:rPr>
                <w:color w:val="000000"/>
                <w:szCs w:val="21"/>
              </w:rPr>
              <w:t>88-95</w:t>
            </w:r>
          </w:p>
        </w:tc>
        <w:tc>
          <w:tcPr>
            <w:tcW w:w="2685" w:type="dxa"/>
            <w:tcBorders>
              <w:top w:val="single" w:color="000000" w:sz="4" w:space="0"/>
              <w:left w:val="single" w:color="000000" w:sz="4" w:space="0"/>
              <w:bottom w:val="single" w:color="000000" w:sz="4" w:space="0"/>
              <w:right w:val="single" w:color="000000" w:sz="4" w:space="0"/>
            </w:tcBorders>
            <w:noWrap w:val="0"/>
            <w:vAlign w:val="center"/>
          </w:tcPr>
          <w:p w14:paraId="0F35F3E5">
            <w:pPr>
              <w:jc w:val="center"/>
              <w:rPr>
                <w:color w:val="000000"/>
                <w:szCs w:val="21"/>
              </w:rPr>
            </w:pPr>
            <w:r>
              <w:rPr>
                <w:color w:val="000000"/>
                <w:szCs w:val="21"/>
              </w:rPr>
              <w:t>84-90</w:t>
            </w:r>
          </w:p>
        </w:tc>
      </w:tr>
      <w:tr w14:paraId="75B45F09">
        <w:tblPrEx>
          <w:tblCellMar>
            <w:top w:w="0" w:type="dxa"/>
            <w:left w:w="108" w:type="dxa"/>
            <w:bottom w:w="0" w:type="dxa"/>
            <w:right w:w="108" w:type="dxa"/>
          </w:tblCellMar>
        </w:tblPrEx>
        <w:trPr>
          <w:cantSplit/>
          <w:trHeight w:val="283" w:hRule="atLeast"/>
        </w:trPr>
        <w:tc>
          <w:tcPr>
            <w:tcW w:w="1096" w:type="dxa"/>
            <w:vMerge w:val="continue"/>
            <w:tcBorders>
              <w:top w:val="single" w:color="000000" w:sz="4" w:space="0"/>
              <w:left w:val="single" w:color="000000" w:sz="4" w:space="0"/>
              <w:bottom w:val="single" w:color="000000" w:sz="4" w:space="0"/>
              <w:right w:val="single" w:color="000000" w:sz="4" w:space="0"/>
            </w:tcBorders>
            <w:noWrap w:val="0"/>
            <w:vAlign w:val="center"/>
          </w:tcPr>
          <w:p w14:paraId="47B596BE">
            <w:pPr>
              <w:jc w:val="left"/>
              <w:rPr>
                <w:color w:val="000000"/>
                <w:szCs w:val="21"/>
              </w:rPr>
            </w:pPr>
          </w:p>
        </w:tc>
        <w:tc>
          <w:tcPr>
            <w:tcW w:w="2062" w:type="dxa"/>
            <w:tcBorders>
              <w:top w:val="single" w:color="000000" w:sz="4" w:space="0"/>
              <w:left w:val="single" w:color="000000" w:sz="4" w:space="0"/>
              <w:bottom w:val="single" w:color="000000" w:sz="4" w:space="0"/>
              <w:right w:val="single" w:color="000000" w:sz="4" w:space="0"/>
            </w:tcBorders>
            <w:noWrap w:val="0"/>
            <w:vAlign w:val="center"/>
          </w:tcPr>
          <w:p w14:paraId="645405A7">
            <w:pPr>
              <w:jc w:val="center"/>
              <w:rPr>
                <w:color w:val="000000"/>
                <w:szCs w:val="21"/>
              </w:rPr>
            </w:pPr>
            <w:r>
              <w:rPr>
                <w:rFonts w:hint="eastAsia"/>
                <w:color w:val="000000"/>
                <w:szCs w:val="21"/>
                <w:lang w:eastAsia="zh-CN"/>
              </w:rPr>
              <w:t>混凝土</w:t>
            </w:r>
            <w:r>
              <w:rPr>
                <w:color w:val="000000"/>
                <w:szCs w:val="21"/>
              </w:rPr>
              <w:t>振捣器</w:t>
            </w:r>
          </w:p>
        </w:tc>
        <w:tc>
          <w:tcPr>
            <w:tcW w:w="2685" w:type="dxa"/>
            <w:tcBorders>
              <w:top w:val="single" w:color="000000" w:sz="4" w:space="0"/>
              <w:left w:val="single" w:color="000000" w:sz="4" w:space="0"/>
              <w:bottom w:val="single" w:color="000000" w:sz="4" w:space="0"/>
              <w:right w:val="single" w:color="000000" w:sz="4" w:space="0"/>
            </w:tcBorders>
            <w:noWrap w:val="0"/>
            <w:vAlign w:val="top"/>
          </w:tcPr>
          <w:p w14:paraId="323D1354">
            <w:pPr>
              <w:jc w:val="center"/>
              <w:rPr>
                <w:color w:val="000000"/>
                <w:szCs w:val="21"/>
              </w:rPr>
            </w:pPr>
            <w:r>
              <w:rPr>
                <w:color w:val="000000"/>
                <w:szCs w:val="21"/>
              </w:rPr>
              <w:t>80-88</w:t>
            </w:r>
          </w:p>
        </w:tc>
        <w:tc>
          <w:tcPr>
            <w:tcW w:w="2685" w:type="dxa"/>
            <w:tcBorders>
              <w:top w:val="single" w:color="000000" w:sz="4" w:space="0"/>
              <w:left w:val="single" w:color="000000" w:sz="4" w:space="0"/>
              <w:bottom w:val="single" w:color="000000" w:sz="4" w:space="0"/>
              <w:right w:val="single" w:color="000000" w:sz="4" w:space="0"/>
            </w:tcBorders>
            <w:noWrap w:val="0"/>
            <w:vAlign w:val="center"/>
          </w:tcPr>
          <w:p w14:paraId="3637D0C6">
            <w:pPr>
              <w:jc w:val="center"/>
              <w:rPr>
                <w:color w:val="000000"/>
                <w:szCs w:val="21"/>
              </w:rPr>
            </w:pPr>
            <w:r>
              <w:rPr>
                <w:color w:val="000000"/>
                <w:szCs w:val="21"/>
              </w:rPr>
              <w:t>75-84</w:t>
            </w:r>
          </w:p>
        </w:tc>
      </w:tr>
      <w:tr w14:paraId="5D7901BF">
        <w:tblPrEx>
          <w:tblCellMar>
            <w:top w:w="0" w:type="dxa"/>
            <w:left w:w="108" w:type="dxa"/>
            <w:bottom w:w="0" w:type="dxa"/>
            <w:right w:w="108" w:type="dxa"/>
          </w:tblCellMar>
        </w:tblPrEx>
        <w:trPr>
          <w:cantSplit/>
          <w:trHeight w:val="283" w:hRule="atLeast"/>
        </w:trPr>
        <w:tc>
          <w:tcPr>
            <w:tcW w:w="1096" w:type="dxa"/>
            <w:vMerge w:val="continue"/>
            <w:tcBorders>
              <w:top w:val="single" w:color="000000" w:sz="4" w:space="0"/>
              <w:left w:val="single" w:color="000000" w:sz="4" w:space="0"/>
              <w:bottom w:val="single" w:color="000000" w:sz="4" w:space="0"/>
              <w:right w:val="single" w:color="000000" w:sz="4" w:space="0"/>
            </w:tcBorders>
            <w:noWrap w:val="0"/>
            <w:vAlign w:val="center"/>
          </w:tcPr>
          <w:p w14:paraId="06FAB0C5">
            <w:pPr>
              <w:jc w:val="left"/>
              <w:rPr>
                <w:color w:val="000000"/>
                <w:szCs w:val="21"/>
              </w:rPr>
            </w:pPr>
          </w:p>
        </w:tc>
        <w:tc>
          <w:tcPr>
            <w:tcW w:w="2062" w:type="dxa"/>
            <w:tcBorders>
              <w:top w:val="single" w:color="000000" w:sz="4" w:space="0"/>
              <w:left w:val="single" w:color="000000" w:sz="4" w:space="0"/>
              <w:bottom w:val="single" w:color="000000" w:sz="4" w:space="0"/>
              <w:right w:val="single" w:color="000000" w:sz="4" w:space="0"/>
            </w:tcBorders>
            <w:noWrap w:val="0"/>
            <w:vAlign w:val="center"/>
          </w:tcPr>
          <w:p w14:paraId="3480703C">
            <w:pPr>
              <w:jc w:val="center"/>
              <w:rPr>
                <w:color w:val="000000"/>
                <w:szCs w:val="21"/>
              </w:rPr>
            </w:pPr>
            <w:r>
              <w:rPr>
                <w:color w:val="000000"/>
                <w:szCs w:val="21"/>
              </w:rPr>
              <w:t>电锯</w:t>
            </w:r>
          </w:p>
        </w:tc>
        <w:tc>
          <w:tcPr>
            <w:tcW w:w="2685" w:type="dxa"/>
            <w:tcBorders>
              <w:top w:val="single" w:color="000000" w:sz="4" w:space="0"/>
              <w:left w:val="single" w:color="000000" w:sz="4" w:space="0"/>
              <w:bottom w:val="single" w:color="000000" w:sz="4" w:space="0"/>
              <w:right w:val="single" w:color="000000" w:sz="4" w:space="0"/>
            </w:tcBorders>
            <w:noWrap w:val="0"/>
            <w:vAlign w:val="top"/>
          </w:tcPr>
          <w:p w14:paraId="5A25E0E2">
            <w:pPr>
              <w:jc w:val="center"/>
              <w:rPr>
                <w:color w:val="000000"/>
                <w:szCs w:val="21"/>
              </w:rPr>
            </w:pPr>
            <w:r>
              <w:rPr>
                <w:color w:val="000000"/>
                <w:szCs w:val="21"/>
              </w:rPr>
              <w:t>93-99</w:t>
            </w:r>
          </w:p>
        </w:tc>
        <w:tc>
          <w:tcPr>
            <w:tcW w:w="2685" w:type="dxa"/>
            <w:tcBorders>
              <w:top w:val="single" w:color="000000" w:sz="4" w:space="0"/>
              <w:left w:val="single" w:color="000000" w:sz="4" w:space="0"/>
              <w:bottom w:val="single" w:color="000000" w:sz="4" w:space="0"/>
              <w:right w:val="single" w:color="000000" w:sz="4" w:space="0"/>
            </w:tcBorders>
            <w:noWrap w:val="0"/>
            <w:vAlign w:val="center"/>
          </w:tcPr>
          <w:p w14:paraId="755BE387">
            <w:pPr>
              <w:jc w:val="center"/>
              <w:rPr>
                <w:color w:val="000000"/>
                <w:szCs w:val="21"/>
              </w:rPr>
            </w:pPr>
            <w:r>
              <w:rPr>
                <w:color w:val="000000"/>
                <w:szCs w:val="21"/>
              </w:rPr>
              <w:t>90-95</w:t>
            </w:r>
          </w:p>
        </w:tc>
      </w:tr>
      <w:tr w14:paraId="40C1A326">
        <w:tblPrEx>
          <w:tblCellMar>
            <w:top w:w="0" w:type="dxa"/>
            <w:left w:w="108" w:type="dxa"/>
            <w:bottom w:w="0" w:type="dxa"/>
            <w:right w:w="108" w:type="dxa"/>
          </w:tblCellMar>
        </w:tblPrEx>
        <w:trPr>
          <w:cantSplit/>
          <w:trHeight w:val="283" w:hRule="atLeast"/>
        </w:trPr>
        <w:tc>
          <w:tcPr>
            <w:tcW w:w="1096" w:type="dxa"/>
            <w:vMerge w:val="continue"/>
            <w:tcBorders>
              <w:top w:val="single" w:color="000000" w:sz="4" w:space="0"/>
              <w:left w:val="single" w:color="000000" w:sz="4" w:space="0"/>
              <w:bottom w:val="single" w:color="000000" w:sz="4" w:space="0"/>
              <w:right w:val="single" w:color="000000" w:sz="4" w:space="0"/>
            </w:tcBorders>
            <w:noWrap w:val="0"/>
            <w:vAlign w:val="center"/>
          </w:tcPr>
          <w:p w14:paraId="2367181E">
            <w:pPr>
              <w:jc w:val="left"/>
              <w:rPr>
                <w:color w:val="000000"/>
                <w:szCs w:val="21"/>
              </w:rPr>
            </w:pPr>
          </w:p>
        </w:tc>
        <w:tc>
          <w:tcPr>
            <w:tcW w:w="2062" w:type="dxa"/>
            <w:tcBorders>
              <w:top w:val="single" w:color="000000" w:sz="4" w:space="0"/>
              <w:left w:val="single" w:color="000000" w:sz="4" w:space="0"/>
              <w:bottom w:val="single" w:color="000000" w:sz="4" w:space="0"/>
              <w:right w:val="single" w:color="000000" w:sz="4" w:space="0"/>
            </w:tcBorders>
            <w:noWrap w:val="0"/>
            <w:vAlign w:val="center"/>
          </w:tcPr>
          <w:p w14:paraId="097DE8E0">
            <w:pPr>
              <w:jc w:val="center"/>
              <w:rPr>
                <w:color w:val="000000"/>
                <w:szCs w:val="21"/>
              </w:rPr>
            </w:pPr>
            <w:r>
              <w:rPr>
                <w:color w:val="000000"/>
                <w:szCs w:val="21"/>
              </w:rPr>
              <w:t>重型运输车</w:t>
            </w:r>
          </w:p>
        </w:tc>
        <w:tc>
          <w:tcPr>
            <w:tcW w:w="2685" w:type="dxa"/>
            <w:tcBorders>
              <w:top w:val="single" w:color="000000" w:sz="4" w:space="0"/>
              <w:left w:val="single" w:color="000000" w:sz="4" w:space="0"/>
              <w:bottom w:val="single" w:color="000000" w:sz="4" w:space="0"/>
              <w:right w:val="single" w:color="000000" w:sz="4" w:space="0"/>
            </w:tcBorders>
            <w:noWrap w:val="0"/>
            <w:vAlign w:val="top"/>
          </w:tcPr>
          <w:p w14:paraId="180B5073">
            <w:pPr>
              <w:jc w:val="center"/>
              <w:rPr>
                <w:color w:val="000000"/>
                <w:szCs w:val="21"/>
              </w:rPr>
            </w:pPr>
            <w:r>
              <w:rPr>
                <w:color w:val="000000"/>
                <w:szCs w:val="21"/>
              </w:rPr>
              <w:t>82-90</w:t>
            </w:r>
          </w:p>
        </w:tc>
        <w:tc>
          <w:tcPr>
            <w:tcW w:w="2685" w:type="dxa"/>
            <w:tcBorders>
              <w:top w:val="single" w:color="000000" w:sz="4" w:space="0"/>
              <w:left w:val="single" w:color="000000" w:sz="4" w:space="0"/>
              <w:bottom w:val="single" w:color="000000" w:sz="4" w:space="0"/>
              <w:right w:val="single" w:color="000000" w:sz="4" w:space="0"/>
            </w:tcBorders>
            <w:noWrap w:val="0"/>
            <w:vAlign w:val="center"/>
          </w:tcPr>
          <w:p w14:paraId="5C87D8ED">
            <w:pPr>
              <w:jc w:val="center"/>
              <w:rPr>
                <w:color w:val="000000"/>
                <w:szCs w:val="21"/>
              </w:rPr>
            </w:pPr>
            <w:r>
              <w:rPr>
                <w:color w:val="000000"/>
                <w:szCs w:val="21"/>
              </w:rPr>
              <w:t>78-86</w:t>
            </w:r>
          </w:p>
        </w:tc>
      </w:tr>
      <w:tr w14:paraId="1DFA0838">
        <w:tblPrEx>
          <w:tblCellMar>
            <w:top w:w="0" w:type="dxa"/>
            <w:left w:w="108" w:type="dxa"/>
            <w:bottom w:w="0" w:type="dxa"/>
            <w:right w:w="108" w:type="dxa"/>
          </w:tblCellMar>
        </w:tblPrEx>
        <w:trPr>
          <w:cantSplit/>
          <w:trHeight w:val="283" w:hRule="atLeast"/>
        </w:trPr>
        <w:tc>
          <w:tcPr>
            <w:tcW w:w="1096" w:type="dxa"/>
            <w:vMerge w:val="continue"/>
            <w:tcBorders>
              <w:top w:val="single" w:color="000000" w:sz="4" w:space="0"/>
              <w:left w:val="single" w:color="000000" w:sz="4" w:space="0"/>
              <w:bottom w:val="single" w:color="000000" w:sz="4" w:space="0"/>
              <w:right w:val="single" w:color="000000" w:sz="4" w:space="0"/>
            </w:tcBorders>
            <w:noWrap w:val="0"/>
            <w:vAlign w:val="center"/>
          </w:tcPr>
          <w:p w14:paraId="34EDF2F8">
            <w:pPr>
              <w:jc w:val="left"/>
              <w:rPr>
                <w:color w:val="000000"/>
                <w:szCs w:val="21"/>
              </w:rPr>
            </w:pPr>
          </w:p>
        </w:tc>
        <w:tc>
          <w:tcPr>
            <w:tcW w:w="2062" w:type="dxa"/>
            <w:tcBorders>
              <w:top w:val="single" w:color="000000" w:sz="4" w:space="0"/>
              <w:left w:val="single" w:color="000000" w:sz="4" w:space="0"/>
              <w:bottom w:val="single" w:color="000000" w:sz="4" w:space="0"/>
              <w:right w:val="single" w:color="000000" w:sz="4" w:space="0"/>
            </w:tcBorders>
            <w:noWrap w:val="0"/>
            <w:vAlign w:val="center"/>
          </w:tcPr>
          <w:p w14:paraId="753FB82D">
            <w:pPr>
              <w:jc w:val="center"/>
              <w:rPr>
                <w:color w:val="000000"/>
                <w:szCs w:val="21"/>
              </w:rPr>
            </w:pPr>
            <w:r>
              <w:rPr>
                <w:color w:val="000000"/>
                <w:szCs w:val="21"/>
              </w:rPr>
              <w:t>电锤</w:t>
            </w:r>
          </w:p>
        </w:tc>
        <w:tc>
          <w:tcPr>
            <w:tcW w:w="2685" w:type="dxa"/>
            <w:tcBorders>
              <w:top w:val="single" w:color="000000" w:sz="4" w:space="0"/>
              <w:left w:val="single" w:color="000000" w:sz="4" w:space="0"/>
              <w:bottom w:val="single" w:color="000000" w:sz="4" w:space="0"/>
              <w:right w:val="single" w:color="000000" w:sz="4" w:space="0"/>
            </w:tcBorders>
            <w:noWrap w:val="0"/>
            <w:vAlign w:val="top"/>
          </w:tcPr>
          <w:p w14:paraId="4687F9C4">
            <w:pPr>
              <w:jc w:val="center"/>
              <w:rPr>
                <w:color w:val="000000"/>
                <w:szCs w:val="21"/>
              </w:rPr>
            </w:pPr>
            <w:r>
              <w:rPr>
                <w:color w:val="000000"/>
                <w:szCs w:val="21"/>
              </w:rPr>
              <w:t>100-105</w:t>
            </w:r>
          </w:p>
        </w:tc>
        <w:tc>
          <w:tcPr>
            <w:tcW w:w="2685" w:type="dxa"/>
            <w:tcBorders>
              <w:top w:val="single" w:color="000000" w:sz="4" w:space="0"/>
              <w:left w:val="single" w:color="000000" w:sz="4" w:space="0"/>
              <w:bottom w:val="single" w:color="000000" w:sz="4" w:space="0"/>
              <w:right w:val="single" w:color="000000" w:sz="4" w:space="0"/>
            </w:tcBorders>
            <w:noWrap w:val="0"/>
            <w:vAlign w:val="center"/>
          </w:tcPr>
          <w:p w14:paraId="42B86E8D">
            <w:pPr>
              <w:jc w:val="center"/>
              <w:rPr>
                <w:color w:val="000000"/>
                <w:szCs w:val="21"/>
              </w:rPr>
            </w:pPr>
            <w:r>
              <w:rPr>
                <w:color w:val="000000"/>
                <w:szCs w:val="21"/>
              </w:rPr>
              <w:t>95-99</w:t>
            </w:r>
          </w:p>
        </w:tc>
      </w:tr>
      <w:tr w14:paraId="2F167BFD">
        <w:tblPrEx>
          <w:tblCellMar>
            <w:top w:w="0" w:type="dxa"/>
            <w:left w:w="108" w:type="dxa"/>
            <w:bottom w:w="0" w:type="dxa"/>
            <w:right w:w="108" w:type="dxa"/>
          </w:tblCellMar>
        </w:tblPrEx>
        <w:trPr>
          <w:cantSplit/>
          <w:trHeight w:val="283" w:hRule="atLeast"/>
        </w:trPr>
        <w:tc>
          <w:tcPr>
            <w:tcW w:w="1096" w:type="dxa"/>
            <w:vMerge w:val="continue"/>
            <w:tcBorders>
              <w:top w:val="single" w:color="000000" w:sz="4" w:space="0"/>
              <w:left w:val="single" w:color="000000" w:sz="4" w:space="0"/>
              <w:bottom w:val="single" w:color="000000" w:sz="4" w:space="0"/>
              <w:right w:val="single" w:color="000000" w:sz="4" w:space="0"/>
            </w:tcBorders>
            <w:noWrap w:val="0"/>
            <w:vAlign w:val="center"/>
          </w:tcPr>
          <w:p w14:paraId="01188F8D">
            <w:pPr>
              <w:jc w:val="left"/>
              <w:rPr>
                <w:color w:val="000000"/>
                <w:szCs w:val="21"/>
              </w:rPr>
            </w:pPr>
          </w:p>
        </w:tc>
        <w:tc>
          <w:tcPr>
            <w:tcW w:w="2062" w:type="dxa"/>
            <w:tcBorders>
              <w:top w:val="single" w:color="000000" w:sz="4" w:space="0"/>
              <w:left w:val="single" w:color="000000" w:sz="4" w:space="0"/>
              <w:bottom w:val="single" w:color="000000" w:sz="4" w:space="0"/>
              <w:right w:val="single" w:color="000000" w:sz="4" w:space="0"/>
            </w:tcBorders>
            <w:noWrap w:val="0"/>
            <w:vAlign w:val="center"/>
          </w:tcPr>
          <w:p w14:paraId="007A54D0">
            <w:pPr>
              <w:jc w:val="center"/>
              <w:rPr>
                <w:color w:val="000000"/>
                <w:szCs w:val="21"/>
              </w:rPr>
            </w:pPr>
            <w:r>
              <w:rPr>
                <w:color w:val="000000"/>
                <w:szCs w:val="21"/>
              </w:rPr>
              <w:t>商砼搅拌车</w:t>
            </w:r>
          </w:p>
        </w:tc>
        <w:tc>
          <w:tcPr>
            <w:tcW w:w="2685" w:type="dxa"/>
            <w:tcBorders>
              <w:top w:val="single" w:color="000000" w:sz="4" w:space="0"/>
              <w:left w:val="single" w:color="000000" w:sz="4" w:space="0"/>
              <w:bottom w:val="single" w:color="000000" w:sz="4" w:space="0"/>
              <w:right w:val="single" w:color="000000" w:sz="4" w:space="0"/>
            </w:tcBorders>
            <w:noWrap w:val="0"/>
            <w:vAlign w:val="top"/>
          </w:tcPr>
          <w:p w14:paraId="1CC83AE6">
            <w:pPr>
              <w:jc w:val="center"/>
              <w:rPr>
                <w:color w:val="000000"/>
                <w:szCs w:val="21"/>
              </w:rPr>
            </w:pPr>
            <w:r>
              <w:rPr>
                <w:color w:val="000000"/>
                <w:szCs w:val="21"/>
              </w:rPr>
              <w:t>85-90</w:t>
            </w:r>
          </w:p>
        </w:tc>
        <w:tc>
          <w:tcPr>
            <w:tcW w:w="2685" w:type="dxa"/>
            <w:tcBorders>
              <w:top w:val="single" w:color="000000" w:sz="4" w:space="0"/>
              <w:left w:val="single" w:color="000000" w:sz="4" w:space="0"/>
              <w:bottom w:val="single" w:color="000000" w:sz="4" w:space="0"/>
              <w:right w:val="single" w:color="000000" w:sz="4" w:space="0"/>
            </w:tcBorders>
            <w:noWrap w:val="0"/>
            <w:vAlign w:val="center"/>
          </w:tcPr>
          <w:p w14:paraId="5EF38BA1">
            <w:pPr>
              <w:jc w:val="center"/>
              <w:rPr>
                <w:color w:val="000000"/>
                <w:szCs w:val="21"/>
              </w:rPr>
            </w:pPr>
            <w:r>
              <w:rPr>
                <w:color w:val="000000"/>
                <w:szCs w:val="21"/>
              </w:rPr>
              <w:t>82-84</w:t>
            </w:r>
          </w:p>
        </w:tc>
      </w:tr>
      <w:tr w14:paraId="0DD00EC9">
        <w:tblPrEx>
          <w:tblCellMar>
            <w:top w:w="0" w:type="dxa"/>
            <w:left w:w="108" w:type="dxa"/>
            <w:bottom w:w="0" w:type="dxa"/>
            <w:right w:w="108" w:type="dxa"/>
          </w:tblCellMar>
        </w:tblPrEx>
        <w:trPr>
          <w:cantSplit/>
          <w:trHeight w:val="283" w:hRule="atLeast"/>
        </w:trPr>
        <w:tc>
          <w:tcPr>
            <w:tcW w:w="1096" w:type="dxa"/>
            <w:vMerge w:val="continue"/>
            <w:tcBorders>
              <w:top w:val="single" w:color="000000" w:sz="4" w:space="0"/>
              <w:left w:val="single" w:color="000000" w:sz="4" w:space="0"/>
              <w:bottom w:val="single" w:color="000000" w:sz="4" w:space="0"/>
              <w:right w:val="single" w:color="000000" w:sz="4" w:space="0"/>
            </w:tcBorders>
            <w:noWrap w:val="0"/>
            <w:vAlign w:val="center"/>
          </w:tcPr>
          <w:p w14:paraId="2C4603B5">
            <w:pPr>
              <w:jc w:val="left"/>
              <w:rPr>
                <w:color w:val="000000"/>
                <w:szCs w:val="21"/>
              </w:rPr>
            </w:pPr>
          </w:p>
        </w:tc>
        <w:tc>
          <w:tcPr>
            <w:tcW w:w="2062" w:type="dxa"/>
            <w:tcBorders>
              <w:top w:val="single" w:color="000000" w:sz="4" w:space="0"/>
              <w:left w:val="single" w:color="000000" w:sz="4" w:space="0"/>
              <w:bottom w:val="single" w:color="000000" w:sz="4" w:space="0"/>
              <w:right w:val="single" w:color="000000" w:sz="4" w:space="0"/>
            </w:tcBorders>
            <w:noWrap w:val="0"/>
            <w:vAlign w:val="center"/>
          </w:tcPr>
          <w:p w14:paraId="0B554BE2">
            <w:pPr>
              <w:jc w:val="center"/>
              <w:rPr>
                <w:color w:val="000000"/>
                <w:szCs w:val="21"/>
              </w:rPr>
            </w:pPr>
            <w:r>
              <w:rPr>
                <w:color w:val="000000"/>
                <w:szCs w:val="21"/>
              </w:rPr>
              <w:t>风镐</w:t>
            </w:r>
          </w:p>
        </w:tc>
        <w:tc>
          <w:tcPr>
            <w:tcW w:w="2685" w:type="dxa"/>
            <w:tcBorders>
              <w:top w:val="single" w:color="000000" w:sz="4" w:space="0"/>
              <w:left w:val="single" w:color="000000" w:sz="4" w:space="0"/>
              <w:bottom w:val="single" w:color="000000" w:sz="4" w:space="0"/>
              <w:right w:val="single" w:color="000000" w:sz="4" w:space="0"/>
            </w:tcBorders>
            <w:noWrap w:val="0"/>
            <w:vAlign w:val="top"/>
          </w:tcPr>
          <w:p w14:paraId="119E9528">
            <w:pPr>
              <w:jc w:val="center"/>
              <w:rPr>
                <w:color w:val="000000"/>
                <w:szCs w:val="21"/>
              </w:rPr>
            </w:pPr>
            <w:r>
              <w:rPr>
                <w:color w:val="000000"/>
                <w:szCs w:val="21"/>
              </w:rPr>
              <w:t>88-92</w:t>
            </w:r>
          </w:p>
        </w:tc>
        <w:tc>
          <w:tcPr>
            <w:tcW w:w="2685" w:type="dxa"/>
            <w:tcBorders>
              <w:top w:val="single" w:color="000000" w:sz="4" w:space="0"/>
              <w:left w:val="single" w:color="000000" w:sz="4" w:space="0"/>
              <w:bottom w:val="single" w:color="000000" w:sz="4" w:space="0"/>
              <w:right w:val="single" w:color="000000" w:sz="4" w:space="0"/>
            </w:tcBorders>
            <w:noWrap w:val="0"/>
            <w:vAlign w:val="center"/>
          </w:tcPr>
          <w:p w14:paraId="11445EA3">
            <w:pPr>
              <w:jc w:val="center"/>
              <w:rPr>
                <w:color w:val="000000"/>
                <w:szCs w:val="21"/>
              </w:rPr>
            </w:pPr>
            <w:r>
              <w:rPr>
                <w:color w:val="000000"/>
                <w:szCs w:val="21"/>
              </w:rPr>
              <w:t>83-87</w:t>
            </w:r>
          </w:p>
        </w:tc>
      </w:tr>
      <w:tr w14:paraId="0CEDAEAE">
        <w:tblPrEx>
          <w:tblCellMar>
            <w:top w:w="0" w:type="dxa"/>
            <w:left w:w="108" w:type="dxa"/>
            <w:bottom w:w="0" w:type="dxa"/>
            <w:right w:w="108" w:type="dxa"/>
          </w:tblCellMar>
        </w:tblPrEx>
        <w:trPr>
          <w:cantSplit/>
          <w:trHeight w:val="283" w:hRule="atLeast"/>
        </w:trPr>
        <w:tc>
          <w:tcPr>
            <w:tcW w:w="1096" w:type="dxa"/>
            <w:vMerge w:val="continue"/>
            <w:tcBorders>
              <w:top w:val="single" w:color="000000" w:sz="4" w:space="0"/>
              <w:left w:val="single" w:color="000000" w:sz="4" w:space="0"/>
              <w:bottom w:val="single" w:color="000000" w:sz="4" w:space="0"/>
              <w:right w:val="single" w:color="000000" w:sz="4" w:space="0"/>
            </w:tcBorders>
            <w:noWrap w:val="0"/>
            <w:vAlign w:val="center"/>
          </w:tcPr>
          <w:p w14:paraId="5D69B392">
            <w:pPr>
              <w:jc w:val="left"/>
              <w:rPr>
                <w:color w:val="000000"/>
                <w:szCs w:val="21"/>
              </w:rPr>
            </w:pPr>
          </w:p>
        </w:tc>
        <w:tc>
          <w:tcPr>
            <w:tcW w:w="2062" w:type="dxa"/>
            <w:tcBorders>
              <w:top w:val="single" w:color="000000" w:sz="4" w:space="0"/>
              <w:left w:val="single" w:color="000000" w:sz="4" w:space="0"/>
              <w:bottom w:val="single" w:color="000000" w:sz="4" w:space="0"/>
              <w:right w:val="single" w:color="000000" w:sz="4" w:space="0"/>
            </w:tcBorders>
            <w:noWrap w:val="0"/>
            <w:vAlign w:val="center"/>
          </w:tcPr>
          <w:p w14:paraId="209F2C82">
            <w:pPr>
              <w:jc w:val="center"/>
              <w:rPr>
                <w:color w:val="000000"/>
                <w:szCs w:val="21"/>
              </w:rPr>
            </w:pPr>
            <w:r>
              <w:rPr>
                <w:color w:val="000000"/>
                <w:szCs w:val="21"/>
              </w:rPr>
              <w:t>云石机、角磨机</w:t>
            </w:r>
          </w:p>
        </w:tc>
        <w:tc>
          <w:tcPr>
            <w:tcW w:w="2685" w:type="dxa"/>
            <w:tcBorders>
              <w:top w:val="single" w:color="000000" w:sz="4" w:space="0"/>
              <w:left w:val="single" w:color="000000" w:sz="4" w:space="0"/>
              <w:bottom w:val="single" w:color="000000" w:sz="4" w:space="0"/>
              <w:right w:val="single" w:color="000000" w:sz="4" w:space="0"/>
            </w:tcBorders>
            <w:noWrap w:val="0"/>
            <w:vAlign w:val="top"/>
          </w:tcPr>
          <w:p w14:paraId="5ECD617C">
            <w:pPr>
              <w:jc w:val="center"/>
              <w:rPr>
                <w:color w:val="000000"/>
                <w:szCs w:val="21"/>
              </w:rPr>
            </w:pPr>
            <w:r>
              <w:rPr>
                <w:color w:val="000000"/>
                <w:szCs w:val="21"/>
              </w:rPr>
              <w:t>90-96</w:t>
            </w:r>
          </w:p>
        </w:tc>
        <w:tc>
          <w:tcPr>
            <w:tcW w:w="2685" w:type="dxa"/>
            <w:tcBorders>
              <w:top w:val="single" w:color="000000" w:sz="4" w:space="0"/>
              <w:left w:val="single" w:color="000000" w:sz="4" w:space="0"/>
              <w:bottom w:val="single" w:color="000000" w:sz="4" w:space="0"/>
              <w:right w:val="single" w:color="000000" w:sz="4" w:space="0"/>
            </w:tcBorders>
            <w:noWrap w:val="0"/>
            <w:vAlign w:val="center"/>
          </w:tcPr>
          <w:p w14:paraId="1F04B809">
            <w:pPr>
              <w:jc w:val="center"/>
              <w:rPr>
                <w:color w:val="000000"/>
                <w:szCs w:val="21"/>
              </w:rPr>
            </w:pPr>
            <w:r>
              <w:rPr>
                <w:color w:val="000000"/>
                <w:szCs w:val="21"/>
              </w:rPr>
              <w:t>84-90</w:t>
            </w:r>
          </w:p>
        </w:tc>
      </w:tr>
    </w:tbl>
    <w:p w14:paraId="5266322B">
      <w:pPr>
        <w:pStyle w:val="221"/>
        <w:spacing w:after="0" w:line="360" w:lineRule="auto"/>
        <w:ind w:left="0" w:firstLine="480"/>
        <w:rPr>
          <w:color w:val="000000"/>
          <w:sz w:val="24"/>
        </w:rPr>
      </w:pPr>
      <w:r>
        <w:rPr>
          <w:rFonts w:hint="eastAsia"/>
          <w:color w:val="000000"/>
          <w:sz w:val="24"/>
        </w:rPr>
        <w:t>2）</w:t>
      </w:r>
      <w:r>
        <w:rPr>
          <w:color w:val="000000"/>
          <w:sz w:val="24"/>
        </w:rPr>
        <w:t>施工机械噪声衰减预测</w:t>
      </w:r>
    </w:p>
    <w:p w14:paraId="17609CEB">
      <w:pPr>
        <w:spacing w:line="360" w:lineRule="auto"/>
        <w:ind w:firstLine="570"/>
        <w:rPr>
          <w:color w:val="000000"/>
          <w:sz w:val="24"/>
        </w:rPr>
      </w:pPr>
      <w:r>
        <w:rPr>
          <w:color w:val="000000"/>
          <w:sz w:val="24"/>
        </w:rPr>
        <w:t>采用点源衰减模式，预测只计算声源至受声点的几何发散衰减，不考虑声屏障、空气吸收等衰减。预测公式如下：</w:t>
      </w:r>
    </w:p>
    <w:p w14:paraId="1A1ED76A">
      <w:pPr>
        <w:spacing w:line="360" w:lineRule="auto"/>
        <w:ind w:firstLine="570"/>
        <w:rPr>
          <w:color w:val="000000"/>
          <w:sz w:val="24"/>
        </w:rPr>
      </w:pPr>
      <w:r>
        <w:rPr>
          <w:color w:val="000000"/>
          <w:sz w:val="24"/>
        </w:rPr>
        <w:t>L</w:t>
      </w:r>
      <w:r>
        <w:rPr>
          <w:color w:val="000000"/>
          <w:sz w:val="24"/>
          <w:vertAlign w:val="subscript"/>
        </w:rPr>
        <w:t>r</w:t>
      </w:r>
      <w:r>
        <w:rPr>
          <w:color w:val="000000"/>
          <w:sz w:val="24"/>
        </w:rPr>
        <w:t>=L</w:t>
      </w:r>
      <w:r>
        <w:rPr>
          <w:color w:val="000000"/>
          <w:sz w:val="24"/>
          <w:vertAlign w:val="subscript"/>
        </w:rPr>
        <w:t>r0</w:t>
      </w:r>
      <w:r>
        <w:rPr>
          <w:color w:val="000000"/>
          <w:sz w:val="24"/>
        </w:rPr>
        <w:t>-20lg(r／r</w:t>
      </w:r>
      <w:r>
        <w:rPr>
          <w:color w:val="000000"/>
          <w:sz w:val="24"/>
          <w:vertAlign w:val="subscript"/>
        </w:rPr>
        <w:t>o</w:t>
      </w:r>
      <w:r>
        <w:rPr>
          <w:color w:val="000000"/>
          <w:sz w:val="24"/>
        </w:rPr>
        <w:t>)</w:t>
      </w:r>
    </w:p>
    <w:p w14:paraId="45F8CA68">
      <w:pPr>
        <w:spacing w:line="360" w:lineRule="auto"/>
        <w:ind w:firstLine="570"/>
        <w:rPr>
          <w:color w:val="000000"/>
          <w:sz w:val="24"/>
        </w:rPr>
      </w:pPr>
      <w:r>
        <w:rPr>
          <w:color w:val="000000"/>
          <w:sz w:val="24"/>
        </w:rPr>
        <w:t>式中：L</w:t>
      </w:r>
      <w:r>
        <w:rPr>
          <w:color w:val="000000"/>
          <w:sz w:val="24"/>
          <w:vertAlign w:val="subscript"/>
        </w:rPr>
        <w:t>r</w:t>
      </w:r>
      <w:r>
        <w:rPr>
          <w:color w:val="000000"/>
          <w:sz w:val="24"/>
        </w:rPr>
        <w:t>---距声源r处的A声压级，dB(A)；</w:t>
      </w:r>
    </w:p>
    <w:p w14:paraId="7435202D">
      <w:pPr>
        <w:spacing w:line="360" w:lineRule="auto"/>
        <w:ind w:firstLine="570"/>
        <w:rPr>
          <w:color w:val="000000"/>
          <w:sz w:val="24"/>
        </w:rPr>
      </w:pPr>
      <w:r>
        <w:rPr>
          <w:color w:val="000000"/>
          <w:sz w:val="24"/>
        </w:rPr>
        <w:t>L</w:t>
      </w:r>
      <w:r>
        <w:rPr>
          <w:color w:val="000000"/>
          <w:sz w:val="24"/>
          <w:vertAlign w:val="subscript"/>
        </w:rPr>
        <w:t>rO</w:t>
      </w:r>
      <w:r>
        <w:rPr>
          <w:color w:val="000000"/>
          <w:sz w:val="24"/>
        </w:rPr>
        <w:t>---距声源r</w:t>
      </w:r>
      <w:r>
        <w:rPr>
          <w:color w:val="000000"/>
          <w:sz w:val="24"/>
          <w:vertAlign w:val="subscript"/>
        </w:rPr>
        <w:t>0</w:t>
      </w:r>
      <w:r>
        <w:rPr>
          <w:color w:val="000000"/>
          <w:sz w:val="24"/>
        </w:rPr>
        <w:t>处的A声压级，dB(A)；</w:t>
      </w:r>
    </w:p>
    <w:p w14:paraId="0F3497B1">
      <w:pPr>
        <w:spacing w:line="360" w:lineRule="auto"/>
        <w:ind w:firstLine="570"/>
        <w:rPr>
          <w:color w:val="000000"/>
          <w:sz w:val="24"/>
        </w:rPr>
      </w:pPr>
      <w:r>
        <w:rPr>
          <w:color w:val="000000"/>
          <w:sz w:val="24"/>
        </w:rPr>
        <w:t>r一预测点与声源的距离，m；</w:t>
      </w:r>
    </w:p>
    <w:p w14:paraId="0E83210F">
      <w:pPr>
        <w:spacing w:line="360" w:lineRule="auto"/>
        <w:ind w:firstLine="570"/>
        <w:rPr>
          <w:color w:val="000000"/>
          <w:sz w:val="24"/>
        </w:rPr>
      </w:pPr>
      <w:r>
        <w:rPr>
          <w:color w:val="000000"/>
          <w:sz w:val="24"/>
        </w:rPr>
        <w:t>r</w:t>
      </w:r>
      <w:r>
        <w:rPr>
          <w:color w:val="000000"/>
          <w:sz w:val="24"/>
          <w:vertAlign w:val="subscript"/>
        </w:rPr>
        <w:t>o</w:t>
      </w:r>
      <w:r>
        <w:rPr>
          <w:color w:val="000000"/>
          <w:sz w:val="24"/>
        </w:rPr>
        <w:t>—监测设备噪声时的距离，m。</w:t>
      </w:r>
    </w:p>
    <w:p w14:paraId="280CDB1A">
      <w:pPr>
        <w:spacing w:line="360" w:lineRule="auto"/>
        <w:ind w:firstLine="570"/>
        <w:rPr>
          <w:color w:val="000000"/>
          <w:sz w:val="24"/>
        </w:rPr>
      </w:pPr>
      <w:r>
        <w:rPr>
          <w:color w:val="000000"/>
          <w:sz w:val="24"/>
        </w:rPr>
        <w:t>首先预测主要施工机械在不同距离贡献值，预测结果见表</w:t>
      </w:r>
      <w:r>
        <w:rPr>
          <w:rFonts w:hint="eastAsia"/>
          <w:color w:val="000000"/>
          <w:sz w:val="24"/>
        </w:rPr>
        <w:t>6.1</w:t>
      </w:r>
      <w:r>
        <w:rPr>
          <w:color w:val="000000"/>
          <w:sz w:val="24"/>
        </w:rPr>
        <w:t>-</w:t>
      </w:r>
      <w:r>
        <w:rPr>
          <w:rFonts w:hint="eastAsia"/>
          <w:color w:val="000000"/>
          <w:sz w:val="24"/>
        </w:rPr>
        <w:t>6</w:t>
      </w:r>
      <w:r>
        <w:rPr>
          <w:color w:val="000000"/>
          <w:sz w:val="24"/>
        </w:rPr>
        <w:t>。</w:t>
      </w:r>
    </w:p>
    <w:p w14:paraId="04021F99">
      <w:pPr>
        <w:spacing w:line="360" w:lineRule="auto"/>
        <w:jc w:val="center"/>
        <w:rPr>
          <w:b/>
          <w:color w:val="000000"/>
          <w:sz w:val="24"/>
        </w:rPr>
      </w:pPr>
      <w:r>
        <w:rPr>
          <w:b/>
          <w:color w:val="000000"/>
          <w:sz w:val="24"/>
        </w:rPr>
        <w:t>表</w:t>
      </w:r>
      <w:r>
        <w:rPr>
          <w:rFonts w:hint="eastAsia"/>
          <w:b/>
          <w:color w:val="000000"/>
          <w:sz w:val="24"/>
        </w:rPr>
        <w:t>6.1</w:t>
      </w:r>
      <w:r>
        <w:rPr>
          <w:b/>
          <w:color w:val="000000"/>
          <w:sz w:val="24"/>
        </w:rPr>
        <w:t>-</w:t>
      </w:r>
      <w:r>
        <w:rPr>
          <w:rFonts w:hint="eastAsia"/>
          <w:b/>
          <w:color w:val="000000"/>
          <w:sz w:val="24"/>
        </w:rPr>
        <w:t>6</w:t>
      </w:r>
      <w:r>
        <w:rPr>
          <w:b/>
          <w:color w:val="000000"/>
          <w:sz w:val="24"/>
        </w:rPr>
        <w:t xml:space="preserve">  各主要施工机械在不同距离处的贡献值</w:t>
      </w:r>
    </w:p>
    <w:tbl>
      <w:tblPr>
        <w:tblStyle w:val="27"/>
        <w:tblW w:w="0" w:type="auto"/>
        <w:tblInd w:w="-10" w:type="dxa"/>
        <w:tblLayout w:type="fixed"/>
        <w:tblCellMar>
          <w:top w:w="0" w:type="dxa"/>
          <w:left w:w="0" w:type="dxa"/>
          <w:bottom w:w="0" w:type="dxa"/>
          <w:right w:w="0" w:type="dxa"/>
        </w:tblCellMar>
      </w:tblPr>
      <w:tblGrid>
        <w:gridCol w:w="444"/>
        <w:gridCol w:w="1677"/>
        <w:gridCol w:w="600"/>
        <w:gridCol w:w="605"/>
        <w:gridCol w:w="607"/>
        <w:gridCol w:w="610"/>
        <w:gridCol w:w="610"/>
        <w:gridCol w:w="610"/>
        <w:gridCol w:w="610"/>
        <w:gridCol w:w="610"/>
        <w:gridCol w:w="637"/>
        <w:gridCol w:w="712"/>
      </w:tblGrid>
      <w:tr w14:paraId="5967BB42">
        <w:tblPrEx>
          <w:tblCellMar>
            <w:top w:w="0" w:type="dxa"/>
            <w:left w:w="0" w:type="dxa"/>
            <w:bottom w:w="0" w:type="dxa"/>
            <w:right w:w="0" w:type="dxa"/>
          </w:tblCellMar>
        </w:tblPrEx>
        <w:trPr>
          <w:cantSplit/>
          <w:trHeight w:val="200" w:hRule="atLeast"/>
        </w:trPr>
        <w:tc>
          <w:tcPr>
            <w:tcW w:w="444" w:type="dxa"/>
            <w:vMerge w:val="restart"/>
            <w:tcBorders>
              <w:top w:val="single" w:color="000000" w:sz="8" w:space="0"/>
              <w:left w:val="single" w:color="000000" w:sz="8" w:space="0"/>
              <w:bottom w:val="single" w:color="000000" w:sz="8" w:space="0"/>
              <w:right w:val="single" w:color="000000" w:sz="8" w:space="0"/>
            </w:tcBorders>
            <w:noWrap w:val="0"/>
            <w:vAlign w:val="center"/>
          </w:tcPr>
          <w:p w14:paraId="6A068EEF">
            <w:pPr>
              <w:jc w:val="center"/>
              <w:rPr>
                <w:b/>
                <w:color w:val="000000"/>
                <w:szCs w:val="21"/>
              </w:rPr>
            </w:pPr>
            <w:r>
              <w:rPr>
                <w:b/>
                <w:color w:val="000000"/>
                <w:szCs w:val="21"/>
              </w:rPr>
              <w:t>序</w:t>
            </w:r>
          </w:p>
          <w:p w14:paraId="391C8B0D">
            <w:pPr>
              <w:jc w:val="center"/>
              <w:rPr>
                <w:b/>
                <w:color w:val="000000"/>
                <w:szCs w:val="21"/>
              </w:rPr>
            </w:pPr>
            <w:r>
              <w:rPr>
                <w:b/>
                <w:color w:val="000000"/>
                <w:szCs w:val="21"/>
              </w:rPr>
              <w:t>号</w:t>
            </w:r>
          </w:p>
        </w:tc>
        <w:tc>
          <w:tcPr>
            <w:tcW w:w="1677" w:type="dxa"/>
            <w:vMerge w:val="restart"/>
            <w:tcBorders>
              <w:top w:val="single" w:color="000000" w:sz="8" w:space="0"/>
              <w:left w:val="single" w:color="000000" w:sz="8" w:space="0"/>
              <w:bottom w:val="single" w:color="000000" w:sz="8" w:space="0"/>
              <w:right w:val="single" w:color="000000" w:sz="8" w:space="0"/>
            </w:tcBorders>
            <w:noWrap w:val="0"/>
            <w:vAlign w:val="center"/>
          </w:tcPr>
          <w:p w14:paraId="638C9EDD">
            <w:pPr>
              <w:jc w:val="center"/>
              <w:rPr>
                <w:b/>
                <w:color w:val="000000"/>
                <w:szCs w:val="21"/>
              </w:rPr>
            </w:pPr>
            <w:r>
              <w:rPr>
                <w:b/>
                <w:color w:val="000000"/>
                <w:szCs w:val="21"/>
              </w:rPr>
              <w:t>机械</w:t>
            </w:r>
          </w:p>
          <w:p w14:paraId="227BAC7C">
            <w:pPr>
              <w:jc w:val="center"/>
              <w:rPr>
                <w:b/>
                <w:color w:val="000000"/>
                <w:szCs w:val="21"/>
              </w:rPr>
            </w:pPr>
            <w:r>
              <w:rPr>
                <w:b/>
                <w:color w:val="000000"/>
                <w:szCs w:val="21"/>
              </w:rPr>
              <w:t>名称</w:t>
            </w:r>
          </w:p>
        </w:tc>
        <w:tc>
          <w:tcPr>
            <w:tcW w:w="6211" w:type="dxa"/>
            <w:gridSpan w:val="10"/>
            <w:tcBorders>
              <w:top w:val="single" w:color="000000" w:sz="8" w:space="0"/>
              <w:left w:val="single" w:color="000000" w:sz="8" w:space="0"/>
              <w:bottom w:val="single" w:color="000000" w:sz="8" w:space="0"/>
              <w:right w:val="single" w:color="000000" w:sz="8" w:space="0"/>
            </w:tcBorders>
            <w:noWrap w:val="0"/>
            <w:vAlign w:val="center"/>
          </w:tcPr>
          <w:p w14:paraId="5456B341">
            <w:pPr>
              <w:jc w:val="center"/>
              <w:rPr>
                <w:b/>
                <w:color w:val="000000"/>
                <w:szCs w:val="21"/>
              </w:rPr>
            </w:pPr>
            <w:r>
              <w:rPr>
                <w:b/>
                <w:color w:val="000000"/>
                <w:szCs w:val="21"/>
              </w:rPr>
              <w:t>不同距离处的噪声预测(dB(A))</w:t>
            </w:r>
          </w:p>
        </w:tc>
      </w:tr>
      <w:tr w14:paraId="0068928D">
        <w:tblPrEx>
          <w:tblCellMar>
            <w:top w:w="0" w:type="dxa"/>
            <w:left w:w="0" w:type="dxa"/>
            <w:bottom w:w="0" w:type="dxa"/>
            <w:right w:w="0" w:type="dxa"/>
          </w:tblCellMar>
        </w:tblPrEx>
        <w:trPr>
          <w:cantSplit/>
          <w:trHeight w:val="266" w:hRule="atLeast"/>
        </w:trPr>
        <w:tc>
          <w:tcPr>
            <w:tcW w:w="444" w:type="dxa"/>
            <w:vMerge w:val="continue"/>
            <w:tcBorders>
              <w:top w:val="single" w:color="000000" w:sz="8" w:space="0"/>
              <w:left w:val="single" w:color="000000" w:sz="8" w:space="0"/>
              <w:bottom w:val="single" w:color="000000" w:sz="8" w:space="0"/>
              <w:right w:val="single" w:color="000000" w:sz="8" w:space="0"/>
            </w:tcBorders>
            <w:noWrap w:val="0"/>
            <w:vAlign w:val="center"/>
          </w:tcPr>
          <w:p w14:paraId="12F8D4B5">
            <w:pPr>
              <w:jc w:val="left"/>
              <w:rPr>
                <w:b/>
                <w:color w:val="000000"/>
                <w:szCs w:val="21"/>
              </w:rPr>
            </w:pPr>
          </w:p>
        </w:tc>
        <w:tc>
          <w:tcPr>
            <w:tcW w:w="1677" w:type="dxa"/>
            <w:vMerge w:val="continue"/>
            <w:tcBorders>
              <w:top w:val="single" w:color="000000" w:sz="8" w:space="0"/>
              <w:left w:val="single" w:color="000000" w:sz="8" w:space="0"/>
              <w:bottom w:val="single" w:color="000000" w:sz="8" w:space="0"/>
              <w:right w:val="single" w:color="000000" w:sz="8" w:space="0"/>
            </w:tcBorders>
            <w:noWrap w:val="0"/>
            <w:vAlign w:val="center"/>
          </w:tcPr>
          <w:p w14:paraId="377DF5CC">
            <w:pPr>
              <w:jc w:val="left"/>
              <w:rPr>
                <w:b/>
                <w:color w:val="000000"/>
                <w:szCs w:val="21"/>
              </w:rPr>
            </w:pPr>
          </w:p>
        </w:tc>
        <w:tc>
          <w:tcPr>
            <w:tcW w:w="600" w:type="dxa"/>
            <w:tcBorders>
              <w:top w:val="single" w:color="000000" w:sz="8" w:space="0"/>
              <w:left w:val="single" w:color="000000" w:sz="8" w:space="0"/>
              <w:bottom w:val="single" w:color="000000" w:sz="8" w:space="0"/>
              <w:right w:val="single" w:color="000000" w:sz="8" w:space="0"/>
            </w:tcBorders>
            <w:noWrap w:val="0"/>
            <w:vAlign w:val="center"/>
          </w:tcPr>
          <w:p w14:paraId="02B0C671">
            <w:pPr>
              <w:jc w:val="center"/>
              <w:rPr>
                <w:color w:val="000000"/>
                <w:szCs w:val="21"/>
              </w:rPr>
            </w:pPr>
            <w:r>
              <w:rPr>
                <w:color w:val="000000"/>
                <w:szCs w:val="21"/>
              </w:rPr>
              <w:t>10m</w:t>
            </w:r>
          </w:p>
        </w:tc>
        <w:tc>
          <w:tcPr>
            <w:tcW w:w="605" w:type="dxa"/>
            <w:tcBorders>
              <w:top w:val="single" w:color="000000" w:sz="8" w:space="0"/>
              <w:left w:val="single" w:color="000000" w:sz="8" w:space="0"/>
              <w:bottom w:val="single" w:color="000000" w:sz="8" w:space="0"/>
              <w:right w:val="single" w:color="000000" w:sz="8" w:space="0"/>
            </w:tcBorders>
            <w:noWrap w:val="0"/>
            <w:vAlign w:val="center"/>
          </w:tcPr>
          <w:p w14:paraId="5DDEDD4A">
            <w:pPr>
              <w:jc w:val="center"/>
              <w:rPr>
                <w:color w:val="000000"/>
                <w:szCs w:val="21"/>
              </w:rPr>
            </w:pPr>
            <w:r>
              <w:rPr>
                <w:color w:val="000000"/>
                <w:szCs w:val="21"/>
              </w:rPr>
              <w:t>20m</w:t>
            </w:r>
          </w:p>
        </w:tc>
        <w:tc>
          <w:tcPr>
            <w:tcW w:w="607" w:type="dxa"/>
            <w:tcBorders>
              <w:top w:val="single" w:color="000000" w:sz="8" w:space="0"/>
              <w:left w:val="single" w:color="000000" w:sz="8" w:space="0"/>
              <w:bottom w:val="single" w:color="000000" w:sz="8" w:space="0"/>
              <w:right w:val="single" w:color="000000" w:sz="8" w:space="0"/>
            </w:tcBorders>
            <w:noWrap w:val="0"/>
            <w:vAlign w:val="center"/>
          </w:tcPr>
          <w:p w14:paraId="2BAB3EBF">
            <w:pPr>
              <w:jc w:val="center"/>
              <w:rPr>
                <w:color w:val="000000"/>
                <w:szCs w:val="21"/>
              </w:rPr>
            </w:pPr>
            <w:r>
              <w:rPr>
                <w:color w:val="000000"/>
                <w:szCs w:val="21"/>
              </w:rPr>
              <w:t>30m</w:t>
            </w:r>
          </w:p>
        </w:tc>
        <w:tc>
          <w:tcPr>
            <w:tcW w:w="610" w:type="dxa"/>
            <w:tcBorders>
              <w:top w:val="single" w:color="000000" w:sz="8" w:space="0"/>
              <w:left w:val="single" w:color="000000" w:sz="8" w:space="0"/>
              <w:bottom w:val="single" w:color="000000" w:sz="8" w:space="0"/>
              <w:right w:val="single" w:color="000000" w:sz="8" w:space="0"/>
            </w:tcBorders>
            <w:noWrap w:val="0"/>
            <w:vAlign w:val="center"/>
          </w:tcPr>
          <w:p w14:paraId="5C274B45">
            <w:pPr>
              <w:jc w:val="center"/>
              <w:rPr>
                <w:color w:val="000000"/>
                <w:szCs w:val="21"/>
              </w:rPr>
            </w:pPr>
            <w:r>
              <w:rPr>
                <w:color w:val="000000"/>
                <w:szCs w:val="21"/>
              </w:rPr>
              <w:t>40m</w:t>
            </w:r>
          </w:p>
        </w:tc>
        <w:tc>
          <w:tcPr>
            <w:tcW w:w="610" w:type="dxa"/>
            <w:tcBorders>
              <w:top w:val="single" w:color="000000" w:sz="8" w:space="0"/>
              <w:left w:val="single" w:color="000000" w:sz="8" w:space="0"/>
              <w:bottom w:val="single" w:color="000000" w:sz="8" w:space="0"/>
              <w:right w:val="single" w:color="000000" w:sz="8" w:space="0"/>
            </w:tcBorders>
            <w:noWrap w:val="0"/>
            <w:vAlign w:val="center"/>
          </w:tcPr>
          <w:p w14:paraId="13C5CD8E">
            <w:pPr>
              <w:jc w:val="center"/>
              <w:rPr>
                <w:color w:val="000000"/>
                <w:szCs w:val="21"/>
              </w:rPr>
            </w:pPr>
            <w:r>
              <w:rPr>
                <w:color w:val="000000"/>
                <w:szCs w:val="21"/>
              </w:rPr>
              <w:t>50m</w:t>
            </w:r>
          </w:p>
        </w:tc>
        <w:tc>
          <w:tcPr>
            <w:tcW w:w="610" w:type="dxa"/>
            <w:tcBorders>
              <w:top w:val="single" w:color="000000" w:sz="8" w:space="0"/>
              <w:left w:val="single" w:color="000000" w:sz="8" w:space="0"/>
              <w:bottom w:val="single" w:color="000000" w:sz="8" w:space="0"/>
              <w:right w:val="single" w:color="000000" w:sz="8" w:space="0"/>
            </w:tcBorders>
            <w:noWrap w:val="0"/>
            <w:vAlign w:val="center"/>
          </w:tcPr>
          <w:p w14:paraId="32FF3063">
            <w:pPr>
              <w:jc w:val="center"/>
              <w:rPr>
                <w:color w:val="000000"/>
                <w:szCs w:val="21"/>
              </w:rPr>
            </w:pPr>
            <w:r>
              <w:rPr>
                <w:color w:val="000000"/>
                <w:szCs w:val="21"/>
              </w:rPr>
              <w:t>100m</w:t>
            </w:r>
          </w:p>
        </w:tc>
        <w:tc>
          <w:tcPr>
            <w:tcW w:w="610" w:type="dxa"/>
            <w:tcBorders>
              <w:top w:val="single" w:color="000000" w:sz="8" w:space="0"/>
              <w:left w:val="single" w:color="000000" w:sz="8" w:space="0"/>
              <w:bottom w:val="single" w:color="000000" w:sz="8" w:space="0"/>
              <w:right w:val="single" w:color="000000" w:sz="8" w:space="0"/>
            </w:tcBorders>
            <w:noWrap w:val="0"/>
            <w:vAlign w:val="center"/>
          </w:tcPr>
          <w:p w14:paraId="7CA1C534">
            <w:pPr>
              <w:jc w:val="center"/>
              <w:rPr>
                <w:color w:val="000000"/>
                <w:szCs w:val="21"/>
              </w:rPr>
            </w:pPr>
            <w:r>
              <w:rPr>
                <w:color w:val="000000"/>
                <w:szCs w:val="21"/>
              </w:rPr>
              <w:t>150m</w:t>
            </w:r>
          </w:p>
        </w:tc>
        <w:tc>
          <w:tcPr>
            <w:tcW w:w="610" w:type="dxa"/>
            <w:tcBorders>
              <w:top w:val="single" w:color="000000" w:sz="8" w:space="0"/>
              <w:left w:val="single" w:color="000000" w:sz="8" w:space="0"/>
              <w:bottom w:val="single" w:color="000000" w:sz="8" w:space="0"/>
              <w:right w:val="single" w:color="000000" w:sz="8" w:space="0"/>
            </w:tcBorders>
            <w:noWrap w:val="0"/>
            <w:vAlign w:val="center"/>
          </w:tcPr>
          <w:p w14:paraId="0E5E3D97">
            <w:pPr>
              <w:jc w:val="center"/>
              <w:rPr>
                <w:color w:val="000000"/>
                <w:szCs w:val="21"/>
              </w:rPr>
            </w:pPr>
            <w:r>
              <w:rPr>
                <w:color w:val="000000"/>
                <w:szCs w:val="21"/>
              </w:rPr>
              <w:t>200m</w:t>
            </w:r>
          </w:p>
        </w:tc>
        <w:tc>
          <w:tcPr>
            <w:tcW w:w="637" w:type="dxa"/>
            <w:tcBorders>
              <w:top w:val="single" w:color="000000" w:sz="8" w:space="0"/>
              <w:left w:val="single" w:color="000000" w:sz="8" w:space="0"/>
              <w:bottom w:val="single" w:color="000000" w:sz="8" w:space="0"/>
              <w:right w:val="single" w:color="000000" w:sz="8" w:space="0"/>
            </w:tcBorders>
            <w:noWrap w:val="0"/>
            <w:vAlign w:val="center"/>
          </w:tcPr>
          <w:p w14:paraId="6EFD6740">
            <w:pPr>
              <w:jc w:val="center"/>
              <w:rPr>
                <w:color w:val="000000"/>
                <w:szCs w:val="21"/>
              </w:rPr>
            </w:pPr>
            <w:r>
              <w:rPr>
                <w:color w:val="000000"/>
                <w:szCs w:val="21"/>
              </w:rPr>
              <w:t>250m</w:t>
            </w:r>
          </w:p>
        </w:tc>
        <w:tc>
          <w:tcPr>
            <w:tcW w:w="712" w:type="dxa"/>
            <w:tcBorders>
              <w:top w:val="single" w:color="000000" w:sz="8" w:space="0"/>
              <w:left w:val="single" w:color="000000" w:sz="8" w:space="0"/>
              <w:bottom w:val="single" w:color="000000" w:sz="8" w:space="0"/>
              <w:right w:val="single" w:color="000000" w:sz="8" w:space="0"/>
            </w:tcBorders>
            <w:noWrap w:val="0"/>
            <w:vAlign w:val="center"/>
          </w:tcPr>
          <w:p w14:paraId="63263892">
            <w:pPr>
              <w:jc w:val="center"/>
              <w:rPr>
                <w:color w:val="000000"/>
                <w:szCs w:val="21"/>
              </w:rPr>
            </w:pPr>
            <w:r>
              <w:rPr>
                <w:color w:val="000000"/>
                <w:szCs w:val="21"/>
              </w:rPr>
              <w:t>300m</w:t>
            </w:r>
          </w:p>
        </w:tc>
      </w:tr>
      <w:tr w14:paraId="50238760">
        <w:tblPrEx>
          <w:tblCellMar>
            <w:top w:w="0" w:type="dxa"/>
            <w:left w:w="0" w:type="dxa"/>
            <w:bottom w:w="0" w:type="dxa"/>
            <w:right w:w="0" w:type="dxa"/>
          </w:tblCellMar>
        </w:tblPrEx>
        <w:trPr>
          <w:cantSplit/>
          <w:trHeight w:val="283" w:hRule="atLeast"/>
        </w:trPr>
        <w:tc>
          <w:tcPr>
            <w:tcW w:w="444" w:type="dxa"/>
            <w:tcBorders>
              <w:top w:val="single" w:color="000000" w:sz="8" w:space="0"/>
              <w:left w:val="single" w:color="000000" w:sz="8" w:space="0"/>
              <w:bottom w:val="single" w:color="000000" w:sz="8" w:space="0"/>
              <w:right w:val="single" w:color="000000" w:sz="8" w:space="0"/>
            </w:tcBorders>
            <w:noWrap w:val="0"/>
            <w:vAlign w:val="center"/>
          </w:tcPr>
          <w:p w14:paraId="69AF6B3E">
            <w:pPr>
              <w:jc w:val="center"/>
              <w:rPr>
                <w:color w:val="000000"/>
                <w:szCs w:val="21"/>
              </w:rPr>
            </w:pPr>
            <w:r>
              <w:rPr>
                <w:color w:val="000000"/>
                <w:szCs w:val="21"/>
              </w:rPr>
              <w:t>1</w:t>
            </w:r>
          </w:p>
        </w:tc>
        <w:tc>
          <w:tcPr>
            <w:tcW w:w="1677" w:type="dxa"/>
            <w:tcBorders>
              <w:top w:val="single" w:color="000000" w:sz="8" w:space="0"/>
              <w:left w:val="single" w:color="000000" w:sz="8" w:space="0"/>
              <w:bottom w:val="single" w:color="000000" w:sz="8" w:space="0"/>
              <w:right w:val="single" w:color="000000" w:sz="8" w:space="0"/>
            </w:tcBorders>
            <w:noWrap w:val="0"/>
            <w:vAlign w:val="center"/>
          </w:tcPr>
          <w:p w14:paraId="52F18263">
            <w:pPr>
              <w:jc w:val="center"/>
              <w:rPr>
                <w:color w:val="000000"/>
                <w:szCs w:val="21"/>
              </w:rPr>
            </w:pPr>
            <w:r>
              <w:rPr>
                <w:color w:val="000000"/>
                <w:szCs w:val="21"/>
              </w:rPr>
              <w:t>挖土机</w:t>
            </w:r>
          </w:p>
        </w:tc>
        <w:tc>
          <w:tcPr>
            <w:tcW w:w="600" w:type="dxa"/>
            <w:tcBorders>
              <w:top w:val="single" w:color="000000" w:sz="8" w:space="0"/>
              <w:left w:val="single" w:color="000000" w:sz="8" w:space="0"/>
              <w:bottom w:val="single" w:color="000000" w:sz="8" w:space="0"/>
              <w:right w:val="single" w:color="000000" w:sz="8" w:space="0"/>
            </w:tcBorders>
            <w:noWrap w:val="0"/>
            <w:vAlign w:val="center"/>
          </w:tcPr>
          <w:p w14:paraId="07169C65">
            <w:pPr>
              <w:jc w:val="center"/>
              <w:rPr>
                <w:color w:val="000000"/>
                <w:szCs w:val="21"/>
              </w:rPr>
            </w:pPr>
            <w:r>
              <w:rPr>
                <w:color w:val="000000"/>
                <w:szCs w:val="21"/>
              </w:rPr>
              <w:t>76</w:t>
            </w:r>
          </w:p>
        </w:tc>
        <w:tc>
          <w:tcPr>
            <w:tcW w:w="605" w:type="dxa"/>
            <w:tcBorders>
              <w:top w:val="single" w:color="000000" w:sz="8" w:space="0"/>
              <w:left w:val="single" w:color="000000" w:sz="8" w:space="0"/>
              <w:bottom w:val="single" w:color="000000" w:sz="8" w:space="0"/>
              <w:right w:val="single" w:color="000000" w:sz="8" w:space="0"/>
            </w:tcBorders>
            <w:noWrap w:val="0"/>
            <w:vAlign w:val="center"/>
          </w:tcPr>
          <w:p w14:paraId="06D69EB6">
            <w:pPr>
              <w:jc w:val="center"/>
              <w:rPr>
                <w:color w:val="000000"/>
                <w:szCs w:val="21"/>
              </w:rPr>
            </w:pPr>
            <w:r>
              <w:rPr>
                <w:color w:val="000000"/>
                <w:szCs w:val="21"/>
              </w:rPr>
              <w:t>70</w:t>
            </w:r>
          </w:p>
        </w:tc>
        <w:tc>
          <w:tcPr>
            <w:tcW w:w="607" w:type="dxa"/>
            <w:tcBorders>
              <w:top w:val="single" w:color="000000" w:sz="8" w:space="0"/>
              <w:left w:val="single" w:color="000000" w:sz="8" w:space="0"/>
              <w:bottom w:val="single" w:color="000000" w:sz="8" w:space="0"/>
              <w:right w:val="single" w:color="000000" w:sz="8" w:space="0"/>
            </w:tcBorders>
            <w:noWrap w:val="0"/>
            <w:vAlign w:val="center"/>
          </w:tcPr>
          <w:p w14:paraId="17201453">
            <w:pPr>
              <w:jc w:val="center"/>
              <w:rPr>
                <w:color w:val="000000"/>
                <w:szCs w:val="21"/>
              </w:rPr>
            </w:pPr>
            <w:r>
              <w:rPr>
                <w:color w:val="000000"/>
                <w:szCs w:val="21"/>
              </w:rPr>
              <w:t>66</w:t>
            </w:r>
          </w:p>
        </w:tc>
        <w:tc>
          <w:tcPr>
            <w:tcW w:w="610" w:type="dxa"/>
            <w:tcBorders>
              <w:top w:val="single" w:color="000000" w:sz="8" w:space="0"/>
              <w:left w:val="single" w:color="000000" w:sz="8" w:space="0"/>
              <w:bottom w:val="single" w:color="000000" w:sz="8" w:space="0"/>
              <w:right w:val="single" w:color="000000" w:sz="8" w:space="0"/>
            </w:tcBorders>
            <w:noWrap w:val="0"/>
            <w:vAlign w:val="center"/>
          </w:tcPr>
          <w:p w14:paraId="10C6B492">
            <w:pPr>
              <w:jc w:val="center"/>
              <w:rPr>
                <w:color w:val="000000"/>
                <w:szCs w:val="21"/>
              </w:rPr>
            </w:pPr>
            <w:r>
              <w:rPr>
                <w:color w:val="000000"/>
                <w:szCs w:val="21"/>
              </w:rPr>
              <w:t>64</w:t>
            </w:r>
          </w:p>
        </w:tc>
        <w:tc>
          <w:tcPr>
            <w:tcW w:w="610" w:type="dxa"/>
            <w:tcBorders>
              <w:top w:val="single" w:color="000000" w:sz="8" w:space="0"/>
              <w:left w:val="single" w:color="000000" w:sz="8" w:space="0"/>
              <w:bottom w:val="single" w:color="000000" w:sz="8" w:space="0"/>
              <w:right w:val="single" w:color="000000" w:sz="8" w:space="0"/>
            </w:tcBorders>
            <w:noWrap w:val="0"/>
            <w:vAlign w:val="center"/>
          </w:tcPr>
          <w:p w14:paraId="667CFAEB">
            <w:pPr>
              <w:jc w:val="center"/>
              <w:rPr>
                <w:color w:val="000000"/>
                <w:szCs w:val="21"/>
              </w:rPr>
            </w:pPr>
            <w:r>
              <w:rPr>
                <w:color w:val="000000"/>
                <w:szCs w:val="21"/>
              </w:rPr>
              <w:t>62</w:t>
            </w:r>
          </w:p>
        </w:tc>
        <w:tc>
          <w:tcPr>
            <w:tcW w:w="610" w:type="dxa"/>
            <w:tcBorders>
              <w:top w:val="single" w:color="000000" w:sz="8" w:space="0"/>
              <w:left w:val="single" w:color="000000" w:sz="8" w:space="0"/>
              <w:bottom w:val="single" w:color="000000" w:sz="8" w:space="0"/>
              <w:right w:val="single" w:color="000000" w:sz="8" w:space="0"/>
            </w:tcBorders>
            <w:noWrap w:val="0"/>
            <w:vAlign w:val="center"/>
          </w:tcPr>
          <w:p w14:paraId="157A2E48">
            <w:pPr>
              <w:jc w:val="center"/>
              <w:rPr>
                <w:color w:val="000000"/>
                <w:szCs w:val="21"/>
              </w:rPr>
            </w:pPr>
            <w:r>
              <w:rPr>
                <w:color w:val="000000"/>
                <w:szCs w:val="21"/>
              </w:rPr>
              <w:t>56</w:t>
            </w:r>
          </w:p>
        </w:tc>
        <w:tc>
          <w:tcPr>
            <w:tcW w:w="610" w:type="dxa"/>
            <w:tcBorders>
              <w:top w:val="single" w:color="000000" w:sz="8" w:space="0"/>
              <w:left w:val="single" w:color="000000" w:sz="8" w:space="0"/>
              <w:bottom w:val="single" w:color="000000" w:sz="8" w:space="0"/>
              <w:right w:val="single" w:color="000000" w:sz="8" w:space="0"/>
            </w:tcBorders>
            <w:noWrap w:val="0"/>
            <w:vAlign w:val="center"/>
          </w:tcPr>
          <w:p w14:paraId="6C2757AB">
            <w:pPr>
              <w:jc w:val="center"/>
              <w:rPr>
                <w:color w:val="000000"/>
                <w:szCs w:val="21"/>
              </w:rPr>
            </w:pPr>
            <w:r>
              <w:rPr>
                <w:color w:val="000000"/>
                <w:szCs w:val="21"/>
              </w:rPr>
              <w:t>52</w:t>
            </w:r>
          </w:p>
        </w:tc>
        <w:tc>
          <w:tcPr>
            <w:tcW w:w="610" w:type="dxa"/>
            <w:tcBorders>
              <w:top w:val="single" w:color="000000" w:sz="8" w:space="0"/>
              <w:left w:val="single" w:color="000000" w:sz="8" w:space="0"/>
              <w:bottom w:val="single" w:color="000000" w:sz="8" w:space="0"/>
              <w:right w:val="single" w:color="000000" w:sz="8" w:space="0"/>
            </w:tcBorders>
            <w:noWrap w:val="0"/>
            <w:vAlign w:val="center"/>
          </w:tcPr>
          <w:p w14:paraId="3B6B9DAD">
            <w:pPr>
              <w:jc w:val="center"/>
              <w:rPr>
                <w:color w:val="000000"/>
                <w:szCs w:val="21"/>
              </w:rPr>
            </w:pPr>
            <w:r>
              <w:rPr>
                <w:color w:val="000000"/>
                <w:szCs w:val="21"/>
              </w:rPr>
              <w:t>50</w:t>
            </w:r>
          </w:p>
        </w:tc>
        <w:tc>
          <w:tcPr>
            <w:tcW w:w="637" w:type="dxa"/>
            <w:tcBorders>
              <w:top w:val="single" w:color="000000" w:sz="8" w:space="0"/>
              <w:left w:val="single" w:color="000000" w:sz="8" w:space="0"/>
              <w:bottom w:val="single" w:color="000000" w:sz="8" w:space="0"/>
              <w:right w:val="single" w:color="000000" w:sz="8" w:space="0"/>
            </w:tcBorders>
            <w:noWrap w:val="0"/>
            <w:vAlign w:val="center"/>
          </w:tcPr>
          <w:p w14:paraId="450A93A3">
            <w:pPr>
              <w:jc w:val="center"/>
              <w:rPr>
                <w:color w:val="000000"/>
                <w:szCs w:val="21"/>
              </w:rPr>
            </w:pPr>
            <w:r>
              <w:rPr>
                <w:color w:val="000000"/>
                <w:szCs w:val="21"/>
              </w:rPr>
              <w:t>48</w:t>
            </w:r>
          </w:p>
        </w:tc>
        <w:tc>
          <w:tcPr>
            <w:tcW w:w="712" w:type="dxa"/>
            <w:tcBorders>
              <w:top w:val="single" w:color="000000" w:sz="8" w:space="0"/>
              <w:left w:val="single" w:color="000000" w:sz="8" w:space="0"/>
              <w:bottom w:val="single" w:color="000000" w:sz="8" w:space="0"/>
              <w:right w:val="single" w:color="000000" w:sz="8" w:space="0"/>
            </w:tcBorders>
            <w:noWrap w:val="0"/>
            <w:vAlign w:val="center"/>
          </w:tcPr>
          <w:p w14:paraId="2033C238">
            <w:pPr>
              <w:jc w:val="center"/>
              <w:rPr>
                <w:color w:val="000000"/>
                <w:szCs w:val="21"/>
              </w:rPr>
            </w:pPr>
            <w:r>
              <w:rPr>
                <w:color w:val="000000"/>
                <w:szCs w:val="21"/>
              </w:rPr>
              <w:t>46</w:t>
            </w:r>
          </w:p>
        </w:tc>
      </w:tr>
      <w:tr w14:paraId="61479197">
        <w:tblPrEx>
          <w:tblCellMar>
            <w:top w:w="0" w:type="dxa"/>
            <w:left w:w="0" w:type="dxa"/>
            <w:bottom w:w="0" w:type="dxa"/>
            <w:right w:w="0" w:type="dxa"/>
          </w:tblCellMar>
        </w:tblPrEx>
        <w:trPr>
          <w:cantSplit/>
          <w:trHeight w:val="283" w:hRule="atLeast"/>
        </w:trPr>
        <w:tc>
          <w:tcPr>
            <w:tcW w:w="444" w:type="dxa"/>
            <w:tcBorders>
              <w:top w:val="single" w:color="000000" w:sz="8" w:space="0"/>
              <w:left w:val="single" w:color="000000" w:sz="8" w:space="0"/>
              <w:bottom w:val="single" w:color="000000" w:sz="8" w:space="0"/>
              <w:right w:val="single" w:color="000000" w:sz="8" w:space="0"/>
            </w:tcBorders>
            <w:noWrap w:val="0"/>
            <w:vAlign w:val="center"/>
          </w:tcPr>
          <w:p w14:paraId="089669B0">
            <w:pPr>
              <w:jc w:val="center"/>
              <w:rPr>
                <w:color w:val="000000"/>
                <w:szCs w:val="21"/>
              </w:rPr>
            </w:pPr>
            <w:r>
              <w:rPr>
                <w:color w:val="000000"/>
                <w:szCs w:val="21"/>
              </w:rPr>
              <w:t>2</w:t>
            </w:r>
          </w:p>
        </w:tc>
        <w:tc>
          <w:tcPr>
            <w:tcW w:w="1677" w:type="dxa"/>
            <w:tcBorders>
              <w:top w:val="single" w:color="000000" w:sz="8" w:space="0"/>
              <w:left w:val="single" w:color="000000" w:sz="8" w:space="0"/>
              <w:bottom w:val="single" w:color="000000" w:sz="8" w:space="0"/>
              <w:right w:val="single" w:color="000000" w:sz="8" w:space="0"/>
            </w:tcBorders>
            <w:noWrap w:val="0"/>
            <w:vAlign w:val="center"/>
          </w:tcPr>
          <w:p w14:paraId="323F3FFB">
            <w:pPr>
              <w:jc w:val="center"/>
              <w:rPr>
                <w:color w:val="000000"/>
                <w:szCs w:val="21"/>
              </w:rPr>
            </w:pPr>
            <w:r>
              <w:rPr>
                <w:color w:val="000000"/>
                <w:szCs w:val="21"/>
              </w:rPr>
              <w:t>大型载重车</w:t>
            </w:r>
          </w:p>
        </w:tc>
        <w:tc>
          <w:tcPr>
            <w:tcW w:w="600" w:type="dxa"/>
            <w:tcBorders>
              <w:top w:val="single" w:color="000000" w:sz="8" w:space="0"/>
              <w:left w:val="single" w:color="000000" w:sz="8" w:space="0"/>
              <w:bottom w:val="single" w:color="000000" w:sz="8" w:space="0"/>
              <w:right w:val="single" w:color="000000" w:sz="8" w:space="0"/>
            </w:tcBorders>
            <w:noWrap w:val="0"/>
            <w:vAlign w:val="center"/>
          </w:tcPr>
          <w:p w14:paraId="6ACDDFAE">
            <w:pPr>
              <w:jc w:val="center"/>
              <w:rPr>
                <w:color w:val="000000"/>
                <w:szCs w:val="21"/>
              </w:rPr>
            </w:pPr>
            <w:r>
              <w:rPr>
                <w:color w:val="000000"/>
                <w:szCs w:val="21"/>
              </w:rPr>
              <w:t>70</w:t>
            </w:r>
          </w:p>
        </w:tc>
        <w:tc>
          <w:tcPr>
            <w:tcW w:w="605" w:type="dxa"/>
            <w:tcBorders>
              <w:top w:val="single" w:color="000000" w:sz="8" w:space="0"/>
              <w:left w:val="single" w:color="000000" w:sz="8" w:space="0"/>
              <w:bottom w:val="single" w:color="000000" w:sz="8" w:space="0"/>
              <w:right w:val="single" w:color="000000" w:sz="8" w:space="0"/>
            </w:tcBorders>
            <w:noWrap w:val="0"/>
            <w:vAlign w:val="center"/>
          </w:tcPr>
          <w:p w14:paraId="1AAEE660">
            <w:pPr>
              <w:jc w:val="center"/>
              <w:rPr>
                <w:color w:val="000000"/>
                <w:szCs w:val="21"/>
              </w:rPr>
            </w:pPr>
            <w:r>
              <w:rPr>
                <w:color w:val="000000"/>
                <w:szCs w:val="21"/>
              </w:rPr>
              <w:t>64</w:t>
            </w:r>
          </w:p>
        </w:tc>
        <w:tc>
          <w:tcPr>
            <w:tcW w:w="607" w:type="dxa"/>
            <w:tcBorders>
              <w:top w:val="single" w:color="000000" w:sz="8" w:space="0"/>
              <w:left w:val="single" w:color="000000" w:sz="8" w:space="0"/>
              <w:bottom w:val="single" w:color="000000" w:sz="8" w:space="0"/>
              <w:right w:val="single" w:color="000000" w:sz="8" w:space="0"/>
            </w:tcBorders>
            <w:noWrap w:val="0"/>
            <w:vAlign w:val="center"/>
          </w:tcPr>
          <w:p w14:paraId="6EF37B11">
            <w:pPr>
              <w:jc w:val="center"/>
              <w:rPr>
                <w:color w:val="000000"/>
                <w:szCs w:val="21"/>
              </w:rPr>
            </w:pPr>
            <w:r>
              <w:rPr>
                <w:color w:val="000000"/>
                <w:szCs w:val="21"/>
              </w:rPr>
              <w:t>60</w:t>
            </w:r>
          </w:p>
        </w:tc>
        <w:tc>
          <w:tcPr>
            <w:tcW w:w="610" w:type="dxa"/>
            <w:tcBorders>
              <w:top w:val="single" w:color="000000" w:sz="8" w:space="0"/>
              <w:left w:val="single" w:color="000000" w:sz="8" w:space="0"/>
              <w:bottom w:val="single" w:color="000000" w:sz="8" w:space="0"/>
              <w:right w:val="single" w:color="000000" w:sz="8" w:space="0"/>
            </w:tcBorders>
            <w:noWrap w:val="0"/>
            <w:vAlign w:val="center"/>
          </w:tcPr>
          <w:p w14:paraId="6568DC2A">
            <w:pPr>
              <w:jc w:val="center"/>
              <w:rPr>
                <w:color w:val="000000"/>
                <w:szCs w:val="21"/>
              </w:rPr>
            </w:pPr>
            <w:r>
              <w:rPr>
                <w:color w:val="000000"/>
                <w:szCs w:val="21"/>
              </w:rPr>
              <w:t>58</w:t>
            </w:r>
          </w:p>
        </w:tc>
        <w:tc>
          <w:tcPr>
            <w:tcW w:w="610" w:type="dxa"/>
            <w:tcBorders>
              <w:top w:val="single" w:color="000000" w:sz="8" w:space="0"/>
              <w:left w:val="single" w:color="000000" w:sz="8" w:space="0"/>
              <w:bottom w:val="single" w:color="000000" w:sz="8" w:space="0"/>
              <w:right w:val="single" w:color="000000" w:sz="8" w:space="0"/>
            </w:tcBorders>
            <w:noWrap w:val="0"/>
            <w:vAlign w:val="center"/>
          </w:tcPr>
          <w:p w14:paraId="3FE14CED">
            <w:pPr>
              <w:jc w:val="center"/>
              <w:rPr>
                <w:color w:val="000000"/>
                <w:szCs w:val="21"/>
              </w:rPr>
            </w:pPr>
            <w:r>
              <w:rPr>
                <w:color w:val="000000"/>
                <w:szCs w:val="21"/>
              </w:rPr>
              <w:t>56</w:t>
            </w:r>
          </w:p>
        </w:tc>
        <w:tc>
          <w:tcPr>
            <w:tcW w:w="610" w:type="dxa"/>
            <w:tcBorders>
              <w:top w:val="single" w:color="000000" w:sz="8" w:space="0"/>
              <w:left w:val="single" w:color="000000" w:sz="8" w:space="0"/>
              <w:bottom w:val="single" w:color="000000" w:sz="8" w:space="0"/>
              <w:right w:val="single" w:color="000000" w:sz="8" w:space="0"/>
            </w:tcBorders>
            <w:noWrap w:val="0"/>
            <w:vAlign w:val="center"/>
          </w:tcPr>
          <w:p w14:paraId="4909BE3F">
            <w:pPr>
              <w:jc w:val="center"/>
              <w:rPr>
                <w:color w:val="000000"/>
                <w:szCs w:val="21"/>
              </w:rPr>
            </w:pPr>
            <w:r>
              <w:rPr>
                <w:color w:val="000000"/>
                <w:szCs w:val="21"/>
              </w:rPr>
              <w:t>50</w:t>
            </w:r>
          </w:p>
        </w:tc>
        <w:tc>
          <w:tcPr>
            <w:tcW w:w="610" w:type="dxa"/>
            <w:tcBorders>
              <w:top w:val="single" w:color="000000" w:sz="8" w:space="0"/>
              <w:left w:val="single" w:color="000000" w:sz="8" w:space="0"/>
              <w:bottom w:val="single" w:color="000000" w:sz="8" w:space="0"/>
              <w:right w:val="single" w:color="000000" w:sz="8" w:space="0"/>
            </w:tcBorders>
            <w:noWrap w:val="0"/>
            <w:vAlign w:val="center"/>
          </w:tcPr>
          <w:p w14:paraId="69AAA530">
            <w:pPr>
              <w:jc w:val="center"/>
              <w:rPr>
                <w:color w:val="000000"/>
                <w:szCs w:val="21"/>
              </w:rPr>
            </w:pPr>
            <w:r>
              <w:rPr>
                <w:color w:val="000000"/>
                <w:szCs w:val="21"/>
              </w:rPr>
              <w:t>46</w:t>
            </w:r>
          </w:p>
        </w:tc>
        <w:tc>
          <w:tcPr>
            <w:tcW w:w="610" w:type="dxa"/>
            <w:tcBorders>
              <w:top w:val="single" w:color="000000" w:sz="8" w:space="0"/>
              <w:left w:val="single" w:color="000000" w:sz="8" w:space="0"/>
              <w:bottom w:val="single" w:color="000000" w:sz="8" w:space="0"/>
              <w:right w:val="single" w:color="000000" w:sz="8" w:space="0"/>
            </w:tcBorders>
            <w:noWrap w:val="0"/>
            <w:vAlign w:val="center"/>
          </w:tcPr>
          <w:p w14:paraId="05F0D942">
            <w:pPr>
              <w:jc w:val="center"/>
              <w:rPr>
                <w:color w:val="000000"/>
                <w:szCs w:val="21"/>
              </w:rPr>
            </w:pPr>
            <w:r>
              <w:rPr>
                <w:color w:val="000000"/>
                <w:szCs w:val="21"/>
              </w:rPr>
              <w:t>44</w:t>
            </w:r>
          </w:p>
        </w:tc>
        <w:tc>
          <w:tcPr>
            <w:tcW w:w="637" w:type="dxa"/>
            <w:tcBorders>
              <w:top w:val="single" w:color="000000" w:sz="8" w:space="0"/>
              <w:left w:val="single" w:color="000000" w:sz="8" w:space="0"/>
              <w:bottom w:val="single" w:color="000000" w:sz="8" w:space="0"/>
              <w:right w:val="single" w:color="000000" w:sz="8" w:space="0"/>
            </w:tcBorders>
            <w:noWrap w:val="0"/>
            <w:vAlign w:val="center"/>
          </w:tcPr>
          <w:p w14:paraId="7DDF322F">
            <w:pPr>
              <w:jc w:val="center"/>
              <w:rPr>
                <w:color w:val="000000"/>
                <w:szCs w:val="21"/>
              </w:rPr>
            </w:pPr>
            <w:r>
              <w:rPr>
                <w:color w:val="000000"/>
                <w:szCs w:val="21"/>
              </w:rPr>
              <w:t>42</w:t>
            </w:r>
          </w:p>
        </w:tc>
        <w:tc>
          <w:tcPr>
            <w:tcW w:w="712" w:type="dxa"/>
            <w:tcBorders>
              <w:top w:val="single" w:color="000000" w:sz="8" w:space="0"/>
              <w:left w:val="single" w:color="000000" w:sz="8" w:space="0"/>
              <w:bottom w:val="single" w:color="000000" w:sz="8" w:space="0"/>
              <w:right w:val="single" w:color="000000" w:sz="8" w:space="0"/>
            </w:tcBorders>
            <w:noWrap w:val="0"/>
            <w:vAlign w:val="center"/>
          </w:tcPr>
          <w:p w14:paraId="00D712DD">
            <w:pPr>
              <w:jc w:val="center"/>
              <w:rPr>
                <w:color w:val="000000"/>
                <w:szCs w:val="21"/>
              </w:rPr>
            </w:pPr>
            <w:r>
              <w:rPr>
                <w:color w:val="000000"/>
                <w:szCs w:val="21"/>
              </w:rPr>
              <w:t>40</w:t>
            </w:r>
          </w:p>
        </w:tc>
      </w:tr>
      <w:tr w14:paraId="0568EF29">
        <w:tblPrEx>
          <w:tblCellMar>
            <w:top w:w="0" w:type="dxa"/>
            <w:left w:w="0" w:type="dxa"/>
            <w:bottom w:w="0" w:type="dxa"/>
            <w:right w:w="0" w:type="dxa"/>
          </w:tblCellMar>
        </w:tblPrEx>
        <w:trPr>
          <w:cantSplit/>
          <w:trHeight w:val="283" w:hRule="atLeast"/>
        </w:trPr>
        <w:tc>
          <w:tcPr>
            <w:tcW w:w="2121" w:type="dxa"/>
            <w:gridSpan w:val="2"/>
            <w:tcBorders>
              <w:top w:val="single" w:color="000000" w:sz="8" w:space="0"/>
              <w:left w:val="single" w:color="000000" w:sz="8" w:space="0"/>
              <w:bottom w:val="single" w:color="000000" w:sz="8" w:space="0"/>
              <w:right w:val="single" w:color="000000" w:sz="8" w:space="0"/>
            </w:tcBorders>
            <w:noWrap w:val="0"/>
            <w:vAlign w:val="center"/>
          </w:tcPr>
          <w:p w14:paraId="50BCD1DB">
            <w:pPr>
              <w:jc w:val="center"/>
              <w:rPr>
                <w:b/>
                <w:color w:val="000000"/>
                <w:szCs w:val="21"/>
              </w:rPr>
            </w:pPr>
            <w:r>
              <w:rPr>
                <w:b/>
                <w:color w:val="000000"/>
                <w:szCs w:val="21"/>
              </w:rPr>
              <w:t>多声源叠加值</w:t>
            </w:r>
          </w:p>
        </w:tc>
        <w:tc>
          <w:tcPr>
            <w:tcW w:w="600" w:type="dxa"/>
            <w:tcBorders>
              <w:top w:val="single" w:color="000000" w:sz="8" w:space="0"/>
              <w:left w:val="single" w:color="000000" w:sz="8" w:space="0"/>
              <w:bottom w:val="single" w:color="000000" w:sz="8" w:space="0"/>
              <w:right w:val="single" w:color="000000" w:sz="8" w:space="0"/>
            </w:tcBorders>
            <w:noWrap w:val="0"/>
            <w:vAlign w:val="center"/>
          </w:tcPr>
          <w:p w14:paraId="6F283B30">
            <w:pPr>
              <w:jc w:val="center"/>
              <w:rPr>
                <w:b/>
                <w:color w:val="000000"/>
                <w:szCs w:val="21"/>
              </w:rPr>
            </w:pPr>
            <w:r>
              <w:rPr>
                <w:b/>
                <w:color w:val="000000"/>
                <w:szCs w:val="21"/>
              </w:rPr>
              <w:t>77</w:t>
            </w:r>
          </w:p>
        </w:tc>
        <w:tc>
          <w:tcPr>
            <w:tcW w:w="605" w:type="dxa"/>
            <w:tcBorders>
              <w:top w:val="single" w:color="000000" w:sz="8" w:space="0"/>
              <w:left w:val="single" w:color="000000" w:sz="8" w:space="0"/>
              <w:bottom w:val="single" w:color="000000" w:sz="8" w:space="0"/>
              <w:right w:val="single" w:color="000000" w:sz="8" w:space="0"/>
            </w:tcBorders>
            <w:noWrap w:val="0"/>
            <w:vAlign w:val="center"/>
          </w:tcPr>
          <w:p w14:paraId="3A614221">
            <w:pPr>
              <w:jc w:val="center"/>
              <w:rPr>
                <w:b/>
                <w:color w:val="000000"/>
                <w:szCs w:val="21"/>
              </w:rPr>
            </w:pPr>
            <w:r>
              <w:rPr>
                <w:b/>
                <w:color w:val="000000"/>
                <w:szCs w:val="21"/>
              </w:rPr>
              <w:t>71</w:t>
            </w:r>
          </w:p>
        </w:tc>
        <w:tc>
          <w:tcPr>
            <w:tcW w:w="607" w:type="dxa"/>
            <w:tcBorders>
              <w:top w:val="single" w:color="000000" w:sz="8" w:space="0"/>
              <w:left w:val="single" w:color="000000" w:sz="8" w:space="0"/>
              <w:bottom w:val="single" w:color="000000" w:sz="8" w:space="0"/>
              <w:right w:val="single" w:color="000000" w:sz="8" w:space="0"/>
            </w:tcBorders>
            <w:noWrap w:val="0"/>
            <w:vAlign w:val="center"/>
          </w:tcPr>
          <w:p w14:paraId="132213B6">
            <w:pPr>
              <w:jc w:val="center"/>
              <w:rPr>
                <w:b/>
                <w:color w:val="000000"/>
                <w:szCs w:val="21"/>
              </w:rPr>
            </w:pPr>
            <w:r>
              <w:rPr>
                <w:b/>
                <w:color w:val="000000"/>
                <w:szCs w:val="21"/>
              </w:rPr>
              <w:t>67</w:t>
            </w:r>
          </w:p>
        </w:tc>
        <w:tc>
          <w:tcPr>
            <w:tcW w:w="610" w:type="dxa"/>
            <w:tcBorders>
              <w:top w:val="single" w:color="000000" w:sz="8" w:space="0"/>
              <w:left w:val="single" w:color="000000" w:sz="8" w:space="0"/>
              <w:bottom w:val="single" w:color="000000" w:sz="8" w:space="0"/>
              <w:right w:val="single" w:color="000000" w:sz="8" w:space="0"/>
            </w:tcBorders>
            <w:noWrap w:val="0"/>
            <w:vAlign w:val="center"/>
          </w:tcPr>
          <w:p w14:paraId="2C7FFD75">
            <w:pPr>
              <w:jc w:val="center"/>
              <w:rPr>
                <w:b/>
                <w:color w:val="000000"/>
                <w:szCs w:val="21"/>
              </w:rPr>
            </w:pPr>
            <w:r>
              <w:rPr>
                <w:b/>
                <w:color w:val="000000"/>
                <w:szCs w:val="21"/>
              </w:rPr>
              <w:t>65</w:t>
            </w:r>
          </w:p>
        </w:tc>
        <w:tc>
          <w:tcPr>
            <w:tcW w:w="610" w:type="dxa"/>
            <w:tcBorders>
              <w:top w:val="single" w:color="000000" w:sz="8" w:space="0"/>
              <w:left w:val="single" w:color="000000" w:sz="8" w:space="0"/>
              <w:bottom w:val="single" w:color="000000" w:sz="8" w:space="0"/>
              <w:right w:val="single" w:color="000000" w:sz="8" w:space="0"/>
            </w:tcBorders>
            <w:noWrap w:val="0"/>
            <w:vAlign w:val="center"/>
          </w:tcPr>
          <w:p w14:paraId="01DCEB4A">
            <w:pPr>
              <w:jc w:val="center"/>
              <w:rPr>
                <w:b/>
                <w:color w:val="000000"/>
                <w:szCs w:val="21"/>
              </w:rPr>
            </w:pPr>
            <w:r>
              <w:rPr>
                <w:b/>
                <w:color w:val="000000"/>
                <w:szCs w:val="21"/>
              </w:rPr>
              <w:t>63</w:t>
            </w:r>
          </w:p>
        </w:tc>
        <w:tc>
          <w:tcPr>
            <w:tcW w:w="610" w:type="dxa"/>
            <w:tcBorders>
              <w:top w:val="single" w:color="000000" w:sz="8" w:space="0"/>
              <w:left w:val="single" w:color="000000" w:sz="8" w:space="0"/>
              <w:bottom w:val="single" w:color="000000" w:sz="8" w:space="0"/>
              <w:right w:val="single" w:color="000000" w:sz="8" w:space="0"/>
            </w:tcBorders>
            <w:noWrap w:val="0"/>
            <w:vAlign w:val="center"/>
          </w:tcPr>
          <w:p w14:paraId="5B54C329">
            <w:pPr>
              <w:jc w:val="center"/>
              <w:rPr>
                <w:b/>
                <w:color w:val="000000"/>
                <w:szCs w:val="21"/>
              </w:rPr>
            </w:pPr>
            <w:r>
              <w:rPr>
                <w:b/>
                <w:color w:val="000000"/>
                <w:szCs w:val="21"/>
              </w:rPr>
              <w:t>57</w:t>
            </w:r>
          </w:p>
        </w:tc>
        <w:tc>
          <w:tcPr>
            <w:tcW w:w="610" w:type="dxa"/>
            <w:tcBorders>
              <w:top w:val="single" w:color="000000" w:sz="8" w:space="0"/>
              <w:left w:val="single" w:color="000000" w:sz="8" w:space="0"/>
              <w:bottom w:val="single" w:color="000000" w:sz="8" w:space="0"/>
              <w:right w:val="single" w:color="000000" w:sz="8" w:space="0"/>
            </w:tcBorders>
            <w:noWrap w:val="0"/>
            <w:vAlign w:val="center"/>
          </w:tcPr>
          <w:p w14:paraId="0AF61E0D">
            <w:pPr>
              <w:jc w:val="center"/>
              <w:rPr>
                <w:b/>
                <w:color w:val="000000"/>
                <w:szCs w:val="21"/>
              </w:rPr>
            </w:pPr>
            <w:r>
              <w:rPr>
                <w:b/>
                <w:color w:val="000000"/>
                <w:szCs w:val="21"/>
              </w:rPr>
              <w:t>53</w:t>
            </w:r>
          </w:p>
        </w:tc>
        <w:tc>
          <w:tcPr>
            <w:tcW w:w="610" w:type="dxa"/>
            <w:tcBorders>
              <w:top w:val="single" w:color="000000" w:sz="8" w:space="0"/>
              <w:left w:val="single" w:color="000000" w:sz="8" w:space="0"/>
              <w:bottom w:val="single" w:color="000000" w:sz="8" w:space="0"/>
              <w:right w:val="single" w:color="000000" w:sz="8" w:space="0"/>
            </w:tcBorders>
            <w:noWrap w:val="0"/>
            <w:vAlign w:val="center"/>
          </w:tcPr>
          <w:p w14:paraId="7FDFAC8E">
            <w:pPr>
              <w:jc w:val="center"/>
              <w:rPr>
                <w:b/>
                <w:color w:val="000000"/>
                <w:szCs w:val="21"/>
              </w:rPr>
            </w:pPr>
            <w:r>
              <w:rPr>
                <w:b/>
                <w:color w:val="000000"/>
                <w:szCs w:val="21"/>
              </w:rPr>
              <w:t>51</w:t>
            </w:r>
          </w:p>
        </w:tc>
        <w:tc>
          <w:tcPr>
            <w:tcW w:w="637" w:type="dxa"/>
            <w:tcBorders>
              <w:top w:val="single" w:color="000000" w:sz="8" w:space="0"/>
              <w:left w:val="single" w:color="000000" w:sz="8" w:space="0"/>
              <w:bottom w:val="single" w:color="000000" w:sz="8" w:space="0"/>
              <w:right w:val="single" w:color="000000" w:sz="8" w:space="0"/>
            </w:tcBorders>
            <w:noWrap w:val="0"/>
            <w:vAlign w:val="center"/>
          </w:tcPr>
          <w:p w14:paraId="67D5C061">
            <w:pPr>
              <w:jc w:val="center"/>
              <w:rPr>
                <w:b/>
                <w:color w:val="000000"/>
                <w:szCs w:val="21"/>
              </w:rPr>
            </w:pPr>
            <w:r>
              <w:rPr>
                <w:b/>
                <w:color w:val="000000"/>
                <w:szCs w:val="21"/>
              </w:rPr>
              <w:t>49</w:t>
            </w:r>
          </w:p>
        </w:tc>
        <w:tc>
          <w:tcPr>
            <w:tcW w:w="712" w:type="dxa"/>
            <w:tcBorders>
              <w:top w:val="single" w:color="000000" w:sz="8" w:space="0"/>
              <w:left w:val="single" w:color="000000" w:sz="8" w:space="0"/>
              <w:bottom w:val="single" w:color="000000" w:sz="8" w:space="0"/>
              <w:right w:val="single" w:color="000000" w:sz="8" w:space="0"/>
            </w:tcBorders>
            <w:noWrap w:val="0"/>
            <w:vAlign w:val="center"/>
          </w:tcPr>
          <w:p w14:paraId="67E4ABC7">
            <w:pPr>
              <w:jc w:val="center"/>
              <w:rPr>
                <w:b/>
                <w:color w:val="000000"/>
                <w:szCs w:val="21"/>
              </w:rPr>
            </w:pPr>
            <w:r>
              <w:rPr>
                <w:b/>
                <w:color w:val="000000"/>
                <w:szCs w:val="21"/>
              </w:rPr>
              <w:t>47</w:t>
            </w:r>
          </w:p>
        </w:tc>
      </w:tr>
      <w:tr w14:paraId="72F42DA5">
        <w:tblPrEx>
          <w:tblCellMar>
            <w:top w:w="0" w:type="dxa"/>
            <w:left w:w="0" w:type="dxa"/>
            <w:bottom w:w="0" w:type="dxa"/>
            <w:right w:w="0" w:type="dxa"/>
          </w:tblCellMar>
        </w:tblPrEx>
        <w:trPr>
          <w:cantSplit/>
          <w:trHeight w:val="283" w:hRule="atLeast"/>
        </w:trPr>
        <w:tc>
          <w:tcPr>
            <w:tcW w:w="444" w:type="dxa"/>
            <w:tcBorders>
              <w:top w:val="single" w:color="000000" w:sz="8" w:space="0"/>
              <w:left w:val="single" w:color="000000" w:sz="8" w:space="0"/>
              <w:bottom w:val="single" w:color="000000" w:sz="8" w:space="0"/>
              <w:right w:val="single" w:color="000000" w:sz="8" w:space="0"/>
            </w:tcBorders>
            <w:noWrap w:val="0"/>
            <w:vAlign w:val="center"/>
          </w:tcPr>
          <w:p w14:paraId="11BB4136">
            <w:pPr>
              <w:jc w:val="center"/>
              <w:rPr>
                <w:color w:val="000000"/>
                <w:szCs w:val="21"/>
              </w:rPr>
            </w:pPr>
            <w:r>
              <w:rPr>
                <w:color w:val="000000"/>
                <w:szCs w:val="21"/>
              </w:rPr>
              <w:t>1</w:t>
            </w:r>
          </w:p>
        </w:tc>
        <w:tc>
          <w:tcPr>
            <w:tcW w:w="1677" w:type="dxa"/>
            <w:tcBorders>
              <w:top w:val="single" w:color="000000" w:sz="8" w:space="0"/>
              <w:left w:val="single" w:color="000000" w:sz="8" w:space="0"/>
              <w:bottom w:val="single" w:color="000000" w:sz="8" w:space="0"/>
              <w:right w:val="single" w:color="000000" w:sz="8" w:space="0"/>
            </w:tcBorders>
            <w:noWrap w:val="0"/>
            <w:vAlign w:val="center"/>
          </w:tcPr>
          <w:p w14:paraId="40FB495A">
            <w:pPr>
              <w:jc w:val="center"/>
              <w:rPr>
                <w:color w:val="000000"/>
                <w:szCs w:val="21"/>
              </w:rPr>
            </w:pPr>
            <w:r>
              <w:rPr>
                <w:color w:val="000000"/>
                <w:szCs w:val="21"/>
              </w:rPr>
              <w:t>混凝土输送泵</w:t>
            </w:r>
          </w:p>
        </w:tc>
        <w:tc>
          <w:tcPr>
            <w:tcW w:w="600" w:type="dxa"/>
            <w:tcBorders>
              <w:top w:val="single" w:color="000000" w:sz="8" w:space="0"/>
              <w:left w:val="single" w:color="000000" w:sz="8" w:space="0"/>
              <w:bottom w:val="single" w:color="000000" w:sz="8" w:space="0"/>
              <w:right w:val="single" w:color="000000" w:sz="8" w:space="0"/>
            </w:tcBorders>
            <w:noWrap w:val="0"/>
            <w:vAlign w:val="center"/>
          </w:tcPr>
          <w:p w14:paraId="42D99761">
            <w:pPr>
              <w:jc w:val="center"/>
              <w:rPr>
                <w:color w:val="000000"/>
                <w:szCs w:val="21"/>
              </w:rPr>
            </w:pPr>
            <w:r>
              <w:rPr>
                <w:color w:val="000000"/>
                <w:szCs w:val="21"/>
              </w:rPr>
              <w:t>80</w:t>
            </w:r>
          </w:p>
        </w:tc>
        <w:tc>
          <w:tcPr>
            <w:tcW w:w="605" w:type="dxa"/>
            <w:tcBorders>
              <w:top w:val="single" w:color="000000" w:sz="8" w:space="0"/>
              <w:left w:val="single" w:color="000000" w:sz="8" w:space="0"/>
              <w:bottom w:val="single" w:color="000000" w:sz="8" w:space="0"/>
              <w:right w:val="single" w:color="000000" w:sz="8" w:space="0"/>
            </w:tcBorders>
            <w:noWrap w:val="0"/>
            <w:vAlign w:val="center"/>
          </w:tcPr>
          <w:p w14:paraId="51DE4E71">
            <w:pPr>
              <w:jc w:val="center"/>
              <w:rPr>
                <w:color w:val="000000"/>
                <w:szCs w:val="21"/>
              </w:rPr>
            </w:pPr>
            <w:r>
              <w:rPr>
                <w:color w:val="000000"/>
                <w:szCs w:val="21"/>
              </w:rPr>
              <w:t>74</w:t>
            </w:r>
          </w:p>
        </w:tc>
        <w:tc>
          <w:tcPr>
            <w:tcW w:w="607" w:type="dxa"/>
            <w:tcBorders>
              <w:top w:val="single" w:color="000000" w:sz="8" w:space="0"/>
              <w:left w:val="single" w:color="000000" w:sz="8" w:space="0"/>
              <w:bottom w:val="single" w:color="000000" w:sz="8" w:space="0"/>
              <w:right w:val="single" w:color="000000" w:sz="8" w:space="0"/>
            </w:tcBorders>
            <w:noWrap w:val="0"/>
            <w:vAlign w:val="center"/>
          </w:tcPr>
          <w:p w14:paraId="59D29400">
            <w:pPr>
              <w:jc w:val="center"/>
              <w:rPr>
                <w:color w:val="000000"/>
                <w:szCs w:val="21"/>
              </w:rPr>
            </w:pPr>
            <w:r>
              <w:rPr>
                <w:color w:val="000000"/>
                <w:szCs w:val="21"/>
              </w:rPr>
              <w:t>70</w:t>
            </w:r>
          </w:p>
        </w:tc>
        <w:tc>
          <w:tcPr>
            <w:tcW w:w="610" w:type="dxa"/>
            <w:tcBorders>
              <w:top w:val="single" w:color="000000" w:sz="8" w:space="0"/>
              <w:left w:val="single" w:color="000000" w:sz="8" w:space="0"/>
              <w:bottom w:val="single" w:color="000000" w:sz="8" w:space="0"/>
              <w:right w:val="single" w:color="000000" w:sz="8" w:space="0"/>
            </w:tcBorders>
            <w:noWrap w:val="0"/>
            <w:vAlign w:val="center"/>
          </w:tcPr>
          <w:p w14:paraId="00751DB6">
            <w:pPr>
              <w:jc w:val="center"/>
              <w:rPr>
                <w:color w:val="000000"/>
                <w:szCs w:val="21"/>
              </w:rPr>
            </w:pPr>
            <w:r>
              <w:rPr>
                <w:color w:val="000000"/>
                <w:szCs w:val="21"/>
              </w:rPr>
              <w:t>68</w:t>
            </w:r>
          </w:p>
        </w:tc>
        <w:tc>
          <w:tcPr>
            <w:tcW w:w="610" w:type="dxa"/>
            <w:tcBorders>
              <w:top w:val="single" w:color="000000" w:sz="8" w:space="0"/>
              <w:left w:val="single" w:color="000000" w:sz="8" w:space="0"/>
              <w:bottom w:val="single" w:color="000000" w:sz="8" w:space="0"/>
              <w:right w:val="single" w:color="000000" w:sz="8" w:space="0"/>
            </w:tcBorders>
            <w:noWrap w:val="0"/>
            <w:vAlign w:val="center"/>
          </w:tcPr>
          <w:p w14:paraId="549E7340">
            <w:pPr>
              <w:jc w:val="center"/>
              <w:rPr>
                <w:color w:val="000000"/>
                <w:szCs w:val="21"/>
              </w:rPr>
            </w:pPr>
            <w:r>
              <w:rPr>
                <w:color w:val="000000"/>
                <w:szCs w:val="21"/>
              </w:rPr>
              <w:t>66</w:t>
            </w:r>
          </w:p>
        </w:tc>
        <w:tc>
          <w:tcPr>
            <w:tcW w:w="610" w:type="dxa"/>
            <w:tcBorders>
              <w:top w:val="single" w:color="000000" w:sz="8" w:space="0"/>
              <w:left w:val="single" w:color="000000" w:sz="8" w:space="0"/>
              <w:bottom w:val="single" w:color="000000" w:sz="8" w:space="0"/>
              <w:right w:val="single" w:color="000000" w:sz="8" w:space="0"/>
            </w:tcBorders>
            <w:noWrap w:val="0"/>
            <w:vAlign w:val="center"/>
          </w:tcPr>
          <w:p w14:paraId="07128323">
            <w:pPr>
              <w:jc w:val="center"/>
              <w:rPr>
                <w:color w:val="000000"/>
                <w:szCs w:val="21"/>
              </w:rPr>
            </w:pPr>
            <w:r>
              <w:rPr>
                <w:color w:val="000000"/>
                <w:szCs w:val="21"/>
              </w:rPr>
              <w:t>60</w:t>
            </w:r>
          </w:p>
        </w:tc>
        <w:tc>
          <w:tcPr>
            <w:tcW w:w="610" w:type="dxa"/>
            <w:tcBorders>
              <w:top w:val="single" w:color="000000" w:sz="8" w:space="0"/>
              <w:left w:val="single" w:color="000000" w:sz="8" w:space="0"/>
              <w:bottom w:val="single" w:color="000000" w:sz="8" w:space="0"/>
              <w:right w:val="single" w:color="000000" w:sz="8" w:space="0"/>
            </w:tcBorders>
            <w:noWrap w:val="0"/>
            <w:vAlign w:val="center"/>
          </w:tcPr>
          <w:p w14:paraId="7D9EDAD7">
            <w:pPr>
              <w:jc w:val="center"/>
              <w:rPr>
                <w:color w:val="000000"/>
                <w:szCs w:val="21"/>
              </w:rPr>
            </w:pPr>
            <w:r>
              <w:rPr>
                <w:color w:val="000000"/>
                <w:szCs w:val="21"/>
              </w:rPr>
              <w:t>56</w:t>
            </w:r>
          </w:p>
        </w:tc>
        <w:tc>
          <w:tcPr>
            <w:tcW w:w="610" w:type="dxa"/>
            <w:tcBorders>
              <w:top w:val="single" w:color="000000" w:sz="8" w:space="0"/>
              <w:left w:val="single" w:color="000000" w:sz="8" w:space="0"/>
              <w:bottom w:val="single" w:color="000000" w:sz="8" w:space="0"/>
              <w:right w:val="single" w:color="000000" w:sz="8" w:space="0"/>
            </w:tcBorders>
            <w:noWrap w:val="0"/>
            <w:vAlign w:val="center"/>
          </w:tcPr>
          <w:p w14:paraId="759EAFCB">
            <w:pPr>
              <w:jc w:val="center"/>
              <w:rPr>
                <w:color w:val="000000"/>
                <w:szCs w:val="21"/>
              </w:rPr>
            </w:pPr>
            <w:r>
              <w:rPr>
                <w:color w:val="000000"/>
                <w:szCs w:val="21"/>
              </w:rPr>
              <w:t>54</w:t>
            </w:r>
          </w:p>
        </w:tc>
        <w:tc>
          <w:tcPr>
            <w:tcW w:w="637" w:type="dxa"/>
            <w:tcBorders>
              <w:top w:val="single" w:color="000000" w:sz="8" w:space="0"/>
              <w:left w:val="single" w:color="000000" w:sz="8" w:space="0"/>
              <w:bottom w:val="single" w:color="000000" w:sz="8" w:space="0"/>
              <w:right w:val="single" w:color="000000" w:sz="8" w:space="0"/>
            </w:tcBorders>
            <w:noWrap w:val="0"/>
            <w:vAlign w:val="center"/>
          </w:tcPr>
          <w:p w14:paraId="64BB2E0C">
            <w:pPr>
              <w:jc w:val="center"/>
              <w:rPr>
                <w:color w:val="000000"/>
                <w:szCs w:val="21"/>
              </w:rPr>
            </w:pPr>
            <w:r>
              <w:rPr>
                <w:color w:val="000000"/>
                <w:szCs w:val="21"/>
              </w:rPr>
              <w:t>52</w:t>
            </w:r>
          </w:p>
        </w:tc>
        <w:tc>
          <w:tcPr>
            <w:tcW w:w="712" w:type="dxa"/>
            <w:tcBorders>
              <w:top w:val="single" w:color="000000" w:sz="8" w:space="0"/>
              <w:left w:val="single" w:color="000000" w:sz="8" w:space="0"/>
              <w:bottom w:val="single" w:color="000000" w:sz="8" w:space="0"/>
              <w:right w:val="single" w:color="000000" w:sz="8" w:space="0"/>
            </w:tcBorders>
            <w:noWrap w:val="0"/>
            <w:vAlign w:val="center"/>
          </w:tcPr>
          <w:p w14:paraId="6614C713">
            <w:pPr>
              <w:jc w:val="center"/>
              <w:rPr>
                <w:color w:val="000000"/>
                <w:szCs w:val="21"/>
              </w:rPr>
            </w:pPr>
            <w:r>
              <w:rPr>
                <w:color w:val="000000"/>
                <w:szCs w:val="21"/>
              </w:rPr>
              <w:t>50</w:t>
            </w:r>
          </w:p>
        </w:tc>
      </w:tr>
      <w:tr w14:paraId="4EB5B99C">
        <w:tblPrEx>
          <w:tblCellMar>
            <w:top w:w="0" w:type="dxa"/>
            <w:left w:w="0" w:type="dxa"/>
            <w:bottom w:w="0" w:type="dxa"/>
            <w:right w:w="0" w:type="dxa"/>
          </w:tblCellMar>
        </w:tblPrEx>
        <w:trPr>
          <w:cantSplit/>
          <w:trHeight w:val="283" w:hRule="atLeast"/>
        </w:trPr>
        <w:tc>
          <w:tcPr>
            <w:tcW w:w="444" w:type="dxa"/>
            <w:tcBorders>
              <w:top w:val="single" w:color="000000" w:sz="8" w:space="0"/>
              <w:left w:val="single" w:color="000000" w:sz="8" w:space="0"/>
              <w:bottom w:val="single" w:color="000000" w:sz="8" w:space="0"/>
              <w:right w:val="single" w:color="000000" w:sz="8" w:space="0"/>
            </w:tcBorders>
            <w:noWrap w:val="0"/>
            <w:vAlign w:val="center"/>
          </w:tcPr>
          <w:p w14:paraId="04BFB1C7">
            <w:pPr>
              <w:jc w:val="center"/>
              <w:rPr>
                <w:color w:val="000000"/>
                <w:szCs w:val="21"/>
              </w:rPr>
            </w:pPr>
            <w:r>
              <w:rPr>
                <w:color w:val="000000"/>
                <w:szCs w:val="21"/>
              </w:rPr>
              <w:t>2</w:t>
            </w:r>
          </w:p>
        </w:tc>
        <w:tc>
          <w:tcPr>
            <w:tcW w:w="1677" w:type="dxa"/>
            <w:tcBorders>
              <w:top w:val="single" w:color="000000" w:sz="8" w:space="0"/>
              <w:left w:val="single" w:color="000000" w:sz="8" w:space="0"/>
              <w:bottom w:val="single" w:color="000000" w:sz="8" w:space="0"/>
              <w:right w:val="single" w:color="000000" w:sz="8" w:space="0"/>
            </w:tcBorders>
            <w:noWrap w:val="0"/>
            <w:vAlign w:val="center"/>
          </w:tcPr>
          <w:p w14:paraId="198A3978">
            <w:pPr>
              <w:jc w:val="center"/>
              <w:rPr>
                <w:color w:val="000000"/>
                <w:szCs w:val="21"/>
              </w:rPr>
            </w:pPr>
            <w:r>
              <w:rPr>
                <w:color w:val="000000"/>
                <w:szCs w:val="21"/>
              </w:rPr>
              <w:t>振捣器</w:t>
            </w:r>
          </w:p>
        </w:tc>
        <w:tc>
          <w:tcPr>
            <w:tcW w:w="600" w:type="dxa"/>
            <w:tcBorders>
              <w:top w:val="single" w:color="000000" w:sz="8" w:space="0"/>
              <w:left w:val="single" w:color="000000" w:sz="8" w:space="0"/>
              <w:bottom w:val="single" w:color="000000" w:sz="8" w:space="0"/>
              <w:right w:val="single" w:color="000000" w:sz="8" w:space="0"/>
            </w:tcBorders>
            <w:noWrap w:val="0"/>
            <w:vAlign w:val="center"/>
          </w:tcPr>
          <w:p w14:paraId="698372DF">
            <w:pPr>
              <w:jc w:val="center"/>
              <w:rPr>
                <w:color w:val="000000"/>
                <w:szCs w:val="21"/>
              </w:rPr>
            </w:pPr>
            <w:r>
              <w:rPr>
                <w:color w:val="000000"/>
                <w:szCs w:val="21"/>
              </w:rPr>
              <w:t>85</w:t>
            </w:r>
          </w:p>
        </w:tc>
        <w:tc>
          <w:tcPr>
            <w:tcW w:w="605" w:type="dxa"/>
            <w:tcBorders>
              <w:top w:val="single" w:color="000000" w:sz="8" w:space="0"/>
              <w:left w:val="single" w:color="000000" w:sz="8" w:space="0"/>
              <w:bottom w:val="single" w:color="000000" w:sz="8" w:space="0"/>
              <w:right w:val="single" w:color="000000" w:sz="8" w:space="0"/>
            </w:tcBorders>
            <w:noWrap w:val="0"/>
            <w:vAlign w:val="center"/>
          </w:tcPr>
          <w:p w14:paraId="79E6DF7E">
            <w:pPr>
              <w:jc w:val="center"/>
              <w:rPr>
                <w:color w:val="000000"/>
                <w:szCs w:val="21"/>
              </w:rPr>
            </w:pPr>
            <w:r>
              <w:rPr>
                <w:color w:val="000000"/>
                <w:szCs w:val="21"/>
              </w:rPr>
              <w:t>79</w:t>
            </w:r>
          </w:p>
        </w:tc>
        <w:tc>
          <w:tcPr>
            <w:tcW w:w="607" w:type="dxa"/>
            <w:tcBorders>
              <w:top w:val="single" w:color="000000" w:sz="8" w:space="0"/>
              <w:left w:val="single" w:color="000000" w:sz="8" w:space="0"/>
              <w:bottom w:val="single" w:color="000000" w:sz="8" w:space="0"/>
              <w:right w:val="single" w:color="000000" w:sz="8" w:space="0"/>
            </w:tcBorders>
            <w:noWrap w:val="0"/>
            <w:vAlign w:val="center"/>
          </w:tcPr>
          <w:p w14:paraId="0E53734D">
            <w:pPr>
              <w:jc w:val="center"/>
              <w:rPr>
                <w:color w:val="000000"/>
                <w:szCs w:val="21"/>
              </w:rPr>
            </w:pPr>
            <w:r>
              <w:rPr>
                <w:color w:val="000000"/>
                <w:szCs w:val="21"/>
              </w:rPr>
              <w:t>75</w:t>
            </w:r>
          </w:p>
        </w:tc>
        <w:tc>
          <w:tcPr>
            <w:tcW w:w="610" w:type="dxa"/>
            <w:tcBorders>
              <w:top w:val="single" w:color="000000" w:sz="8" w:space="0"/>
              <w:left w:val="single" w:color="000000" w:sz="8" w:space="0"/>
              <w:bottom w:val="single" w:color="000000" w:sz="8" w:space="0"/>
              <w:right w:val="single" w:color="000000" w:sz="8" w:space="0"/>
            </w:tcBorders>
            <w:noWrap w:val="0"/>
            <w:vAlign w:val="center"/>
          </w:tcPr>
          <w:p w14:paraId="54687E0D">
            <w:pPr>
              <w:jc w:val="center"/>
              <w:rPr>
                <w:color w:val="000000"/>
                <w:szCs w:val="21"/>
              </w:rPr>
            </w:pPr>
            <w:r>
              <w:rPr>
                <w:color w:val="000000"/>
                <w:szCs w:val="21"/>
              </w:rPr>
              <w:t>73</w:t>
            </w:r>
          </w:p>
        </w:tc>
        <w:tc>
          <w:tcPr>
            <w:tcW w:w="610" w:type="dxa"/>
            <w:tcBorders>
              <w:top w:val="single" w:color="000000" w:sz="8" w:space="0"/>
              <w:left w:val="single" w:color="000000" w:sz="8" w:space="0"/>
              <w:bottom w:val="single" w:color="000000" w:sz="8" w:space="0"/>
              <w:right w:val="single" w:color="000000" w:sz="8" w:space="0"/>
            </w:tcBorders>
            <w:noWrap w:val="0"/>
            <w:vAlign w:val="center"/>
          </w:tcPr>
          <w:p w14:paraId="44DD5600">
            <w:pPr>
              <w:jc w:val="center"/>
              <w:rPr>
                <w:color w:val="000000"/>
                <w:szCs w:val="21"/>
              </w:rPr>
            </w:pPr>
            <w:r>
              <w:rPr>
                <w:color w:val="000000"/>
                <w:szCs w:val="21"/>
              </w:rPr>
              <w:t>71</w:t>
            </w:r>
          </w:p>
        </w:tc>
        <w:tc>
          <w:tcPr>
            <w:tcW w:w="610" w:type="dxa"/>
            <w:tcBorders>
              <w:top w:val="single" w:color="000000" w:sz="8" w:space="0"/>
              <w:left w:val="single" w:color="000000" w:sz="8" w:space="0"/>
              <w:bottom w:val="single" w:color="000000" w:sz="8" w:space="0"/>
              <w:right w:val="single" w:color="000000" w:sz="8" w:space="0"/>
            </w:tcBorders>
            <w:noWrap w:val="0"/>
            <w:vAlign w:val="center"/>
          </w:tcPr>
          <w:p w14:paraId="4507963C">
            <w:pPr>
              <w:jc w:val="center"/>
              <w:rPr>
                <w:color w:val="000000"/>
                <w:szCs w:val="21"/>
              </w:rPr>
            </w:pPr>
            <w:r>
              <w:rPr>
                <w:color w:val="000000"/>
                <w:szCs w:val="21"/>
              </w:rPr>
              <w:t>65</w:t>
            </w:r>
          </w:p>
        </w:tc>
        <w:tc>
          <w:tcPr>
            <w:tcW w:w="610" w:type="dxa"/>
            <w:tcBorders>
              <w:top w:val="single" w:color="000000" w:sz="8" w:space="0"/>
              <w:left w:val="single" w:color="000000" w:sz="8" w:space="0"/>
              <w:bottom w:val="single" w:color="000000" w:sz="8" w:space="0"/>
              <w:right w:val="single" w:color="000000" w:sz="8" w:space="0"/>
            </w:tcBorders>
            <w:noWrap w:val="0"/>
            <w:vAlign w:val="center"/>
          </w:tcPr>
          <w:p w14:paraId="3E096DEA">
            <w:pPr>
              <w:jc w:val="center"/>
              <w:rPr>
                <w:color w:val="000000"/>
                <w:szCs w:val="21"/>
              </w:rPr>
            </w:pPr>
            <w:r>
              <w:rPr>
                <w:color w:val="000000"/>
                <w:szCs w:val="21"/>
              </w:rPr>
              <w:t>61</w:t>
            </w:r>
          </w:p>
        </w:tc>
        <w:tc>
          <w:tcPr>
            <w:tcW w:w="610" w:type="dxa"/>
            <w:tcBorders>
              <w:top w:val="single" w:color="000000" w:sz="8" w:space="0"/>
              <w:left w:val="single" w:color="000000" w:sz="8" w:space="0"/>
              <w:bottom w:val="single" w:color="000000" w:sz="8" w:space="0"/>
              <w:right w:val="single" w:color="000000" w:sz="8" w:space="0"/>
            </w:tcBorders>
            <w:noWrap w:val="0"/>
            <w:vAlign w:val="center"/>
          </w:tcPr>
          <w:p w14:paraId="3AC39E13">
            <w:pPr>
              <w:jc w:val="center"/>
              <w:rPr>
                <w:color w:val="000000"/>
                <w:szCs w:val="21"/>
              </w:rPr>
            </w:pPr>
            <w:r>
              <w:rPr>
                <w:color w:val="000000"/>
                <w:szCs w:val="21"/>
              </w:rPr>
              <w:t>59</w:t>
            </w:r>
          </w:p>
        </w:tc>
        <w:tc>
          <w:tcPr>
            <w:tcW w:w="637" w:type="dxa"/>
            <w:tcBorders>
              <w:top w:val="single" w:color="000000" w:sz="8" w:space="0"/>
              <w:left w:val="single" w:color="000000" w:sz="8" w:space="0"/>
              <w:bottom w:val="single" w:color="000000" w:sz="8" w:space="0"/>
              <w:right w:val="single" w:color="000000" w:sz="8" w:space="0"/>
            </w:tcBorders>
            <w:noWrap w:val="0"/>
            <w:vAlign w:val="center"/>
          </w:tcPr>
          <w:p w14:paraId="6D558E6A">
            <w:pPr>
              <w:jc w:val="center"/>
              <w:rPr>
                <w:color w:val="000000"/>
                <w:szCs w:val="21"/>
              </w:rPr>
            </w:pPr>
            <w:r>
              <w:rPr>
                <w:color w:val="000000"/>
                <w:szCs w:val="21"/>
              </w:rPr>
              <w:t>57</w:t>
            </w:r>
          </w:p>
        </w:tc>
        <w:tc>
          <w:tcPr>
            <w:tcW w:w="712" w:type="dxa"/>
            <w:tcBorders>
              <w:top w:val="single" w:color="000000" w:sz="8" w:space="0"/>
              <w:left w:val="single" w:color="000000" w:sz="8" w:space="0"/>
              <w:bottom w:val="single" w:color="000000" w:sz="8" w:space="0"/>
              <w:right w:val="single" w:color="000000" w:sz="8" w:space="0"/>
            </w:tcBorders>
            <w:noWrap w:val="0"/>
            <w:vAlign w:val="center"/>
          </w:tcPr>
          <w:p w14:paraId="52C815EB">
            <w:pPr>
              <w:jc w:val="center"/>
              <w:rPr>
                <w:color w:val="000000"/>
                <w:szCs w:val="21"/>
              </w:rPr>
            </w:pPr>
            <w:r>
              <w:rPr>
                <w:color w:val="000000"/>
                <w:szCs w:val="21"/>
              </w:rPr>
              <w:t>55</w:t>
            </w:r>
          </w:p>
        </w:tc>
      </w:tr>
      <w:tr w14:paraId="5E5CE10E">
        <w:tblPrEx>
          <w:tblCellMar>
            <w:top w:w="0" w:type="dxa"/>
            <w:left w:w="0" w:type="dxa"/>
            <w:bottom w:w="0" w:type="dxa"/>
            <w:right w:w="0" w:type="dxa"/>
          </w:tblCellMar>
        </w:tblPrEx>
        <w:trPr>
          <w:cantSplit/>
          <w:trHeight w:val="283" w:hRule="atLeast"/>
        </w:trPr>
        <w:tc>
          <w:tcPr>
            <w:tcW w:w="444" w:type="dxa"/>
            <w:tcBorders>
              <w:top w:val="single" w:color="000000" w:sz="8" w:space="0"/>
              <w:left w:val="single" w:color="000000" w:sz="8" w:space="0"/>
              <w:bottom w:val="single" w:color="000000" w:sz="8" w:space="0"/>
              <w:right w:val="single" w:color="000000" w:sz="8" w:space="0"/>
            </w:tcBorders>
            <w:noWrap w:val="0"/>
            <w:vAlign w:val="center"/>
          </w:tcPr>
          <w:p w14:paraId="088D8CFD">
            <w:pPr>
              <w:jc w:val="center"/>
              <w:rPr>
                <w:color w:val="000000"/>
                <w:szCs w:val="21"/>
              </w:rPr>
            </w:pPr>
            <w:r>
              <w:rPr>
                <w:color w:val="000000"/>
                <w:szCs w:val="21"/>
              </w:rPr>
              <w:t>3</w:t>
            </w:r>
          </w:p>
        </w:tc>
        <w:tc>
          <w:tcPr>
            <w:tcW w:w="1677" w:type="dxa"/>
            <w:tcBorders>
              <w:top w:val="single" w:color="000000" w:sz="8" w:space="0"/>
              <w:left w:val="single" w:color="000000" w:sz="8" w:space="0"/>
              <w:bottom w:val="single" w:color="000000" w:sz="8" w:space="0"/>
              <w:right w:val="single" w:color="000000" w:sz="8" w:space="0"/>
            </w:tcBorders>
            <w:noWrap w:val="0"/>
            <w:vAlign w:val="center"/>
          </w:tcPr>
          <w:p w14:paraId="366F5973">
            <w:pPr>
              <w:jc w:val="center"/>
              <w:rPr>
                <w:color w:val="000000"/>
                <w:szCs w:val="21"/>
              </w:rPr>
            </w:pPr>
            <w:r>
              <w:rPr>
                <w:color w:val="000000"/>
                <w:szCs w:val="21"/>
              </w:rPr>
              <w:t>电锯</w:t>
            </w:r>
          </w:p>
        </w:tc>
        <w:tc>
          <w:tcPr>
            <w:tcW w:w="600" w:type="dxa"/>
            <w:tcBorders>
              <w:top w:val="single" w:color="000000" w:sz="8" w:space="0"/>
              <w:left w:val="single" w:color="000000" w:sz="8" w:space="0"/>
              <w:bottom w:val="single" w:color="000000" w:sz="8" w:space="0"/>
              <w:right w:val="single" w:color="000000" w:sz="8" w:space="0"/>
            </w:tcBorders>
            <w:noWrap w:val="0"/>
            <w:vAlign w:val="center"/>
          </w:tcPr>
          <w:p w14:paraId="58E5AEA3">
            <w:pPr>
              <w:jc w:val="center"/>
              <w:rPr>
                <w:color w:val="000000"/>
                <w:szCs w:val="21"/>
              </w:rPr>
            </w:pPr>
            <w:r>
              <w:rPr>
                <w:color w:val="000000"/>
                <w:szCs w:val="21"/>
              </w:rPr>
              <w:t>90</w:t>
            </w:r>
          </w:p>
        </w:tc>
        <w:tc>
          <w:tcPr>
            <w:tcW w:w="605" w:type="dxa"/>
            <w:tcBorders>
              <w:top w:val="single" w:color="000000" w:sz="8" w:space="0"/>
              <w:left w:val="single" w:color="000000" w:sz="8" w:space="0"/>
              <w:bottom w:val="single" w:color="000000" w:sz="8" w:space="0"/>
              <w:right w:val="single" w:color="000000" w:sz="8" w:space="0"/>
            </w:tcBorders>
            <w:noWrap w:val="0"/>
            <w:vAlign w:val="center"/>
          </w:tcPr>
          <w:p w14:paraId="4E8E1951">
            <w:pPr>
              <w:jc w:val="center"/>
              <w:rPr>
                <w:color w:val="000000"/>
                <w:szCs w:val="21"/>
              </w:rPr>
            </w:pPr>
            <w:r>
              <w:rPr>
                <w:color w:val="000000"/>
                <w:szCs w:val="21"/>
              </w:rPr>
              <w:t>84</w:t>
            </w:r>
          </w:p>
        </w:tc>
        <w:tc>
          <w:tcPr>
            <w:tcW w:w="607" w:type="dxa"/>
            <w:tcBorders>
              <w:top w:val="single" w:color="000000" w:sz="8" w:space="0"/>
              <w:left w:val="single" w:color="000000" w:sz="8" w:space="0"/>
              <w:bottom w:val="single" w:color="000000" w:sz="8" w:space="0"/>
              <w:right w:val="single" w:color="000000" w:sz="8" w:space="0"/>
            </w:tcBorders>
            <w:noWrap w:val="0"/>
            <w:vAlign w:val="center"/>
          </w:tcPr>
          <w:p w14:paraId="7C884DFA">
            <w:pPr>
              <w:jc w:val="center"/>
              <w:rPr>
                <w:color w:val="000000"/>
                <w:szCs w:val="21"/>
              </w:rPr>
            </w:pPr>
            <w:r>
              <w:rPr>
                <w:color w:val="000000"/>
                <w:szCs w:val="21"/>
              </w:rPr>
              <w:t>80</w:t>
            </w:r>
          </w:p>
        </w:tc>
        <w:tc>
          <w:tcPr>
            <w:tcW w:w="610" w:type="dxa"/>
            <w:tcBorders>
              <w:top w:val="single" w:color="000000" w:sz="8" w:space="0"/>
              <w:left w:val="single" w:color="000000" w:sz="8" w:space="0"/>
              <w:bottom w:val="single" w:color="000000" w:sz="8" w:space="0"/>
              <w:right w:val="single" w:color="000000" w:sz="8" w:space="0"/>
            </w:tcBorders>
            <w:noWrap w:val="0"/>
            <w:vAlign w:val="center"/>
          </w:tcPr>
          <w:p w14:paraId="68EF24AC">
            <w:pPr>
              <w:jc w:val="center"/>
              <w:rPr>
                <w:color w:val="000000"/>
                <w:szCs w:val="21"/>
              </w:rPr>
            </w:pPr>
            <w:r>
              <w:rPr>
                <w:color w:val="000000"/>
                <w:szCs w:val="21"/>
              </w:rPr>
              <w:t>78</w:t>
            </w:r>
          </w:p>
        </w:tc>
        <w:tc>
          <w:tcPr>
            <w:tcW w:w="610" w:type="dxa"/>
            <w:tcBorders>
              <w:top w:val="single" w:color="000000" w:sz="8" w:space="0"/>
              <w:left w:val="single" w:color="000000" w:sz="8" w:space="0"/>
              <w:bottom w:val="single" w:color="000000" w:sz="8" w:space="0"/>
              <w:right w:val="single" w:color="000000" w:sz="8" w:space="0"/>
            </w:tcBorders>
            <w:noWrap w:val="0"/>
            <w:vAlign w:val="center"/>
          </w:tcPr>
          <w:p w14:paraId="1B20C45C">
            <w:pPr>
              <w:jc w:val="center"/>
              <w:rPr>
                <w:color w:val="000000"/>
                <w:szCs w:val="21"/>
              </w:rPr>
            </w:pPr>
            <w:r>
              <w:rPr>
                <w:color w:val="000000"/>
                <w:szCs w:val="21"/>
              </w:rPr>
              <w:t>76</w:t>
            </w:r>
          </w:p>
        </w:tc>
        <w:tc>
          <w:tcPr>
            <w:tcW w:w="610" w:type="dxa"/>
            <w:tcBorders>
              <w:top w:val="single" w:color="000000" w:sz="8" w:space="0"/>
              <w:left w:val="single" w:color="000000" w:sz="8" w:space="0"/>
              <w:bottom w:val="single" w:color="000000" w:sz="8" w:space="0"/>
              <w:right w:val="single" w:color="000000" w:sz="8" w:space="0"/>
            </w:tcBorders>
            <w:noWrap w:val="0"/>
            <w:vAlign w:val="center"/>
          </w:tcPr>
          <w:p w14:paraId="5CEA4AD5">
            <w:pPr>
              <w:jc w:val="center"/>
              <w:rPr>
                <w:color w:val="000000"/>
                <w:szCs w:val="21"/>
              </w:rPr>
            </w:pPr>
            <w:r>
              <w:rPr>
                <w:color w:val="000000"/>
                <w:szCs w:val="21"/>
              </w:rPr>
              <w:t>70</w:t>
            </w:r>
          </w:p>
        </w:tc>
        <w:tc>
          <w:tcPr>
            <w:tcW w:w="610" w:type="dxa"/>
            <w:tcBorders>
              <w:top w:val="single" w:color="000000" w:sz="8" w:space="0"/>
              <w:left w:val="single" w:color="000000" w:sz="8" w:space="0"/>
              <w:bottom w:val="single" w:color="000000" w:sz="8" w:space="0"/>
              <w:right w:val="single" w:color="000000" w:sz="8" w:space="0"/>
            </w:tcBorders>
            <w:noWrap w:val="0"/>
            <w:vAlign w:val="center"/>
          </w:tcPr>
          <w:p w14:paraId="58AEE8E3">
            <w:pPr>
              <w:jc w:val="center"/>
              <w:rPr>
                <w:color w:val="000000"/>
                <w:szCs w:val="21"/>
              </w:rPr>
            </w:pPr>
            <w:r>
              <w:rPr>
                <w:color w:val="000000"/>
                <w:szCs w:val="21"/>
              </w:rPr>
              <w:t>66</w:t>
            </w:r>
          </w:p>
        </w:tc>
        <w:tc>
          <w:tcPr>
            <w:tcW w:w="610" w:type="dxa"/>
            <w:tcBorders>
              <w:top w:val="single" w:color="000000" w:sz="8" w:space="0"/>
              <w:left w:val="single" w:color="000000" w:sz="8" w:space="0"/>
              <w:bottom w:val="single" w:color="000000" w:sz="8" w:space="0"/>
              <w:right w:val="single" w:color="000000" w:sz="8" w:space="0"/>
            </w:tcBorders>
            <w:noWrap w:val="0"/>
            <w:vAlign w:val="center"/>
          </w:tcPr>
          <w:p w14:paraId="3B593B35">
            <w:pPr>
              <w:jc w:val="center"/>
              <w:rPr>
                <w:color w:val="000000"/>
                <w:szCs w:val="21"/>
              </w:rPr>
            </w:pPr>
            <w:r>
              <w:rPr>
                <w:color w:val="000000"/>
                <w:szCs w:val="21"/>
              </w:rPr>
              <w:t>64</w:t>
            </w:r>
          </w:p>
        </w:tc>
        <w:tc>
          <w:tcPr>
            <w:tcW w:w="637" w:type="dxa"/>
            <w:tcBorders>
              <w:top w:val="single" w:color="000000" w:sz="8" w:space="0"/>
              <w:left w:val="single" w:color="000000" w:sz="8" w:space="0"/>
              <w:bottom w:val="single" w:color="000000" w:sz="8" w:space="0"/>
              <w:right w:val="single" w:color="000000" w:sz="8" w:space="0"/>
            </w:tcBorders>
            <w:noWrap w:val="0"/>
            <w:vAlign w:val="center"/>
          </w:tcPr>
          <w:p w14:paraId="79834C42">
            <w:pPr>
              <w:jc w:val="center"/>
              <w:rPr>
                <w:color w:val="000000"/>
                <w:szCs w:val="21"/>
              </w:rPr>
            </w:pPr>
            <w:r>
              <w:rPr>
                <w:color w:val="000000"/>
                <w:szCs w:val="21"/>
              </w:rPr>
              <w:t>62</w:t>
            </w:r>
          </w:p>
        </w:tc>
        <w:tc>
          <w:tcPr>
            <w:tcW w:w="712" w:type="dxa"/>
            <w:tcBorders>
              <w:top w:val="single" w:color="000000" w:sz="8" w:space="0"/>
              <w:left w:val="single" w:color="000000" w:sz="8" w:space="0"/>
              <w:bottom w:val="single" w:color="000000" w:sz="8" w:space="0"/>
              <w:right w:val="single" w:color="000000" w:sz="8" w:space="0"/>
            </w:tcBorders>
            <w:noWrap w:val="0"/>
            <w:vAlign w:val="center"/>
          </w:tcPr>
          <w:p w14:paraId="28377197">
            <w:pPr>
              <w:jc w:val="center"/>
              <w:rPr>
                <w:color w:val="000000"/>
                <w:szCs w:val="21"/>
              </w:rPr>
            </w:pPr>
            <w:r>
              <w:rPr>
                <w:color w:val="000000"/>
                <w:szCs w:val="21"/>
              </w:rPr>
              <w:t>60</w:t>
            </w:r>
          </w:p>
        </w:tc>
      </w:tr>
      <w:tr w14:paraId="18A46486">
        <w:tblPrEx>
          <w:tblCellMar>
            <w:top w:w="0" w:type="dxa"/>
            <w:left w:w="0" w:type="dxa"/>
            <w:bottom w:w="0" w:type="dxa"/>
            <w:right w:w="0" w:type="dxa"/>
          </w:tblCellMar>
        </w:tblPrEx>
        <w:trPr>
          <w:cantSplit/>
          <w:trHeight w:val="283" w:hRule="atLeast"/>
        </w:trPr>
        <w:tc>
          <w:tcPr>
            <w:tcW w:w="444" w:type="dxa"/>
            <w:tcBorders>
              <w:top w:val="single" w:color="000000" w:sz="8" w:space="0"/>
              <w:left w:val="single" w:color="000000" w:sz="8" w:space="0"/>
              <w:bottom w:val="single" w:color="000000" w:sz="8" w:space="0"/>
              <w:right w:val="single" w:color="000000" w:sz="8" w:space="0"/>
            </w:tcBorders>
            <w:noWrap w:val="0"/>
            <w:vAlign w:val="center"/>
          </w:tcPr>
          <w:p w14:paraId="2F61B4D3">
            <w:pPr>
              <w:jc w:val="center"/>
              <w:rPr>
                <w:color w:val="000000"/>
                <w:szCs w:val="21"/>
              </w:rPr>
            </w:pPr>
            <w:r>
              <w:rPr>
                <w:color w:val="000000"/>
                <w:szCs w:val="21"/>
              </w:rPr>
              <w:t>4</w:t>
            </w:r>
          </w:p>
        </w:tc>
        <w:tc>
          <w:tcPr>
            <w:tcW w:w="1677" w:type="dxa"/>
            <w:tcBorders>
              <w:top w:val="single" w:color="000000" w:sz="8" w:space="0"/>
              <w:left w:val="single" w:color="000000" w:sz="8" w:space="0"/>
              <w:bottom w:val="single" w:color="000000" w:sz="8" w:space="0"/>
              <w:right w:val="single" w:color="000000" w:sz="8" w:space="0"/>
            </w:tcBorders>
            <w:noWrap w:val="0"/>
            <w:vAlign w:val="center"/>
          </w:tcPr>
          <w:p w14:paraId="15FC66EC">
            <w:pPr>
              <w:jc w:val="center"/>
              <w:rPr>
                <w:color w:val="000000"/>
                <w:szCs w:val="21"/>
              </w:rPr>
            </w:pPr>
            <w:r>
              <w:rPr>
                <w:color w:val="000000"/>
                <w:szCs w:val="21"/>
              </w:rPr>
              <w:t>电焊机</w:t>
            </w:r>
          </w:p>
        </w:tc>
        <w:tc>
          <w:tcPr>
            <w:tcW w:w="600" w:type="dxa"/>
            <w:tcBorders>
              <w:top w:val="single" w:color="000000" w:sz="8" w:space="0"/>
              <w:left w:val="single" w:color="000000" w:sz="8" w:space="0"/>
              <w:bottom w:val="single" w:color="000000" w:sz="8" w:space="0"/>
              <w:right w:val="single" w:color="000000" w:sz="8" w:space="0"/>
            </w:tcBorders>
            <w:noWrap w:val="0"/>
            <w:vAlign w:val="center"/>
          </w:tcPr>
          <w:p w14:paraId="0337110B">
            <w:pPr>
              <w:jc w:val="center"/>
              <w:rPr>
                <w:color w:val="000000"/>
                <w:szCs w:val="21"/>
              </w:rPr>
            </w:pPr>
            <w:r>
              <w:rPr>
                <w:color w:val="000000"/>
                <w:szCs w:val="21"/>
              </w:rPr>
              <w:t>75</w:t>
            </w:r>
          </w:p>
        </w:tc>
        <w:tc>
          <w:tcPr>
            <w:tcW w:w="605" w:type="dxa"/>
            <w:tcBorders>
              <w:top w:val="single" w:color="000000" w:sz="8" w:space="0"/>
              <w:left w:val="single" w:color="000000" w:sz="8" w:space="0"/>
              <w:bottom w:val="single" w:color="000000" w:sz="8" w:space="0"/>
              <w:right w:val="single" w:color="000000" w:sz="8" w:space="0"/>
            </w:tcBorders>
            <w:noWrap w:val="0"/>
            <w:vAlign w:val="center"/>
          </w:tcPr>
          <w:p w14:paraId="3709C018">
            <w:pPr>
              <w:jc w:val="center"/>
              <w:rPr>
                <w:color w:val="000000"/>
                <w:szCs w:val="21"/>
              </w:rPr>
            </w:pPr>
            <w:r>
              <w:rPr>
                <w:color w:val="000000"/>
                <w:szCs w:val="21"/>
              </w:rPr>
              <w:t>69</w:t>
            </w:r>
          </w:p>
        </w:tc>
        <w:tc>
          <w:tcPr>
            <w:tcW w:w="607" w:type="dxa"/>
            <w:tcBorders>
              <w:top w:val="single" w:color="000000" w:sz="8" w:space="0"/>
              <w:left w:val="single" w:color="000000" w:sz="8" w:space="0"/>
              <w:bottom w:val="single" w:color="000000" w:sz="8" w:space="0"/>
              <w:right w:val="single" w:color="000000" w:sz="8" w:space="0"/>
            </w:tcBorders>
            <w:noWrap w:val="0"/>
            <w:vAlign w:val="center"/>
          </w:tcPr>
          <w:p w14:paraId="07544160">
            <w:pPr>
              <w:jc w:val="center"/>
              <w:rPr>
                <w:color w:val="000000"/>
                <w:szCs w:val="21"/>
              </w:rPr>
            </w:pPr>
            <w:r>
              <w:rPr>
                <w:color w:val="000000"/>
                <w:szCs w:val="21"/>
              </w:rPr>
              <w:t>65</w:t>
            </w:r>
          </w:p>
        </w:tc>
        <w:tc>
          <w:tcPr>
            <w:tcW w:w="610" w:type="dxa"/>
            <w:tcBorders>
              <w:top w:val="single" w:color="000000" w:sz="8" w:space="0"/>
              <w:left w:val="single" w:color="000000" w:sz="8" w:space="0"/>
              <w:bottom w:val="single" w:color="000000" w:sz="8" w:space="0"/>
              <w:right w:val="single" w:color="000000" w:sz="8" w:space="0"/>
            </w:tcBorders>
            <w:noWrap w:val="0"/>
            <w:vAlign w:val="center"/>
          </w:tcPr>
          <w:p w14:paraId="6BB8B43E">
            <w:pPr>
              <w:jc w:val="center"/>
              <w:rPr>
                <w:color w:val="000000"/>
                <w:szCs w:val="21"/>
              </w:rPr>
            </w:pPr>
            <w:r>
              <w:rPr>
                <w:color w:val="000000"/>
                <w:szCs w:val="21"/>
              </w:rPr>
              <w:t>63</w:t>
            </w:r>
          </w:p>
        </w:tc>
        <w:tc>
          <w:tcPr>
            <w:tcW w:w="610" w:type="dxa"/>
            <w:tcBorders>
              <w:top w:val="single" w:color="000000" w:sz="8" w:space="0"/>
              <w:left w:val="single" w:color="000000" w:sz="8" w:space="0"/>
              <w:bottom w:val="single" w:color="000000" w:sz="8" w:space="0"/>
              <w:right w:val="single" w:color="000000" w:sz="8" w:space="0"/>
            </w:tcBorders>
            <w:noWrap w:val="0"/>
            <w:vAlign w:val="center"/>
          </w:tcPr>
          <w:p w14:paraId="4FA086B3">
            <w:pPr>
              <w:jc w:val="center"/>
              <w:rPr>
                <w:color w:val="000000"/>
                <w:szCs w:val="21"/>
              </w:rPr>
            </w:pPr>
            <w:r>
              <w:rPr>
                <w:color w:val="000000"/>
                <w:szCs w:val="21"/>
              </w:rPr>
              <w:t>61</w:t>
            </w:r>
          </w:p>
        </w:tc>
        <w:tc>
          <w:tcPr>
            <w:tcW w:w="610" w:type="dxa"/>
            <w:tcBorders>
              <w:top w:val="single" w:color="000000" w:sz="8" w:space="0"/>
              <w:left w:val="single" w:color="000000" w:sz="8" w:space="0"/>
              <w:bottom w:val="single" w:color="000000" w:sz="8" w:space="0"/>
              <w:right w:val="single" w:color="000000" w:sz="8" w:space="0"/>
            </w:tcBorders>
            <w:noWrap w:val="0"/>
            <w:vAlign w:val="center"/>
          </w:tcPr>
          <w:p w14:paraId="142F00F5">
            <w:pPr>
              <w:jc w:val="center"/>
              <w:rPr>
                <w:color w:val="000000"/>
                <w:szCs w:val="21"/>
              </w:rPr>
            </w:pPr>
            <w:r>
              <w:rPr>
                <w:color w:val="000000"/>
                <w:szCs w:val="21"/>
              </w:rPr>
              <w:t>55</w:t>
            </w:r>
          </w:p>
        </w:tc>
        <w:tc>
          <w:tcPr>
            <w:tcW w:w="610" w:type="dxa"/>
            <w:tcBorders>
              <w:top w:val="single" w:color="000000" w:sz="8" w:space="0"/>
              <w:left w:val="single" w:color="000000" w:sz="8" w:space="0"/>
              <w:bottom w:val="single" w:color="000000" w:sz="8" w:space="0"/>
              <w:right w:val="single" w:color="000000" w:sz="8" w:space="0"/>
            </w:tcBorders>
            <w:noWrap w:val="0"/>
            <w:vAlign w:val="center"/>
          </w:tcPr>
          <w:p w14:paraId="28E83150">
            <w:pPr>
              <w:jc w:val="center"/>
              <w:rPr>
                <w:color w:val="000000"/>
                <w:szCs w:val="21"/>
              </w:rPr>
            </w:pPr>
            <w:r>
              <w:rPr>
                <w:color w:val="000000"/>
                <w:szCs w:val="21"/>
              </w:rPr>
              <w:t>51</w:t>
            </w:r>
          </w:p>
        </w:tc>
        <w:tc>
          <w:tcPr>
            <w:tcW w:w="610" w:type="dxa"/>
            <w:tcBorders>
              <w:top w:val="single" w:color="000000" w:sz="8" w:space="0"/>
              <w:left w:val="single" w:color="000000" w:sz="8" w:space="0"/>
              <w:bottom w:val="single" w:color="000000" w:sz="8" w:space="0"/>
              <w:right w:val="single" w:color="000000" w:sz="8" w:space="0"/>
            </w:tcBorders>
            <w:noWrap w:val="0"/>
            <w:vAlign w:val="center"/>
          </w:tcPr>
          <w:p w14:paraId="5D7CA760">
            <w:pPr>
              <w:jc w:val="center"/>
              <w:rPr>
                <w:color w:val="000000"/>
                <w:szCs w:val="21"/>
              </w:rPr>
            </w:pPr>
            <w:r>
              <w:rPr>
                <w:color w:val="000000"/>
                <w:szCs w:val="21"/>
              </w:rPr>
              <w:t>49</w:t>
            </w:r>
          </w:p>
        </w:tc>
        <w:tc>
          <w:tcPr>
            <w:tcW w:w="637" w:type="dxa"/>
            <w:tcBorders>
              <w:top w:val="single" w:color="000000" w:sz="8" w:space="0"/>
              <w:left w:val="single" w:color="000000" w:sz="8" w:space="0"/>
              <w:bottom w:val="single" w:color="000000" w:sz="8" w:space="0"/>
              <w:right w:val="single" w:color="000000" w:sz="8" w:space="0"/>
            </w:tcBorders>
            <w:noWrap w:val="0"/>
            <w:vAlign w:val="center"/>
          </w:tcPr>
          <w:p w14:paraId="11314D42">
            <w:pPr>
              <w:jc w:val="center"/>
              <w:rPr>
                <w:color w:val="000000"/>
                <w:szCs w:val="21"/>
              </w:rPr>
            </w:pPr>
            <w:r>
              <w:rPr>
                <w:color w:val="000000"/>
                <w:szCs w:val="21"/>
              </w:rPr>
              <w:t>47</w:t>
            </w:r>
          </w:p>
        </w:tc>
        <w:tc>
          <w:tcPr>
            <w:tcW w:w="712" w:type="dxa"/>
            <w:tcBorders>
              <w:top w:val="single" w:color="000000" w:sz="8" w:space="0"/>
              <w:left w:val="single" w:color="000000" w:sz="8" w:space="0"/>
              <w:bottom w:val="single" w:color="000000" w:sz="8" w:space="0"/>
              <w:right w:val="single" w:color="000000" w:sz="8" w:space="0"/>
            </w:tcBorders>
            <w:noWrap w:val="0"/>
            <w:vAlign w:val="center"/>
          </w:tcPr>
          <w:p w14:paraId="6BE9F646">
            <w:pPr>
              <w:jc w:val="center"/>
              <w:rPr>
                <w:color w:val="000000"/>
                <w:szCs w:val="21"/>
              </w:rPr>
            </w:pPr>
            <w:r>
              <w:rPr>
                <w:color w:val="000000"/>
                <w:szCs w:val="21"/>
              </w:rPr>
              <w:t>45</w:t>
            </w:r>
          </w:p>
        </w:tc>
      </w:tr>
      <w:tr w14:paraId="7FD682DC">
        <w:tblPrEx>
          <w:tblCellMar>
            <w:top w:w="0" w:type="dxa"/>
            <w:left w:w="0" w:type="dxa"/>
            <w:bottom w:w="0" w:type="dxa"/>
            <w:right w:w="0" w:type="dxa"/>
          </w:tblCellMar>
        </w:tblPrEx>
        <w:trPr>
          <w:cantSplit/>
          <w:trHeight w:val="283" w:hRule="atLeast"/>
        </w:trPr>
        <w:tc>
          <w:tcPr>
            <w:tcW w:w="444" w:type="dxa"/>
            <w:tcBorders>
              <w:top w:val="single" w:color="000000" w:sz="8" w:space="0"/>
              <w:left w:val="single" w:color="000000" w:sz="8" w:space="0"/>
              <w:bottom w:val="single" w:color="000000" w:sz="8" w:space="0"/>
              <w:right w:val="single" w:color="000000" w:sz="8" w:space="0"/>
            </w:tcBorders>
            <w:noWrap w:val="0"/>
            <w:vAlign w:val="center"/>
          </w:tcPr>
          <w:p w14:paraId="3BB085FE">
            <w:pPr>
              <w:jc w:val="center"/>
              <w:rPr>
                <w:color w:val="000000"/>
                <w:szCs w:val="21"/>
              </w:rPr>
            </w:pPr>
            <w:r>
              <w:rPr>
                <w:color w:val="000000"/>
                <w:szCs w:val="21"/>
              </w:rPr>
              <w:t>5</w:t>
            </w:r>
          </w:p>
        </w:tc>
        <w:tc>
          <w:tcPr>
            <w:tcW w:w="1677" w:type="dxa"/>
            <w:tcBorders>
              <w:top w:val="single" w:color="000000" w:sz="8" w:space="0"/>
              <w:left w:val="single" w:color="000000" w:sz="8" w:space="0"/>
              <w:bottom w:val="single" w:color="000000" w:sz="8" w:space="0"/>
              <w:right w:val="single" w:color="000000" w:sz="8" w:space="0"/>
            </w:tcBorders>
            <w:noWrap w:val="0"/>
            <w:vAlign w:val="center"/>
          </w:tcPr>
          <w:p w14:paraId="55DC7C17">
            <w:pPr>
              <w:jc w:val="center"/>
              <w:rPr>
                <w:color w:val="000000"/>
                <w:szCs w:val="21"/>
              </w:rPr>
            </w:pPr>
            <w:r>
              <w:rPr>
                <w:color w:val="000000"/>
                <w:szCs w:val="21"/>
              </w:rPr>
              <w:t>空压机</w:t>
            </w:r>
          </w:p>
        </w:tc>
        <w:tc>
          <w:tcPr>
            <w:tcW w:w="600" w:type="dxa"/>
            <w:tcBorders>
              <w:top w:val="single" w:color="000000" w:sz="8" w:space="0"/>
              <w:left w:val="single" w:color="000000" w:sz="8" w:space="0"/>
              <w:bottom w:val="single" w:color="000000" w:sz="8" w:space="0"/>
              <w:right w:val="single" w:color="000000" w:sz="8" w:space="0"/>
            </w:tcBorders>
            <w:noWrap w:val="0"/>
            <w:vAlign w:val="center"/>
          </w:tcPr>
          <w:p w14:paraId="2A494CDF">
            <w:pPr>
              <w:jc w:val="center"/>
              <w:rPr>
                <w:color w:val="000000"/>
                <w:szCs w:val="21"/>
              </w:rPr>
            </w:pPr>
            <w:r>
              <w:rPr>
                <w:color w:val="000000"/>
                <w:szCs w:val="21"/>
              </w:rPr>
              <w:t>65</w:t>
            </w:r>
          </w:p>
        </w:tc>
        <w:tc>
          <w:tcPr>
            <w:tcW w:w="605" w:type="dxa"/>
            <w:tcBorders>
              <w:top w:val="single" w:color="000000" w:sz="8" w:space="0"/>
              <w:left w:val="single" w:color="000000" w:sz="8" w:space="0"/>
              <w:bottom w:val="single" w:color="000000" w:sz="8" w:space="0"/>
              <w:right w:val="single" w:color="000000" w:sz="8" w:space="0"/>
            </w:tcBorders>
            <w:noWrap w:val="0"/>
            <w:vAlign w:val="center"/>
          </w:tcPr>
          <w:p w14:paraId="6490C6E0">
            <w:pPr>
              <w:jc w:val="center"/>
              <w:rPr>
                <w:color w:val="000000"/>
                <w:szCs w:val="21"/>
              </w:rPr>
            </w:pPr>
            <w:r>
              <w:rPr>
                <w:color w:val="000000"/>
                <w:szCs w:val="21"/>
              </w:rPr>
              <w:t>59</w:t>
            </w:r>
          </w:p>
        </w:tc>
        <w:tc>
          <w:tcPr>
            <w:tcW w:w="607" w:type="dxa"/>
            <w:tcBorders>
              <w:top w:val="single" w:color="000000" w:sz="8" w:space="0"/>
              <w:left w:val="single" w:color="000000" w:sz="8" w:space="0"/>
              <w:bottom w:val="single" w:color="000000" w:sz="8" w:space="0"/>
              <w:right w:val="single" w:color="000000" w:sz="8" w:space="0"/>
            </w:tcBorders>
            <w:noWrap w:val="0"/>
            <w:vAlign w:val="center"/>
          </w:tcPr>
          <w:p w14:paraId="3EAEF6EB">
            <w:pPr>
              <w:jc w:val="center"/>
              <w:rPr>
                <w:color w:val="000000"/>
                <w:szCs w:val="21"/>
              </w:rPr>
            </w:pPr>
            <w:r>
              <w:rPr>
                <w:color w:val="000000"/>
                <w:szCs w:val="21"/>
              </w:rPr>
              <w:t>55</w:t>
            </w:r>
          </w:p>
        </w:tc>
        <w:tc>
          <w:tcPr>
            <w:tcW w:w="610" w:type="dxa"/>
            <w:tcBorders>
              <w:top w:val="single" w:color="000000" w:sz="8" w:space="0"/>
              <w:left w:val="single" w:color="000000" w:sz="8" w:space="0"/>
              <w:bottom w:val="single" w:color="000000" w:sz="8" w:space="0"/>
              <w:right w:val="single" w:color="000000" w:sz="8" w:space="0"/>
            </w:tcBorders>
            <w:noWrap w:val="0"/>
            <w:vAlign w:val="center"/>
          </w:tcPr>
          <w:p w14:paraId="4923DF10">
            <w:pPr>
              <w:jc w:val="center"/>
              <w:rPr>
                <w:color w:val="000000"/>
                <w:szCs w:val="21"/>
              </w:rPr>
            </w:pPr>
            <w:r>
              <w:rPr>
                <w:color w:val="000000"/>
                <w:szCs w:val="21"/>
              </w:rPr>
              <w:t>53</w:t>
            </w:r>
          </w:p>
        </w:tc>
        <w:tc>
          <w:tcPr>
            <w:tcW w:w="610" w:type="dxa"/>
            <w:tcBorders>
              <w:top w:val="single" w:color="000000" w:sz="8" w:space="0"/>
              <w:left w:val="single" w:color="000000" w:sz="8" w:space="0"/>
              <w:bottom w:val="single" w:color="000000" w:sz="8" w:space="0"/>
              <w:right w:val="single" w:color="000000" w:sz="8" w:space="0"/>
            </w:tcBorders>
            <w:noWrap w:val="0"/>
            <w:vAlign w:val="center"/>
          </w:tcPr>
          <w:p w14:paraId="7D58E60C">
            <w:pPr>
              <w:jc w:val="center"/>
              <w:rPr>
                <w:color w:val="000000"/>
                <w:szCs w:val="21"/>
              </w:rPr>
            </w:pPr>
            <w:r>
              <w:rPr>
                <w:color w:val="000000"/>
                <w:szCs w:val="21"/>
              </w:rPr>
              <w:t>51</w:t>
            </w:r>
          </w:p>
        </w:tc>
        <w:tc>
          <w:tcPr>
            <w:tcW w:w="610" w:type="dxa"/>
            <w:tcBorders>
              <w:top w:val="single" w:color="000000" w:sz="8" w:space="0"/>
              <w:left w:val="single" w:color="000000" w:sz="8" w:space="0"/>
              <w:bottom w:val="single" w:color="000000" w:sz="8" w:space="0"/>
              <w:right w:val="single" w:color="000000" w:sz="8" w:space="0"/>
            </w:tcBorders>
            <w:noWrap w:val="0"/>
            <w:vAlign w:val="center"/>
          </w:tcPr>
          <w:p w14:paraId="2D49E89C">
            <w:pPr>
              <w:jc w:val="center"/>
              <w:rPr>
                <w:color w:val="000000"/>
                <w:szCs w:val="21"/>
              </w:rPr>
            </w:pPr>
            <w:r>
              <w:rPr>
                <w:color w:val="000000"/>
                <w:szCs w:val="21"/>
              </w:rPr>
              <w:t>45</w:t>
            </w:r>
          </w:p>
        </w:tc>
        <w:tc>
          <w:tcPr>
            <w:tcW w:w="610" w:type="dxa"/>
            <w:tcBorders>
              <w:top w:val="single" w:color="000000" w:sz="8" w:space="0"/>
              <w:left w:val="single" w:color="000000" w:sz="8" w:space="0"/>
              <w:bottom w:val="single" w:color="000000" w:sz="8" w:space="0"/>
              <w:right w:val="single" w:color="000000" w:sz="8" w:space="0"/>
            </w:tcBorders>
            <w:noWrap w:val="0"/>
            <w:vAlign w:val="center"/>
          </w:tcPr>
          <w:p w14:paraId="1763CC33">
            <w:pPr>
              <w:jc w:val="center"/>
              <w:rPr>
                <w:color w:val="000000"/>
                <w:szCs w:val="21"/>
              </w:rPr>
            </w:pPr>
            <w:r>
              <w:rPr>
                <w:color w:val="000000"/>
                <w:szCs w:val="21"/>
              </w:rPr>
              <w:t>41</w:t>
            </w:r>
          </w:p>
        </w:tc>
        <w:tc>
          <w:tcPr>
            <w:tcW w:w="610" w:type="dxa"/>
            <w:tcBorders>
              <w:top w:val="single" w:color="000000" w:sz="8" w:space="0"/>
              <w:left w:val="single" w:color="000000" w:sz="8" w:space="0"/>
              <w:bottom w:val="single" w:color="000000" w:sz="8" w:space="0"/>
              <w:right w:val="single" w:color="000000" w:sz="8" w:space="0"/>
            </w:tcBorders>
            <w:noWrap w:val="0"/>
            <w:vAlign w:val="center"/>
          </w:tcPr>
          <w:p w14:paraId="531EAB7F">
            <w:pPr>
              <w:jc w:val="center"/>
              <w:rPr>
                <w:color w:val="000000"/>
                <w:szCs w:val="21"/>
              </w:rPr>
            </w:pPr>
            <w:r>
              <w:rPr>
                <w:color w:val="000000"/>
                <w:szCs w:val="21"/>
              </w:rPr>
              <w:t>39</w:t>
            </w:r>
          </w:p>
        </w:tc>
        <w:tc>
          <w:tcPr>
            <w:tcW w:w="637" w:type="dxa"/>
            <w:tcBorders>
              <w:top w:val="single" w:color="000000" w:sz="8" w:space="0"/>
              <w:left w:val="single" w:color="000000" w:sz="8" w:space="0"/>
              <w:bottom w:val="single" w:color="000000" w:sz="8" w:space="0"/>
              <w:right w:val="single" w:color="000000" w:sz="8" w:space="0"/>
            </w:tcBorders>
            <w:noWrap w:val="0"/>
            <w:vAlign w:val="center"/>
          </w:tcPr>
          <w:p w14:paraId="361F4D6A">
            <w:pPr>
              <w:jc w:val="center"/>
              <w:rPr>
                <w:color w:val="000000"/>
                <w:szCs w:val="21"/>
              </w:rPr>
            </w:pPr>
            <w:r>
              <w:rPr>
                <w:color w:val="000000"/>
                <w:szCs w:val="21"/>
              </w:rPr>
              <w:t>37</w:t>
            </w:r>
          </w:p>
        </w:tc>
        <w:tc>
          <w:tcPr>
            <w:tcW w:w="712" w:type="dxa"/>
            <w:tcBorders>
              <w:top w:val="single" w:color="000000" w:sz="8" w:space="0"/>
              <w:left w:val="single" w:color="000000" w:sz="8" w:space="0"/>
              <w:bottom w:val="single" w:color="000000" w:sz="8" w:space="0"/>
              <w:right w:val="single" w:color="000000" w:sz="8" w:space="0"/>
            </w:tcBorders>
            <w:noWrap w:val="0"/>
            <w:vAlign w:val="center"/>
          </w:tcPr>
          <w:p w14:paraId="20D7E04F">
            <w:pPr>
              <w:jc w:val="center"/>
              <w:rPr>
                <w:color w:val="000000"/>
                <w:szCs w:val="21"/>
              </w:rPr>
            </w:pPr>
            <w:r>
              <w:rPr>
                <w:color w:val="000000"/>
                <w:szCs w:val="21"/>
              </w:rPr>
              <w:t>35</w:t>
            </w:r>
          </w:p>
        </w:tc>
      </w:tr>
      <w:tr w14:paraId="0BCA3CAF">
        <w:tblPrEx>
          <w:tblCellMar>
            <w:top w:w="0" w:type="dxa"/>
            <w:left w:w="0" w:type="dxa"/>
            <w:bottom w:w="0" w:type="dxa"/>
            <w:right w:w="0" w:type="dxa"/>
          </w:tblCellMar>
        </w:tblPrEx>
        <w:trPr>
          <w:cantSplit/>
          <w:trHeight w:val="283" w:hRule="atLeast"/>
        </w:trPr>
        <w:tc>
          <w:tcPr>
            <w:tcW w:w="444" w:type="dxa"/>
            <w:tcBorders>
              <w:top w:val="single" w:color="000000" w:sz="8" w:space="0"/>
              <w:left w:val="single" w:color="000000" w:sz="8" w:space="0"/>
              <w:bottom w:val="single" w:color="000000" w:sz="8" w:space="0"/>
              <w:right w:val="single" w:color="000000" w:sz="8" w:space="0"/>
            </w:tcBorders>
            <w:noWrap w:val="0"/>
            <w:vAlign w:val="center"/>
          </w:tcPr>
          <w:p w14:paraId="27EB3F23">
            <w:pPr>
              <w:jc w:val="center"/>
              <w:rPr>
                <w:color w:val="000000"/>
                <w:szCs w:val="21"/>
              </w:rPr>
            </w:pPr>
            <w:r>
              <w:rPr>
                <w:color w:val="000000"/>
                <w:szCs w:val="21"/>
              </w:rPr>
              <w:t>6</w:t>
            </w:r>
          </w:p>
        </w:tc>
        <w:tc>
          <w:tcPr>
            <w:tcW w:w="1677" w:type="dxa"/>
            <w:tcBorders>
              <w:top w:val="single" w:color="000000" w:sz="8" w:space="0"/>
              <w:left w:val="single" w:color="000000" w:sz="8" w:space="0"/>
              <w:bottom w:val="single" w:color="000000" w:sz="8" w:space="0"/>
              <w:right w:val="single" w:color="000000" w:sz="8" w:space="0"/>
            </w:tcBorders>
            <w:noWrap w:val="0"/>
            <w:vAlign w:val="center"/>
          </w:tcPr>
          <w:p w14:paraId="7ADB124E">
            <w:pPr>
              <w:jc w:val="center"/>
              <w:rPr>
                <w:color w:val="000000"/>
                <w:szCs w:val="21"/>
              </w:rPr>
            </w:pPr>
            <w:r>
              <w:rPr>
                <w:color w:val="000000"/>
                <w:szCs w:val="21"/>
              </w:rPr>
              <w:t>中型载重车</w:t>
            </w:r>
          </w:p>
        </w:tc>
        <w:tc>
          <w:tcPr>
            <w:tcW w:w="600" w:type="dxa"/>
            <w:tcBorders>
              <w:top w:val="single" w:color="000000" w:sz="8" w:space="0"/>
              <w:left w:val="single" w:color="000000" w:sz="8" w:space="0"/>
              <w:bottom w:val="single" w:color="000000" w:sz="8" w:space="0"/>
              <w:right w:val="single" w:color="000000" w:sz="8" w:space="0"/>
            </w:tcBorders>
            <w:noWrap w:val="0"/>
            <w:vAlign w:val="center"/>
          </w:tcPr>
          <w:p w14:paraId="704DE9D2">
            <w:pPr>
              <w:jc w:val="center"/>
              <w:rPr>
                <w:color w:val="000000"/>
                <w:szCs w:val="21"/>
              </w:rPr>
            </w:pPr>
            <w:r>
              <w:rPr>
                <w:color w:val="000000"/>
                <w:szCs w:val="21"/>
              </w:rPr>
              <w:t>65</w:t>
            </w:r>
          </w:p>
        </w:tc>
        <w:tc>
          <w:tcPr>
            <w:tcW w:w="605" w:type="dxa"/>
            <w:tcBorders>
              <w:top w:val="single" w:color="000000" w:sz="8" w:space="0"/>
              <w:left w:val="single" w:color="000000" w:sz="8" w:space="0"/>
              <w:bottom w:val="single" w:color="000000" w:sz="8" w:space="0"/>
              <w:right w:val="single" w:color="000000" w:sz="8" w:space="0"/>
            </w:tcBorders>
            <w:noWrap w:val="0"/>
            <w:vAlign w:val="center"/>
          </w:tcPr>
          <w:p w14:paraId="7437E287">
            <w:pPr>
              <w:jc w:val="center"/>
              <w:rPr>
                <w:color w:val="000000"/>
                <w:szCs w:val="21"/>
              </w:rPr>
            </w:pPr>
            <w:r>
              <w:rPr>
                <w:color w:val="000000"/>
                <w:szCs w:val="21"/>
              </w:rPr>
              <w:t>59</w:t>
            </w:r>
          </w:p>
        </w:tc>
        <w:tc>
          <w:tcPr>
            <w:tcW w:w="607" w:type="dxa"/>
            <w:tcBorders>
              <w:top w:val="single" w:color="000000" w:sz="8" w:space="0"/>
              <w:left w:val="single" w:color="000000" w:sz="8" w:space="0"/>
              <w:bottom w:val="single" w:color="000000" w:sz="8" w:space="0"/>
              <w:right w:val="single" w:color="000000" w:sz="8" w:space="0"/>
            </w:tcBorders>
            <w:noWrap w:val="0"/>
            <w:vAlign w:val="center"/>
          </w:tcPr>
          <w:p w14:paraId="0CB9E858">
            <w:pPr>
              <w:jc w:val="center"/>
              <w:rPr>
                <w:color w:val="000000"/>
                <w:szCs w:val="21"/>
              </w:rPr>
            </w:pPr>
            <w:r>
              <w:rPr>
                <w:color w:val="000000"/>
                <w:szCs w:val="21"/>
              </w:rPr>
              <w:t>55</w:t>
            </w:r>
          </w:p>
        </w:tc>
        <w:tc>
          <w:tcPr>
            <w:tcW w:w="610" w:type="dxa"/>
            <w:tcBorders>
              <w:top w:val="single" w:color="000000" w:sz="8" w:space="0"/>
              <w:left w:val="single" w:color="000000" w:sz="8" w:space="0"/>
              <w:bottom w:val="single" w:color="000000" w:sz="8" w:space="0"/>
              <w:right w:val="single" w:color="000000" w:sz="8" w:space="0"/>
            </w:tcBorders>
            <w:noWrap w:val="0"/>
            <w:vAlign w:val="center"/>
          </w:tcPr>
          <w:p w14:paraId="586719EB">
            <w:pPr>
              <w:jc w:val="center"/>
              <w:rPr>
                <w:color w:val="000000"/>
                <w:szCs w:val="21"/>
              </w:rPr>
            </w:pPr>
            <w:r>
              <w:rPr>
                <w:color w:val="000000"/>
                <w:szCs w:val="21"/>
              </w:rPr>
              <w:t>53</w:t>
            </w:r>
          </w:p>
        </w:tc>
        <w:tc>
          <w:tcPr>
            <w:tcW w:w="610" w:type="dxa"/>
            <w:tcBorders>
              <w:top w:val="single" w:color="000000" w:sz="8" w:space="0"/>
              <w:left w:val="single" w:color="000000" w:sz="8" w:space="0"/>
              <w:bottom w:val="single" w:color="000000" w:sz="8" w:space="0"/>
              <w:right w:val="single" w:color="000000" w:sz="8" w:space="0"/>
            </w:tcBorders>
            <w:noWrap w:val="0"/>
            <w:vAlign w:val="center"/>
          </w:tcPr>
          <w:p w14:paraId="4A00F90E">
            <w:pPr>
              <w:jc w:val="center"/>
              <w:rPr>
                <w:color w:val="000000"/>
                <w:szCs w:val="21"/>
              </w:rPr>
            </w:pPr>
            <w:r>
              <w:rPr>
                <w:color w:val="000000"/>
                <w:szCs w:val="21"/>
              </w:rPr>
              <w:t>51</w:t>
            </w:r>
          </w:p>
        </w:tc>
        <w:tc>
          <w:tcPr>
            <w:tcW w:w="610" w:type="dxa"/>
            <w:tcBorders>
              <w:top w:val="single" w:color="000000" w:sz="8" w:space="0"/>
              <w:left w:val="single" w:color="000000" w:sz="8" w:space="0"/>
              <w:bottom w:val="single" w:color="000000" w:sz="8" w:space="0"/>
              <w:right w:val="single" w:color="000000" w:sz="8" w:space="0"/>
            </w:tcBorders>
            <w:noWrap w:val="0"/>
            <w:vAlign w:val="center"/>
          </w:tcPr>
          <w:p w14:paraId="4D3A0CF2">
            <w:pPr>
              <w:jc w:val="center"/>
              <w:rPr>
                <w:color w:val="000000"/>
                <w:szCs w:val="21"/>
              </w:rPr>
            </w:pPr>
            <w:r>
              <w:rPr>
                <w:color w:val="000000"/>
                <w:szCs w:val="21"/>
              </w:rPr>
              <w:t>45</w:t>
            </w:r>
          </w:p>
        </w:tc>
        <w:tc>
          <w:tcPr>
            <w:tcW w:w="610" w:type="dxa"/>
            <w:tcBorders>
              <w:top w:val="single" w:color="000000" w:sz="8" w:space="0"/>
              <w:left w:val="single" w:color="000000" w:sz="8" w:space="0"/>
              <w:bottom w:val="single" w:color="000000" w:sz="8" w:space="0"/>
              <w:right w:val="single" w:color="000000" w:sz="8" w:space="0"/>
            </w:tcBorders>
            <w:noWrap w:val="0"/>
            <w:vAlign w:val="center"/>
          </w:tcPr>
          <w:p w14:paraId="27B27A3F">
            <w:pPr>
              <w:jc w:val="center"/>
              <w:rPr>
                <w:color w:val="000000"/>
                <w:szCs w:val="21"/>
              </w:rPr>
            </w:pPr>
            <w:r>
              <w:rPr>
                <w:color w:val="000000"/>
                <w:szCs w:val="21"/>
              </w:rPr>
              <w:t>41</w:t>
            </w:r>
          </w:p>
        </w:tc>
        <w:tc>
          <w:tcPr>
            <w:tcW w:w="610" w:type="dxa"/>
            <w:tcBorders>
              <w:top w:val="single" w:color="000000" w:sz="8" w:space="0"/>
              <w:left w:val="single" w:color="000000" w:sz="8" w:space="0"/>
              <w:bottom w:val="single" w:color="000000" w:sz="8" w:space="0"/>
              <w:right w:val="single" w:color="000000" w:sz="8" w:space="0"/>
            </w:tcBorders>
            <w:noWrap w:val="0"/>
            <w:vAlign w:val="center"/>
          </w:tcPr>
          <w:p w14:paraId="4B39F14C">
            <w:pPr>
              <w:jc w:val="center"/>
              <w:rPr>
                <w:color w:val="000000"/>
                <w:szCs w:val="21"/>
              </w:rPr>
            </w:pPr>
            <w:r>
              <w:rPr>
                <w:color w:val="000000"/>
                <w:szCs w:val="21"/>
              </w:rPr>
              <w:t>39</w:t>
            </w:r>
          </w:p>
        </w:tc>
        <w:tc>
          <w:tcPr>
            <w:tcW w:w="637" w:type="dxa"/>
            <w:tcBorders>
              <w:top w:val="single" w:color="000000" w:sz="8" w:space="0"/>
              <w:left w:val="single" w:color="000000" w:sz="8" w:space="0"/>
              <w:bottom w:val="single" w:color="000000" w:sz="8" w:space="0"/>
              <w:right w:val="single" w:color="000000" w:sz="8" w:space="0"/>
            </w:tcBorders>
            <w:noWrap w:val="0"/>
            <w:vAlign w:val="center"/>
          </w:tcPr>
          <w:p w14:paraId="6DC3B094">
            <w:pPr>
              <w:jc w:val="center"/>
              <w:rPr>
                <w:color w:val="000000"/>
                <w:szCs w:val="21"/>
              </w:rPr>
            </w:pPr>
            <w:r>
              <w:rPr>
                <w:color w:val="000000"/>
                <w:szCs w:val="21"/>
              </w:rPr>
              <w:t>37</w:t>
            </w:r>
          </w:p>
        </w:tc>
        <w:tc>
          <w:tcPr>
            <w:tcW w:w="712" w:type="dxa"/>
            <w:tcBorders>
              <w:top w:val="single" w:color="000000" w:sz="8" w:space="0"/>
              <w:left w:val="single" w:color="000000" w:sz="8" w:space="0"/>
              <w:bottom w:val="single" w:color="000000" w:sz="8" w:space="0"/>
              <w:right w:val="single" w:color="000000" w:sz="8" w:space="0"/>
            </w:tcBorders>
            <w:noWrap w:val="0"/>
            <w:vAlign w:val="center"/>
          </w:tcPr>
          <w:p w14:paraId="726ED880">
            <w:pPr>
              <w:jc w:val="center"/>
              <w:rPr>
                <w:color w:val="000000"/>
                <w:szCs w:val="21"/>
              </w:rPr>
            </w:pPr>
            <w:r>
              <w:rPr>
                <w:color w:val="000000"/>
                <w:szCs w:val="21"/>
              </w:rPr>
              <w:t>35</w:t>
            </w:r>
          </w:p>
        </w:tc>
      </w:tr>
      <w:tr w14:paraId="443FC0F6">
        <w:tblPrEx>
          <w:tblCellMar>
            <w:top w:w="0" w:type="dxa"/>
            <w:left w:w="0" w:type="dxa"/>
            <w:bottom w:w="0" w:type="dxa"/>
            <w:right w:w="0" w:type="dxa"/>
          </w:tblCellMar>
        </w:tblPrEx>
        <w:trPr>
          <w:cantSplit/>
          <w:trHeight w:val="283" w:hRule="atLeast"/>
        </w:trPr>
        <w:tc>
          <w:tcPr>
            <w:tcW w:w="2121" w:type="dxa"/>
            <w:gridSpan w:val="2"/>
            <w:tcBorders>
              <w:top w:val="single" w:color="000000" w:sz="8" w:space="0"/>
              <w:left w:val="single" w:color="000000" w:sz="8" w:space="0"/>
              <w:bottom w:val="single" w:color="000000" w:sz="8" w:space="0"/>
              <w:right w:val="single" w:color="000000" w:sz="8" w:space="0"/>
            </w:tcBorders>
            <w:noWrap w:val="0"/>
            <w:vAlign w:val="center"/>
          </w:tcPr>
          <w:p w14:paraId="181CAB10">
            <w:pPr>
              <w:jc w:val="center"/>
              <w:rPr>
                <w:b/>
                <w:color w:val="000000"/>
                <w:szCs w:val="21"/>
              </w:rPr>
            </w:pPr>
            <w:r>
              <w:rPr>
                <w:b/>
                <w:color w:val="000000"/>
                <w:szCs w:val="21"/>
              </w:rPr>
              <w:t>多声源叠加值</w:t>
            </w:r>
          </w:p>
        </w:tc>
        <w:tc>
          <w:tcPr>
            <w:tcW w:w="600" w:type="dxa"/>
            <w:tcBorders>
              <w:top w:val="single" w:color="000000" w:sz="8" w:space="0"/>
              <w:left w:val="single" w:color="000000" w:sz="8" w:space="0"/>
              <w:bottom w:val="single" w:color="000000" w:sz="8" w:space="0"/>
              <w:right w:val="single" w:color="000000" w:sz="8" w:space="0"/>
            </w:tcBorders>
            <w:noWrap w:val="0"/>
            <w:vAlign w:val="center"/>
          </w:tcPr>
          <w:p w14:paraId="29182CD6">
            <w:pPr>
              <w:jc w:val="center"/>
              <w:rPr>
                <w:b/>
                <w:color w:val="000000"/>
                <w:szCs w:val="21"/>
              </w:rPr>
            </w:pPr>
            <w:r>
              <w:rPr>
                <w:b/>
                <w:color w:val="000000"/>
                <w:szCs w:val="21"/>
              </w:rPr>
              <w:t>92</w:t>
            </w:r>
          </w:p>
        </w:tc>
        <w:tc>
          <w:tcPr>
            <w:tcW w:w="605" w:type="dxa"/>
            <w:tcBorders>
              <w:top w:val="single" w:color="000000" w:sz="8" w:space="0"/>
              <w:left w:val="single" w:color="000000" w:sz="8" w:space="0"/>
              <w:bottom w:val="single" w:color="000000" w:sz="8" w:space="0"/>
              <w:right w:val="single" w:color="000000" w:sz="8" w:space="0"/>
            </w:tcBorders>
            <w:noWrap w:val="0"/>
            <w:vAlign w:val="center"/>
          </w:tcPr>
          <w:p w14:paraId="7614942C">
            <w:pPr>
              <w:jc w:val="center"/>
              <w:rPr>
                <w:b/>
                <w:color w:val="000000"/>
                <w:szCs w:val="21"/>
              </w:rPr>
            </w:pPr>
            <w:r>
              <w:rPr>
                <w:b/>
                <w:color w:val="000000"/>
                <w:szCs w:val="21"/>
              </w:rPr>
              <w:t>86</w:t>
            </w:r>
          </w:p>
        </w:tc>
        <w:tc>
          <w:tcPr>
            <w:tcW w:w="607" w:type="dxa"/>
            <w:tcBorders>
              <w:top w:val="single" w:color="000000" w:sz="8" w:space="0"/>
              <w:left w:val="single" w:color="000000" w:sz="8" w:space="0"/>
              <w:bottom w:val="single" w:color="000000" w:sz="8" w:space="0"/>
              <w:right w:val="single" w:color="000000" w:sz="8" w:space="0"/>
            </w:tcBorders>
            <w:noWrap w:val="0"/>
            <w:vAlign w:val="center"/>
          </w:tcPr>
          <w:p w14:paraId="2AFB9AD0">
            <w:pPr>
              <w:jc w:val="center"/>
              <w:rPr>
                <w:b/>
                <w:color w:val="000000"/>
                <w:szCs w:val="21"/>
              </w:rPr>
            </w:pPr>
            <w:r>
              <w:rPr>
                <w:b/>
                <w:color w:val="000000"/>
                <w:szCs w:val="21"/>
              </w:rPr>
              <w:t>82</w:t>
            </w:r>
          </w:p>
        </w:tc>
        <w:tc>
          <w:tcPr>
            <w:tcW w:w="610" w:type="dxa"/>
            <w:tcBorders>
              <w:top w:val="single" w:color="000000" w:sz="8" w:space="0"/>
              <w:left w:val="single" w:color="000000" w:sz="8" w:space="0"/>
              <w:bottom w:val="single" w:color="000000" w:sz="8" w:space="0"/>
              <w:right w:val="single" w:color="000000" w:sz="8" w:space="0"/>
            </w:tcBorders>
            <w:noWrap w:val="0"/>
            <w:vAlign w:val="center"/>
          </w:tcPr>
          <w:p w14:paraId="402056D0">
            <w:pPr>
              <w:jc w:val="center"/>
              <w:rPr>
                <w:b/>
                <w:color w:val="000000"/>
                <w:szCs w:val="21"/>
              </w:rPr>
            </w:pPr>
            <w:r>
              <w:rPr>
                <w:b/>
                <w:color w:val="000000"/>
                <w:szCs w:val="21"/>
              </w:rPr>
              <w:t>80</w:t>
            </w:r>
          </w:p>
        </w:tc>
        <w:tc>
          <w:tcPr>
            <w:tcW w:w="610" w:type="dxa"/>
            <w:tcBorders>
              <w:top w:val="single" w:color="000000" w:sz="8" w:space="0"/>
              <w:left w:val="single" w:color="000000" w:sz="8" w:space="0"/>
              <w:bottom w:val="single" w:color="000000" w:sz="8" w:space="0"/>
              <w:right w:val="single" w:color="000000" w:sz="8" w:space="0"/>
            </w:tcBorders>
            <w:noWrap w:val="0"/>
            <w:vAlign w:val="center"/>
          </w:tcPr>
          <w:p w14:paraId="367E0D5A">
            <w:pPr>
              <w:jc w:val="center"/>
              <w:rPr>
                <w:b/>
                <w:color w:val="000000"/>
                <w:szCs w:val="21"/>
              </w:rPr>
            </w:pPr>
            <w:r>
              <w:rPr>
                <w:b/>
                <w:color w:val="000000"/>
                <w:szCs w:val="21"/>
              </w:rPr>
              <w:t>78</w:t>
            </w:r>
          </w:p>
        </w:tc>
        <w:tc>
          <w:tcPr>
            <w:tcW w:w="610" w:type="dxa"/>
            <w:tcBorders>
              <w:top w:val="single" w:color="000000" w:sz="8" w:space="0"/>
              <w:left w:val="single" w:color="000000" w:sz="8" w:space="0"/>
              <w:bottom w:val="single" w:color="000000" w:sz="8" w:space="0"/>
              <w:right w:val="single" w:color="000000" w:sz="8" w:space="0"/>
            </w:tcBorders>
            <w:noWrap w:val="0"/>
            <w:vAlign w:val="center"/>
          </w:tcPr>
          <w:p w14:paraId="11511AD0">
            <w:pPr>
              <w:jc w:val="center"/>
              <w:rPr>
                <w:b/>
                <w:color w:val="000000"/>
                <w:szCs w:val="21"/>
              </w:rPr>
            </w:pPr>
            <w:r>
              <w:rPr>
                <w:b/>
                <w:color w:val="000000"/>
                <w:szCs w:val="21"/>
              </w:rPr>
              <w:t>76</w:t>
            </w:r>
          </w:p>
        </w:tc>
        <w:tc>
          <w:tcPr>
            <w:tcW w:w="610" w:type="dxa"/>
            <w:tcBorders>
              <w:top w:val="single" w:color="000000" w:sz="8" w:space="0"/>
              <w:left w:val="single" w:color="000000" w:sz="8" w:space="0"/>
              <w:bottom w:val="single" w:color="000000" w:sz="8" w:space="0"/>
              <w:right w:val="single" w:color="000000" w:sz="8" w:space="0"/>
            </w:tcBorders>
            <w:noWrap w:val="0"/>
            <w:vAlign w:val="center"/>
          </w:tcPr>
          <w:p w14:paraId="509433F2">
            <w:pPr>
              <w:jc w:val="center"/>
              <w:rPr>
                <w:b/>
                <w:color w:val="000000"/>
                <w:szCs w:val="21"/>
              </w:rPr>
            </w:pPr>
            <w:r>
              <w:rPr>
                <w:b/>
                <w:color w:val="000000"/>
                <w:szCs w:val="21"/>
              </w:rPr>
              <w:t>72</w:t>
            </w:r>
          </w:p>
        </w:tc>
        <w:tc>
          <w:tcPr>
            <w:tcW w:w="610" w:type="dxa"/>
            <w:tcBorders>
              <w:top w:val="single" w:color="000000" w:sz="8" w:space="0"/>
              <w:left w:val="single" w:color="000000" w:sz="8" w:space="0"/>
              <w:bottom w:val="single" w:color="000000" w:sz="8" w:space="0"/>
              <w:right w:val="single" w:color="000000" w:sz="8" w:space="0"/>
            </w:tcBorders>
            <w:noWrap w:val="0"/>
            <w:vAlign w:val="center"/>
          </w:tcPr>
          <w:p w14:paraId="70EAF32B">
            <w:pPr>
              <w:jc w:val="center"/>
              <w:rPr>
                <w:b/>
                <w:color w:val="000000"/>
                <w:szCs w:val="21"/>
              </w:rPr>
            </w:pPr>
            <w:r>
              <w:rPr>
                <w:b/>
                <w:color w:val="000000"/>
                <w:szCs w:val="21"/>
              </w:rPr>
              <w:t>68</w:t>
            </w:r>
          </w:p>
        </w:tc>
        <w:tc>
          <w:tcPr>
            <w:tcW w:w="637" w:type="dxa"/>
            <w:tcBorders>
              <w:top w:val="single" w:color="000000" w:sz="8" w:space="0"/>
              <w:left w:val="single" w:color="000000" w:sz="8" w:space="0"/>
              <w:bottom w:val="single" w:color="000000" w:sz="8" w:space="0"/>
              <w:right w:val="single" w:color="000000" w:sz="8" w:space="0"/>
            </w:tcBorders>
            <w:noWrap w:val="0"/>
            <w:vAlign w:val="center"/>
          </w:tcPr>
          <w:p w14:paraId="5FAAFDF0">
            <w:pPr>
              <w:jc w:val="center"/>
              <w:rPr>
                <w:b/>
                <w:color w:val="000000"/>
                <w:szCs w:val="21"/>
              </w:rPr>
            </w:pPr>
            <w:r>
              <w:rPr>
                <w:b/>
                <w:color w:val="000000"/>
                <w:szCs w:val="21"/>
              </w:rPr>
              <w:t>64</w:t>
            </w:r>
          </w:p>
        </w:tc>
        <w:tc>
          <w:tcPr>
            <w:tcW w:w="712" w:type="dxa"/>
            <w:tcBorders>
              <w:top w:val="single" w:color="000000" w:sz="8" w:space="0"/>
              <w:left w:val="single" w:color="000000" w:sz="8" w:space="0"/>
              <w:bottom w:val="single" w:color="000000" w:sz="8" w:space="0"/>
              <w:right w:val="single" w:color="000000" w:sz="8" w:space="0"/>
            </w:tcBorders>
            <w:noWrap w:val="0"/>
            <w:vAlign w:val="center"/>
          </w:tcPr>
          <w:p w14:paraId="7164780E">
            <w:pPr>
              <w:jc w:val="center"/>
              <w:rPr>
                <w:b/>
                <w:color w:val="000000"/>
                <w:szCs w:val="21"/>
              </w:rPr>
            </w:pPr>
            <w:r>
              <w:rPr>
                <w:b/>
                <w:color w:val="000000"/>
                <w:szCs w:val="21"/>
              </w:rPr>
              <w:t>62</w:t>
            </w:r>
          </w:p>
        </w:tc>
      </w:tr>
      <w:tr w14:paraId="0E49845A">
        <w:tblPrEx>
          <w:tblCellMar>
            <w:top w:w="0" w:type="dxa"/>
            <w:left w:w="0" w:type="dxa"/>
            <w:bottom w:w="0" w:type="dxa"/>
            <w:right w:w="0" w:type="dxa"/>
          </w:tblCellMar>
        </w:tblPrEx>
        <w:trPr>
          <w:cantSplit/>
          <w:trHeight w:val="283" w:hRule="atLeast"/>
        </w:trPr>
        <w:tc>
          <w:tcPr>
            <w:tcW w:w="444" w:type="dxa"/>
            <w:tcBorders>
              <w:top w:val="single" w:color="000000" w:sz="8" w:space="0"/>
              <w:left w:val="single" w:color="000000" w:sz="8" w:space="0"/>
              <w:bottom w:val="single" w:color="000000" w:sz="8" w:space="0"/>
              <w:right w:val="single" w:color="000000" w:sz="8" w:space="0"/>
            </w:tcBorders>
            <w:noWrap w:val="0"/>
            <w:vAlign w:val="center"/>
          </w:tcPr>
          <w:p w14:paraId="3A392D96">
            <w:pPr>
              <w:jc w:val="center"/>
              <w:rPr>
                <w:color w:val="000000"/>
                <w:szCs w:val="21"/>
              </w:rPr>
            </w:pPr>
            <w:bookmarkStart w:id="437" w:name="OLE_LINK6"/>
            <w:bookmarkEnd w:id="437"/>
            <w:bookmarkStart w:id="438" w:name="OLE_LINK5"/>
            <w:bookmarkEnd w:id="438"/>
            <w:r>
              <w:rPr>
                <w:color w:val="000000"/>
                <w:szCs w:val="21"/>
              </w:rPr>
              <w:t>1</w:t>
            </w:r>
          </w:p>
        </w:tc>
        <w:tc>
          <w:tcPr>
            <w:tcW w:w="1677" w:type="dxa"/>
            <w:tcBorders>
              <w:top w:val="single" w:color="000000" w:sz="8" w:space="0"/>
              <w:left w:val="single" w:color="000000" w:sz="8" w:space="0"/>
              <w:bottom w:val="single" w:color="000000" w:sz="8" w:space="0"/>
              <w:right w:val="single" w:color="000000" w:sz="8" w:space="0"/>
            </w:tcBorders>
            <w:noWrap w:val="0"/>
            <w:vAlign w:val="center"/>
          </w:tcPr>
          <w:p w14:paraId="5F70530B">
            <w:pPr>
              <w:jc w:val="center"/>
              <w:rPr>
                <w:color w:val="000000"/>
                <w:szCs w:val="21"/>
              </w:rPr>
            </w:pPr>
            <w:r>
              <w:rPr>
                <w:color w:val="000000"/>
                <w:szCs w:val="21"/>
              </w:rPr>
              <w:t>电钻</w:t>
            </w:r>
          </w:p>
        </w:tc>
        <w:tc>
          <w:tcPr>
            <w:tcW w:w="600" w:type="dxa"/>
            <w:tcBorders>
              <w:top w:val="single" w:color="000000" w:sz="8" w:space="0"/>
              <w:left w:val="single" w:color="000000" w:sz="8" w:space="0"/>
              <w:bottom w:val="single" w:color="000000" w:sz="8" w:space="0"/>
              <w:right w:val="single" w:color="000000" w:sz="8" w:space="0"/>
            </w:tcBorders>
            <w:noWrap w:val="0"/>
            <w:vAlign w:val="center"/>
          </w:tcPr>
          <w:p w14:paraId="5D90484F">
            <w:pPr>
              <w:jc w:val="center"/>
              <w:rPr>
                <w:color w:val="000000"/>
                <w:szCs w:val="21"/>
              </w:rPr>
            </w:pPr>
            <w:r>
              <w:rPr>
                <w:color w:val="000000"/>
                <w:szCs w:val="21"/>
              </w:rPr>
              <w:t>85</w:t>
            </w:r>
          </w:p>
        </w:tc>
        <w:tc>
          <w:tcPr>
            <w:tcW w:w="605" w:type="dxa"/>
            <w:tcBorders>
              <w:top w:val="single" w:color="000000" w:sz="8" w:space="0"/>
              <w:left w:val="single" w:color="000000" w:sz="8" w:space="0"/>
              <w:bottom w:val="single" w:color="000000" w:sz="8" w:space="0"/>
              <w:right w:val="single" w:color="000000" w:sz="8" w:space="0"/>
            </w:tcBorders>
            <w:noWrap w:val="0"/>
            <w:vAlign w:val="center"/>
          </w:tcPr>
          <w:p w14:paraId="24184757">
            <w:pPr>
              <w:jc w:val="center"/>
              <w:rPr>
                <w:color w:val="000000"/>
                <w:szCs w:val="21"/>
              </w:rPr>
            </w:pPr>
            <w:r>
              <w:rPr>
                <w:color w:val="000000"/>
                <w:szCs w:val="21"/>
              </w:rPr>
              <w:t>79</w:t>
            </w:r>
          </w:p>
        </w:tc>
        <w:tc>
          <w:tcPr>
            <w:tcW w:w="607" w:type="dxa"/>
            <w:tcBorders>
              <w:top w:val="single" w:color="000000" w:sz="8" w:space="0"/>
              <w:left w:val="single" w:color="000000" w:sz="8" w:space="0"/>
              <w:bottom w:val="single" w:color="000000" w:sz="8" w:space="0"/>
              <w:right w:val="single" w:color="000000" w:sz="8" w:space="0"/>
            </w:tcBorders>
            <w:noWrap w:val="0"/>
            <w:vAlign w:val="center"/>
          </w:tcPr>
          <w:p w14:paraId="6E43A905">
            <w:pPr>
              <w:jc w:val="center"/>
              <w:rPr>
                <w:color w:val="000000"/>
                <w:szCs w:val="21"/>
              </w:rPr>
            </w:pPr>
            <w:r>
              <w:rPr>
                <w:color w:val="000000"/>
                <w:szCs w:val="21"/>
              </w:rPr>
              <w:t>75</w:t>
            </w:r>
          </w:p>
        </w:tc>
        <w:tc>
          <w:tcPr>
            <w:tcW w:w="610" w:type="dxa"/>
            <w:tcBorders>
              <w:top w:val="single" w:color="000000" w:sz="8" w:space="0"/>
              <w:left w:val="single" w:color="000000" w:sz="8" w:space="0"/>
              <w:bottom w:val="single" w:color="000000" w:sz="8" w:space="0"/>
              <w:right w:val="single" w:color="000000" w:sz="8" w:space="0"/>
            </w:tcBorders>
            <w:noWrap w:val="0"/>
            <w:vAlign w:val="center"/>
          </w:tcPr>
          <w:p w14:paraId="1143BBDB">
            <w:pPr>
              <w:jc w:val="center"/>
              <w:rPr>
                <w:color w:val="000000"/>
                <w:szCs w:val="21"/>
              </w:rPr>
            </w:pPr>
            <w:r>
              <w:rPr>
                <w:color w:val="000000"/>
                <w:szCs w:val="21"/>
              </w:rPr>
              <w:t>73</w:t>
            </w:r>
          </w:p>
        </w:tc>
        <w:tc>
          <w:tcPr>
            <w:tcW w:w="610" w:type="dxa"/>
            <w:tcBorders>
              <w:top w:val="single" w:color="000000" w:sz="8" w:space="0"/>
              <w:left w:val="single" w:color="000000" w:sz="8" w:space="0"/>
              <w:bottom w:val="single" w:color="000000" w:sz="8" w:space="0"/>
              <w:right w:val="single" w:color="000000" w:sz="8" w:space="0"/>
            </w:tcBorders>
            <w:noWrap w:val="0"/>
            <w:vAlign w:val="center"/>
          </w:tcPr>
          <w:p w14:paraId="71CB07CC">
            <w:pPr>
              <w:jc w:val="center"/>
              <w:rPr>
                <w:color w:val="000000"/>
                <w:szCs w:val="21"/>
              </w:rPr>
            </w:pPr>
            <w:r>
              <w:rPr>
                <w:color w:val="000000"/>
                <w:szCs w:val="21"/>
              </w:rPr>
              <w:t>71</w:t>
            </w:r>
          </w:p>
        </w:tc>
        <w:tc>
          <w:tcPr>
            <w:tcW w:w="610" w:type="dxa"/>
            <w:tcBorders>
              <w:top w:val="single" w:color="000000" w:sz="8" w:space="0"/>
              <w:left w:val="single" w:color="000000" w:sz="8" w:space="0"/>
              <w:bottom w:val="single" w:color="000000" w:sz="8" w:space="0"/>
              <w:right w:val="single" w:color="000000" w:sz="8" w:space="0"/>
            </w:tcBorders>
            <w:noWrap w:val="0"/>
            <w:vAlign w:val="center"/>
          </w:tcPr>
          <w:p w14:paraId="09195ED6">
            <w:pPr>
              <w:jc w:val="center"/>
              <w:rPr>
                <w:color w:val="000000"/>
                <w:szCs w:val="21"/>
              </w:rPr>
            </w:pPr>
            <w:r>
              <w:rPr>
                <w:color w:val="000000"/>
                <w:szCs w:val="21"/>
              </w:rPr>
              <w:t>65</w:t>
            </w:r>
          </w:p>
        </w:tc>
        <w:tc>
          <w:tcPr>
            <w:tcW w:w="610" w:type="dxa"/>
            <w:tcBorders>
              <w:top w:val="single" w:color="000000" w:sz="8" w:space="0"/>
              <w:left w:val="single" w:color="000000" w:sz="8" w:space="0"/>
              <w:bottom w:val="single" w:color="000000" w:sz="8" w:space="0"/>
              <w:right w:val="single" w:color="000000" w:sz="8" w:space="0"/>
            </w:tcBorders>
            <w:noWrap w:val="0"/>
            <w:vAlign w:val="center"/>
          </w:tcPr>
          <w:p w14:paraId="7521979A">
            <w:pPr>
              <w:jc w:val="center"/>
              <w:rPr>
                <w:color w:val="000000"/>
                <w:szCs w:val="21"/>
              </w:rPr>
            </w:pPr>
            <w:r>
              <w:rPr>
                <w:color w:val="000000"/>
                <w:szCs w:val="21"/>
              </w:rPr>
              <w:t>61</w:t>
            </w:r>
          </w:p>
        </w:tc>
        <w:tc>
          <w:tcPr>
            <w:tcW w:w="610" w:type="dxa"/>
            <w:tcBorders>
              <w:top w:val="single" w:color="000000" w:sz="8" w:space="0"/>
              <w:left w:val="single" w:color="000000" w:sz="8" w:space="0"/>
              <w:bottom w:val="single" w:color="000000" w:sz="8" w:space="0"/>
              <w:right w:val="single" w:color="000000" w:sz="8" w:space="0"/>
            </w:tcBorders>
            <w:noWrap w:val="0"/>
            <w:vAlign w:val="center"/>
          </w:tcPr>
          <w:p w14:paraId="3DFC9F24">
            <w:pPr>
              <w:jc w:val="center"/>
              <w:rPr>
                <w:color w:val="000000"/>
                <w:szCs w:val="21"/>
              </w:rPr>
            </w:pPr>
            <w:r>
              <w:rPr>
                <w:color w:val="000000"/>
                <w:szCs w:val="21"/>
              </w:rPr>
              <w:t>59</w:t>
            </w:r>
          </w:p>
        </w:tc>
        <w:tc>
          <w:tcPr>
            <w:tcW w:w="637" w:type="dxa"/>
            <w:tcBorders>
              <w:top w:val="single" w:color="000000" w:sz="8" w:space="0"/>
              <w:left w:val="single" w:color="000000" w:sz="8" w:space="0"/>
              <w:bottom w:val="single" w:color="000000" w:sz="8" w:space="0"/>
              <w:right w:val="single" w:color="000000" w:sz="8" w:space="0"/>
            </w:tcBorders>
            <w:noWrap w:val="0"/>
            <w:vAlign w:val="center"/>
          </w:tcPr>
          <w:p w14:paraId="5F5A5F69">
            <w:pPr>
              <w:jc w:val="center"/>
              <w:rPr>
                <w:color w:val="000000"/>
                <w:szCs w:val="21"/>
              </w:rPr>
            </w:pPr>
            <w:r>
              <w:rPr>
                <w:color w:val="000000"/>
                <w:szCs w:val="21"/>
              </w:rPr>
              <w:t>57</w:t>
            </w:r>
          </w:p>
        </w:tc>
        <w:tc>
          <w:tcPr>
            <w:tcW w:w="712" w:type="dxa"/>
            <w:tcBorders>
              <w:top w:val="single" w:color="000000" w:sz="8" w:space="0"/>
              <w:left w:val="single" w:color="000000" w:sz="8" w:space="0"/>
              <w:bottom w:val="single" w:color="000000" w:sz="8" w:space="0"/>
              <w:right w:val="single" w:color="000000" w:sz="8" w:space="0"/>
            </w:tcBorders>
            <w:noWrap w:val="0"/>
            <w:vAlign w:val="center"/>
          </w:tcPr>
          <w:p w14:paraId="7F5AB9AF">
            <w:pPr>
              <w:jc w:val="center"/>
              <w:rPr>
                <w:color w:val="000000"/>
                <w:szCs w:val="21"/>
              </w:rPr>
            </w:pPr>
            <w:r>
              <w:rPr>
                <w:color w:val="000000"/>
                <w:szCs w:val="21"/>
              </w:rPr>
              <w:t>55</w:t>
            </w:r>
          </w:p>
        </w:tc>
      </w:tr>
      <w:tr w14:paraId="626FF34F">
        <w:tblPrEx>
          <w:tblCellMar>
            <w:top w:w="0" w:type="dxa"/>
            <w:left w:w="0" w:type="dxa"/>
            <w:bottom w:w="0" w:type="dxa"/>
            <w:right w:w="0" w:type="dxa"/>
          </w:tblCellMar>
        </w:tblPrEx>
        <w:trPr>
          <w:cantSplit/>
          <w:trHeight w:val="283" w:hRule="atLeast"/>
        </w:trPr>
        <w:tc>
          <w:tcPr>
            <w:tcW w:w="444" w:type="dxa"/>
            <w:tcBorders>
              <w:top w:val="single" w:color="000000" w:sz="8" w:space="0"/>
              <w:left w:val="single" w:color="000000" w:sz="8" w:space="0"/>
              <w:bottom w:val="single" w:color="000000" w:sz="8" w:space="0"/>
              <w:right w:val="single" w:color="000000" w:sz="8" w:space="0"/>
            </w:tcBorders>
            <w:noWrap w:val="0"/>
            <w:vAlign w:val="center"/>
          </w:tcPr>
          <w:p w14:paraId="30577C7C">
            <w:pPr>
              <w:jc w:val="center"/>
              <w:rPr>
                <w:color w:val="000000"/>
                <w:szCs w:val="21"/>
              </w:rPr>
            </w:pPr>
            <w:r>
              <w:rPr>
                <w:color w:val="000000"/>
                <w:szCs w:val="21"/>
              </w:rPr>
              <w:t>2</w:t>
            </w:r>
          </w:p>
        </w:tc>
        <w:tc>
          <w:tcPr>
            <w:tcW w:w="1677" w:type="dxa"/>
            <w:tcBorders>
              <w:top w:val="single" w:color="000000" w:sz="8" w:space="0"/>
              <w:left w:val="single" w:color="000000" w:sz="8" w:space="0"/>
              <w:bottom w:val="single" w:color="000000" w:sz="8" w:space="0"/>
              <w:right w:val="single" w:color="000000" w:sz="8" w:space="0"/>
            </w:tcBorders>
            <w:noWrap w:val="0"/>
            <w:vAlign w:val="center"/>
          </w:tcPr>
          <w:p w14:paraId="65E38370">
            <w:pPr>
              <w:jc w:val="center"/>
              <w:rPr>
                <w:color w:val="000000"/>
                <w:szCs w:val="21"/>
              </w:rPr>
            </w:pPr>
            <w:r>
              <w:rPr>
                <w:color w:val="000000"/>
                <w:szCs w:val="21"/>
              </w:rPr>
              <w:t>电锤</w:t>
            </w:r>
          </w:p>
        </w:tc>
        <w:tc>
          <w:tcPr>
            <w:tcW w:w="600" w:type="dxa"/>
            <w:tcBorders>
              <w:top w:val="single" w:color="000000" w:sz="8" w:space="0"/>
              <w:left w:val="single" w:color="000000" w:sz="8" w:space="0"/>
              <w:bottom w:val="single" w:color="000000" w:sz="8" w:space="0"/>
              <w:right w:val="single" w:color="000000" w:sz="8" w:space="0"/>
            </w:tcBorders>
            <w:noWrap w:val="0"/>
            <w:vAlign w:val="center"/>
          </w:tcPr>
          <w:p w14:paraId="172A8D30">
            <w:pPr>
              <w:jc w:val="center"/>
              <w:rPr>
                <w:color w:val="000000"/>
                <w:szCs w:val="21"/>
              </w:rPr>
            </w:pPr>
            <w:r>
              <w:rPr>
                <w:color w:val="000000"/>
                <w:szCs w:val="21"/>
              </w:rPr>
              <w:t>85</w:t>
            </w:r>
          </w:p>
        </w:tc>
        <w:tc>
          <w:tcPr>
            <w:tcW w:w="605" w:type="dxa"/>
            <w:tcBorders>
              <w:top w:val="single" w:color="000000" w:sz="8" w:space="0"/>
              <w:left w:val="single" w:color="000000" w:sz="8" w:space="0"/>
              <w:bottom w:val="single" w:color="000000" w:sz="8" w:space="0"/>
              <w:right w:val="single" w:color="000000" w:sz="8" w:space="0"/>
            </w:tcBorders>
            <w:noWrap w:val="0"/>
            <w:vAlign w:val="center"/>
          </w:tcPr>
          <w:p w14:paraId="34DB5B2B">
            <w:pPr>
              <w:jc w:val="center"/>
              <w:rPr>
                <w:color w:val="000000"/>
                <w:szCs w:val="21"/>
              </w:rPr>
            </w:pPr>
            <w:r>
              <w:rPr>
                <w:color w:val="000000"/>
                <w:szCs w:val="21"/>
              </w:rPr>
              <w:t>79</w:t>
            </w:r>
          </w:p>
        </w:tc>
        <w:tc>
          <w:tcPr>
            <w:tcW w:w="607" w:type="dxa"/>
            <w:tcBorders>
              <w:top w:val="single" w:color="000000" w:sz="8" w:space="0"/>
              <w:left w:val="single" w:color="000000" w:sz="8" w:space="0"/>
              <w:bottom w:val="single" w:color="000000" w:sz="8" w:space="0"/>
              <w:right w:val="single" w:color="000000" w:sz="8" w:space="0"/>
            </w:tcBorders>
            <w:noWrap w:val="0"/>
            <w:vAlign w:val="center"/>
          </w:tcPr>
          <w:p w14:paraId="57F719CA">
            <w:pPr>
              <w:jc w:val="center"/>
              <w:rPr>
                <w:color w:val="000000"/>
                <w:szCs w:val="21"/>
              </w:rPr>
            </w:pPr>
            <w:r>
              <w:rPr>
                <w:color w:val="000000"/>
                <w:szCs w:val="21"/>
              </w:rPr>
              <w:t>75</w:t>
            </w:r>
          </w:p>
        </w:tc>
        <w:tc>
          <w:tcPr>
            <w:tcW w:w="610" w:type="dxa"/>
            <w:tcBorders>
              <w:top w:val="single" w:color="000000" w:sz="8" w:space="0"/>
              <w:left w:val="single" w:color="000000" w:sz="8" w:space="0"/>
              <w:bottom w:val="single" w:color="000000" w:sz="8" w:space="0"/>
              <w:right w:val="single" w:color="000000" w:sz="8" w:space="0"/>
            </w:tcBorders>
            <w:noWrap w:val="0"/>
            <w:vAlign w:val="center"/>
          </w:tcPr>
          <w:p w14:paraId="4ED73932">
            <w:pPr>
              <w:jc w:val="center"/>
              <w:rPr>
                <w:color w:val="000000"/>
                <w:szCs w:val="21"/>
              </w:rPr>
            </w:pPr>
            <w:r>
              <w:rPr>
                <w:color w:val="000000"/>
                <w:szCs w:val="21"/>
              </w:rPr>
              <w:t>73</w:t>
            </w:r>
          </w:p>
        </w:tc>
        <w:tc>
          <w:tcPr>
            <w:tcW w:w="610" w:type="dxa"/>
            <w:tcBorders>
              <w:top w:val="single" w:color="000000" w:sz="8" w:space="0"/>
              <w:left w:val="single" w:color="000000" w:sz="8" w:space="0"/>
              <w:bottom w:val="single" w:color="000000" w:sz="8" w:space="0"/>
              <w:right w:val="single" w:color="000000" w:sz="8" w:space="0"/>
            </w:tcBorders>
            <w:noWrap w:val="0"/>
            <w:vAlign w:val="center"/>
          </w:tcPr>
          <w:p w14:paraId="12FFEEEC">
            <w:pPr>
              <w:jc w:val="center"/>
              <w:rPr>
                <w:color w:val="000000"/>
                <w:szCs w:val="21"/>
              </w:rPr>
            </w:pPr>
            <w:r>
              <w:rPr>
                <w:color w:val="000000"/>
                <w:szCs w:val="21"/>
              </w:rPr>
              <w:t>71</w:t>
            </w:r>
          </w:p>
        </w:tc>
        <w:tc>
          <w:tcPr>
            <w:tcW w:w="610" w:type="dxa"/>
            <w:tcBorders>
              <w:top w:val="single" w:color="000000" w:sz="8" w:space="0"/>
              <w:left w:val="single" w:color="000000" w:sz="8" w:space="0"/>
              <w:bottom w:val="single" w:color="000000" w:sz="8" w:space="0"/>
              <w:right w:val="single" w:color="000000" w:sz="8" w:space="0"/>
            </w:tcBorders>
            <w:noWrap w:val="0"/>
            <w:vAlign w:val="center"/>
          </w:tcPr>
          <w:p w14:paraId="56B332EE">
            <w:pPr>
              <w:jc w:val="center"/>
              <w:rPr>
                <w:color w:val="000000"/>
                <w:szCs w:val="21"/>
              </w:rPr>
            </w:pPr>
            <w:r>
              <w:rPr>
                <w:color w:val="000000"/>
                <w:szCs w:val="21"/>
              </w:rPr>
              <w:t>65</w:t>
            </w:r>
          </w:p>
        </w:tc>
        <w:tc>
          <w:tcPr>
            <w:tcW w:w="610" w:type="dxa"/>
            <w:tcBorders>
              <w:top w:val="single" w:color="000000" w:sz="8" w:space="0"/>
              <w:left w:val="single" w:color="000000" w:sz="8" w:space="0"/>
              <w:bottom w:val="single" w:color="000000" w:sz="8" w:space="0"/>
              <w:right w:val="single" w:color="000000" w:sz="8" w:space="0"/>
            </w:tcBorders>
            <w:noWrap w:val="0"/>
            <w:vAlign w:val="center"/>
          </w:tcPr>
          <w:p w14:paraId="2830CC4F">
            <w:pPr>
              <w:jc w:val="center"/>
              <w:rPr>
                <w:color w:val="000000"/>
                <w:szCs w:val="21"/>
              </w:rPr>
            </w:pPr>
            <w:r>
              <w:rPr>
                <w:color w:val="000000"/>
                <w:szCs w:val="21"/>
              </w:rPr>
              <w:t>61</w:t>
            </w:r>
          </w:p>
        </w:tc>
        <w:tc>
          <w:tcPr>
            <w:tcW w:w="610" w:type="dxa"/>
            <w:tcBorders>
              <w:top w:val="single" w:color="000000" w:sz="8" w:space="0"/>
              <w:left w:val="single" w:color="000000" w:sz="8" w:space="0"/>
              <w:bottom w:val="single" w:color="000000" w:sz="8" w:space="0"/>
              <w:right w:val="single" w:color="000000" w:sz="8" w:space="0"/>
            </w:tcBorders>
            <w:noWrap w:val="0"/>
            <w:vAlign w:val="center"/>
          </w:tcPr>
          <w:p w14:paraId="0CDF1E9E">
            <w:pPr>
              <w:jc w:val="center"/>
              <w:rPr>
                <w:color w:val="000000"/>
                <w:szCs w:val="21"/>
              </w:rPr>
            </w:pPr>
            <w:r>
              <w:rPr>
                <w:color w:val="000000"/>
                <w:szCs w:val="21"/>
              </w:rPr>
              <w:t>59</w:t>
            </w:r>
          </w:p>
        </w:tc>
        <w:tc>
          <w:tcPr>
            <w:tcW w:w="637" w:type="dxa"/>
            <w:tcBorders>
              <w:top w:val="single" w:color="000000" w:sz="8" w:space="0"/>
              <w:left w:val="single" w:color="000000" w:sz="8" w:space="0"/>
              <w:bottom w:val="single" w:color="000000" w:sz="8" w:space="0"/>
              <w:right w:val="single" w:color="000000" w:sz="8" w:space="0"/>
            </w:tcBorders>
            <w:noWrap w:val="0"/>
            <w:vAlign w:val="center"/>
          </w:tcPr>
          <w:p w14:paraId="3D89D103">
            <w:pPr>
              <w:jc w:val="center"/>
              <w:rPr>
                <w:color w:val="000000"/>
                <w:szCs w:val="21"/>
              </w:rPr>
            </w:pPr>
            <w:r>
              <w:rPr>
                <w:color w:val="000000"/>
                <w:szCs w:val="21"/>
              </w:rPr>
              <w:t>57</w:t>
            </w:r>
          </w:p>
        </w:tc>
        <w:tc>
          <w:tcPr>
            <w:tcW w:w="712" w:type="dxa"/>
            <w:tcBorders>
              <w:top w:val="single" w:color="000000" w:sz="8" w:space="0"/>
              <w:left w:val="single" w:color="000000" w:sz="8" w:space="0"/>
              <w:bottom w:val="single" w:color="000000" w:sz="8" w:space="0"/>
              <w:right w:val="single" w:color="000000" w:sz="8" w:space="0"/>
            </w:tcBorders>
            <w:noWrap w:val="0"/>
            <w:vAlign w:val="center"/>
          </w:tcPr>
          <w:p w14:paraId="03A46BC3">
            <w:pPr>
              <w:jc w:val="center"/>
              <w:rPr>
                <w:color w:val="000000"/>
                <w:szCs w:val="21"/>
              </w:rPr>
            </w:pPr>
            <w:r>
              <w:rPr>
                <w:color w:val="000000"/>
                <w:szCs w:val="21"/>
              </w:rPr>
              <w:t>55</w:t>
            </w:r>
          </w:p>
        </w:tc>
      </w:tr>
      <w:tr w14:paraId="0C92CD39">
        <w:tblPrEx>
          <w:tblCellMar>
            <w:top w:w="0" w:type="dxa"/>
            <w:left w:w="0" w:type="dxa"/>
            <w:bottom w:w="0" w:type="dxa"/>
            <w:right w:w="0" w:type="dxa"/>
          </w:tblCellMar>
        </w:tblPrEx>
        <w:trPr>
          <w:cantSplit/>
          <w:trHeight w:val="283" w:hRule="atLeast"/>
        </w:trPr>
        <w:tc>
          <w:tcPr>
            <w:tcW w:w="444" w:type="dxa"/>
            <w:tcBorders>
              <w:top w:val="single" w:color="000000" w:sz="8" w:space="0"/>
              <w:left w:val="single" w:color="000000" w:sz="8" w:space="0"/>
              <w:bottom w:val="single" w:color="000000" w:sz="8" w:space="0"/>
              <w:right w:val="single" w:color="000000" w:sz="8" w:space="0"/>
            </w:tcBorders>
            <w:noWrap w:val="0"/>
            <w:vAlign w:val="center"/>
          </w:tcPr>
          <w:p w14:paraId="0B66C8F3">
            <w:pPr>
              <w:jc w:val="center"/>
              <w:rPr>
                <w:color w:val="000000"/>
                <w:szCs w:val="21"/>
              </w:rPr>
            </w:pPr>
            <w:r>
              <w:rPr>
                <w:color w:val="000000"/>
                <w:szCs w:val="21"/>
              </w:rPr>
              <w:t>3</w:t>
            </w:r>
          </w:p>
        </w:tc>
        <w:tc>
          <w:tcPr>
            <w:tcW w:w="1677" w:type="dxa"/>
            <w:tcBorders>
              <w:top w:val="single" w:color="000000" w:sz="8" w:space="0"/>
              <w:left w:val="single" w:color="000000" w:sz="8" w:space="0"/>
              <w:bottom w:val="single" w:color="000000" w:sz="8" w:space="0"/>
              <w:right w:val="single" w:color="000000" w:sz="8" w:space="0"/>
            </w:tcBorders>
            <w:noWrap w:val="0"/>
            <w:vAlign w:val="center"/>
          </w:tcPr>
          <w:p w14:paraId="6D7D75B5">
            <w:pPr>
              <w:jc w:val="center"/>
              <w:rPr>
                <w:color w:val="000000"/>
                <w:szCs w:val="21"/>
              </w:rPr>
            </w:pPr>
            <w:r>
              <w:rPr>
                <w:color w:val="000000"/>
                <w:szCs w:val="21"/>
              </w:rPr>
              <w:t>手工钻</w:t>
            </w:r>
          </w:p>
        </w:tc>
        <w:tc>
          <w:tcPr>
            <w:tcW w:w="600" w:type="dxa"/>
            <w:tcBorders>
              <w:top w:val="single" w:color="000000" w:sz="8" w:space="0"/>
              <w:left w:val="single" w:color="000000" w:sz="8" w:space="0"/>
              <w:bottom w:val="single" w:color="000000" w:sz="8" w:space="0"/>
              <w:right w:val="single" w:color="000000" w:sz="8" w:space="0"/>
            </w:tcBorders>
            <w:noWrap w:val="0"/>
            <w:vAlign w:val="center"/>
          </w:tcPr>
          <w:p w14:paraId="4D905AA5">
            <w:pPr>
              <w:jc w:val="center"/>
              <w:rPr>
                <w:color w:val="000000"/>
                <w:szCs w:val="21"/>
              </w:rPr>
            </w:pPr>
            <w:r>
              <w:rPr>
                <w:color w:val="000000"/>
                <w:szCs w:val="21"/>
              </w:rPr>
              <w:t>85</w:t>
            </w:r>
          </w:p>
        </w:tc>
        <w:tc>
          <w:tcPr>
            <w:tcW w:w="605" w:type="dxa"/>
            <w:tcBorders>
              <w:top w:val="single" w:color="000000" w:sz="8" w:space="0"/>
              <w:left w:val="single" w:color="000000" w:sz="8" w:space="0"/>
              <w:bottom w:val="single" w:color="000000" w:sz="8" w:space="0"/>
              <w:right w:val="single" w:color="000000" w:sz="8" w:space="0"/>
            </w:tcBorders>
            <w:noWrap w:val="0"/>
            <w:vAlign w:val="center"/>
          </w:tcPr>
          <w:p w14:paraId="066F4313">
            <w:pPr>
              <w:jc w:val="center"/>
              <w:rPr>
                <w:color w:val="000000"/>
                <w:szCs w:val="21"/>
              </w:rPr>
            </w:pPr>
            <w:r>
              <w:rPr>
                <w:color w:val="000000"/>
                <w:szCs w:val="21"/>
              </w:rPr>
              <w:t>79</w:t>
            </w:r>
          </w:p>
        </w:tc>
        <w:tc>
          <w:tcPr>
            <w:tcW w:w="607" w:type="dxa"/>
            <w:tcBorders>
              <w:top w:val="single" w:color="000000" w:sz="8" w:space="0"/>
              <w:left w:val="single" w:color="000000" w:sz="8" w:space="0"/>
              <w:bottom w:val="single" w:color="000000" w:sz="8" w:space="0"/>
              <w:right w:val="single" w:color="000000" w:sz="8" w:space="0"/>
            </w:tcBorders>
            <w:noWrap w:val="0"/>
            <w:vAlign w:val="center"/>
          </w:tcPr>
          <w:p w14:paraId="059E53D7">
            <w:pPr>
              <w:jc w:val="center"/>
              <w:rPr>
                <w:color w:val="000000"/>
                <w:szCs w:val="21"/>
              </w:rPr>
            </w:pPr>
            <w:r>
              <w:rPr>
                <w:color w:val="000000"/>
                <w:szCs w:val="21"/>
              </w:rPr>
              <w:t>75</w:t>
            </w:r>
          </w:p>
        </w:tc>
        <w:tc>
          <w:tcPr>
            <w:tcW w:w="610" w:type="dxa"/>
            <w:tcBorders>
              <w:top w:val="single" w:color="000000" w:sz="8" w:space="0"/>
              <w:left w:val="single" w:color="000000" w:sz="8" w:space="0"/>
              <w:bottom w:val="single" w:color="000000" w:sz="8" w:space="0"/>
              <w:right w:val="single" w:color="000000" w:sz="8" w:space="0"/>
            </w:tcBorders>
            <w:noWrap w:val="0"/>
            <w:vAlign w:val="center"/>
          </w:tcPr>
          <w:p w14:paraId="0B8C636B">
            <w:pPr>
              <w:jc w:val="center"/>
              <w:rPr>
                <w:color w:val="000000"/>
                <w:szCs w:val="21"/>
              </w:rPr>
            </w:pPr>
            <w:r>
              <w:rPr>
                <w:color w:val="000000"/>
                <w:szCs w:val="21"/>
              </w:rPr>
              <w:t>73</w:t>
            </w:r>
          </w:p>
        </w:tc>
        <w:tc>
          <w:tcPr>
            <w:tcW w:w="610" w:type="dxa"/>
            <w:tcBorders>
              <w:top w:val="single" w:color="000000" w:sz="8" w:space="0"/>
              <w:left w:val="single" w:color="000000" w:sz="8" w:space="0"/>
              <w:bottom w:val="single" w:color="000000" w:sz="8" w:space="0"/>
              <w:right w:val="single" w:color="000000" w:sz="8" w:space="0"/>
            </w:tcBorders>
            <w:noWrap w:val="0"/>
            <w:vAlign w:val="center"/>
          </w:tcPr>
          <w:p w14:paraId="6FFD366B">
            <w:pPr>
              <w:jc w:val="center"/>
              <w:rPr>
                <w:color w:val="000000"/>
                <w:szCs w:val="21"/>
              </w:rPr>
            </w:pPr>
            <w:r>
              <w:rPr>
                <w:color w:val="000000"/>
                <w:szCs w:val="21"/>
              </w:rPr>
              <w:t>71</w:t>
            </w:r>
          </w:p>
        </w:tc>
        <w:tc>
          <w:tcPr>
            <w:tcW w:w="610" w:type="dxa"/>
            <w:tcBorders>
              <w:top w:val="single" w:color="000000" w:sz="8" w:space="0"/>
              <w:left w:val="single" w:color="000000" w:sz="8" w:space="0"/>
              <w:bottom w:val="single" w:color="000000" w:sz="8" w:space="0"/>
              <w:right w:val="single" w:color="000000" w:sz="8" w:space="0"/>
            </w:tcBorders>
            <w:noWrap w:val="0"/>
            <w:vAlign w:val="center"/>
          </w:tcPr>
          <w:p w14:paraId="12EEE8F9">
            <w:pPr>
              <w:jc w:val="center"/>
              <w:rPr>
                <w:color w:val="000000"/>
                <w:szCs w:val="21"/>
              </w:rPr>
            </w:pPr>
            <w:r>
              <w:rPr>
                <w:color w:val="000000"/>
                <w:szCs w:val="21"/>
              </w:rPr>
              <w:t>65</w:t>
            </w:r>
          </w:p>
        </w:tc>
        <w:tc>
          <w:tcPr>
            <w:tcW w:w="610" w:type="dxa"/>
            <w:tcBorders>
              <w:top w:val="single" w:color="000000" w:sz="8" w:space="0"/>
              <w:left w:val="single" w:color="000000" w:sz="8" w:space="0"/>
              <w:bottom w:val="single" w:color="000000" w:sz="8" w:space="0"/>
              <w:right w:val="single" w:color="000000" w:sz="8" w:space="0"/>
            </w:tcBorders>
            <w:noWrap w:val="0"/>
            <w:vAlign w:val="center"/>
          </w:tcPr>
          <w:p w14:paraId="08B7FFF4">
            <w:pPr>
              <w:jc w:val="center"/>
              <w:rPr>
                <w:color w:val="000000"/>
                <w:szCs w:val="21"/>
              </w:rPr>
            </w:pPr>
            <w:r>
              <w:rPr>
                <w:color w:val="000000"/>
                <w:szCs w:val="21"/>
              </w:rPr>
              <w:t>61</w:t>
            </w:r>
          </w:p>
        </w:tc>
        <w:tc>
          <w:tcPr>
            <w:tcW w:w="610" w:type="dxa"/>
            <w:tcBorders>
              <w:top w:val="single" w:color="000000" w:sz="8" w:space="0"/>
              <w:left w:val="single" w:color="000000" w:sz="8" w:space="0"/>
              <w:bottom w:val="single" w:color="000000" w:sz="8" w:space="0"/>
              <w:right w:val="single" w:color="000000" w:sz="8" w:space="0"/>
            </w:tcBorders>
            <w:noWrap w:val="0"/>
            <w:vAlign w:val="center"/>
          </w:tcPr>
          <w:p w14:paraId="2F2A946F">
            <w:pPr>
              <w:jc w:val="center"/>
              <w:rPr>
                <w:color w:val="000000"/>
                <w:szCs w:val="21"/>
              </w:rPr>
            </w:pPr>
            <w:r>
              <w:rPr>
                <w:color w:val="000000"/>
                <w:szCs w:val="21"/>
              </w:rPr>
              <w:t>59</w:t>
            </w:r>
          </w:p>
        </w:tc>
        <w:tc>
          <w:tcPr>
            <w:tcW w:w="637" w:type="dxa"/>
            <w:tcBorders>
              <w:top w:val="single" w:color="000000" w:sz="8" w:space="0"/>
              <w:left w:val="single" w:color="000000" w:sz="8" w:space="0"/>
              <w:bottom w:val="single" w:color="000000" w:sz="8" w:space="0"/>
              <w:right w:val="single" w:color="000000" w:sz="8" w:space="0"/>
            </w:tcBorders>
            <w:noWrap w:val="0"/>
            <w:vAlign w:val="center"/>
          </w:tcPr>
          <w:p w14:paraId="502DA5A9">
            <w:pPr>
              <w:jc w:val="center"/>
              <w:rPr>
                <w:color w:val="000000"/>
                <w:szCs w:val="21"/>
              </w:rPr>
            </w:pPr>
            <w:r>
              <w:rPr>
                <w:color w:val="000000"/>
                <w:szCs w:val="21"/>
              </w:rPr>
              <w:t>57</w:t>
            </w:r>
          </w:p>
        </w:tc>
        <w:tc>
          <w:tcPr>
            <w:tcW w:w="712" w:type="dxa"/>
            <w:tcBorders>
              <w:top w:val="single" w:color="000000" w:sz="8" w:space="0"/>
              <w:left w:val="single" w:color="000000" w:sz="8" w:space="0"/>
              <w:bottom w:val="single" w:color="000000" w:sz="8" w:space="0"/>
              <w:right w:val="single" w:color="000000" w:sz="8" w:space="0"/>
            </w:tcBorders>
            <w:noWrap w:val="0"/>
            <w:vAlign w:val="center"/>
          </w:tcPr>
          <w:p w14:paraId="647C1C17">
            <w:pPr>
              <w:jc w:val="center"/>
              <w:rPr>
                <w:color w:val="000000"/>
                <w:szCs w:val="21"/>
              </w:rPr>
            </w:pPr>
            <w:r>
              <w:rPr>
                <w:color w:val="000000"/>
                <w:szCs w:val="21"/>
              </w:rPr>
              <w:t>55</w:t>
            </w:r>
          </w:p>
        </w:tc>
      </w:tr>
      <w:tr w14:paraId="067A5C58">
        <w:tblPrEx>
          <w:tblCellMar>
            <w:top w:w="0" w:type="dxa"/>
            <w:left w:w="0" w:type="dxa"/>
            <w:bottom w:w="0" w:type="dxa"/>
            <w:right w:w="0" w:type="dxa"/>
          </w:tblCellMar>
        </w:tblPrEx>
        <w:trPr>
          <w:cantSplit/>
          <w:trHeight w:val="283" w:hRule="atLeast"/>
        </w:trPr>
        <w:tc>
          <w:tcPr>
            <w:tcW w:w="444" w:type="dxa"/>
            <w:tcBorders>
              <w:top w:val="single" w:color="000000" w:sz="8" w:space="0"/>
              <w:left w:val="single" w:color="000000" w:sz="8" w:space="0"/>
              <w:bottom w:val="single" w:color="000000" w:sz="8" w:space="0"/>
              <w:right w:val="single" w:color="000000" w:sz="8" w:space="0"/>
            </w:tcBorders>
            <w:noWrap w:val="0"/>
            <w:vAlign w:val="center"/>
          </w:tcPr>
          <w:p w14:paraId="2626F4A4">
            <w:pPr>
              <w:jc w:val="center"/>
              <w:rPr>
                <w:color w:val="000000"/>
                <w:szCs w:val="21"/>
              </w:rPr>
            </w:pPr>
            <w:r>
              <w:rPr>
                <w:color w:val="000000"/>
                <w:szCs w:val="21"/>
              </w:rPr>
              <w:t>4</w:t>
            </w:r>
          </w:p>
        </w:tc>
        <w:tc>
          <w:tcPr>
            <w:tcW w:w="1677" w:type="dxa"/>
            <w:tcBorders>
              <w:top w:val="single" w:color="000000" w:sz="8" w:space="0"/>
              <w:left w:val="single" w:color="000000" w:sz="8" w:space="0"/>
              <w:bottom w:val="single" w:color="000000" w:sz="8" w:space="0"/>
              <w:right w:val="single" w:color="000000" w:sz="8" w:space="0"/>
            </w:tcBorders>
            <w:noWrap w:val="0"/>
            <w:vAlign w:val="center"/>
          </w:tcPr>
          <w:p w14:paraId="6DC0C3E5">
            <w:pPr>
              <w:jc w:val="center"/>
              <w:rPr>
                <w:color w:val="000000"/>
                <w:szCs w:val="21"/>
              </w:rPr>
            </w:pPr>
            <w:r>
              <w:rPr>
                <w:color w:val="000000"/>
                <w:szCs w:val="21"/>
              </w:rPr>
              <w:t>无齿锯</w:t>
            </w:r>
          </w:p>
        </w:tc>
        <w:tc>
          <w:tcPr>
            <w:tcW w:w="600" w:type="dxa"/>
            <w:tcBorders>
              <w:top w:val="single" w:color="000000" w:sz="8" w:space="0"/>
              <w:left w:val="single" w:color="000000" w:sz="8" w:space="0"/>
              <w:bottom w:val="single" w:color="000000" w:sz="8" w:space="0"/>
              <w:right w:val="single" w:color="000000" w:sz="8" w:space="0"/>
            </w:tcBorders>
            <w:noWrap w:val="0"/>
            <w:vAlign w:val="center"/>
          </w:tcPr>
          <w:p w14:paraId="12496D9D">
            <w:pPr>
              <w:jc w:val="center"/>
              <w:rPr>
                <w:color w:val="000000"/>
                <w:szCs w:val="21"/>
              </w:rPr>
            </w:pPr>
            <w:r>
              <w:rPr>
                <w:color w:val="000000"/>
                <w:szCs w:val="21"/>
              </w:rPr>
              <w:t>85</w:t>
            </w:r>
          </w:p>
        </w:tc>
        <w:tc>
          <w:tcPr>
            <w:tcW w:w="605" w:type="dxa"/>
            <w:tcBorders>
              <w:top w:val="single" w:color="000000" w:sz="8" w:space="0"/>
              <w:left w:val="single" w:color="000000" w:sz="8" w:space="0"/>
              <w:bottom w:val="single" w:color="000000" w:sz="8" w:space="0"/>
              <w:right w:val="single" w:color="000000" w:sz="8" w:space="0"/>
            </w:tcBorders>
            <w:noWrap w:val="0"/>
            <w:vAlign w:val="center"/>
          </w:tcPr>
          <w:p w14:paraId="7ACC9331">
            <w:pPr>
              <w:jc w:val="center"/>
              <w:rPr>
                <w:color w:val="000000"/>
                <w:szCs w:val="21"/>
              </w:rPr>
            </w:pPr>
            <w:r>
              <w:rPr>
                <w:color w:val="000000"/>
                <w:szCs w:val="21"/>
              </w:rPr>
              <w:t>79</w:t>
            </w:r>
          </w:p>
        </w:tc>
        <w:tc>
          <w:tcPr>
            <w:tcW w:w="607" w:type="dxa"/>
            <w:tcBorders>
              <w:top w:val="single" w:color="000000" w:sz="8" w:space="0"/>
              <w:left w:val="single" w:color="000000" w:sz="8" w:space="0"/>
              <w:bottom w:val="single" w:color="000000" w:sz="8" w:space="0"/>
              <w:right w:val="single" w:color="000000" w:sz="8" w:space="0"/>
            </w:tcBorders>
            <w:noWrap w:val="0"/>
            <w:vAlign w:val="center"/>
          </w:tcPr>
          <w:p w14:paraId="4173F081">
            <w:pPr>
              <w:jc w:val="center"/>
              <w:rPr>
                <w:color w:val="000000"/>
                <w:szCs w:val="21"/>
              </w:rPr>
            </w:pPr>
            <w:r>
              <w:rPr>
                <w:color w:val="000000"/>
                <w:szCs w:val="21"/>
              </w:rPr>
              <w:t>75</w:t>
            </w:r>
          </w:p>
        </w:tc>
        <w:tc>
          <w:tcPr>
            <w:tcW w:w="610" w:type="dxa"/>
            <w:tcBorders>
              <w:top w:val="single" w:color="000000" w:sz="8" w:space="0"/>
              <w:left w:val="single" w:color="000000" w:sz="8" w:space="0"/>
              <w:bottom w:val="single" w:color="000000" w:sz="8" w:space="0"/>
              <w:right w:val="single" w:color="000000" w:sz="8" w:space="0"/>
            </w:tcBorders>
            <w:noWrap w:val="0"/>
            <w:vAlign w:val="center"/>
          </w:tcPr>
          <w:p w14:paraId="1E8CD3E9">
            <w:pPr>
              <w:jc w:val="center"/>
              <w:rPr>
                <w:color w:val="000000"/>
                <w:szCs w:val="21"/>
              </w:rPr>
            </w:pPr>
            <w:r>
              <w:rPr>
                <w:color w:val="000000"/>
                <w:szCs w:val="21"/>
              </w:rPr>
              <w:t>73</w:t>
            </w:r>
          </w:p>
        </w:tc>
        <w:tc>
          <w:tcPr>
            <w:tcW w:w="610" w:type="dxa"/>
            <w:tcBorders>
              <w:top w:val="single" w:color="000000" w:sz="8" w:space="0"/>
              <w:left w:val="single" w:color="000000" w:sz="8" w:space="0"/>
              <w:bottom w:val="single" w:color="000000" w:sz="8" w:space="0"/>
              <w:right w:val="single" w:color="000000" w:sz="8" w:space="0"/>
            </w:tcBorders>
            <w:noWrap w:val="0"/>
            <w:vAlign w:val="center"/>
          </w:tcPr>
          <w:p w14:paraId="70AA172B">
            <w:pPr>
              <w:jc w:val="center"/>
              <w:rPr>
                <w:color w:val="000000"/>
                <w:szCs w:val="21"/>
              </w:rPr>
            </w:pPr>
            <w:r>
              <w:rPr>
                <w:color w:val="000000"/>
                <w:szCs w:val="21"/>
              </w:rPr>
              <w:t>71</w:t>
            </w:r>
          </w:p>
        </w:tc>
        <w:tc>
          <w:tcPr>
            <w:tcW w:w="610" w:type="dxa"/>
            <w:tcBorders>
              <w:top w:val="single" w:color="000000" w:sz="8" w:space="0"/>
              <w:left w:val="single" w:color="000000" w:sz="8" w:space="0"/>
              <w:bottom w:val="single" w:color="000000" w:sz="8" w:space="0"/>
              <w:right w:val="single" w:color="000000" w:sz="8" w:space="0"/>
            </w:tcBorders>
            <w:noWrap w:val="0"/>
            <w:vAlign w:val="center"/>
          </w:tcPr>
          <w:p w14:paraId="3295040C">
            <w:pPr>
              <w:jc w:val="center"/>
              <w:rPr>
                <w:color w:val="000000"/>
                <w:szCs w:val="21"/>
              </w:rPr>
            </w:pPr>
            <w:r>
              <w:rPr>
                <w:color w:val="000000"/>
                <w:szCs w:val="21"/>
              </w:rPr>
              <w:t>65</w:t>
            </w:r>
          </w:p>
        </w:tc>
        <w:tc>
          <w:tcPr>
            <w:tcW w:w="610" w:type="dxa"/>
            <w:tcBorders>
              <w:top w:val="single" w:color="000000" w:sz="8" w:space="0"/>
              <w:left w:val="single" w:color="000000" w:sz="8" w:space="0"/>
              <w:bottom w:val="single" w:color="000000" w:sz="8" w:space="0"/>
              <w:right w:val="single" w:color="000000" w:sz="8" w:space="0"/>
            </w:tcBorders>
            <w:noWrap w:val="0"/>
            <w:vAlign w:val="center"/>
          </w:tcPr>
          <w:p w14:paraId="2A9A6CA9">
            <w:pPr>
              <w:jc w:val="center"/>
              <w:rPr>
                <w:color w:val="000000"/>
                <w:szCs w:val="21"/>
              </w:rPr>
            </w:pPr>
            <w:r>
              <w:rPr>
                <w:color w:val="000000"/>
                <w:szCs w:val="21"/>
              </w:rPr>
              <w:t>61</w:t>
            </w:r>
          </w:p>
        </w:tc>
        <w:tc>
          <w:tcPr>
            <w:tcW w:w="610" w:type="dxa"/>
            <w:tcBorders>
              <w:top w:val="single" w:color="000000" w:sz="8" w:space="0"/>
              <w:left w:val="single" w:color="000000" w:sz="8" w:space="0"/>
              <w:bottom w:val="single" w:color="000000" w:sz="8" w:space="0"/>
              <w:right w:val="single" w:color="000000" w:sz="8" w:space="0"/>
            </w:tcBorders>
            <w:noWrap w:val="0"/>
            <w:vAlign w:val="center"/>
          </w:tcPr>
          <w:p w14:paraId="74C48089">
            <w:pPr>
              <w:jc w:val="center"/>
              <w:rPr>
                <w:color w:val="000000"/>
                <w:szCs w:val="21"/>
              </w:rPr>
            </w:pPr>
            <w:r>
              <w:rPr>
                <w:color w:val="000000"/>
                <w:szCs w:val="21"/>
              </w:rPr>
              <w:t>59</w:t>
            </w:r>
          </w:p>
        </w:tc>
        <w:tc>
          <w:tcPr>
            <w:tcW w:w="637" w:type="dxa"/>
            <w:tcBorders>
              <w:top w:val="single" w:color="000000" w:sz="8" w:space="0"/>
              <w:left w:val="single" w:color="000000" w:sz="8" w:space="0"/>
              <w:bottom w:val="single" w:color="000000" w:sz="8" w:space="0"/>
              <w:right w:val="single" w:color="000000" w:sz="8" w:space="0"/>
            </w:tcBorders>
            <w:noWrap w:val="0"/>
            <w:vAlign w:val="center"/>
          </w:tcPr>
          <w:p w14:paraId="170C0857">
            <w:pPr>
              <w:jc w:val="center"/>
              <w:rPr>
                <w:color w:val="000000"/>
                <w:szCs w:val="21"/>
              </w:rPr>
            </w:pPr>
            <w:r>
              <w:rPr>
                <w:color w:val="000000"/>
                <w:szCs w:val="21"/>
              </w:rPr>
              <w:t>57</w:t>
            </w:r>
          </w:p>
        </w:tc>
        <w:tc>
          <w:tcPr>
            <w:tcW w:w="712" w:type="dxa"/>
            <w:tcBorders>
              <w:top w:val="single" w:color="000000" w:sz="8" w:space="0"/>
              <w:left w:val="single" w:color="000000" w:sz="8" w:space="0"/>
              <w:bottom w:val="single" w:color="000000" w:sz="8" w:space="0"/>
              <w:right w:val="single" w:color="000000" w:sz="8" w:space="0"/>
            </w:tcBorders>
            <w:noWrap w:val="0"/>
            <w:vAlign w:val="center"/>
          </w:tcPr>
          <w:p w14:paraId="756EE7E9">
            <w:pPr>
              <w:jc w:val="center"/>
              <w:rPr>
                <w:color w:val="000000"/>
                <w:szCs w:val="21"/>
              </w:rPr>
            </w:pPr>
            <w:r>
              <w:rPr>
                <w:color w:val="000000"/>
                <w:szCs w:val="21"/>
              </w:rPr>
              <w:t>55</w:t>
            </w:r>
          </w:p>
        </w:tc>
      </w:tr>
      <w:tr w14:paraId="25627667">
        <w:tblPrEx>
          <w:tblCellMar>
            <w:top w:w="0" w:type="dxa"/>
            <w:left w:w="0" w:type="dxa"/>
            <w:bottom w:w="0" w:type="dxa"/>
            <w:right w:w="0" w:type="dxa"/>
          </w:tblCellMar>
        </w:tblPrEx>
        <w:trPr>
          <w:cantSplit/>
          <w:trHeight w:val="283" w:hRule="atLeast"/>
        </w:trPr>
        <w:tc>
          <w:tcPr>
            <w:tcW w:w="444" w:type="dxa"/>
            <w:tcBorders>
              <w:top w:val="single" w:color="000000" w:sz="8" w:space="0"/>
              <w:left w:val="single" w:color="000000" w:sz="8" w:space="0"/>
              <w:bottom w:val="single" w:color="000000" w:sz="8" w:space="0"/>
              <w:right w:val="single" w:color="000000" w:sz="8" w:space="0"/>
            </w:tcBorders>
            <w:noWrap w:val="0"/>
            <w:vAlign w:val="center"/>
          </w:tcPr>
          <w:p w14:paraId="37952BDC">
            <w:pPr>
              <w:jc w:val="center"/>
              <w:rPr>
                <w:color w:val="000000"/>
                <w:szCs w:val="21"/>
              </w:rPr>
            </w:pPr>
            <w:r>
              <w:rPr>
                <w:color w:val="000000"/>
                <w:szCs w:val="21"/>
              </w:rPr>
              <w:t>5</w:t>
            </w:r>
          </w:p>
        </w:tc>
        <w:tc>
          <w:tcPr>
            <w:tcW w:w="1677" w:type="dxa"/>
            <w:tcBorders>
              <w:top w:val="single" w:color="000000" w:sz="8" w:space="0"/>
              <w:left w:val="single" w:color="000000" w:sz="8" w:space="0"/>
              <w:bottom w:val="single" w:color="000000" w:sz="8" w:space="0"/>
              <w:right w:val="single" w:color="000000" w:sz="8" w:space="0"/>
            </w:tcBorders>
            <w:noWrap w:val="0"/>
            <w:vAlign w:val="center"/>
          </w:tcPr>
          <w:p w14:paraId="49A598AD">
            <w:pPr>
              <w:jc w:val="center"/>
              <w:rPr>
                <w:color w:val="000000"/>
                <w:szCs w:val="21"/>
              </w:rPr>
            </w:pPr>
            <w:r>
              <w:rPr>
                <w:color w:val="000000"/>
                <w:szCs w:val="21"/>
              </w:rPr>
              <w:t>多功能木工刨</w:t>
            </w:r>
          </w:p>
        </w:tc>
        <w:tc>
          <w:tcPr>
            <w:tcW w:w="600" w:type="dxa"/>
            <w:tcBorders>
              <w:top w:val="single" w:color="000000" w:sz="8" w:space="0"/>
              <w:left w:val="single" w:color="000000" w:sz="8" w:space="0"/>
              <w:bottom w:val="single" w:color="000000" w:sz="8" w:space="0"/>
              <w:right w:val="single" w:color="000000" w:sz="8" w:space="0"/>
            </w:tcBorders>
            <w:noWrap w:val="0"/>
            <w:vAlign w:val="center"/>
          </w:tcPr>
          <w:p w14:paraId="199070AD">
            <w:pPr>
              <w:jc w:val="center"/>
              <w:rPr>
                <w:color w:val="000000"/>
                <w:szCs w:val="21"/>
              </w:rPr>
            </w:pPr>
            <w:r>
              <w:rPr>
                <w:color w:val="000000"/>
                <w:szCs w:val="21"/>
              </w:rPr>
              <w:t>80</w:t>
            </w:r>
          </w:p>
        </w:tc>
        <w:tc>
          <w:tcPr>
            <w:tcW w:w="605" w:type="dxa"/>
            <w:tcBorders>
              <w:top w:val="single" w:color="000000" w:sz="8" w:space="0"/>
              <w:left w:val="single" w:color="000000" w:sz="8" w:space="0"/>
              <w:bottom w:val="single" w:color="000000" w:sz="8" w:space="0"/>
              <w:right w:val="single" w:color="000000" w:sz="8" w:space="0"/>
            </w:tcBorders>
            <w:noWrap w:val="0"/>
            <w:vAlign w:val="center"/>
          </w:tcPr>
          <w:p w14:paraId="3060673E">
            <w:pPr>
              <w:jc w:val="center"/>
              <w:rPr>
                <w:color w:val="000000"/>
                <w:szCs w:val="21"/>
              </w:rPr>
            </w:pPr>
            <w:r>
              <w:rPr>
                <w:color w:val="000000"/>
                <w:szCs w:val="21"/>
              </w:rPr>
              <w:t>74</w:t>
            </w:r>
          </w:p>
        </w:tc>
        <w:tc>
          <w:tcPr>
            <w:tcW w:w="607" w:type="dxa"/>
            <w:tcBorders>
              <w:top w:val="single" w:color="000000" w:sz="8" w:space="0"/>
              <w:left w:val="single" w:color="000000" w:sz="8" w:space="0"/>
              <w:bottom w:val="single" w:color="000000" w:sz="8" w:space="0"/>
              <w:right w:val="single" w:color="000000" w:sz="8" w:space="0"/>
            </w:tcBorders>
            <w:noWrap w:val="0"/>
            <w:vAlign w:val="center"/>
          </w:tcPr>
          <w:p w14:paraId="33EAC3D7">
            <w:pPr>
              <w:jc w:val="center"/>
              <w:rPr>
                <w:color w:val="000000"/>
                <w:szCs w:val="21"/>
              </w:rPr>
            </w:pPr>
            <w:r>
              <w:rPr>
                <w:color w:val="000000"/>
                <w:szCs w:val="21"/>
              </w:rPr>
              <w:t>70</w:t>
            </w:r>
          </w:p>
        </w:tc>
        <w:tc>
          <w:tcPr>
            <w:tcW w:w="610" w:type="dxa"/>
            <w:tcBorders>
              <w:top w:val="single" w:color="000000" w:sz="8" w:space="0"/>
              <w:left w:val="single" w:color="000000" w:sz="8" w:space="0"/>
              <w:bottom w:val="single" w:color="000000" w:sz="8" w:space="0"/>
              <w:right w:val="single" w:color="000000" w:sz="8" w:space="0"/>
            </w:tcBorders>
            <w:noWrap w:val="0"/>
            <w:vAlign w:val="center"/>
          </w:tcPr>
          <w:p w14:paraId="314A4CCC">
            <w:pPr>
              <w:jc w:val="center"/>
              <w:rPr>
                <w:color w:val="000000"/>
                <w:szCs w:val="21"/>
              </w:rPr>
            </w:pPr>
            <w:r>
              <w:rPr>
                <w:color w:val="000000"/>
                <w:szCs w:val="21"/>
              </w:rPr>
              <w:t>68</w:t>
            </w:r>
          </w:p>
        </w:tc>
        <w:tc>
          <w:tcPr>
            <w:tcW w:w="610" w:type="dxa"/>
            <w:tcBorders>
              <w:top w:val="single" w:color="000000" w:sz="8" w:space="0"/>
              <w:left w:val="single" w:color="000000" w:sz="8" w:space="0"/>
              <w:bottom w:val="single" w:color="000000" w:sz="8" w:space="0"/>
              <w:right w:val="single" w:color="000000" w:sz="8" w:space="0"/>
            </w:tcBorders>
            <w:noWrap w:val="0"/>
            <w:vAlign w:val="center"/>
          </w:tcPr>
          <w:p w14:paraId="76FBDBE0">
            <w:pPr>
              <w:jc w:val="center"/>
              <w:rPr>
                <w:color w:val="000000"/>
                <w:szCs w:val="21"/>
              </w:rPr>
            </w:pPr>
            <w:r>
              <w:rPr>
                <w:color w:val="000000"/>
                <w:szCs w:val="21"/>
              </w:rPr>
              <w:t>66</w:t>
            </w:r>
          </w:p>
        </w:tc>
        <w:tc>
          <w:tcPr>
            <w:tcW w:w="610" w:type="dxa"/>
            <w:tcBorders>
              <w:top w:val="single" w:color="000000" w:sz="8" w:space="0"/>
              <w:left w:val="single" w:color="000000" w:sz="8" w:space="0"/>
              <w:bottom w:val="single" w:color="000000" w:sz="8" w:space="0"/>
              <w:right w:val="single" w:color="000000" w:sz="8" w:space="0"/>
            </w:tcBorders>
            <w:noWrap w:val="0"/>
            <w:vAlign w:val="center"/>
          </w:tcPr>
          <w:p w14:paraId="4F73C036">
            <w:pPr>
              <w:jc w:val="center"/>
              <w:rPr>
                <w:color w:val="000000"/>
                <w:szCs w:val="21"/>
              </w:rPr>
            </w:pPr>
            <w:r>
              <w:rPr>
                <w:color w:val="000000"/>
                <w:szCs w:val="21"/>
              </w:rPr>
              <w:t>60</w:t>
            </w:r>
          </w:p>
        </w:tc>
        <w:tc>
          <w:tcPr>
            <w:tcW w:w="610" w:type="dxa"/>
            <w:tcBorders>
              <w:top w:val="single" w:color="000000" w:sz="8" w:space="0"/>
              <w:left w:val="single" w:color="000000" w:sz="8" w:space="0"/>
              <w:bottom w:val="single" w:color="000000" w:sz="8" w:space="0"/>
              <w:right w:val="single" w:color="000000" w:sz="8" w:space="0"/>
            </w:tcBorders>
            <w:noWrap w:val="0"/>
            <w:vAlign w:val="center"/>
          </w:tcPr>
          <w:p w14:paraId="04387DB7">
            <w:pPr>
              <w:jc w:val="center"/>
              <w:rPr>
                <w:color w:val="000000"/>
                <w:szCs w:val="21"/>
              </w:rPr>
            </w:pPr>
            <w:r>
              <w:rPr>
                <w:color w:val="000000"/>
                <w:szCs w:val="21"/>
              </w:rPr>
              <w:t>56</w:t>
            </w:r>
          </w:p>
        </w:tc>
        <w:tc>
          <w:tcPr>
            <w:tcW w:w="610" w:type="dxa"/>
            <w:tcBorders>
              <w:top w:val="single" w:color="000000" w:sz="8" w:space="0"/>
              <w:left w:val="single" w:color="000000" w:sz="8" w:space="0"/>
              <w:bottom w:val="single" w:color="000000" w:sz="8" w:space="0"/>
              <w:right w:val="single" w:color="000000" w:sz="8" w:space="0"/>
            </w:tcBorders>
            <w:noWrap w:val="0"/>
            <w:vAlign w:val="center"/>
          </w:tcPr>
          <w:p w14:paraId="18C07F5B">
            <w:pPr>
              <w:jc w:val="center"/>
              <w:rPr>
                <w:color w:val="000000"/>
                <w:szCs w:val="21"/>
              </w:rPr>
            </w:pPr>
            <w:r>
              <w:rPr>
                <w:color w:val="000000"/>
                <w:szCs w:val="21"/>
              </w:rPr>
              <w:t>54</w:t>
            </w:r>
          </w:p>
        </w:tc>
        <w:tc>
          <w:tcPr>
            <w:tcW w:w="637" w:type="dxa"/>
            <w:tcBorders>
              <w:top w:val="single" w:color="000000" w:sz="8" w:space="0"/>
              <w:left w:val="single" w:color="000000" w:sz="8" w:space="0"/>
              <w:bottom w:val="single" w:color="000000" w:sz="8" w:space="0"/>
              <w:right w:val="single" w:color="000000" w:sz="8" w:space="0"/>
            </w:tcBorders>
            <w:noWrap w:val="0"/>
            <w:vAlign w:val="center"/>
          </w:tcPr>
          <w:p w14:paraId="45F47F94">
            <w:pPr>
              <w:jc w:val="center"/>
              <w:rPr>
                <w:color w:val="000000"/>
                <w:szCs w:val="21"/>
              </w:rPr>
            </w:pPr>
            <w:r>
              <w:rPr>
                <w:color w:val="000000"/>
                <w:szCs w:val="21"/>
              </w:rPr>
              <w:t>52</w:t>
            </w:r>
          </w:p>
        </w:tc>
        <w:tc>
          <w:tcPr>
            <w:tcW w:w="712" w:type="dxa"/>
            <w:tcBorders>
              <w:top w:val="single" w:color="000000" w:sz="8" w:space="0"/>
              <w:left w:val="single" w:color="000000" w:sz="8" w:space="0"/>
              <w:bottom w:val="single" w:color="000000" w:sz="8" w:space="0"/>
              <w:right w:val="single" w:color="000000" w:sz="8" w:space="0"/>
            </w:tcBorders>
            <w:noWrap w:val="0"/>
            <w:vAlign w:val="center"/>
          </w:tcPr>
          <w:p w14:paraId="0F680E33">
            <w:pPr>
              <w:jc w:val="center"/>
              <w:rPr>
                <w:color w:val="000000"/>
                <w:szCs w:val="21"/>
              </w:rPr>
            </w:pPr>
            <w:r>
              <w:rPr>
                <w:color w:val="000000"/>
                <w:szCs w:val="21"/>
              </w:rPr>
              <w:t>50</w:t>
            </w:r>
          </w:p>
        </w:tc>
      </w:tr>
      <w:tr w14:paraId="11A6126A">
        <w:tblPrEx>
          <w:tblCellMar>
            <w:top w:w="0" w:type="dxa"/>
            <w:left w:w="0" w:type="dxa"/>
            <w:bottom w:w="0" w:type="dxa"/>
            <w:right w:w="0" w:type="dxa"/>
          </w:tblCellMar>
        </w:tblPrEx>
        <w:trPr>
          <w:cantSplit/>
          <w:trHeight w:val="283" w:hRule="atLeast"/>
        </w:trPr>
        <w:tc>
          <w:tcPr>
            <w:tcW w:w="444" w:type="dxa"/>
            <w:tcBorders>
              <w:top w:val="single" w:color="000000" w:sz="8" w:space="0"/>
              <w:left w:val="single" w:color="000000" w:sz="8" w:space="0"/>
              <w:bottom w:val="single" w:color="000000" w:sz="8" w:space="0"/>
              <w:right w:val="single" w:color="000000" w:sz="8" w:space="0"/>
            </w:tcBorders>
            <w:noWrap w:val="0"/>
            <w:vAlign w:val="center"/>
          </w:tcPr>
          <w:p w14:paraId="1FB8079B">
            <w:pPr>
              <w:jc w:val="center"/>
              <w:rPr>
                <w:color w:val="000000"/>
                <w:szCs w:val="21"/>
              </w:rPr>
            </w:pPr>
            <w:r>
              <w:rPr>
                <w:color w:val="000000"/>
                <w:szCs w:val="21"/>
              </w:rPr>
              <w:t>6</w:t>
            </w:r>
          </w:p>
        </w:tc>
        <w:tc>
          <w:tcPr>
            <w:tcW w:w="1677" w:type="dxa"/>
            <w:tcBorders>
              <w:top w:val="single" w:color="000000" w:sz="8" w:space="0"/>
              <w:left w:val="single" w:color="000000" w:sz="8" w:space="0"/>
              <w:bottom w:val="single" w:color="000000" w:sz="8" w:space="0"/>
              <w:right w:val="single" w:color="000000" w:sz="8" w:space="0"/>
            </w:tcBorders>
            <w:noWrap w:val="0"/>
            <w:vAlign w:val="center"/>
          </w:tcPr>
          <w:p w14:paraId="09A6CBE9">
            <w:pPr>
              <w:jc w:val="center"/>
              <w:rPr>
                <w:color w:val="000000"/>
                <w:szCs w:val="21"/>
              </w:rPr>
            </w:pPr>
            <w:r>
              <w:rPr>
                <w:color w:val="000000"/>
                <w:szCs w:val="21"/>
              </w:rPr>
              <w:t>云石机</w:t>
            </w:r>
          </w:p>
        </w:tc>
        <w:tc>
          <w:tcPr>
            <w:tcW w:w="600" w:type="dxa"/>
            <w:tcBorders>
              <w:top w:val="single" w:color="000000" w:sz="8" w:space="0"/>
              <w:left w:val="single" w:color="000000" w:sz="8" w:space="0"/>
              <w:bottom w:val="single" w:color="000000" w:sz="8" w:space="0"/>
              <w:right w:val="single" w:color="000000" w:sz="8" w:space="0"/>
            </w:tcBorders>
            <w:noWrap w:val="0"/>
            <w:vAlign w:val="center"/>
          </w:tcPr>
          <w:p w14:paraId="6B75590E">
            <w:pPr>
              <w:jc w:val="center"/>
              <w:rPr>
                <w:color w:val="000000"/>
                <w:szCs w:val="21"/>
              </w:rPr>
            </w:pPr>
            <w:r>
              <w:rPr>
                <w:color w:val="000000"/>
                <w:szCs w:val="21"/>
              </w:rPr>
              <w:t>90</w:t>
            </w:r>
          </w:p>
        </w:tc>
        <w:tc>
          <w:tcPr>
            <w:tcW w:w="605" w:type="dxa"/>
            <w:tcBorders>
              <w:top w:val="single" w:color="000000" w:sz="8" w:space="0"/>
              <w:left w:val="single" w:color="000000" w:sz="8" w:space="0"/>
              <w:bottom w:val="single" w:color="000000" w:sz="8" w:space="0"/>
              <w:right w:val="single" w:color="000000" w:sz="8" w:space="0"/>
            </w:tcBorders>
            <w:noWrap w:val="0"/>
            <w:vAlign w:val="center"/>
          </w:tcPr>
          <w:p w14:paraId="6836FBA8">
            <w:pPr>
              <w:jc w:val="center"/>
              <w:rPr>
                <w:color w:val="000000"/>
                <w:szCs w:val="21"/>
              </w:rPr>
            </w:pPr>
            <w:r>
              <w:rPr>
                <w:color w:val="000000"/>
                <w:szCs w:val="21"/>
              </w:rPr>
              <w:t>84</w:t>
            </w:r>
          </w:p>
        </w:tc>
        <w:tc>
          <w:tcPr>
            <w:tcW w:w="607" w:type="dxa"/>
            <w:tcBorders>
              <w:top w:val="single" w:color="000000" w:sz="8" w:space="0"/>
              <w:left w:val="single" w:color="000000" w:sz="8" w:space="0"/>
              <w:bottom w:val="single" w:color="000000" w:sz="8" w:space="0"/>
              <w:right w:val="single" w:color="000000" w:sz="8" w:space="0"/>
            </w:tcBorders>
            <w:noWrap w:val="0"/>
            <w:vAlign w:val="center"/>
          </w:tcPr>
          <w:p w14:paraId="1AC29D22">
            <w:pPr>
              <w:jc w:val="center"/>
              <w:rPr>
                <w:color w:val="000000"/>
                <w:szCs w:val="21"/>
              </w:rPr>
            </w:pPr>
            <w:r>
              <w:rPr>
                <w:color w:val="000000"/>
                <w:szCs w:val="21"/>
              </w:rPr>
              <w:t>80</w:t>
            </w:r>
          </w:p>
        </w:tc>
        <w:tc>
          <w:tcPr>
            <w:tcW w:w="610" w:type="dxa"/>
            <w:tcBorders>
              <w:top w:val="single" w:color="000000" w:sz="8" w:space="0"/>
              <w:left w:val="single" w:color="000000" w:sz="8" w:space="0"/>
              <w:bottom w:val="single" w:color="000000" w:sz="8" w:space="0"/>
              <w:right w:val="single" w:color="000000" w:sz="8" w:space="0"/>
            </w:tcBorders>
            <w:noWrap w:val="0"/>
            <w:vAlign w:val="center"/>
          </w:tcPr>
          <w:p w14:paraId="6E9A5249">
            <w:pPr>
              <w:jc w:val="center"/>
              <w:rPr>
                <w:color w:val="000000"/>
                <w:szCs w:val="21"/>
              </w:rPr>
            </w:pPr>
            <w:r>
              <w:rPr>
                <w:color w:val="000000"/>
                <w:szCs w:val="21"/>
              </w:rPr>
              <w:t>78</w:t>
            </w:r>
          </w:p>
        </w:tc>
        <w:tc>
          <w:tcPr>
            <w:tcW w:w="610" w:type="dxa"/>
            <w:tcBorders>
              <w:top w:val="single" w:color="000000" w:sz="8" w:space="0"/>
              <w:left w:val="single" w:color="000000" w:sz="8" w:space="0"/>
              <w:bottom w:val="single" w:color="000000" w:sz="8" w:space="0"/>
              <w:right w:val="single" w:color="000000" w:sz="8" w:space="0"/>
            </w:tcBorders>
            <w:noWrap w:val="0"/>
            <w:vAlign w:val="center"/>
          </w:tcPr>
          <w:p w14:paraId="090E7AF1">
            <w:pPr>
              <w:jc w:val="center"/>
              <w:rPr>
                <w:color w:val="000000"/>
                <w:szCs w:val="21"/>
              </w:rPr>
            </w:pPr>
            <w:r>
              <w:rPr>
                <w:color w:val="000000"/>
                <w:szCs w:val="21"/>
              </w:rPr>
              <w:t>76</w:t>
            </w:r>
          </w:p>
        </w:tc>
        <w:tc>
          <w:tcPr>
            <w:tcW w:w="610" w:type="dxa"/>
            <w:tcBorders>
              <w:top w:val="single" w:color="000000" w:sz="8" w:space="0"/>
              <w:left w:val="single" w:color="000000" w:sz="8" w:space="0"/>
              <w:bottom w:val="single" w:color="000000" w:sz="8" w:space="0"/>
              <w:right w:val="single" w:color="000000" w:sz="8" w:space="0"/>
            </w:tcBorders>
            <w:noWrap w:val="0"/>
            <w:vAlign w:val="center"/>
          </w:tcPr>
          <w:p w14:paraId="2F72AFC1">
            <w:pPr>
              <w:jc w:val="center"/>
              <w:rPr>
                <w:color w:val="000000"/>
                <w:szCs w:val="21"/>
              </w:rPr>
            </w:pPr>
            <w:r>
              <w:rPr>
                <w:color w:val="000000"/>
                <w:szCs w:val="21"/>
              </w:rPr>
              <w:t>70</w:t>
            </w:r>
          </w:p>
        </w:tc>
        <w:tc>
          <w:tcPr>
            <w:tcW w:w="610" w:type="dxa"/>
            <w:tcBorders>
              <w:top w:val="single" w:color="000000" w:sz="8" w:space="0"/>
              <w:left w:val="single" w:color="000000" w:sz="8" w:space="0"/>
              <w:bottom w:val="single" w:color="000000" w:sz="8" w:space="0"/>
              <w:right w:val="single" w:color="000000" w:sz="8" w:space="0"/>
            </w:tcBorders>
            <w:noWrap w:val="0"/>
            <w:vAlign w:val="center"/>
          </w:tcPr>
          <w:p w14:paraId="490A01A6">
            <w:pPr>
              <w:jc w:val="center"/>
              <w:rPr>
                <w:color w:val="000000"/>
                <w:szCs w:val="21"/>
              </w:rPr>
            </w:pPr>
            <w:r>
              <w:rPr>
                <w:color w:val="000000"/>
                <w:szCs w:val="21"/>
              </w:rPr>
              <w:t>66</w:t>
            </w:r>
          </w:p>
        </w:tc>
        <w:tc>
          <w:tcPr>
            <w:tcW w:w="610" w:type="dxa"/>
            <w:tcBorders>
              <w:top w:val="single" w:color="000000" w:sz="8" w:space="0"/>
              <w:left w:val="single" w:color="000000" w:sz="8" w:space="0"/>
              <w:bottom w:val="single" w:color="000000" w:sz="8" w:space="0"/>
              <w:right w:val="single" w:color="000000" w:sz="8" w:space="0"/>
            </w:tcBorders>
            <w:noWrap w:val="0"/>
            <w:vAlign w:val="center"/>
          </w:tcPr>
          <w:p w14:paraId="08400B76">
            <w:pPr>
              <w:jc w:val="center"/>
              <w:rPr>
                <w:color w:val="000000"/>
                <w:szCs w:val="21"/>
              </w:rPr>
            </w:pPr>
            <w:r>
              <w:rPr>
                <w:color w:val="000000"/>
                <w:szCs w:val="21"/>
              </w:rPr>
              <w:t>64</w:t>
            </w:r>
          </w:p>
        </w:tc>
        <w:tc>
          <w:tcPr>
            <w:tcW w:w="637" w:type="dxa"/>
            <w:tcBorders>
              <w:top w:val="single" w:color="000000" w:sz="8" w:space="0"/>
              <w:left w:val="single" w:color="000000" w:sz="8" w:space="0"/>
              <w:bottom w:val="single" w:color="000000" w:sz="8" w:space="0"/>
              <w:right w:val="single" w:color="000000" w:sz="8" w:space="0"/>
            </w:tcBorders>
            <w:noWrap w:val="0"/>
            <w:vAlign w:val="center"/>
          </w:tcPr>
          <w:p w14:paraId="4F6F483A">
            <w:pPr>
              <w:jc w:val="center"/>
              <w:rPr>
                <w:color w:val="000000"/>
                <w:szCs w:val="21"/>
              </w:rPr>
            </w:pPr>
            <w:r>
              <w:rPr>
                <w:color w:val="000000"/>
                <w:szCs w:val="21"/>
              </w:rPr>
              <w:t>62</w:t>
            </w:r>
          </w:p>
        </w:tc>
        <w:tc>
          <w:tcPr>
            <w:tcW w:w="712" w:type="dxa"/>
            <w:tcBorders>
              <w:top w:val="single" w:color="000000" w:sz="8" w:space="0"/>
              <w:left w:val="single" w:color="000000" w:sz="8" w:space="0"/>
              <w:bottom w:val="single" w:color="000000" w:sz="8" w:space="0"/>
              <w:right w:val="single" w:color="000000" w:sz="8" w:space="0"/>
            </w:tcBorders>
            <w:noWrap w:val="0"/>
            <w:vAlign w:val="center"/>
          </w:tcPr>
          <w:p w14:paraId="0A2520E3">
            <w:pPr>
              <w:jc w:val="center"/>
              <w:rPr>
                <w:color w:val="000000"/>
                <w:szCs w:val="21"/>
              </w:rPr>
            </w:pPr>
            <w:r>
              <w:rPr>
                <w:color w:val="000000"/>
                <w:szCs w:val="21"/>
              </w:rPr>
              <w:t>60</w:t>
            </w:r>
          </w:p>
        </w:tc>
      </w:tr>
      <w:tr w14:paraId="0B5B5342">
        <w:tblPrEx>
          <w:tblCellMar>
            <w:top w:w="0" w:type="dxa"/>
            <w:left w:w="0" w:type="dxa"/>
            <w:bottom w:w="0" w:type="dxa"/>
            <w:right w:w="0" w:type="dxa"/>
          </w:tblCellMar>
        </w:tblPrEx>
        <w:trPr>
          <w:cantSplit/>
          <w:trHeight w:val="283" w:hRule="atLeast"/>
        </w:trPr>
        <w:tc>
          <w:tcPr>
            <w:tcW w:w="444" w:type="dxa"/>
            <w:tcBorders>
              <w:top w:val="single" w:color="000000" w:sz="8" w:space="0"/>
              <w:left w:val="single" w:color="000000" w:sz="8" w:space="0"/>
              <w:bottom w:val="single" w:color="000000" w:sz="8" w:space="0"/>
              <w:right w:val="single" w:color="000000" w:sz="8" w:space="0"/>
            </w:tcBorders>
            <w:noWrap w:val="0"/>
            <w:vAlign w:val="center"/>
          </w:tcPr>
          <w:p w14:paraId="518FEAF5">
            <w:pPr>
              <w:jc w:val="center"/>
              <w:rPr>
                <w:color w:val="000000"/>
                <w:szCs w:val="21"/>
              </w:rPr>
            </w:pPr>
            <w:r>
              <w:rPr>
                <w:color w:val="000000"/>
                <w:szCs w:val="21"/>
              </w:rPr>
              <w:t>7</w:t>
            </w:r>
          </w:p>
        </w:tc>
        <w:tc>
          <w:tcPr>
            <w:tcW w:w="1677" w:type="dxa"/>
            <w:tcBorders>
              <w:top w:val="single" w:color="000000" w:sz="8" w:space="0"/>
              <w:left w:val="single" w:color="000000" w:sz="8" w:space="0"/>
              <w:bottom w:val="single" w:color="000000" w:sz="8" w:space="0"/>
              <w:right w:val="single" w:color="000000" w:sz="8" w:space="0"/>
            </w:tcBorders>
            <w:noWrap w:val="0"/>
            <w:vAlign w:val="center"/>
          </w:tcPr>
          <w:p w14:paraId="213CA37F">
            <w:pPr>
              <w:jc w:val="center"/>
              <w:rPr>
                <w:color w:val="000000"/>
                <w:szCs w:val="21"/>
              </w:rPr>
            </w:pPr>
            <w:r>
              <w:rPr>
                <w:color w:val="000000"/>
                <w:szCs w:val="21"/>
              </w:rPr>
              <w:t>轻型载重车</w:t>
            </w:r>
          </w:p>
        </w:tc>
        <w:tc>
          <w:tcPr>
            <w:tcW w:w="600" w:type="dxa"/>
            <w:tcBorders>
              <w:top w:val="single" w:color="000000" w:sz="8" w:space="0"/>
              <w:left w:val="single" w:color="000000" w:sz="8" w:space="0"/>
              <w:bottom w:val="single" w:color="000000" w:sz="8" w:space="0"/>
              <w:right w:val="single" w:color="000000" w:sz="8" w:space="0"/>
            </w:tcBorders>
            <w:noWrap w:val="0"/>
            <w:vAlign w:val="center"/>
          </w:tcPr>
          <w:p w14:paraId="491419CE">
            <w:pPr>
              <w:jc w:val="center"/>
              <w:rPr>
                <w:color w:val="000000"/>
                <w:szCs w:val="21"/>
              </w:rPr>
            </w:pPr>
            <w:r>
              <w:rPr>
                <w:color w:val="000000"/>
                <w:szCs w:val="21"/>
              </w:rPr>
              <w:t>55</w:t>
            </w:r>
          </w:p>
        </w:tc>
        <w:tc>
          <w:tcPr>
            <w:tcW w:w="605" w:type="dxa"/>
            <w:tcBorders>
              <w:top w:val="single" w:color="000000" w:sz="8" w:space="0"/>
              <w:left w:val="single" w:color="000000" w:sz="8" w:space="0"/>
              <w:bottom w:val="single" w:color="000000" w:sz="8" w:space="0"/>
              <w:right w:val="single" w:color="000000" w:sz="8" w:space="0"/>
            </w:tcBorders>
            <w:noWrap w:val="0"/>
            <w:vAlign w:val="center"/>
          </w:tcPr>
          <w:p w14:paraId="4AB91B98">
            <w:pPr>
              <w:jc w:val="center"/>
              <w:rPr>
                <w:color w:val="000000"/>
                <w:szCs w:val="21"/>
              </w:rPr>
            </w:pPr>
            <w:r>
              <w:rPr>
                <w:color w:val="000000"/>
                <w:szCs w:val="21"/>
              </w:rPr>
              <w:t>49</w:t>
            </w:r>
          </w:p>
        </w:tc>
        <w:tc>
          <w:tcPr>
            <w:tcW w:w="607" w:type="dxa"/>
            <w:tcBorders>
              <w:top w:val="single" w:color="000000" w:sz="8" w:space="0"/>
              <w:left w:val="single" w:color="000000" w:sz="8" w:space="0"/>
              <w:bottom w:val="single" w:color="000000" w:sz="8" w:space="0"/>
              <w:right w:val="single" w:color="000000" w:sz="8" w:space="0"/>
            </w:tcBorders>
            <w:noWrap w:val="0"/>
            <w:vAlign w:val="center"/>
          </w:tcPr>
          <w:p w14:paraId="707165B1">
            <w:pPr>
              <w:jc w:val="center"/>
              <w:rPr>
                <w:color w:val="000000"/>
                <w:szCs w:val="21"/>
              </w:rPr>
            </w:pPr>
            <w:r>
              <w:rPr>
                <w:color w:val="000000"/>
                <w:szCs w:val="21"/>
              </w:rPr>
              <w:t>45</w:t>
            </w:r>
          </w:p>
        </w:tc>
        <w:tc>
          <w:tcPr>
            <w:tcW w:w="610" w:type="dxa"/>
            <w:tcBorders>
              <w:top w:val="single" w:color="000000" w:sz="8" w:space="0"/>
              <w:left w:val="single" w:color="000000" w:sz="8" w:space="0"/>
              <w:bottom w:val="single" w:color="000000" w:sz="8" w:space="0"/>
              <w:right w:val="single" w:color="000000" w:sz="8" w:space="0"/>
            </w:tcBorders>
            <w:noWrap w:val="0"/>
            <w:vAlign w:val="center"/>
          </w:tcPr>
          <w:p w14:paraId="2E8D5B89">
            <w:pPr>
              <w:jc w:val="center"/>
              <w:rPr>
                <w:color w:val="000000"/>
                <w:szCs w:val="21"/>
              </w:rPr>
            </w:pPr>
            <w:r>
              <w:rPr>
                <w:color w:val="000000"/>
                <w:szCs w:val="21"/>
              </w:rPr>
              <w:t>43</w:t>
            </w:r>
          </w:p>
        </w:tc>
        <w:tc>
          <w:tcPr>
            <w:tcW w:w="610" w:type="dxa"/>
            <w:tcBorders>
              <w:top w:val="single" w:color="000000" w:sz="8" w:space="0"/>
              <w:left w:val="single" w:color="000000" w:sz="8" w:space="0"/>
              <w:bottom w:val="single" w:color="000000" w:sz="8" w:space="0"/>
              <w:right w:val="single" w:color="000000" w:sz="8" w:space="0"/>
            </w:tcBorders>
            <w:noWrap w:val="0"/>
            <w:vAlign w:val="center"/>
          </w:tcPr>
          <w:p w14:paraId="7983ECB2">
            <w:pPr>
              <w:jc w:val="center"/>
              <w:rPr>
                <w:color w:val="000000"/>
                <w:szCs w:val="21"/>
              </w:rPr>
            </w:pPr>
            <w:r>
              <w:rPr>
                <w:color w:val="000000"/>
                <w:szCs w:val="21"/>
              </w:rPr>
              <w:t>41</w:t>
            </w:r>
          </w:p>
        </w:tc>
        <w:tc>
          <w:tcPr>
            <w:tcW w:w="610" w:type="dxa"/>
            <w:tcBorders>
              <w:top w:val="single" w:color="000000" w:sz="8" w:space="0"/>
              <w:left w:val="single" w:color="000000" w:sz="8" w:space="0"/>
              <w:bottom w:val="single" w:color="000000" w:sz="8" w:space="0"/>
              <w:right w:val="single" w:color="000000" w:sz="8" w:space="0"/>
            </w:tcBorders>
            <w:noWrap w:val="0"/>
            <w:vAlign w:val="center"/>
          </w:tcPr>
          <w:p w14:paraId="68487861">
            <w:pPr>
              <w:jc w:val="center"/>
              <w:rPr>
                <w:color w:val="000000"/>
                <w:szCs w:val="21"/>
              </w:rPr>
            </w:pPr>
            <w:r>
              <w:rPr>
                <w:color w:val="000000"/>
                <w:szCs w:val="21"/>
              </w:rPr>
              <w:t>35</w:t>
            </w:r>
          </w:p>
        </w:tc>
        <w:tc>
          <w:tcPr>
            <w:tcW w:w="610" w:type="dxa"/>
            <w:tcBorders>
              <w:top w:val="single" w:color="000000" w:sz="8" w:space="0"/>
              <w:left w:val="single" w:color="000000" w:sz="8" w:space="0"/>
              <w:bottom w:val="single" w:color="000000" w:sz="8" w:space="0"/>
              <w:right w:val="single" w:color="000000" w:sz="8" w:space="0"/>
            </w:tcBorders>
            <w:noWrap w:val="0"/>
            <w:vAlign w:val="center"/>
          </w:tcPr>
          <w:p w14:paraId="64CD3CF2">
            <w:pPr>
              <w:jc w:val="center"/>
              <w:rPr>
                <w:color w:val="000000"/>
                <w:szCs w:val="21"/>
              </w:rPr>
            </w:pPr>
            <w:r>
              <w:rPr>
                <w:color w:val="000000"/>
                <w:szCs w:val="21"/>
              </w:rPr>
              <w:t>31</w:t>
            </w:r>
          </w:p>
        </w:tc>
        <w:tc>
          <w:tcPr>
            <w:tcW w:w="610" w:type="dxa"/>
            <w:tcBorders>
              <w:top w:val="single" w:color="000000" w:sz="8" w:space="0"/>
              <w:left w:val="single" w:color="000000" w:sz="8" w:space="0"/>
              <w:bottom w:val="single" w:color="000000" w:sz="8" w:space="0"/>
              <w:right w:val="single" w:color="000000" w:sz="8" w:space="0"/>
            </w:tcBorders>
            <w:noWrap w:val="0"/>
            <w:vAlign w:val="center"/>
          </w:tcPr>
          <w:p w14:paraId="43E4D45C">
            <w:pPr>
              <w:jc w:val="center"/>
              <w:rPr>
                <w:color w:val="000000"/>
                <w:szCs w:val="21"/>
              </w:rPr>
            </w:pPr>
            <w:r>
              <w:rPr>
                <w:color w:val="000000"/>
                <w:szCs w:val="21"/>
              </w:rPr>
              <w:t>29</w:t>
            </w:r>
          </w:p>
        </w:tc>
        <w:tc>
          <w:tcPr>
            <w:tcW w:w="637" w:type="dxa"/>
            <w:tcBorders>
              <w:top w:val="single" w:color="000000" w:sz="8" w:space="0"/>
              <w:left w:val="single" w:color="000000" w:sz="8" w:space="0"/>
              <w:bottom w:val="single" w:color="000000" w:sz="8" w:space="0"/>
              <w:right w:val="single" w:color="000000" w:sz="8" w:space="0"/>
            </w:tcBorders>
            <w:noWrap w:val="0"/>
            <w:vAlign w:val="center"/>
          </w:tcPr>
          <w:p w14:paraId="35E0A6A0">
            <w:pPr>
              <w:jc w:val="center"/>
              <w:rPr>
                <w:color w:val="000000"/>
                <w:szCs w:val="21"/>
              </w:rPr>
            </w:pPr>
            <w:r>
              <w:rPr>
                <w:color w:val="000000"/>
                <w:szCs w:val="21"/>
              </w:rPr>
              <w:t>27</w:t>
            </w:r>
          </w:p>
        </w:tc>
        <w:tc>
          <w:tcPr>
            <w:tcW w:w="712" w:type="dxa"/>
            <w:tcBorders>
              <w:top w:val="single" w:color="000000" w:sz="8" w:space="0"/>
              <w:left w:val="single" w:color="000000" w:sz="8" w:space="0"/>
              <w:bottom w:val="single" w:color="000000" w:sz="8" w:space="0"/>
              <w:right w:val="single" w:color="000000" w:sz="8" w:space="0"/>
            </w:tcBorders>
            <w:noWrap w:val="0"/>
            <w:vAlign w:val="center"/>
          </w:tcPr>
          <w:p w14:paraId="096184DB">
            <w:pPr>
              <w:jc w:val="center"/>
              <w:rPr>
                <w:color w:val="000000"/>
                <w:szCs w:val="21"/>
              </w:rPr>
            </w:pPr>
            <w:r>
              <w:rPr>
                <w:color w:val="000000"/>
                <w:szCs w:val="21"/>
              </w:rPr>
              <w:t>25</w:t>
            </w:r>
          </w:p>
        </w:tc>
      </w:tr>
      <w:tr w14:paraId="6E85CFBA">
        <w:tblPrEx>
          <w:tblCellMar>
            <w:top w:w="0" w:type="dxa"/>
            <w:left w:w="0" w:type="dxa"/>
            <w:bottom w:w="0" w:type="dxa"/>
            <w:right w:w="0" w:type="dxa"/>
          </w:tblCellMar>
        </w:tblPrEx>
        <w:trPr>
          <w:cantSplit/>
          <w:trHeight w:val="283" w:hRule="atLeast"/>
        </w:trPr>
        <w:tc>
          <w:tcPr>
            <w:tcW w:w="2121" w:type="dxa"/>
            <w:gridSpan w:val="2"/>
            <w:tcBorders>
              <w:top w:val="single" w:color="000000" w:sz="8" w:space="0"/>
              <w:left w:val="single" w:color="000000" w:sz="8" w:space="0"/>
              <w:bottom w:val="single" w:color="000000" w:sz="8" w:space="0"/>
              <w:right w:val="single" w:color="000000" w:sz="8" w:space="0"/>
            </w:tcBorders>
            <w:noWrap w:val="0"/>
            <w:vAlign w:val="center"/>
          </w:tcPr>
          <w:p w14:paraId="7320927E">
            <w:pPr>
              <w:jc w:val="center"/>
              <w:rPr>
                <w:b/>
                <w:color w:val="000000"/>
                <w:szCs w:val="21"/>
              </w:rPr>
            </w:pPr>
            <w:r>
              <w:rPr>
                <w:b/>
                <w:color w:val="000000"/>
                <w:szCs w:val="21"/>
              </w:rPr>
              <w:t>多声源叠加值</w:t>
            </w:r>
          </w:p>
        </w:tc>
        <w:tc>
          <w:tcPr>
            <w:tcW w:w="600" w:type="dxa"/>
            <w:tcBorders>
              <w:top w:val="single" w:color="000000" w:sz="8" w:space="0"/>
              <w:left w:val="single" w:color="000000" w:sz="8" w:space="0"/>
              <w:bottom w:val="single" w:color="000000" w:sz="8" w:space="0"/>
              <w:right w:val="single" w:color="000000" w:sz="8" w:space="0"/>
            </w:tcBorders>
            <w:noWrap w:val="0"/>
            <w:vAlign w:val="center"/>
          </w:tcPr>
          <w:p w14:paraId="06A402E0">
            <w:pPr>
              <w:jc w:val="center"/>
              <w:rPr>
                <w:b/>
                <w:color w:val="000000"/>
                <w:szCs w:val="21"/>
              </w:rPr>
            </w:pPr>
            <w:r>
              <w:rPr>
                <w:b/>
                <w:color w:val="000000"/>
                <w:szCs w:val="21"/>
              </w:rPr>
              <w:t>94</w:t>
            </w:r>
          </w:p>
        </w:tc>
        <w:tc>
          <w:tcPr>
            <w:tcW w:w="605" w:type="dxa"/>
            <w:tcBorders>
              <w:top w:val="single" w:color="000000" w:sz="8" w:space="0"/>
              <w:left w:val="single" w:color="000000" w:sz="8" w:space="0"/>
              <w:bottom w:val="single" w:color="000000" w:sz="8" w:space="0"/>
              <w:right w:val="single" w:color="000000" w:sz="8" w:space="0"/>
            </w:tcBorders>
            <w:noWrap w:val="0"/>
            <w:vAlign w:val="center"/>
          </w:tcPr>
          <w:p w14:paraId="65ABB2F0">
            <w:pPr>
              <w:jc w:val="center"/>
              <w:rPr>
                <w:b/>
                <w:color w:val="000000"/>
                <w:szCs w:val="21"/>
              </w:rPr>
            </w:pPr>
            <w:r>
              <w:rPr>
                <w:b/>
                <w:color w:val="000000"/>
                <w:szCs w:val="21"/>
              </w:rPr>
              <w:t>87</w:t>
            </w:r>
          </w:p>
        </w:tc>
        <w:tc>
          <w:tcPr>
            <w:tcW w:w="607" w:type="dxa"/>
            <w:tcBorders>
              <w:top w:val="single" w:color="000000" w:sz="8" w:space="0"/>
              <w:left w:val="single" w:color="000000" w:sz="8" w:space="0"/>
              <w:bottom w:val="single" w:color="000000" w:sz="8" w:space="0"/>
              <w:right w:val="single" w:color="000000" w:sz="8" w:space="0"/>
            </w:tcBorders>
            <w:noWrap w:val="0"/>
            <w:vAlign w:val="center"/>
          </w:tcPr>
          <w:p w14:paraId="67CDF54F">
            <w:pPr>
              <w:jc w:val="center"/>
              <w:rPr>
                <w:b/>
                <w:color w:val="000000"/>
                <w:szCs w:val="21"/>
              </w:rPr>
            </w:pPr>
            <w:r>
              <w:rPr>
                <w:b/>
                <w:color w:val="000000"/>
                <w:szCs w:val="21"/>
              </w:rPr>
              <w:t>84</w:t>
            </w:r>
          </w:p>
        </w:tc>
        <w:tc>
          <w:tcPr>
            <w:tcW w:w="610" w:type="dxa"/>
            <w:tcBorders>
              <w:top w:val="single" w:color="000000" w:sz="8" w:space="0"/>
              <w:left w:val="single" w:color="000000" w:sz="8" w:space="0"/>
              <w:bottom w:val="single" w:color="000000" w:sz="8" w:space="0"/>
              <w:right w:val="single" w:color="000000" w:sz="8" w:space="0"/>
            </w:tcBorders>
            <w:noWrap w:val="0"/>
            <w:vAlign w:val="center"/>
          </w:tcPr>
          <w:p w14:paraId="574745F6">
            <w:pPr>
              <w:jc w:val="center"/>
              <w:rPr>
                <w:b/>
                <w:color w:val="000000"/>
                <w:szCs w:val="21"/>
              </w:rPr>
            </w:pPr>
            <w:r>
              <w:rPr>
                <w:b/>
                <w:color w:val="000000"/>
                <w:szCs w:val="21"/>
              </w:rPr>
              <w:t>82</w:t>
            </w:r>
          </w:p>
        </w:tc>
        <w:tc>
          <w:tcPr>
            <w:tcW w:w="610" w:type="dxa"/>
            <w:tcBorders>
              <w:top w:val="single" w:color="000000" w:sz="8" w:space="0"/>
              <w:left w:val="single" w:color="000000" w:sz="8" w:space="0"/>
              <w:bottom w:val="single" w:color="000000" w:sz="8" w:space="0"/>
              <w:right w:val="single" w:color="000000" w:sz="8" w:space="0"/>
            </w:tcBorders>
            <w:noWrap w:val="0"/>
            <w:vAlign w:val="center"/>
          </w:tcPr>
          <w:p w14:paraId="2AF45C47">
            <w:pPr>
              <w:jc w:val="center"/>
              <w:rPr>
                <w:b/>
                <w:color w:val="000000"/>
                <w:szCs w:val="21"/>
              </w:rPr>
            </w:pPr>
            <w:r>
              <w:rPr>
                <w:b/>
                <w:color w:val="000000"/>
                <w:szCs w:val="21"/>
              </w:rPr>
              <w:t>80</w:t>
            </w:r>
          </w:p>
        </w:tc>
        <w:tc>
          <w:tcPr>
            <w:tcW w:w="610" w:type="dxa"/>
            <w:tcBorders>
              <w:top w:val="single" w:color="000000" w:sz="8" w:space="0"/>
              <w:left w:val="single" w:color="000000" w:sz="8" w:space="0"/>
              <w:bottom w:val="single" w:color="000000" w:sz="8" w:space="0"/>
              <w:right w:val="single" w:color="000000" w:sz="8" w:space="0"/>
            </w:tcBorders>
            <w:noWrap w:val="0"/>
            <w:vAlign w:val="center"/>
          </w:tcPr>
          <w:p w14:paraId="1270BC21">
            <w:pPr>
              <w:jc w:val="center"/>
              <w:rPr>
                <w:b/>
                <w:color w:val="000000"/>
                <w:szCs w:val="21"/>
              </w:rPr>
            </w:pPr>
            <w:r>
              <w:rPr>
                <w:b/>
                <w:color w:val="000000"/>
                <w:szCs w:val="21"/>
              </w:rPr>
              <w:t>74</w:t>
            </w:r>
          </w:p>
        </w:tc>
        <w:tc>
          <w:tcPr>
            <w:tcW w:w="610" w:type="dxa"/>
            <w:tcBorders>
              <w:top w:val="single" w:color="000000" w:sz="8" w:space="0"/>
              <w:left w:val="single" w:color="000000" w:sz="8" w:space="0"/>
              <w:bottom w:val="single" w:color="000000" w:sz="8" w:space="0"/>
              <w:right w:val="single" w:color="000000" w:sz="8" w:space="0"/>
            </w:tcBorders>
            <w:noWrap w:val="0"/>
            <w:vAlign w:val="center"/>
          </w:tcPr>
          <w:p w14:paraId="339D5201">
            <w:pPr>
              <w:jc w:val="center"/>
              <w:rPr>
                <w:b/>
                <w:color w:val="000000"/>
                <w:szCs w:val="21"/>
              </w:rPr>
            </w:pPr>
            <w:r>
              <w:rPr>
                <w:b/>
                <w:color w:val="000000"/>
                <w:szCs w:val="21"/>
              </w:rPr>
              <w:t>70</w:t>
            </w:r>
          </w:p>
        </w:tc>
        <w:tc>
          <w:tcPr>
            <w:tcW w:w="610" w:type="dxa"/>
            <w:tcBorders>
              <w:top w:val="single" w:color="000000" w:sz="8" w:space="0"/>
              <w:left w:val="single" w:color="000000" w:sz="8" w:space="0"/>
              <w:bottom w:val="single" w:color="000000" w:sz="8" w:space="0"/>
              <w:right w:val="single" w:color="000000" w:sz="8" w:space="0"/>
            </w:tcBorders>
            <w:noWrap w:val="0"/>
            <w:vAlign w:val="center"/>
          </w:tcPr>
          <w:p w14:paraId="0A8B5D27">
            <w:pPr>
              <w:jc w:val="center"/>
              <w:rPr>
                <w:b/>
                <w:color w:val="000000"/>
                <w:szCs w:val="21"/>
              </w:rPr>
            </w:pPr>
            <w:r>
              <w:rPr>
                <w:b/>
                <w:color w:val="000000"/>
                <w:szCs w:val="21"/>
              </w:rPr>
              <w:t>68</w:t>
            </w:r>
          </w:p>
        </w:tc>
        <w:tc>
          <w:tcPr>
            <w:tcW w:w="637" w:type="dxa"/>
            <w:tcBorders>
              <w:top w:val="single" w:color="000000" w:sz="8" w:space="0"/>
              <w:left w:val="single" w:color="000000" w:sz="8" w:space="0"/>
              <w:bottom w:val="single" w:color="000000" w:sz="8" w:space="0"/>
              <w:right w:val="single" w:color="000000" w:sz="8" w:space="0"/>
            </w:tcBorders>
            <w:noWrap w:val="0"/>
            <w:vAlign w:val="center"/>
          </w:tcPr>
          <w:p w14:paraId="29DAEAC5">
            <w:pPr>
              <w:jc w:val="center"/>
              <w:rPr>
                <w:b/>
                <w:color w:val="000000"/>
                <w:szCs w:val="21"/>
              </w:rPr>
            </w:pPr>
            <w:r>
              <w:rPr>
                <w:b/>
                <w:color w:val="000000"/>
                <w:szCs w:val="21"/>
              </w:rPr>
              <w:t>66</w:t>
            </w:r>
          </w:p>
        </w:tc>
        <w:tc>
          <w:tcPr>
            <w:tcW w:w="712" w:type="dxa"/>
            <w:tcBorders>
              <w:top w:val="single" w:color="000000" w:sz="8" w:space="0"/>
              <w:left w:val="single" w:color="000000" w:sz="8" w:space="0"/>
              <w:bottom w:val="single" w:color="000000" w:sz="8" w:space="0"/>
              <w:right w:val="single" w:color="000000" w:sz="8" w:space="0"/>
            </w:tcBorders>
            <w:noWrap w:val="0"/>
            <w:vAlign w:val="center"/>
          </w:tcPr>
          <w:p w14:paraId="245FFE9E">
            <w:pPr>
              <w:jc w:val="center"/>
              <w:rPr>
                <w:b/>
                <w:color w:val="000000"/>
                <w:szCs w:val="21"/>
              </w:rPr>
            </w:pPr>
            <w:r>
              <w:rPr>
                <w:b/>
                <w:color w:val="000000"/>
                <w:szCs w:val="21"/>
              </w:rPr>
              <w:t>64</w:t>
            </w:r>
          </w:p>
        </w:tc>
      </w:tr>
    </w:tbl>
    <w:p w14:paraId="53E1CC1B">
      <w:pPr>
        <w:pStyle w:val="221"/>
        <w:spacing w:after="0" w:line="360" w:lineRule="auto"/>
        <w:ind w:left="0" w:firstLine="480"/>
        <w:rPr>
          <w:color w:val="000000"/>
          <w:sz w:val="24"/>
        </w:rPr>
      </w:pPr>
      <w:bookmarkStart w:id="439" w:name="_Toc269075697"/>
      <w:bookmarkEnd w:id="439"/>
      <w:bookmarkStart w:id="440" w:name="_Toc263083606"/>
      <w:bookmarkEnd w:id="440"/>
      <w:r>
        <w:rPr>
          <w:rFonts w:hint="eastAsia"/>
          <w:color w:val="000000"/>
          <w:sz w:val="24"/>
        </w:rPr>
        <w:t>3）</w:t>
      </w:r>
      <w:r>
        <w:rPr>
          <w:color w:val="000000"/>
          <w:sz w:val="24"/>
        </w:rPr>
        <w:t>施工期环境保护目标噪声预测</w:t>
      </w:r>
    </w:p>
    <w:p w14:paraId="0C2E0D95">
      <w:pPr>
        <w:pStyle w:val="221"/>
        <w:spacing w:after="0" w:line="360" w:lineRule="auto"/>
        <w:ind w:left="0" w:firstLine="482"/>
        <w:rPr>
          <w:color w:val="000000"/>
          <w:sz w:val="24"/>
        </w:rPr>
      </w:pPr>
      <w:r>
        <w:rPr>
          <w:rFonts w:hint="eastAsia"/>
          <w:color w:val="000000"/>
          <w:sz w:val="24"/>
        </w:rPr>
        <w:t>①</w:t>
      </w:r>
      <w:r>
        <w:rPr>
          <w:color w:val="000000"/>
          <w:sz w:val="24"/>
        </w:rPr>
        <w:t>环境保护目标</w:t>
      </w:r>
      <w:r>
        <w:rPr>
          <w:rFonts w:hint="eastAsia"/>
          <w:color w:val="000000"/>
          <w:sz w:val="24"/>
        </w:rPr>
        <w:t xml:space="preserve"> </w:t>
      </w:r>
      <w:r>
        <w:rPr>
          <w:color w:val="000000"/>
          <w:sz w:val="24"/>
        </w:rPr>
        <w:t>与项目相对位置</w:t>
      </w:r>
    </w:p>
    <w:p w14:paraId="612BA6D7">
      <w:pPr>
        <w:spacing w:line="360" w:lineRule="auto"/>
        <w:ind w:firstLine="480"/>
        <w:rPr>
          <w:color w:val="000000"/>
          <w:sz w:val="24"/>
        </w:rPr>
      </w:pPr>
      <w:r>
        <w:rPr>
          <w:color w:val="000000"/>
          <w:sz w:val="24"/>
        </w:rPr>
        <w:t>项目保护目标与项目相对位置情况见表</w:t>
      </w:r>
      <w:r>
        <w:rPr>
          <w:rFonts w:hint="eastAsia"/>
          <w:color w:val="000000"/>
          <w:sz w:val="24"/>
        </w:rPr>
        <w:t>6.1</w:t>
      </w:r>
      <w:r>
        <w:rPr>
          <w:color w:val="000000"/>
          <w:sz w:val="24"/>
        </w:rPr>
        <w:t>-</w:t>
      </w:r>
      <w:r>
        <w:rPr>
          <w:rFonts w:hint="eastAsia"/>
          <w:color w:val="000000"/>
          <w:sz w:val="24"/>
        </w:rPr>
        <w:t>7</w:t>
      </w:r>
      <w:r>
        <w:rPr>
          <w:color w:val="000000"/>
          <w:sz w:val="24"/>
        </w:rPr>
        <w:t>。</w:t>
      </w:r>
    </w:p>
    <w:p w14:paraId="6F26E355">
      <w:pPr>
        <w:spacing w:line="360" w:lineRule="auto"/>
        <w:jc w:val="center"/>
        <w:rPr>
          <w:b/>
          <w:color w:val="000000"/>
          <w:spacing w:val="19"/>
          <w:sz w:val="24"/>
        </w:rPr>
      </w:pPr>
      <w:r>
        <w:rPr>
          <w:b/>
          <w:color w:val="000000"/>
          <w:spacing w:val="16"/>
          <w:sz w:val="24"/>
        </w:rPr>
        <w:t>表</w:t>
      </w:r>
      <w:r>
        <w:rPr>
          <w:rFonts w:hint="eastAsia"/>
          <w:b/>
          <w:color w:val="000000"/>
          <w:spacing w:val="19"/>
          <w:sz w:val="24"/>
        </w:rPr>
        <w:t>6.1</w:t>
      </w:r>
      <w:r>
        <w:rPr>
          <w:b/>
          <w:color w:val="000000"/>
          <w:spacing w:val="19"/>
          <w:sz w:val="24"/>
        </w:rPr>
        <w:t>-</w:t>
      </w:r>
      <w:r>
        <w:rPr>
          <w:rFonts w:hint="eastAsia"/>
          <w:b/>
          <w:color w:val="000000"/>
          <w:spacing w:val="19"/>
          <w:sz w:val="24"/>
        </w:rPr>
        <w:t>7</w:t>
      </w:r>
      <w:r>
        <w:rPr>
          <w:b/>
          <w:color w:val="000000"/>
          <w:spacing w:val="19"/>
          <w:sz w:val="24"/>
        </w:rPr>
        <w:t xml:space="preserve">  </w:t>
      </w:r>
      <w:r>
        <w:rPr>
          <w:b/>
          <w:color w:val="000000"/>
          <w:spacing w:val="16"/>
          <w:sz w:val="24"/>
        </w:rPr>
        <w:t>项目保护目标与项目相对位置情况表</w:t>
      </w:r>
    </w:p>
    <w:tbl>
      <w:tblPr>
        <w:tblStyle w:val="27"/>
        <w:tblW w:w="0" w:type="auto"/>
        <w:tblInd w:w="0" w:type="dxa"/>
        <w:tblLayout w:type="fixed"/>
        <w:tblCellMar>
          <w:top w:w="0" w:type="dxa"/>
          <w:left w:w="108" w:type="dxa"/>
          <w:bottom w:w="0" w:type="dxa"/>
          <w:right w:w="108" w:type="dxa"/>
        </w:tblCellMar>
      </w:tblPr>
      <w:tblGrid>
        <w:gridCol w:w="962"/>
        <w:gridCol w:w="2265"/>
        <w:gridCol w:w="1335"/>
        <w:gridCol w:w="3838"/>
      </w:tblGrid>
      <w:tr w14:paraId="08C07AAF">
        <w:tblPrEx>
          <w:tblCellMar>
            <w:top w:w="0" w:type="dxa"/>
            <w:left w:w="108" w:type="dxa"/>
            <w:bottom w:w="0" w:type="dxa"/>
            <w:right w:w="108" w:type="dxa"/>
          </w:tblCellMar>
        </w:tblPrEx>
        <w:trPr>
          <w:trHeight w:val="90" w:hRule="atLeast"/>
        </w:trPr>
        <w:tc>
          <w:tcPr>
            <w:tcW w:w="962" w:type="dxa"/>
            <w:tcBorders>
              <w:top w:val="single" w:color="000000" w:sz="4" w:space="0"/>
              <w:left w:val="single" w:color="000000" w:sz="4" w:space="0"/>
              <w:bottom w:val="single" w:color="000000" w:sz="4" w:space="0"/>
              <w:right w:val="single" w:color="000000" w:sz="4" w:space="0"/>
            </w:tcBorders>
            <w:noWrap w:val="0"/>
            <w:vAlign w:val="center"/>
          </w:tcPr>
          <w:p w14:paraId="5327B489">
            <w:pPr>
              <w:jc w:val="center"/>
              <w:rPr>
                <w:b/>
                <w:color w:val="000000"/>
                <w:szCs w:val="21"/>
              </w:rPr>
            </w:pPr>
            <w:r>
              <w:rPr>
                <w:b/>
                <w:color w:val="000000"/>
                <w:szCs w:val="21"/>
              </w:rPr>
              <w:t>序号</w:t>
            </w:r>
          </w:p>
        </w:tc>
        <w:tc>
          <w:tcPr>
            <w:tcW w:w="2265" w:type="dxa"/>
            <w:tcBorders>
              <w:top w:val="single" w:color="000000" w:sz="4" w:space="0"/>
              <w:left w:val="single" w:color="000000" w:sz="4" w:space="0"/>
              <w:bottom w:val="single" w:color="000000" w:sz="4" w:space="0"/>
              <w:right w:val="single" w:color="000000" w:sz="4" w:space="0"/>
            </w:tcBorders>
            <w:noWrap w:val="0"/>
            <w:vAlign w:val="center"/>
          </w:tcPr>
          <w:p w14:paraId="7012FA77">
            <w:pPr>
              <w:jc w:val="center"/>
              <w:rPr>
                <w:b/>
                <w:color w:val="000000"/>
                <w:szCs w:val="21"/>
              </w:rPr>
            </w:pPr>
            <w:r>
              <w:rPr>
                <w:b/>
                <w:color w:val="000000"/>
                <w:szCs w:val="21"/>
              </w:rPr>
              <w:t>名称</w:t>
            </w:r>
          </w:p>
        </w:tc>
        <w:tc>
          <w:tcPr>
            <w:tcW w:w="1335" w:type="dxa"/>
            <w:tcBorders>
              <w:top w:val="single" w:color="000000" w:sz="4" w:space="0"/>
              <w:left w:val="single" w:color="000000" w:sz="4" w:space="0"/>
              <w:bottom w:val="single" w:color="000000" w:sz="4" w:space="0"/>
              <w:right w:val="single" w:color="000000" w:sz="4" w:space="0"/>
            </w:tcBorders>
            <w:noWrap w:val="0"/>
            <w:vAlign w:val="center"/>
          </w:tcPr>
          <w:p w14:paraId="1096B537">
            <w:pPr>
              <w:jc w:val="center"/>
              <w:rPr>
                <w:b/>
                <w:color w:val="000000"/>
                <w:szCs w:val="21"/>
              </w:rPr>
            </w:pPr>
            <w:r>
              <w:rPr>
                <w:b/>
                <w:color w:val="000000"/>
                <w:szCs w:val="21"/>
              </w:rPr>
              <w:t>位置</w:t>
            </w:r>
          </w:p>
        </w:tc>
        <w:tc>
          <w:tcPr>
            <w:tcW w:w="3838" w:type="dxa"/>
            <w:tcBorders>
              <w:top w:val="single" w:color="000000" w:sz="4" w:space="0"/>
              <w:left w:val="single" w:color="000000" w:sz="4" w:space="0"/>
              <w:bottom w:val="single" w:color="000000" w:sz="4" w:space="0"/>
              <w:right w:val="single" w:color="000000" w:sz="4" w:space="0"/>
            </w:tcBorders>
            <w:noWrap w:val="0"/>
            <w:vAlign w:val="center"/>
          </w:tcPr>
          <w:p w14:paraId="39B91AF3">
            <w:pPr>
              <w:jc w:val="center"/>
              <w:rPr>
                <w:b/>
                <w:color w:val="000000"/>
                <w:szCs w:val="21"/>
              </w:rPr>
            </w:pPr>
            <w:r>
              <w:rPr>
                <w:b/>
                <w:color w:val="000000"/>
                <w:szCs w:val="21"/>
              </w:rPr>
              <w:t>项目范围红线距离保护目标最近距离</w:t>
            </w:r>
          </w:p>
        </w:tc>
      </w:tr>
      <w:tr w14:paraId="3827A65C">
        <w:tblPrEx>
          <w:tblCellMar>
            <w:top w:w="0" w:type="dxa"/>
            <w:left w:w="108" w:type="dxa"/>
            <w:bottom w:w="0" w:type="dxa"/>
            <w:right w:w="108" w:type="dxa"/>
          </w:tblCellMar>
        </w:tblPrEx>
        <w:trPr>
          <w:cantSplit/>
          <w:trHeight w:val="90" w:hRule="atLeast"/>
        </w:trPr>
        <w:tc>
          <w:tcPr>
            <w:tcW w:w="962" w:type="dxa"/>
            <w:tcBorders>
              <w:top w:val="single" w:color="000000" w:sz="4" w:space="0"/>
              <w:left w:val="single" w:color="000000" w:sz="4" w:space="0"/>
              <w:bottom w:val="single" w:color="000000" w:sz="4" w:space="0"/>
              <w:right w:val="single" w:color="000000" w:sz="4" w:space="0"/>
            </w:tcBorders>
            <w:noWrap w:val="0"/>
            <w:vAlign w:val="center"/>
          </w:tcPr>
          <w:p w14:paraId="065A97EA">
            <w:pPr>
              <w:jc w:val="center"/>
              <w:rPr>
                <w:color w:val="000000"/>
                <w:szCs w:val="21"/>
              </w:rPr>
            </w:pPr>
            <w:r>
              <w:rPr>
                <w:color w:val="000000"/>
                <w:szCs w:val="21"/>
              </w:rPr>
              <w:t>1</w:t>
            </w:r>
          </w:p>
        </w:tc>
        <w:tc>
          <w:tcPr>
            <w:tcW w:w="2265" w:type="dxa"/>
            <w:tcBorders>
              <w:top w:val="single" w:color="000000" w:sz="4" w:space="0"/>
              <w:left w:val="single" w:color="000000" w:sz="4" w:space="0"/>
              <w:bottom w:val="single" w:color="000000" w:sz="4" w:space="0"/>
              <w:right w:val="single" w:color="000000" w:sz="4" w:space="0"/>
            </w:tcBorders>
            <w:noWrap w:val="0"/>
            <w:vAlign w:val="center"/>
          </w:tcPr>
          <w:p w14:paraId="7E04BB51">
            <w:pPr>
              <w:jc w:val="center"/>
              <w:rPr>
                <w:color w:val="000000"/>
                <w:szCs w:val="21"/>
              </w:rPr>
            </w:pPr>
            <w:r>
              <w:rPr>
                <w:rFonts w:hint="eastAsia"/>
                <w:color w:val="000000"/>
                <w:szCs w:val="21"/>
              </w:rPr>
              <w:t>泛亚壹城</w:t>
            </w:r>
          </w:p>
        </w:tc>
        <w:tc>
          <w:tcPr>
            <w:tcW w:w="1335" w:type="dxa"/>
            <w:tcBorders>
              <w:top w:val="single" w:color="000000" w:sz="4" w:space="0"/>
              <w:left w:val="single" w:color="000000" w:sz="4" w:space="0"/>
              <w:bottom w:val="single" w:color="000000" w:sz="4" w:space="0"/>
              <w:right w:val="single" w:color="000000" w:sz="4" w:space="0"/>
            </w:tcBorders>
            <w:noWrap w:val="0"/>
            <w:vAlign w:val="center"/>
          </w:tcPr>
          <w:p w14:paraId="7281CF64">
            <w:pPr>
              <w:jc w:val="center"/>
              <w:rPr>
                <w:color w:val="000000"/>
                <w:szCs w:val="21"/>
              </w:rPr>
            </w:pPr>
            <w:r>
              <w:rPr>
                <w:rFonts w:hint="eastAsia"/>
                <w:color w:val="000000"/>
                <w:szCs w:val="21"/>
              </w:rPr>
              <w:t>南面</w:t>
            </w:r>
          </w:p>
        </w:tc>
        <w:tc>
          <w:tcPr>
            <w:tcW w:w="3838" w:type="dxa"/>
            <w:tcBorders>
              <w:top w:val="single" w:color="000000" w:sz="4" w:space="0"/>
              <w:left w:val="single" w:color="000000" w:sz="4" w:space="0"/>
              <w:bottom w:val="single" w:color="000000" w:sz="4" w:space="0"/>
              <w:right w:val="single" w:color="000000" w:sz="4" w:space="0"/>
            </w:tcBorders>
            <w:noWrap w:val="0"/>
            <w:vAlign w:val="center"/>
          </w:tcPr>
          <w:p w14:paraId="4E7498E7">
            <w:pPr>
              <w:jc w:val="center"/>
              <w:rPr>
                <w:color w:val="000000"/>
                <w:szCs w:val="21"/>
              </w:rPr>
            </w:pPr>
            <w:r>
              <w:rPr>
                <w:color w:val="000000"/>
                <w:szCs w:val="21"/>
              </w:rPr>
              <w:t>距离</w:t>
            </w:r>
            <w:r>
              <w:rPr>
                <w:rFonts w:hint="eastAsia"/>
                <w:color w:val="000000"/>
                <w:szCs w:val="21"/>
              </w:rPr>
              <w:t>55m</w:t>
            </w:r>
          </w:p>
        </w:tc>
      </w:tr>
      <w:tr w14:paraId="07275D84">
        <w:tblPrEx>
          <w:tblCellMar>
            <w:top w:w="0" w:type="dxa"/>
            <w:left w:w="108" w:type="dxa"/>
            <w:bottom w:w="0" w:type="dxa"/>
            <w:right w:w="108" w:type="dxa"/>
          </w:tblCellMar>
        </w:tblPrEx>
        <w:trPr>
          <w:cantSplit/>
          <w:trHeight w:val="90" w:hRule="atLeast"/>
        </w:trPr>
        <w:tc>
          <w:tcPr>
            <w:tcW w:w="962" w:type="dxa"/>
            <w:tcBorders>
              <w:top w:val="single" w:color="000000" w:sz="4" w:space="0"/>
              <w:left w:val="single" w:color="000000" w:sz="4" w:space="0"/>
              <w:bottom w:val="single" w:color="000000" w:sz="4" w:space="0"/>
              <w:right w:val="single" w:color="000000" w:sz="4" w:space="0"/>
            </w:tcBorders>
            <w:noWrap w:val="0"/>
            <w:vAlign w:val="center"/>
          </w:tcPr>
          <w:p w14:paraId="45C21928">
            <w:pPr>
              <w:jc w:val="center"/>
              <w:rPr>
                <w:color w:val="000000"/>
                <w:szCs w:val="21"/>
              </w:rPr>
            </w:pPr>
            <w:r>
              <w:rPr>
                <w:color w:val="000000"/>
                <w:szCs w:val="21"/>
              </w:rPr>
              <w:t>2</w:t>
            </w:r>
          </w:p>
        </w:tc>
        <w:tc>
          <w:tcPr>
            <w:tcW w:w="2265" w:type="dxa"/>
            <w:tcBorders>
              <w:top w:val="single" w:color="000000" w:sz="4" w:space="0"/>
              <w:left w:val="single" w:color="000000" w:sz="4" w:space="0"/>
              <w:bottom w:val="single" w:color="000000" w:sz="4" w:space="0"/>
              <w:right w:val="single" w:color="000000" w:sz="4" w:space="0"/>
            </w:tcBorders>
            <w:noWrap w:val="0"/>
            <w:vAlign w:val="center"/>
          </w:tcPr>
          <w:p w14:paraId="653D56C8">
            <w:pPr>
              <w:jc w:val="center"/>
              <w:rPr>
                <w:color w:val="000000"/>
                <w:szCs w:val="21"/>
              </w:rPr>
            </w:pPr>
            <w:r>
              <w:rPr>
                <w:rFonts w:hint="eastAsia"/>
                <w:color w:val="000000"/>
                <w:szCs w:val="21"/>
              </w:rPr>
              <w:t>芒核村</w:t>
            </w:r>
          </w:p>
        </w:tc>
        <w:tc>
          <w:tcPr>
            <w:tcW w:w="1335" w:type="dxa"/>
            <w:tcBorders>
              <w:top w:val="single" w:color="000000" w:sz="4" w:space="0"/>
              <w:left w:val="single" w:color="000000" w:sz="4" w:space="0"/>
              <w:bottom w:val="single" w:color="000000" w:sz="4" w:space="0"/>
              <w:right w:val="single" w:color="000000" w:sz="4" w:space="0"/>
            </w:tcBorders>
            <w:noWrap w:val="0"/>
            <w:vAlign w:val="center"/>
          </w:tcPr>
          <w:p w14:paraId="477335B2">
            <w:pPr>
              <w:jc w:val="center"/>
              <w:rPr>
                <w:color w:val="000000"/>
                <w:szCs w:val="21"/>
              </w:rPr>
            </w:pPr>
            <w:r>
              <w:rPr>
                <w:rFonts w:hint="eastAsia"/>
                <w:color w:val="000000"/>
                <w:szCs w:val="21"/>
              </w:rPr>
              <w:t>北面</w:t>
            </w:r>
          </w:p>
        </w:tc>
        <w:tc>
          <w:tcPr>
            <w:tcW w:w="3838" w:type="dxa"/>
            <w:tcBorders>
              <w:top w:val="single" w:color="000000" w:sz="4" w:space="0"/>
              <w:left w:val="single" w:color="000000" w:sz="4" w:space="0"/>
              <w:bottom w:val="single" w:color="000000" w:sz="4" w:space="0"/>
              <w:right w:val="single" w:color="000000" w:sz="4" w:space="0"/>
            </w:tcBorders>
            <w:noWrap w:val="0"/>
            <w:vAlign w:val="center"/>
          </w:tcPr>
          <w:p w14:paraId="5916C1BC">
            <w:pPr>
              <w:jc w:val="center"/>
              <w:rPr>
                <w:color w:val="000000"/>
                <w:szCs w:val="21"/>
              </w:rPr>
            </w:pPr>
            <w:r>
              <w:rPr>
                <w:color w:val="000000"/>
                <w:szCs w:val="21"/>
              </w:rPr>
              <w:t>距离</w:t>
            </w:r>
            <w:r>
              <w:rPr>
                <w:rFonts w:hint="eastAsia"/>
                <w:color w:val="000000"/>
                <w:szCs w:val="21"/>
              </w:rPr>
              <w:t>165m</w:t>
            </w:r>
          </w:p>
        </w:tc>
      </w:tr>
      <w:tr w14:paraId="4E87D39E">
        <w:tblPrEx>
          <w:tblCellMar>
            <w:top w:w="0" w:type="dxa"/>
            <w:left w:w="108" w:type="dxa"/>
            <w:bottom w:w="0" w:type="dxa"/>
            <w:right w:w="108" w:type="dxa"/>
          </w:tblCellMar>
        </w:tblPrEx>
        <w:trPr>
          <w:cantSplit/>
          <w:trHeight w:val="90" w:hRule="atLeast"/>
        </w:trPr>
        <w:tc>
          <w:tcPr>
            <w:tcW w:w="962" w:type="dxa"/>
            <w:tcBorders>
              <w:top w:val="single" w:color="000000" w:sz="4" w:space="0"/>
              <w:left w:val="single" w:color="000000" w:sz="4" w:space="0"/>
              <w:bottom w:val="single" w:color="000000" w:sz="4" w:space="0"/>
              <w:right w:val="single" w:color="000000" w:sz="4" w:space="0"/>
            </w:tcBorders>
            <w:noWrap w:val="0"/>
            <w:vAlign w:val="center"/>
          </w:tcPr>
          <w:p w14:paraId="278E6CF5">
            <w:pPr>
              <w:jc w:val="center"/>
              <w:rPr>
                <w:color w:val="000000"/>
                <w:szCs w:val="21"/>
              </w:rPr>
            </w:pPr>
            <w:r>
              <w:rPr>
                <w:color w:val="000000"/>
                <w:szCs w:val="21"/>
              </w:rPr>
              <w:t>3</w:t>
            </w:r>
          </w:p>
        </w:tc>
        <w:tc>
          <w:tcPr>
            <w:tcW w:w="2265" w:type="dxa"/>
            <w:vMerge w:val="restart"/>
            <w:tcBorders>
              <w:top w:val="single" w:color="000000" w:sz="4" w:space="0"/>
              <w:left w:val="single" w:color="000000" w:sz="4" w:space="0"/>
              <w:bottom w:val="nil"/>
              <w:right w:val="single" w:color="000000" w:sz="4" w:space="0"/>
            </w:tcBorders>
            <w:noWrap w:val="0"/>
            <w:vAlign w:val="center"/>
          </w:tcPr>
          <w:p w14:paraId="0F2EE025">
            <w:pPr>
              <w:jc w:val="center"/>
              <w:rPr>
                <w:color w:val="000000"/>
                <w:szCs w:val="21"/>
              </w:rPr>
            </w:pPr>
            <w:r>
              <w:rPr>
                <w:rFonts w:hint="eastAsia"/>
                <w:color w:val="000000"/>
                <w:szCs w:val="21"/>
              </w:rPr>
              <w:t>商住混合区</w:t>
            </w:r>
          </w:p>
        </w:tc>
        <w:tc>
          <w:tcPr>
            <w:tcW w:w="1335" w:type="dxa"/>
            <w:tcBorders>
              <w:top w:val="single" w:color="000000" w:sz="4" w:space="0"/>
              <w:left w:val="single" w:color="000000" w:sz="4" w:space="0"/>
              <w:bottom w:val="single" w:color="000000" w:sz="4" w:space="0"/>
              <w:right w:val="single" w:color="000000" w:sz="4" w:space="0"/>
            </w:tcBorders>
            <w:noWrap w:val="0"/>
            <w:vAlign w:val="center"/>
          </w:tcPr>
          <w:p w14:paraId="0B2B3D9D">
            <w:pPr>
              <w:jc w:val="center"/>
              <w:rPr>
                <w:color w:val="000000"/>
                <w:szCs w:val="21"/>
              </w:rPr>
            </w:pPr>
            <w:r>
              <w:rPr>
                <w:rFonts w:hint="eastAsia"/>
                <w:color w:val="000000"/>
                <w:szCs w:val="21"/>
              </w:rPr>
              <w:t>东面</w:t>
            </w:r>
          </w:p>
        </w:tc>
        <w:tc>
          <w:tcPr>
            <w:tcW w:w="3838" w:type="dxa"/>
            <w:tcBorders>
              <w:top w:val="single" w:color="000000" w:sz="4" w:space="0"/>
              <w:left w:val="single" w:color="000000" w:sz="4" w:space="0"/>
              <w:bottom w:val="single" w:color="000000" w:sz="4" w:space="0"/>
              <w:right w:val="single" w:color="000000" w:sz="4" w:space="0"/>
            </w:tcBorders>
            <w:noWrap w:val="0"/>
            <w:vAlign w:val="center"/>
          </w:tcPr>
          <w:p w14:paraId="377809EF">
            <w:pPr>
              <w:jc w:val="center"/>
              <w:rPr>
                <w:color w:val="000000"/>
                <w:szCs w:val="21"/>
              </w:rPr>
            </w:pPr>
            <w:r>
              <w:rPr>
                <w:color w:val="000000"/>
                <w:szCs w:val="21"/>
              </w:rPr>
              <w:t>距离</w:t>
            </w:r>
            <w:r>
              <w:rPr>
                <w:rFonts w:hint="eastAsia"/>
                <w:color w:val="000000"/>
                <w:szCs w:val="21"/>
              </w:rPr>
              <w:t>35m</w:t>
            </w:r>
          </w:p>
        </w:tc>
      </w:tr>
      <w:tr w14:paraId="2F67B3BB">
        <w:tblPrEx>
          <w:tblCellMar>
            <w:top w:w="0" w:type="dxa"/>
            <w:left w:w="108" w:type="dxa"/>
            <w:bottom w:w="0" w:type="dxa"/>
            <w:right w:w="108" w:type="dxa"/>
          </w:tblCellMar>
        </w:tblPrEx>
        <w:trPr>
          <w:cantSplit/>
          <w:trHeight w:val="90" w:hRule="atLeast"/>
        </w:trPr>
        <w:tc>
          <w:tcPr>
            <w:tcW w:w="962" w:type="dxa"/>
            <w:tcBorders>
              <w:top w:val="single" w:color="000000" w:sz="4" w:space="0"/>
              <w:left w:val="single" w:color="000000" w:sz="4" w:space="0"/>
              <w:bottom w:val="single" w:color="000000" w:sz="4" w:space="0"/>
              <w:right w:val="single" w:color="000000" w:sz="4" w:space="0"/>
            </w:tcBorders>
            <w:noWrap w:val="0"/>
            <w:vAlign w:val="center"/>
          </w:tcPr>
          <w:p w14:paraId="2D598EC2">
            <w:pPr>
              <w:jc w:val="center"/>
              <w:rPr>
                <w:color w:val="000000"/>
                <w:szCs w:val="21"/>
              </w:rPr>
            </w:pPr>
            <w:r>
              <w:rPr>
                <w:color w:val="000000"/>
                <w:szCs w:val="21"/>
              </w:rPr>
              <w:t>4</w:t>
            </w:r>
          </w:p>
        </w:tc>
        <w:tc>
          <w:tcPr>
            <w:tcW w:w="2265" w:type="dxa"/>
            <w:vMerge w:val="continue"/>
            <w:tcBorders>
              <w:top w:val="nil"/>
              <w:left w:val="single" w:color="000000" w:sz="4" w:space="0"/>
              <w:bottom w:val="single" w:color="000000" w:sz="4" w:space="0"/>
              <w:right w:val="single" w:color="000000" w:sz="4" w:space="0"/>
            </w:tcBorders>
            <w:noWrap w:val="0"/>
            <w:vAlign w:val="center"/>
          </w:tcPr>
          <w:p w14:paraId="0846FD65">
            <w:pPr>
              <w:jc w:val="center"/>
              <w:rPr>
                <w:color w:val="000000"/>
                <w:szCs w:val="21"/>
              </w:rPr>
            </w:pPr>
          </w:p>
        </w:tc>
        <w:tc>
          <w:tcPr>
            <w:tcW w:w="1335" w:type="dxa"/>
            <w:tcBorders>
              <w:top w:val="single" w:color="000000" w:sz="4" w:space="0"/>
              <w:left w:val="single" w:color="000000" w:sz="4" w:space="0"/>
              <w:bottom w:val="single" w:color="000000" w:sz="4" w:space="0"/>
              <w:right w:val="single" w:color="000000" w:sz="4" w:space="0"/>
            </w:tcBorders>
            <w:noWrap w:val="0"/>
            <w:vAlign w:val="center"/>
          </w:tcPr>
          <w:p w14:paraId="514205E9">
            <w:pPr>
              <w:jc w:val="center"/>
              <w:rPr>
                <w:color w:val="000000"/>
                <w:szCs w:val="21"/>
              </w:rPr>
            </w:pPr>
            <w:r>
              <w:rPr>
                <w:rFonts w:hint="eastAsia"/>
                <w:color w:val="000000"/>
                <w:szCs w:val="21"/>
              </w:rPr>
              <w:t>北面</w:t>
            </w:r>
          </w:p>
        </w:tc>
        <w:tc>
          <w:tcPr>
            <w:tcW w:w="3838" w:type="dxa"/>
            <w:tcBorders>
              <w:top w:val="single" w:color="000000" w:sz="4" w:space="0"/>
              <w:left w:val="single" w:color="000000" w:sz="4" w:space="0"/>
              <w:bottom w:val="single" w:color="000000" w:sz="4" w:space="0"/>
              <w:right w:val="single" w:color="000000" w:sz="4" w:space="0"/>
            </w:tcBorders>
            <w:noWrap w:val="0"/>
            <w:vAlign w:val="center"/>
          </w:tcPr>
          <w:p w14:paraId="3B9E463F">
            <w:pPr>
              <w:jc w:val="center"/>
              <w:rPr>
                <w:color w:val="000000"/>
                <w:szCs w:val="21"/>
              </w:rPr>
            </w:pPr>
            <w:r>
              <w:rPr>
                <w:color w:val="000000"/>
                <w:szCs w:val="21"/>
              </w:rPr>
              <w:t>距离</w:t>
            </w:r>
            <w:r>
              <w:rPr>
                <w:rFonts w:hint="eastAsia"/>
                <w:color w:val="000000"/>
                <w:szCs w:val="21"/>
              </w:rPr>
              <w:t>15m</w:t>
            </w:r>
          </w:p>
        </w:tc>
      </w:tr>
    </w:tbl>
    <w:p w14:paraId="34BD5405">
      <w:pPr>
        <w:pStyle w:val="221"/>
        <w:spacing w:before="120" w:after="0" w:line="360" w:lineRule="auto"/>
        <w:ind w:left="0" w:firstLine="482"/>
        <w:rPr>
          <w:color w:val="000000"/>
          <w:sz w:val="24"/>
        </w:rPr>
      </w:pPr>
      <w:r>
        <w:rPr>
          <w:rFonts w:hint="eastAsia"/>
          <w:color w:val="000000"/>
          <w:sz w:val="24"/>
        </w:rPr>
        <w:t>②</w:t>
      </w:r>
      <w:r>
        <w:rPr>
          <w:color w:val="000000"/>
          <w:sz w:val="24"/>
        </w:rPr>
        <w:t>施工期环境保护目标噪声预测</w:t>
      </w:r>
    </w:p>
    <w:p w14:paraId="5E2F0139">
      <w:pPr>
        <w:spacing w:line="360" w:lineRule="auto"/>
        <w:ind w:firstLine="480"/>
        <w:rPr>
          <w:color w:val="000000"/>
          <w:sz w:val="24"/>
        </w:rPr>
      </w:pPr>
      <w:r>
        <w:rPr>
          <w:color w:val="000000"/>
          <w:sz w:val="24"/>
        </w:rPr>
        <w:t>根据预测出的施工机械噪  声贡献值，再根据项目环境保护目标与项目所处的相对位置和环境噪声本底值，在不考虑声屏障、空气吸收等衰减情况下，预测项目环境保护目标在施工阶段的环境噪声值，预测结果见表6.1-8。</w:t>
      </w:r>
    </w:p>
    <w:p w14:paraId="2E0CFDA5">
      <w:pPr>
        <w:spacing w:line="360" w:lineRule="auto"/>
        <w:jc w:val="center"/>
        <w:rPr>
          <w:b/>
          <w:color w:val="000000"/>
          <w:sz w:val="24"/>
        </w:rPr>
      </w:pPr>
      <w:r>
        <w:rPr>
          <w:b/>
          <w:color w:val="000000"/>
          <w:sz w:val="24"/>
        </w:rPr>
        <w:t>表6.1-8  项目施工阶段环境保护目标环境噪声预测结果</w:t>
      </w:r>
    </w:p>
    <w:tbl>
      <w:tblPr>
        <w:tblStyle w:val="27"/>
        <w:tblW w:w="0" w:type="auto"/>
        <w:tblInd w:w="0" w:type="dxa"/>
        <w:tblLayout w:type="fixed"/>
        <w:tblCellMar>
          <w:top w:w="0" w:type="dxa"/>
          <w:left w:w="0" w:type="dxa"/>
          <w:bottom w:w="0" w:type="dxa"/>
          <w:right w:w="0" w:type="dxa"/>
        </w:tblCellMar>
      </w:tblPr>
      <w:tblGrid>
        <w:gridCol w:w="318"/>
        <w:gridCol w:w="1213"/>
        <w:gridCol w:w="782"/>
        <w:gridCol w:w="2113"/>
        <w:gridCol w:w="2063"/>
        <w:gridCol w:w="1009"/>
        <w:gridCol w:w="914"/>
      </w:tblGrid>
      <w:tr w14:paraId="4B5D625A">
        <w:tblPrEx>
          <w:tblCellMar>
            <w:top w:w="0" w:type="dxa"/>
            <w:left w:w="0" w:type="dxa"/>
            <w:bottom w:w="0" w:type="dxa"/>
            <w:right w:w="0" w:type="dxa"/>
          </w:tblCellMar>
        </w:tblPrEx>
        <w:trPr>
          <w:cantSplit/>
          <w:trHeight w:val="20" w:hRule="atLeast"/>
        </w:trPr>
        <w:tc>
          <w:tcPr>
            <w:tcW w:w="318" w:type="dxa"/>
            <w:vMerge w:val="restart"/>
            <w:tcBorders>
              <w:top w:val="single" w:color="000000" w:sz="8" w:space="0"/>
              <w:left w:val="single" w:color="000000" w:sz="8" w:space="0"/>
              <w:bottom w:val="single" w:color="000000" w:sz="8" w:space="0"/>
              <w:right w:val="single" w:color="000000" w:sz="8" w:space="0"/>
            </w:tcBorders>
            <w:noWrap w:val="0"/>
            <w:vAlign w:val="center"/>
          </w:tcPr>
          <w:p w14:paraId="3B4E900F">
            <w:pPr>
              <w:jc w:val="center"/>
              <w:rPr>
                <w:b/>
                <w:color w:val="000000"/>
                <w:szCs w:val="21"/>
              </w:rPr>
            </w:pPr>
            <w:r>
              <w:rPr>
                <w:b/>
                <w:color w:val="000000"/>
                <w:szCs w:val="21"/>
              </w:rPr>
              <w:t>序号</w:t>
            </w:r>
          </w:p>
        </w:tc>
        <w:tc>
          <w:tcPr>
            <w:tcW w:w="1213" w:type="dxa"/>
            <w:vMerge w:val="restart"/>
            <w:tcBorders>
              <w:top w:val="single" w:color="000000" w:sz="8" w:space="0"/>
              <w:left w:val="single" w:color="000000" w:sz="8" w:space="0"/>
              <w:bottom w:val="single" w:color="000000" w:sz="8" w:space="0"/>
              <w:right w:val="single" w:color="000000" w:sz="8" w:space="0"/>
            </w:tcBorders>
            <w:noWrap w:val="0"/>
            <w:vAlign w:val="center"/>
          </w:tcPr>
          <w:p w14:paraId="5592CF6B">
            <w:pPr>
              <w:jc w:val="center"/>
              <w:rPr>
                <w:b/>
                <w:color w:val="000000"/>
                <w:szCs w:val="21"/>
              </w:rPr>
            </w:pPr>
            <w:r>
              <w:rPr>
                <w:b/>
                <w:color w:val="000000"/>
                <w:szCs w:val="21"/>
              </w:rPr>
              <w:t>环境保护目标</w:t>
            </w:r>
          </w:p>
        </w:tc>
        <w:tc>
          <w:tcPr>
            <w:tcW w:w="782" w:type="dxa"/>
            <w:vMerge w:val="restart"/>
            <w:tcBorders>
              <w:top w:val="single" w:color="000000" w:sz="8" w:space="0"/>
              <w:left w:val="single" w:color="000000" w:sz="8" w:space="0"/>
              <w:bottom w:val="single" w:color="000000" w:sz="8" w:space="0"/>
              <w:right w:val="single" w:color="000000" w:sz="8" w:space="0"/>
            </w:tcBorders>
            <w:noWrap w:val="0"/>
            <w:vAlign w:val="center"/>
          </w:tcPr>
          <w:p w14:paraId="5BEEE45E">
            <w:pPr>
              <w:jc w:val="center"/>
              <w:rPr>
                <w:b/>
                <w:color w:val="000000"/>
                <w:szCs w:val="21"/>
              </w:rPr>
            </w:pPr>
            <w:r>
              <w:rPr>
                <w:rFonts w:hint="eastAsia"/>
                <w:b/>
                <w:color w:val="000000"/>
                <w:szCs w:val="21"/>
              </w:rPr>
              <w:t>贡献值</w:t>
            </w:r>
          </w:p>
        </w:tc>
        <w:tc>
          <w:tcPr>
            <w:tcW w:w="2113" w:type="dxa"/>
            <w:vMerge w:val="restart"/>
            <w:tcBorders>
              <w:top w:val="single" w:color="000000" w:sz="8" w:space="0"/>
              <w:left w:val="single" w:color="000000" w:sz="8" w:space="0"/>
              <w:bottom w:val="single" w:color="000000" w:sz="8" w:space="0"/>
              <w:right w:val="single" w:color="000000" w:sz="8" w:space="0"/>
            </w:tcBorders>
            <w:noWrap w:val="0"/>
            <w:vAlign w:val="top"/>
          </w:tcPr>
          <w:p w14:paraId="3A8F10CC">
            <w:pPr>
              <w:jc w:val="center"/>
              <w:rPr>
                <w:b/>
                <w:color w:val="000000"/>
                <w:szCs w:val="21"/>
              </w:rPr>
            </w:pPr>
            <w:r>
              <w:rPr>
                <w:rFonts w:hint="eastAsia"/>
                <w:b/>
                <w:color w:val="000000"/>
                <w:szCs w:val="21"/>
              </w:rPr>
              <w:t>背景值</w:t>
            </w:r>
          </w:p>
        </w:tc>
        <w:tc>
          <w:tcPr>
            <w:tcW w:w="2063" w:type="dxa"/>
            <w:vMerge w:val="restart"/>
            <w:tcBorders>
              <w:top w:val="single" w:color="000000" w:sz="8" w:space="0"/>
              <w:left w:val="single" w:color="000000" w:sz="8" w:space="0"/>
              <w:bottom w:val="single" w:color="000000" w:sz="8" w:space="0"/>
              <w:right w:val="single" w:color="000000" w:sz="8" w:space="0"/>
            </w:tcBorders>
            <w:noWrap w:val="0"/>
            <w:vAlign w:val="top"/>
          </w:tcPr>
          <w:p w14:paraId="40392717">
            <w:pPr>
              <w:jc w:val="center"/>
              <w:rPr>
                <w:b/>
                <w:color w:val="000000"/>
                <w:szCs w:val="21"/>
              </w:rPr>
            </w:pPr>
            <w:r>
              <w:rPr>
                <w:b/>
                <w:color w:val="000000"/>
                <w:szCs w:val="21"/>
              </w:rPr>
              <w:t>预测值dB(A)</w:t>
            </w:r>
          </w:p>
        </w:tc>
        <w:tc>
          <w:tcPr>
            <w:tcW w:w="1923" w:type="dxa"/>
            <w:gridSpan w:val="2"/>
            <w:tcBorders>
              <w:top w:val="single" w:color="000000" w:sz="8" w:space="0"/>
              <w:left w:val="single" w:color="000000" w:sz="8" w:space="0"/>
              <w:bottom w:val="single" w:color="000000" w:sz="8" w:space="0"/>
              <w:right w:val="single" w:color="000000" w:sz="8" w:space="0"/>
            </w:tcBorders>
            <w:noWrap w:val="0"/>
            <w:vAlign w:val="center"/>
          </w:tcPr>
          <w:p w14:paraId="456CC561">
            <w:pPr>
              <w:jc w:val="center"/>
              <w:rPr>
                <w:b/>
                <w:color w:val="000000"/>
                <w:szCs w:val="21"/>
              </w:rPr>
            </w:pPr>
            <w:r>
              <w:rPr>
                <w:b/>
                <w:color w:val="000000"/>
                <w:szCs w:val="21"/>
              </w:rPr>
              <w:t>标准值dB(A)</w:t>
            </w:r>
          </w:p>
        </w:tc>
      </w:tr>
      <w:tr w14:paraId="6165E0CA">
        <w:tblPrEx>
          <w:tblCellMar>
            <w:top w:w="0" w:type="dxa"/>
            <w:left w:w="0" w:type="dxa"/>
            <w:bottom w:w="0" w:type="dxa"/>
            <w:right w:w="0" w:type="dxa"/>
          </w:tblCellMar>
        </w:tblPrEx>
        <w:trPr>
          <w:cantSplit/>
          <w:trHeight w:val="20" w:hRule="atLeast"/>
        </w:trPr>
        <w:tc>
          <w:tcPr>
            <w:tcW w:w="318" w:type="dxa"/>
            <w:vMerge w:val="continue"/>
            <w:tcBorders>
              <w:top w:val="single" w:color="000000" w:sz="8" w:space="0"/>
              <w:left w:val="single" w:color="000000" w:sz="8" w:space="0"/>
              <w:bottom w:val="single" w:color="000000" w:sz="8" w:space="0"/>
              <w:right w:val="single" w:color="000000" w:sz="8" w:space="0"/>
            </w:tcBorders>
            <w:noWrap w:val="0"/>
            <w:vAlign w:val="center"/>
          </w:tcPr>
          <w:p w14:paraId="15C06C8E">
            <w:pPr>
              <w:jc w:val="left"/>
              <w:rPr>
                <w:b/>
                <w:color w:val="000000"/>
                <w:szCs w:val="21"/>
              </w:rPr>
            </w:pPr>
          </w:p>
        </w:tc>
        <w:tc>
          <w:tcPr>
            <w:tcW w:w="1213" w:type="dxa"/>
            <w:vMerge w:val="continue"/>
            <w:tcBorders>
              <w:top w:val="single" w:color="000000" w:sz="8" w:space="0"/>
              <w:left w:val="single" w:color="000000" w:sz="8" w:space="0"/>
              <w:bottom w:val="single" w:color="000000" w:sz="8" w:space="0"/>
              <w:right w:val="single" w:color="000000" w:sz="8" w:space="0"/>
            </w:tcBorders>
            <w:noWrap w:val="0"/>
            <w:vAlign w:val="center"/>
          </w:tcPr>
          <w:p w14:paraId="28CD9CEB">
            <w:pPr>
              <w:jc w:val="left"/>
              <w:rPr>
                <w:b/>
                <w:color w:val="000000"/>
                <w:szCs w:val="21"/>
              </w:rPr>
            </w:pPr>
          </w:p>
        </w:tc>
        <w:tc>
          <w:tcPr>
            <w:tcW w:w="782" w:type="dxa"/>
            <w:vMerge w:val="continue"/>
            <w:tcBorders>
              <w:top w:val="single" w:color="000000" w:sz="8" w:space="0"/>
              <w:left w:val="single" w:color="000000" w:sz="8" w:space="0"/>
              <w:bottom w:val="single" w:color="000000" w:sz="8" w:space="0"/>
              <w:right w:val="single" w:color="000000" w:sz="8" w:space="0"/>
            </w:tcBorders>
            <w:noWrap w:val="0"/>
            <w:vAlign w:val="center"/>
          </w:tcPr>
          <w:p w14:paraId="2C540C2C">
            <w:pPr>
              <w:jc w:val="left"/>
              <w:rPr>
                <w:b/>
                <w:color w:val="000000"/>
                <w:szCs w:val="21"/>
              </w:rPr>
            </w:pPr>
          </w:p>
        </w:tc>
        <w:tc>
          <w:tcPr>
            <w:tcW w:w="2113" w:type="dxa"/>
            <w:vMerge w:val="continue"/>
            <w:tcBorders>
              <w:top w:val="single" w:color="000000" w:sz="8" w:space="0"/>
              <w:left w:val="single" w:color="000000" w:sz="8" w:space="0"/>
              <w:bottom w:val="single" w:color="000000" w:sz="8" w:space="0"/>
              <w:right w:val="single" w:color="000000" w:sz="8" w:space="0"/>
            </w:tcBorders>
            <w:noWrap w:val="0"/>
            <w:vAlign w:val="top"/>
          </w:tcPr>
          <w:p w14:paraId="38910FF5">
            <w:pPr>
              <w:jc w:val="left"/>
              <w:rPr>
                <w:b/>
                <w:color w:val="000000"/>
                <w:szCs w:val="21"/>
              </w:rPr>
            </w:pPr>
          </w:p>
        </w:tc>
        <w:tc>
          <w:tcPr>
            <w:tcW w:w="2063" w:type="dxa"/>
            <w:vMerge w:val="continue"/>
            <w:tcBorders>
              <w:top w:val="single" w:color="000000" w:sz="8" w:space="0"/>
              <w:left w:val="single" w:color="000000" w:sz="8" w:space="0"/>
              <w:bottom w:val="single" w:color="000000" w:sz="8" w:space="0"/>
              <w:right w:val="single" w:color="000000" w:sz="8" w:space="0"/>
            </w:tcBorders>
            <w:noWrap w:val="0"/>
            <w:vAlign w:val="top"/>
          </w:tcPr>
          <w:p w14:paraId="1F8CD1C1">
            <w:pPr>
              <w:jc w:val="left"/>
              <w:rPr>
                <w:b/>
                <w:color w:val="000000"/>
                <w:szCs w:val="21"/>
              </w:rPr>
            </w:pPr>
          </w:p>
        </w:tc>
        <w:tc>
          <w:tcPr>
            <w:tcW w:w="1009" w:type="dxa"/>
            <w:tcBorders>
              <w:top w:val="single" w:color="000000" w:sz="8" w:space="0"/>
              <w:left w:val="single" w:color="000000" w:sz="8" w:space="0"/>
              <w:bottom w:val="single" w:color="000000" w:sz="8" w:space="0"/>
              <w:right w:val="single" w:color="000000" w:sz="8" w:space="0"/>
            </w:tcBorders>
            <w:noWrap w:val="0"/>
            <w:vAlign w:val="center"/>
          </w:tcPr>
          <w:p w14:paraId="086AC57C">
            <w:pPr>
              <w:jc w:val="center"/>
              <w:rPr>
                <w:color w:val="000000"/>
                <w:szCs w:val="21"/>
              </w:rPr>
            </w:pPr>
            <w:r>
              <w:rPr>
                <w:color w:val="000000"/>
                <w:szCs w:val="21"/>
              </w:rPr>
              <w:t>昼</w:t>
            </w:r>
          </w:p>
        </w:tc>
        <w:tc>
          <w:tcPr>
            <w:tcW w:w="914" w:type="dxa"/>
            <w:tcBorders>
              <w:top w:val="single" w:color="000000" w:sz="8" w:space="0"/>
              <w:left w:val="single" w:color="000000" w:sz="8" w:space="0"/>
              <w:bottom w:val="single" w:color="000000" w:sz="8" w:space="0"/>
              <w:right w:val="single" w:color="000000" w:sz="8" w:space="0"/>
            </w:tcBorders>
            <w:noWrap w:val="0"/>
            <w:vAlign w:val="center"/>
          </w:tcPr>
          <w:p w14:paraId="39A7FF75">
            <w:pPr>
              <w:jc w:val="center"/>
              <w:rPr>
                <w:color w:val="000000"/>
                <w:szCs w:val="21"/>
              </w:rPr>
            </w:pPr>
            <w:r>
              <w:rPr>
                <w:color w:val="000000"/>
                <w:szCs w:val="21"/>
              </w:rPr>
              <w:t>夜</w:t>
            </w:r>
          </w:p>
        </w:tc>
      </w:tr>
      <w:tr w14:paraId="0DF69627">
        <w:tblPrEx>
          <w:tblCellMar>
            <w:top w:w="0" w:type="dxa"/>
            <w:left w:w="0" w:type="dxa"/>
            <w:bottom w:w="0" w:type="dxa"/>
            <w:right w:w="0" w:type="dxa"/>
          </w:tblCellMar>
        </w:tblPrEx>
        <w:trPr>
          <w:cantSplit/>
          <w:trHeight w:val="414" w:hRule="atLeast"/>
        </w:trPr>
        <w:tc>
          <w:tcPr>
            <w:tcW w:w="318" w:type="dxa"/>
            <w:tcBorders>
              <w:top w:val="single" w:color="000000" w:sz="8" w:space="0"/>
              <w:left w:val="single" w:color="000000" w:sz="8" w:space="0"/>
              <w:bottom w:val="single" w:color="000000" w:sz="8" w:space="0"/>
              <w:right w:val="single" w:color="000000" w:sz="8" w:space="0"/>
            </w:tcBorders>
            <w:noWrap w:val="0"/>
            <w:vAlign w:val="center"/>
          </w:tcPr>
          <w:p w14:paraId="3E9D7291">
            <w:pPr>
              <w:jc w:val="center"/>
              <w:rPr>
                <w:color w:val="000000"/>
                <w:szCs w:val="21"/>
              </w:rPr>
            </w:pPr>
            <w:r>
              <w:rPr>
                <w:color w:val="000000"/>
                <w:szCs w:val="21"/>
              </w:rPr>
              <w:t>1</w:t>
            </w:r>
          </w:p>
        </w:tc>
        <w:tc>
          <w:tcPr>
            <w:tcW w:w="1213" w:type="dxa"/>
            <w:tcBorders>
              <w:top w:val="single" w:color="000000" w:sz="8" w:space="0"/>
              <w:left w:val="single" w:color="000000" w:sz="8" w:space="0"/>
              <w:bottom w:val="single" w:color="000000" w:sz="8" w:space="0"/>
              <w:right w:val="single" w:color="000000" w:sz="8" w:space="0"/>
            </w:tcBorders>
            <w:noWrap w:val="0"/>
            <w:vAlign w:val="center"/>
          </w:tcPr>
          <w:p w14:paraId="0DF48993">
            <w:pPr>
              <w:jc w:val="center"/>
              <w:rPr>
                <w:color w:val="000000"/>
                <w:szCs w:val="21"/>
              </w:rPr>
            </w:pPr>
            <w:r>
              <w:rPr>
                <w:rFonts w:hint="eastAsia"/>
                <w:color w:val="000000"/>
                <w:szCs w:val="21"/>
              </w:rPr>
              <w:t>泛亚壹城</w:t>
            </w:r>
          </w:p>
        </w:tc>
        <w:tc>
          <w:tcPr>
            <w:tcW w:w="782" w:type="dxa"/>
            <w:tcBorders>
              <w:top w:val="single" w:color="000000" w:sz="8" w:space="0"/>
              <w:left w:val="single" w:color="000000" w:sz="8" w:space="0"/>
              <w:bottom w:val="single" w:color="000000" w:sz="8" w:space="0"/>
              <w:right w:val="single" w:color="000000" w:sz="8" w:space="0"/>
            </w:tcBorders>
            <w:noWrap w:val="0"/>
            <w:vAlign w:val="center"/>
          </w:tcPr>
          <w:p w14:paraId="66FC9A1F">
            <w:pPr>
              <w:jc w:val="center"/>
              <w:rPr>
                <w:rFonts w:hint="eastAsia"/>
                <w:color w:val="000000"/>
                <w:szCs w:val="21"/>
              </w:rPr>
            </w:pPr>
            <w:r>
              <w:rPr>
                <w:rFonts w:hint="eastAsia"/>
                <w:color w:val="000000"/>
                <w:szCs w:val="21"/>
              </w:rPr>
              <w:t>77</w:t>
            </w:r>
          </w:p>
        </w:tc>
        <w:tc>
          <w:tcPr>
            <w:tcW w:w="2113" w:type="dxa"/>
            <w:tcBorders>
              <w:top w:val="single" w:color="000000" w:sz="8" w:space="0"/>
              <w:left w:val="single" w:color="000000" w:sz="8" w:space="0"/>
              <w:bottom w:val="single" w:color="000000" w:sz="8" w:space="0"/>
              <w:right w:val="single" w:color="000000" w:sz="8" w:space="0"/>
            </w:tcBorders>
            <w:noWrap w:val="0"/>
            <w:vAlign w:val="top"/>
          </w:tcPr>
          <w:p w14:paraId="11279490">
            <w:pPr>
              <w:jc w:val="center"/>
              <w:rPr>
                <w:color w:val="000000"/>
                <w:szCs w:val="21"/>
              </w:rPr>
            </w:pPr>
            <w:r>
              <w:rPr>
                <w:rFonts w:hint="eastAsia"/>
                <w:color w:val="000000"/>
                <w:szCs w:val="21"/>
              </w:rPr>
              <w:t>53.1（昼）48.8(夜)</w:t>
            </w:r>
          </w:p>
        </w:tc>
        <w:tc>
          <w:tcPr>
            <w:tcW w:w="2063" w:type="dxa"/>
            <w:tcBorders>
              <w:top w:val="single" w:color="000000" w:sz="8" w:space="0"/>
              <w:left w:val="single" w:color="000000" w:sz="8" w:space="0"/>
              <w:bottom w:val="single" w:color="000000" w:sz="8" w:space="0"/>
              <w:right w:val="single" w:color="000000" w:sz="8" w:space="0"/>
            </w:tcBorders>
            <w:noWrap w:val="0"/>
            <w:vAlign w:val="top"/>
          </w:tcPr>
          <w:p w14:paraId="13EC3056">
            <w:pPr>
              <w:jc w:val="center"/>
              <w:rPr>
                <w:color w:val="000000"/>
                <w:szCs w:val="21"/>
              </w:rPr>
            </w:pPr>
            <w:r>
              <w:rPr>
                <w:rFonts w:hint="eastAsia"/>
                <w:color w:val="000000"/>
                <w:szCs w:val="21"/>
              </w:rPr>
              <w:t>77.02（昼）77.01(夜)</w:t>
            </w:r>
          </w:p>
        </w:tc>
        <w:tc>
          <w:tcPr>
            <w:tcW w:w="1009" w:type="dxa"/>
            <w:vMerge w:val="restart"/>
            <w:tcBorders>
              <w:top w:val="single" w:color="000000" w:sz="8" w:space="0"/>
              <w:left w:val="single" w:color="000000" w:sz="8" w:space="0"/>
              <w:bottom w:val="single" w:color="000000" w:sz="8" w:space="0"/>
              <w:right w:val="single" w:color="000000" w:sz="8" w:space="0"/>
            </w:tcBorders>
            <w:noWrap w:val="0"/>
            <w:vAlign w:val="center"/>
          </w:tcPr>
          <w:p w14:paraId="35CD8638">
            <w:pPr>
              <w:jc w:val="center"/>
              <w:rPr>
                <w:color w:val="000000"/>
                <w:szCs w:val="21"/>
              </w:rPr>
            </w:pPr>
            <w:r>
              <w:rPr>
                <w:color w:val="000000"/>
                <w:szCs w:val="21"/>
              </w:rPr>
              <w:t>60</w:t>
            </w:r>
          </w:p>
        </w:tc>
        <w:tc>
          <w:tcPr>
            <w:tcW w:w="914" w:type="dxa"/>
            <w:vMerge w:val="restart"/>
            <w:tcBorders>
              <w:top w:val="single" w:color="000000" w:sz="8" w:space="0"/>
              <w:left w:val="single" w:color="000000" w:sz="8" w:space="0"/>
              <w:bottom w:val="single" w:color="000000" w:sz="8" w:space="0"/>
              <w:right w:val="single" w:color="000000" w:sz="8" w:space="0"/>
            </w:tcBorders>
            <w:noWrap w:val="0"/>
            <w:vAlign w:val="center"/>
          </w:tcPr>
          <w:p w14:paraId="3459F9C3">
            <w:pPr>
              <w:jc w:val="center"/>
              <w:rPr>
                <w:color w:val="000000"/>
                <w:szCs w:val="21"/>
              </w:rPr>
            </w:pPr>
            <w:r>
              <w:rPr>
                <w:color w:val="000000"/>
                <w:szCs w:val="21"/>
              </w:rPr>
              <w:t>50</w:t>
            </w:r>
          </w:p>
        </w:tc>
      </w:tr>
      <w:tr w14:paraId="3F5C2023">
        <w:tblPrEx>
          <w:tblCellMar>
            <w:top w:w="0" w:type="dxa"/>
            <w:left w:w="0" w:type="dxa"/>
            <w:bottom w:w="0" w:type="dxa"/>
            <w:right w:w="0" w:type="dxa"/>
          </w:tblCellMar>
        </w:tblPrEx>
        <w:trPr>
          <w:cantSplit/>
          <w:trHeight w:val="435" w:hRule="atLeast"/>
        </w:trPr>
        <w:tc>
          <w:tcPr>
            <w:tcW w:w="318" w:type="dxa"/>
            <w:tcBorders>
              <w:top w:val="single" w:color="000000" w:sz="8" w:space="0"/>
              <w:left w:val="single" w:color="000000" w:sz="8" w:space="0"/>
              <w:bottom w:val="single" w:color="000000" w:sz="8" w:space="0"/>
              <w:right w:val="single" w:color="000000" w:sz="8" w:space="0"/>
            </w:tcBorders>
            <w:noWrap w:val="0"/>
            <w:vAlign w:val="center"/>
          </w:tcPr>
          <w:p w14:paraId="261A345F">
            <w:pPr>
              <w:jc w:val="center"/>
              <w:rPr>
                <w:color w:val="000000"/>
                <w:szCs w:val="21"/>
              </w:rPr>
            </w:pPr>
            <w:r>
              <w:rPr>
                <w:color w:val="000000"/>
                <w:szCs w:val="21"/>
              </w:rPr>
              <w:t>2</w:t>
            </w:r>
          </w:p>
        </w:tc>
        <w:tc>
          <w:tcPr>
            <w:tcW w:w="1213" w:type="dxa"/>
            <w:tcBorders>
              <w:top w:val="single" w:color="000000" w:sz="8" w:space="0"/>
              <w:left w:val="single" w:color="000000" w:sz="8" w:space="0"/>
              <w:bottom w:val="single" w:color="000000" w:sz="8" w:space="0"/>
              <w:right w:val="single" w:color="000000" w:sz="8" w:space="0"/>
            </w:tcBorders>
            <w:noWrap w:val="0"/>
            <w:vAlign w:val="center"/>
          </w:tcPr>
          <w:p w14:paraId="3ACE865E">
            <w:pPr>
              <w:jc w:val="center"/>
              <w:rPr>
                <w:color w:val="000000"/>
                <w:szCs w:val="21"/>
              </w:rPr>
            </w:pPr>
            <w:r>
              <w:rPr>
                <w:rFonts w:hint="eastAsia"/>
                <w:color w:val="000000"/>
                <w:szCs w:val="21"/>
              </w:rPr>
              <w:t>芒核村</w:t>
            </w:r>
          </w:p>
        </w:tc>
        <w:tc>
          <w:tcPr>
            <w:tcW w:w="782" w:type="dxa"/>
            <w:tcBorders>
              <w:top w:val="single" w:color="000000" w:sz="8" w:space="0"/>
              <w:left w:val="single" w:color="000000" w:sz="8" w:space="0"/>
              <w:bottom w:val="single" w:color="000000" w:sz="8" w:space="0"/>
              <w:right w:val="single" w:color="000000" w:sz="8" w:space="0"/>
            </w:tcBorders>
            <w:noWrap w:val="0"/>
            <w:vAlign w:val="center"/>
          </w:tcPr>
          <w:p w14:paraId="673EBE3B">
            <w:pPr>
              <w:jc w:val="center"/>
              <w:rPr>
                <w:rFonts w:hint="eastAsia"/>
                <w:color w:val="000000"/>
                <w:szCs w:val="21"/>
              </w:rPr>
            </w:pPr>
            <w:r>
              <w:rPr>
                <w:rFonts w:hint="eastAsia"/>
                <w:color w:val="000000"/>
                <w:szCs w:val="21"/>
              </w:rPr>
              <w:t>69</w:t>
            </w:r>
          </w:p>
        </w:tc>
        <w:tc>
          <w:tcPr>
            <w:tcW w:w="2113" w:type="dxa"/>
            <w:tcBorders>
              <w:top w:val="single" w:color="000000" w:sz="8" w:space="0"/>
              <w:left w:val="single" w:color="000000" w:sz="8" w:space="0"/>
              <w:bottom w:val="single" w:color="000000" w:sz="8" w:space="0"/>
              <w:right w:val="single" w:color="000000" w:sz="8" w:space="0"/>
            </w:tcBorders>
            <w:noWrap w:val="0"/>
            <w:vAlign w:val="top"/>
          </w:tcPr>
          <w:p w14:paraId="1F1CCFF6">
            <w:pPr>
              <w:jc w:val="center"/>
              <w:rPr>
                <w:color w:val="000000"/>
                <w:szCs w:val="21"/>
              </w:rPr>
            </w:pPr>
            <w:r>
              <w:rPr>
                <w:rFonts w:hint="eastAsia"/>
                <w:color w:val="000000"/>
                <w:szCs w:val="21"/>
              </w:rPr>
              <w:t>54.7（昼）46.9(夜)</w:t>
            </w:r>
          </w:p>
        </w:tc>
        <w:tc>
          <w:tcPr>
            <w:tcW w:w="2063" w:type="dxa"/>
            <w:tcBorders>
              <w:top w:val="single" w:color="000000" w:sz="8" w:space="0"/>
              <w:left w:val="single" w:color="000000" w:sz="8" w:space="0"/>
              <w:bottom w:val="single" w:color="000000" w:sz="8" w:space="0"/>
              <w:right w:val="single" w:color="000000" w:sz="8" w:space="0"/>
            </w:tcBorders>
            <w:noWrap w:val="0"/>
            <w:vAlign w:val="top"/>
          </w:tcPr>
          <w:p w14:paraId="4EDBB389">
            <w:pPr>
              <w:jc w:val="center"/>
              <w:rPr>
                <w:color w:val="000000"/>
                <w:szCs w:val="21"/>
              </w:rPr>
            </w:pPr>
            <w:r>
              <w:rPr>
                <w:rFonts w:hint="eastAsia"/>
                <w:color w:val="000000"/>
                <w:szCs w:val="21"/>
              </w:rPr>
              <w:t>69.16（昼）69.03(夜)</w:t>
            </w:r>
          </w:p>
        </w:tc>
        <w:tc>
          <w:tcPr>
            <w:tcW w:w="1009" w:type="dxa"/>
            <w:vMerge w:val="continue"/>
            <w:tcBorders>
              <w:top w:val="single" w:color="000000" w:sz="8" w:space="0"/>
              <w:left w:val="single" w:color="000000" w:sz="8" w:space="0"/>
              <w:bottom w:val="single" w:color="000000" w:sz="8" w:space="0"/>
              <w:right w:val="single" w:color="000000" w:sz="8" w:space="0"/>
            </w:tcBorders>
            <w:noWrap w:val="0"/>
            <w:vAlign w:val="center"/>
          </w:tcPr>
          <w:p w14:paraId="7FD628CA">
            <w:pPr>
              <w:jc w:val="left"/>
              <w:rPr>
                <w:color w:val="000000"/>
                <w:szCs w:val="21"/>
              </w:rPr>
            </w:pPr>
          </w:p>
        </w:tc>
        <w:tc>
          <w:tcPr>
            <w:tcW w:w="914" w:type="dxa"/>
            <w:vMerge w:val="continue"/>
            <w:tcBorders>
              <w:top w:val="single" w:color="000000" w:sz="8" w:space="0"/>
              <w:left w:val="single" w:color="000000" w:sz="8" w:space="0"/>
              <w:bottom w:val="single" w:color="000000" w:sz="8" w:space="0"/>
              <w:right w:val="single" w:color="000000" w:sz="8" w:space="0"/>
            </w:tcBorders>
            <w:noWrap w:val="0"/>
            <w:vAlign w:val="center"/>
          </w:tcPr>
          <w:p w14:paraId="6135AD71">
            <w:pPr>
              <w:jc w:val="left"/>
              <w:rPr>
                <w:color w:val="000000"/>
                <w:szCs w:val="21"/>
              </w:rPr>
            </w:pPr>
          </w:p>
        </w:tc>
      </w:tr>
      <w:tr w14:paraId="2C37A596">
        <w:tblPrEx>
          <w:tblCellMar>
            <w:top w:w="0" w:type="dxa"/>
            <w:left w:w="0" w:type="dxa"/>
            <w:bottom w:w="0" w:type="dxa"/>
            <w:right w:w="0" w:type="dxa"/>
          </w:tblCellMar>
        </w:tblPrEx>
        <w:trPr>
          <w:cantSplit/>
          <w:trHeight w:val="439" w:hRule="atLeast"/>
        </w:trPr>
        <w:tc>
          <w:tcPr>
            <w:tcW w:w="318" w:type="dxa"/>
            <w:tcBorders>
              <w:top w:val="single" w:color="000000" w:sz="8" w:space="0"/>
              <w:left w:val="single" w:color="000000" w:sz="8" w:space="0"/>
              <w:bottom w:val="single" w:color="000000" w:sz="8" w:space="0"/>
              <w:right w:val="single" w:color="000000" w:sz="8" w:space="0"/>
            </w:tcBorders>
            <w:noWrap w:val="0"/>
            <w:vAlign w:val="center"/>
          </w:tcPr>
          <w:p w14:paraId="48FFA8E1">
            <w:pPr>
              <w:jc w:val="center"/>
              <w:rPr>
                <w:color w:val="000000"/>
                <w:szCs w:val="21"/>
              </w:rPr>
            </w:pPr>
            <w:r>
              <w:rPr>
                <w:color w:val="000000"/>
                <w:szCs w:val="21"/>
              </w:rPr>
              <w:t>3</w:t>
            </w:r>
          </w:p>
        </w:tc>
        <w:tc>
          <w:tcPr>
            <w:tcW w:w="1213" w:type="dxa"/>
            <w:vMerge w:val="restart"/>
            <w:tcBorders>
              <w:top w:val="single" w:color="000000" w:sz="8" w:space="0"/>
              <w:left w:val="single" w:color="000000" w:sz="8" w:space="0"/>
              <w:bottom w:val="nil"/>
              <w:right w:val="single" w:color="000000" w:sz="8" w:space="0"/>
            </w:tcBorders>
            <w:noWrap w:val="0"/>
            <w:vAlign w:val="center"/>
          </w:tcPr>
          <w:p w14:paraId="4DA8961A">
            <w:pPr>
              <w:jc w:val="center"/>
              <w:rPr>
                <w:color w:val="000000"/>
                <w:szCs w:val="21"/>
              </w:rPr>
            </w:pPr>
            <w:r>
              <w:rPr>
                <w:rFonts w:hint="eastAsia"/>
                <w:color w:val="000000"/>
                <w:szCs w:val="21"/>
              </w:rPr>
              <w:t>商住混合区</w:t>
            </w:r>
          </w:p>
        </w:tc>
        <w:tc>
          <w:tcPr>
            <w:tcW w:w="782" w:type="dxa"/>
            <w:tcBorders>
              <w:top w:val="single" w:color="000000" w:sz="8" w:space="0"/>
              <w:left w:val="single" w:color="000000" w:sz="8" w:space="0"/>
              <w:bottom w:val="single" w:color="000000" w:sz="8" w:space="0"/>
              <w:right w:val="single" w:color="000000" w:sz="8" w:space="0"/>
            </w:tcBorders>
            <w:noWrap w:val="0"/>
            <w:vAlign w:val="center"/>
          </w:tcPr>
          <w:p w14:paraId="1C2391CE">
            <w:pPr>
              <w:jc w:val="center"/>
              <w:rPr>
                <w:rFonts w:hint="eastAsia"/>
                <w:color w:val="000000"/>
                <w:szCs w:val="21"/>
              </w:rPr>
            </w:pPr>
            <w:r>
              <w:rPr>
                <w:rFonts w:hint="eastAsia"/>
                <w:color w:val="000000"/>
                <w:szCs w:val="21"/>
              </w:rPr>
              <w:t>83</w:t>
            </w:r>
          </w:p>
        </w:tc>
        <w:tc>
          <w:tcPr>
            <w:tcW w:w="2113" w:type="dxa"/>
            <w:tcBorders>
              <w:top w:val="single" w:color="000000" w:sz="8" w:space="0"/>
              <w:left w:val="single" w:color="000000" w:sz="8" w:space="0"/>
              <w:bottom w:val="single" w:color="000000" w:sz="8" w:space="0"/>
              <w:right w:val="single" w:color="000000" w:sz="8" w:space="0"/>
            </w:tcBorders>
            <w:noWrap w:val="0"/>
            <w:vAlign w:val="top"/>
          </w:tcPr>
          <w:p w14:paraId="600FBDE3">
            <w:pPr>
              <w:jc w:val="center"/>
              <w:rPr>
                <w:color w:val="000000"/>
                <w:szCs w:val="21"/>
              </w:rPr>
            </w:pPr>
            <w:r>
              <w:rPr>
                <w:rFonts w:hint="eastAsia"/>
                <w:color w:val="000000"/>
                <w:szCs w:val="21"/>
              </w:rPr>
              <w:t>51.7（昼）46.8(夜)</w:t>
            </w:r>
          </w:p>
        </w:tc>
        <w:tc>
          <w:tcPr>
            <w:tcW w:w="2063" w:type="dxa"/>
            <w:tcBorders>
              <w:top w:val="single" w:color="000000" w:sz="8" w:space="0"/>
              <w:left w:val="single" w:color="000000" w:sz="8" w:space="0"/>
              <w:bottom w:val="single" w:color="000000" w:sz="8" w:space="0"/>
              <w:right w:val="single" w:color="000000" w:sz="8" w:space="0"/>
            </w:tcBorders>
            <w:noWrap w:val="0"/>
            <w:vAlign w:val="top"/>
          </w:tcPr>
          <w:p w14:paraId="0CF393F0">
            <w:pPr>
              <w:jc w:val="center"/>
              <w:rPr>
                <w:color w:val="000000"/>
                <w:szCs w:val="21"/>
              </w:rPr>
            </w:pPr>
            <w:r>
              <w:rPr>
                <w:rFonts w:hint="eastAsia"/>
                <w:color w:val="000000"/>
                <w:szCs w:val="21"/>
              </w:rPr>
              <w:t>83（昼）83(夜)</w:t>
            </w:r>
          </w:p>
        </w:tc>
        <w:tc>
          <w:tcPr>
            <w:tcW w:w="1009" w:type="dxa"/>
            <w:vMerge w:val="continue"/>
            <w:tcBorders>
              <w:top w:val="single" w:color="000000" w:sz="8" w:space="0"/>
              <w:left w:val="single" w:color="000000" w:sz="8" w:space="0"/>
              <w:bottom w:val="single" w:color="000000" w:sz="8" w:space="0"/>
              <w:right w:val="single" w:color="000000" w:sz="8" w:space="0"/>
            </w:tcBorders>
            <w:noWrap w:val="0"/>
            <w:vAlign w:val="center"/>
          </w:tcPr>
          <w:p w14:paraId="0F35BC4C">
            <w:pPr>
              <w:jc w:val="left"/>
              <w:rPr>
                <w:color w:val="000000"/>
                <w:szCs w:val="21"/>
              </w:rPr>
            </w:pPr>
          </w:p>
        </w:tc>
        <w:tc>
          <w:tcPr>
            <w:tcW w:w="914" w:type="dxa"/>
            <w:vMerge w:val="continue"/>
            <w:tcBorders>
              <w:top w:val="single" w:color="000000" w:sz="8" w:space="0"/>
              <w:left w:val="single" w:color="000000" w:sz="8" w:space="0"/>
              <w:bottom w:val="single" w:color="000000" w:sz="8" w:space="0"/>
              <w:right w:val="single" w:color="000000" w:sz="8" w:space="0"/>
            </w:tcBorders>
            <w:noWrap w:val="0"/>
            <w:vAlign w:val="center"/>
          </w:tcPr>
          <w:p w14:paraId="50341506">
            <w:pPr>
              <w:jc w:val="left"/>
              <w:rPr>
                <w:color w:val="000000"/>
                <w:szCs w:val="21"/>
              </w:rPr>
            </w:pPr>
          </w:p>
        </w:tc>
      </w:tr>
      <w:tr w14:paraId="3490991D">
        <w:tblPrEx>
          <w:tblCellMar>
            <w:top w:w="0" w:type="dxa"/>
            <w:left w:w="0" w:type="dxa"/>
            <w:bottom w:w="0" w:type="dxa"/>
            <w:right w:w="0" w:type="dxa"/>
          </w:tblCellMar>
        </w:tblPrEx>
        <w:trPr>
          <w:cantSplit/>
          <w:trHeight w:val="459" w:hRule="atLeast"/>
        </w:trPr>
        <w:tc>
          <w:tcPr>
            <w:tcW w:w="318" w:type="dxa"/>
            <w:tcBorders>
              <w:top w:val="single" w:color="000000" w:sz="8" w:space="0"/>
              <w:left w:val="single" w:color="000000" w:sz="8" w:space="0"/>
              <w:bottom w:val="single" w:color="000000" w:sz="8" w:space="0"/>
              <w:right w:val="single" w:color="000000" w:sz="8" w:space="0"/>
            </w:tcBorders>
            <w:noWrap w:val="0"/>
            <w:vAlign w:val="center"/>
          </w:tcPr>
          <w:p w14:paraId="57729148">
            <w:pPr>
              <w:jc w:val="center"/>
              <w:rPr>
                <w:color w:val="000000"/>
                <w:szCs w:val="21"/>
              </w:rPr>
            </w:pPr>
            <w:r>
              <w:rPr>
                <w:color w:val="000000"/>
                <w:szCs w:val="21"/>
              </w:rPr>
              <w:t>4</w:t>
            </w:r>
          </w:p>
        </w:tc>
        <w:tc>
          <w:tcPr>
            <w:tcW w:w="1213" w:type="dxa"/>
            <w:vMerge w:val="continue"/>
            <w:tcBorders>
              <w:top w:val="nil"/>
              <w:left w:val="single" w:color="000000" w:sz="8" w:space="0"/>
              <w:bottom w:val="single" w:color="000000" w:sz="8" w:space="0"/>
              <w:right w:val="single" w:color="000000" w:sz="8" w:space="0"/>
            </w:tcBorders>
            <w:noWrap w:val="0"/>
            <w:vAlign w:val="center"/>
          </w:tcPr>
          <w:p w14:paraId="40D0AD1F">
            <w:pPr>
              <w:jc w:val="center"/>
              <w:rPr>
                <w:color w:val="000000"/>
                <w:szCs w:val="21"/>
              </w:rPr>
            </w:pPr>
          </w:p>
        </w:tc>
        <w:tc>
          <w:tcPr>
            <w:tcW w:w="782" w:type="dxa"/>
            <w:tcBorders>
              <w:top w:val="single" w:color="000000" w:sz="8" w:space="0"/>
              <w:left w:val="single" w:color="000000" w:sz="8" w:space="0"/>
              <w:bottom w:val="single" w:color="000000" w:sz="8" w:space="0"/>
              <w:right w:val="single" w:color="000000" w:sz="8" w:space="0"/>
            </w:tcBorders>
            <w:noWrap w:val="0"/>
            <w:vAlign w:val="center"/>
          </w:tcPr>
          <w:p w14:paraId="7BA60914">
            <w:pPr>
              <w:jc w:val="center"/>
              <w:rPr>
                <w:rFonts w:hint="eastAsia"/>
                <w:color w:val="000000"/>
                <w:szCs w:val="21"/>
              </w:rPr>
            </w:pPr>
            <w:r>
              <w:rPr>
                <w:rFonts w:hint="eastAsia"/>
                <w:color w:val="000000"/>
                <w:szCs w:val="21"/>
              </w:rPr>
              <w:t>90</w:t>
            </w:r>
          </w:p>
        </w:tc>
        <w:tc>
          <w:tcPr>
            <w:tcW w:w="2113" w:type="dxa"/>
            <w:tcBorders>
              <w:top w:val="single" w:color="000000" w:sz="8" w:space="0"/>
              <w:left w:val="single" w:color="000000" w:sz="8" w:space="0"/>
              <w:bottom w:val="single" w:color="000000" w:sz="8" w:space="0"/>
              <w:right w:val="single" w:color="000000" w:sz="8" w:space="0"/>
            </w:tcBorders>
            <w:noWrap w:val="0"/>
            <w:vAlign w:val="top"/>
          </w:tcPr>
          <w:p w14:paraId="7DDB91C4">
            <w:pPr>
              <w:jc w:val="center"/>
              <w:rPr>
                <w:color w:val="000000"/>
                <w:szCs w:val="21"/>
              </w:rPr>
            </w:pPr>
            <w:r>
              <w:rPr>
                <w:rFonts w:hint="eastAsia"/>
                <w:color w:val="000000"/>
                <w:szCs w:val="21"/>
              </w:rPr>
              <w:t>54.7（昼）46.9(夜)</w:t>
            </w:r>
          </w:p>
        </w:tc>
        <w:tc>
          <w:tcPr>
            <w:tcW w:w="2063" w:type="dxa"/>
            <w:tcBorders>
              <w:top w:val="single" w:color="000000" w:sz="8" w:space="0"/>
              <w:left w:val="single" w:color="000000" w:sz="8" w:space="0"/>
              <w:bottom w:val="single" w:color="000000" w:sz="8" w:space="0"/>
              <w:right w:val="single" w:color="000000" w:sz="8" w:space="0"/>
            </w:tcBorders>
            <w:noWrap w:val="0"/>
            <w:vAlign w:val="top"/>
          </w:tcPr>
          <w:p w14:paraId="3B64767B">
            <w:pPr>
              <w:jc w:val="center"/>
              <w:rPr>
                <w:color w:val="000000"/>
                <w:szCs w:val="21"/>
              </w:rPr>
            </w:pPr>
            <w:r>
              <w:rPr>
                <w:rFonts w:hint="eastAsia"/>
                <w:color w:val="000000"/>
                <w:szCs w:val="21"/>
              </w:rPr>
              <w:t>90（昼）90(夜)</w:t>
            </w:r>
          </w:p>
        </w:tc>
        <w:tc>
          <w:tcPr>
            <w:tcW w:w="1009" w:type="dxa"/>
            <w:vMerge w:val="continue"/>
            <w:tcBorders>
              <w:top w:val="single" w:color="000000" w:sz="8" w:space="0"/>
              <w:left w:val="single" w:color="000000" w:sz="8" w:space="0"/>
              <w:bottom w:val="single" w:color="000000" w:sz="8" w:space="0"/>
              <w:right w:val="single" w:color="000000" w:sz="8" w:space="0"/>
            </w:tcBorders>
            <w:noWrap w:val="0"/>
            <w:vAlign w:val="center"/>
          </w:tcPr>
          <w:p w14:paraId="73284E3C">
            <w:pPr>
              <w:jc w:val="left"/>
              <w:rPr>
                <w:color w:val="000000"/>
                <w:szCs w:val="21"/>
              </w:rPr>
            </w:pPr>
          </w:p>
        </w:tc>
        <w:tc>
          <w:tcPr>
            <w:tcW w:w="914" w:type="dxa"/>
            <w:vMerge w:val="continue"/>
            <w:tcBorders>
              <w:top w:val="single" w:color="000000" w:sz="8" w:space="0"/>
              <w:left w:val="single" w:color="000000" w:sz="8" w:space="0"/>
              <w:bottom w:val="single" w:color="000000" w:sz="8" w:space="0"/>
              <w:right w:val="single" w:color="000000" w:sz="8" w:space="0"/>
            </w:tcBorders>
            <w:noWrap w:val="0"/>
            <w:vAlign w:val="center"/>
          </w:tcPr>
          <w:p w14:paraId="0533E35F">
            <w:pPr>
              <w:jc w:val="left"/>
              <w:rPr>
                <w:color w:val="000000"/>
                <w:szCs w:val="21"/>
              </w:rPr>
            </w:pPr>
          </w:p>
        </w:tc>
      </w:tr>
    </w:tbl>
    <w:p w14:paraId="6946A05D">
      <w:pPr>
        <w:spacing w:line="360" w:lineRule="auto"/>
        <w:rPr>
          <w:color w:val="000000"/>
          <w:sz w:val="24"/>
        </w:rPr>
      </w:pPr>
    </w:p>
    <w:p w14:paraId="15161D56">
      <w:pPr>
        <w:spacing w:line="360" w:lineRule="auto"/>
        <w:ind w:firstLine="480"/>
        <w:rPr>
          <w:color w:val="000000"/>
          <w:sz w:val="24"/>
        </w:rPr>
      </w:pPr>
      <w:r>
        <w:rPr>
          <w:rFonts w:hint="eastAsia"/>
          <w:color w:val="000000"/>
          <w:sz w:val="24"/>
        </w:rPr>
        <w:t>（</w:t>
      </w:r>
      <w:r>
        <w:rPr>
          <w:color w:val="000000"/>
          <w:sz w:val="24"/>
        </w:rPr>
        <w:t>3）预测结果分析</w:t>
      </w:r>
    </w:p>
    <w:p w14:paraId="3BBD7B19">
      <w:pPr>
        <w:spacing w:line="360" w:lineRule="auto"/>
        <w:ind w:firstLine="480"/>
        <w:rPr>
          <w:color w:val="000000"/>
          <w:sz w:val="24"/>
        </w:rPr>
      </w:pPr>
      <w:r>
        <w:rPr>
          <w:color w:val="000000"/>
          <w:sz w:val="24"/>
        </w:rPr>
        <w:t xml:space="preserve">从表6.1-8可以看出，在不考虑声屏障、空气吸收等衰减情况下，项目施工期环保保护目标施工期噪声预测值均不能够满足《声环境质量标准》(GB3096-2008)中2类区标准。 </w:t>
      </w:r>
    </w:p>
    <w:p w14:paraId="72274363">
      <w:pPr>
        <w:spacing w:line="360" w:lineRule="auto"/>
        <w:ind w:firstLine="480"/>
        <w:rPr>
          <w:color w:val="000000"/>
          <w:sz w:val="24"/>
        </w:rPr>
      </w:pPr>
      <w:r>
        <w:rPr>
          <w:color w:val="000000"/>
          <w:sz w:val="24"/>
        </w:rPr>
        <w:t>施工期的噪声源分布较为广泛，实际上的施工机械噪声的影响程度及范围应比理论上的推算要低一些，并且这种噪声影响是短时间的，噪声不产生累积，影响将随工程施工停止而消除。此外这种影响仅发生在敏感点路段施工的时段内，属短期或瞬时影响。工程根据相关规定，夜间不施工，夜间施工噪声对居民的影响将消除。昼间施工噪声</w:t>
      </w:r>
      <w:r>
        <w:rPr>
          <w:rFonts w:hint="eastAsia"/>
          <w:color w:val="000000"/>
          <w:sz w:val="24"/>
        </w:rPr>
        <w:t>对</w:t>
      </w:r>
      <w:r>
        <w:rPr>
          <w:color w:val="000000"/>
          <w:sz w:val="24"/>
        </w:rPr>
        <w:t>各敏感点的噪声</w:t>
      </w:r>
      <w:r>
        <w:rPr>
          <w:rFonts w:hint="eastAsia"/>
          <w:color w:val="000000"/>
          <w:sz w:val="24"/>
        </w:rPr>
        <w:t>影响</w:t>
      </w:r>
      <w:r>
        <w:rPr>
          <w:color w:val="000000"/>
          <w:sz w:val="24"/>
        </w:rPr>
        <w:t>较大，施工期间必须采取切实的降噪措施，减缓施工期噪声对各关心点的影响。</w:t>
      </w:r>
    </w:p>
    <w:p w14:paraId="54FA0BE8">
      <w:pPr>
        <w:spacing w:line="360" w:lineRule="auto"/>
        <w:ind w:firstLine="480"/>
        <w:rPr>
          <w:color w:val="000000"/>
          <w:sz w:val="24"/>
        </w:rPr>
      </w:pPr>
      <w:r>
        <w:rPr>
          <w:color w:val="000000"/>
          <w:sz w:val="24"/>
        </w:rPr>
        <w:t>总之，该项目施工期间所产生的噪声超过</w:t>
      </w:r>
      <w:r>
        <w:rPr>
          <w:rFonts w:hint="eastAsia"/>
          <w:color w:val="000000"/>
          <w:sz w:val="24"/>
        </w:rPr>
        <w:t>GB12523-2011《建筑施工场界环境噪声排放标准》要求</w:t>
      </w:r>
      <w:r>
        <w:rPr>
          <w:color w:val="000000"/>
          <w:sz w:val="24"/>
        </w:rPr>
        <w:t>，工程施工期间施工噪声将对各个保护目标内的居民生活产生一定的不良影响，但这种影响是短期的、间歇式的。随着工程竣工，施工噪声的影响将消失，施工噪声对环境的不利影响是暂时的、短期的行为。鉴于施工期噪声对声环境的不利影响，昼间在上述敏感目标段施工时必须对各声源设备采取合理布局，高噪声设备不能同时施工，同时应设置临时挡墙等防噪措施进行噪声污染控制，具体的措施见本报告的环保措施的章节。</w:t>
      </w:r>
    </w:p>
    <w:p w14:paraId="50E70624">
      <w:pPr>
        <w:pStyle w:val="183"/>
        <w:ind w:firstLine="472"/>
        <w:rPr>
          <w:rFonts w:eastAsia="仿宋_GB2312"/>
          <w:color w:val="000000"/>
          <w:sz w:val="24"/>
          <w:szCs w:val="24"/>
        </w:rPr>
      </w:pPr>
      <w:bookmarkStart w:id="441" w:name="_Toc495500100"/>
      <w:r>
        <w:rPr>
          <w:rFonts w:eastAsia="仿宋_GB2312"/>
          <w:color w:val="000000"/>
          <w:sz w:val="24"/>
          <w:szCs w:val="24"/>
        </w:rPr>
        <w:t>6.1.4固体废物影响评价</w:t>
      </w:r>
      <w:bookmarkEnd w:id="441"/>
    </w:p>
    <w:p w14:paraId="3B40AF22">
      <w:pPr>
        <w:spacing w:line="360" w:lineRule="auto"/>
        <w:ind w:firstLine="480"/>
        <w:rPr>
          <w:color w:val="000000"/>
          <w:sz w:val="24"/>
        </w:rPr>
      </w:pPr>
      <w:r>
        <w:rPr>
          <w:color w:val="000000"/>
          <w:sz w:val="24"/>
        </w:rPr>
        <w:t>项目在施工期所产生的固体废弃物主要为工程施工过程中开挖的土石方，建筑垃圾和生活垃圾。</w:t>
      </w:r>
    </w:p>
    <w:p w14:paraId="2313D77A">
      <w:pPr>
        <w:pStyle w:val="221"/>
        <w:spacing w:after="0" w:line="360" w:lineRule="auto"/>
        <w:ind w:left="0" w:firstLine="482"/>
        <w:rPr>
          <w:color w:val="000000"/>
          <w:sz w:val="24"/>
        </w:rPr>
      </w:pPr>
      <w:r>
        <w:rPr>
          <w:color w:val="000000"/>
          <w:sz w:val="24"/>
        </w:rPr>
        <w:t>（1）建筑垃圾</w:t>
      </w:r>
    </w:p>
    <w:p w14:paraId="0E11A43D">
      <w:pPr>
        <w:spacing w:line="360" w:lineRule="auto"/>
        <w:ind w:firstLine="480"/>
        <w:rPr>
          <w:color w:val="000000"/>
          <w:sz w:val="24"/>
        </w:rPr>
      </w:pPr>
      <w:r>
        <w:rPr>
          <w:color w:val="000000"/>
          <w:sz w:val="24"/>
        </w:rPr>
        <w:t>建筑垃圾主要成份为废钢筋、废木材、废塑料、废包装材料等。建设项目不同建筑垃圾采取如下方案进行处置。</w:t>
      </w:r>
    </w:p>
    <w:p w14:paraId="54884745">
      <w:pPr>
        <w:spacing w:line="360" w:lineRule="auto"/>
        <w:ind w:firstLine="480"/>
        <w:rPr>
          <w:color w:val="000000"/>
          <w:sz w:val="24"/>
        </w:rPr>
      </w:pPr>
      <w:r>
        <w:rPr>
          <w:color w:val="000000"/>
          <w:sz w:val="24"/>
        </w:rPr>
        <w:t>建筑垃圾分类处理，</w:t>
      </w:r>
      <w:r>
        <w:rPr>
          <w:rFonts w:hint="eastAsia"/>
          <w:color w:val="000000"/>
          <w:sz w:val="24"/>
          <w:lang w:eastAsia="zh-CN"/>
        </w:rPr>
        <w:t>分拣</w:t>
      </w:r>
      <w:r>
        <w:rPr>
          <w:color w:val="000000"/>
          <w:sz w:val="24"/>
        </w:rPr>
        <w:t>出具有回收价值的废钢筋、废木材、废塑料、废包装材料等，送废品收购站回收利用。</w:t>
      </w:r>
    </w:p>
    <w:p w14:paraId="005281F9">
      <w:pPr>
        <w:spacing w:line="360" w:lineRule="auto"/>
        <w:ind w:firstLine="480"/>
        <w:rPr>
          <w:color w:val="000000"/>
          <w:sz w:val="24"/>
        </w:rPr>
      </w:pPr>
      <w:r>
        <w:rPr>
          <w:color w:val="000000"/>
          <w:sz w:val="24"/>
        </w:rPr>
        <w:t>余下无回收价值的水泥凝结废渣、破损砖石是良好的建筑回填材料，就地用于低凹地段回填。不能回填利用的建筑垃圾应按</w:t>
      </w:r>
      <w:r>
        <w:rPr>
          <w:rFonts w:hint="eastAsia"/>
          <w:color w:val="000000"/>
          <w:sz w:val="24"/>
        </w:rPr>
        <w:t>芒市</w:t>
      </w:r>
      <w:r>
        <w:rPr>
          <w:color w:val="000000"/>
          <w:sz w:val="24"/>
        </w:rPr>
        <w:t>相关部门的要求，规定，外运至指定地点堆放。</w:t>
      </w:r>
    </w:p>
    <w:p w14:paraId="0B1B6387">
      <w:pPr>
        <w:spacing w:line="360" w:lineRule="auto"/>
        <w:ind w:firstLine="480"/>
        <w:rPr>
          <w:color w:val="000000"/>
          <w:sz w:val="24"/>
        </w:rPr>
      </w:pPr>
      <w:r>
        <w:rPr>
          <w:color w:val="000000"/>
          <w:sz w:val="24"/>
        </w:rPr>
        <w:t>建筑垃圾中粉状废料可随地表径流进入水体，严重时造成对地表水暂时污染。对这部分不能回收建筑垃圾应集中收集、妥善堆存，外运处置。</w:t>
      </w:r>
    </w:p>
    <w:p w14:paraId="7B84B336">
      <w:pPr>
        <w:spacing w:line="360" w:lineRule="auto"/>
        <w:ind w:firstLine="480"/>
        <w:rPr>
          <w:color w:val="000000"/>
          <w:sz w:val="24"/>
        </w:rPr>
      </w:pPr>
      <w:r>
        <w:rPr>
          <w:color w:val="000000"/>
          <w:sz w:val="24"/>
        </w:rPr>
        <w:t>施工中产生的生活垃圾主要成分为有机物、塑料袋等包装物，在项目区内设一个或多个固定地点进行统一堆放，由施工公司派专人定期运至当地环卫部门指定地点，再由环卫部门统一进行处理。</w:t>
      </w:r>
    </w:p>
    <w:p w14:paraId="6149BE01">
      <w:pPr>
        <w:pStyle w:val="221"/>
        <w:spacing w:after="0" w:line="360" w:lineRule="auto"/>
        <w:ind w:left="0" w:firstLine="482"/>
        <w:rPr>
          <w:color w:val="000000"/>
          <w:sz w:val="24"/>
        </w:rPr>
      </w:pPr>
      <w:r>
        <w:rPr>
          <w:color w:val="000000"/>
          <w:sz w:val="24"/>
        </w:rPr>
        <w:t>（2）项目土石方</w:t>
      </w:r>
    </w:p>
    <w:p w14:paraId="0F01477C">
      <w:pPr>
        <w:spacing w:line="360" w:lineRule="auto"/>
        <w:ind w:firstLine="480"/>
        <w:rPr>
          <w:color w:val="000000"/>
          <w:sz w:val="24"/>
        </w:rPr>
      </w:pPr>
      <w:r>
        <w:rPr>
          <w:color w:val="000000"/>
          <w:sz w:val="24"/>
        </w:rPr>
        <w:t>项目施工期间将会产生土石方，根据项目相关文件及批复，项目产生的土石方委托具有渣土清运资质的单位清运到</w:t>
      </w:r>
      <w:r>
        <w:rPr>
          <w:rFonts w:hint="eastAsia"/>
          <w:color w:val="000000"/>
          <w:sz w:val="24"/>
        </w:rPr>
        <w:t>芒市</w:t>
      </w:r>
      <w:r>
        <w:rPr>
          <w:color w:val="000000"/>
          <w:sz w:val="24"/>
        </w:rPr>
        <w:t>城市管理部门指定的弃土场或是在区内其它工地进行平衡，严禁随意丢弃。对临时堆土用土工布覆盖，待工程完后回用于绿化覆土。</w:t>
      </w:r>
    </w:p>
    <w:p w14:paraId="0A37D87D">
      <w:pPr>
        <w:spacing w:line="360" w:lineRule="auto"/>
        <w:ind w:firstLine="480"/>
        <w:rPr>
          <w:color w:val="000000"/>
          <w:sz w:val="24"/>
        </w:rPr>
      </w:pPr>
      <w:r>
        <w:rPr>
          <w:color w:val="000000"/>
          <w:sz w:val="24"/>
        </w:rPr>
        <w:t>在项目的施工期，如能加强施工中的人员及施工过程的管理，规范固体废弃物的堆放与处理，并严格制定和执行施工条例，对于所产生的固体废弃物按照相关部门的要求，采取相应的处理措施，并对施工地点的开挖面及废弃土石方堆放处进行处理，以防止雨季产生大量的水土流失，则施工中固体废弃物对周围环境的影响不大。</w:t>
      </w:r>
    </w:p>
    <w:p w14:paraId="59C4A773">
      <w:pPr>
        <w:spacing w:line="360" w:lineRule="auto"/>
        <w:ind w:firstLine="480"/>
        <w:rPr>
          <w:color w:val="000000"/>
          <w:sz w:val="24"/>
        </w:rPr>
      </w:pPr>
      <w:r>
        <w:rPr>
          <w:color w:val="000000"/>
          <w:sz w:val="24"/>
        </w:rPr>
        <w:t>施工期固体废物的另一环境影响也是伴随着水土流失的发生而产生的。如果施工期生活垃圾和建筑垃圾处理不当，暴雨过后形成地表径流的同时，必然携带大量垃圾，这些携带物随雨水汇集到地表水，对地表水造成不同程度的污染。因此在施工期间应加强临时固废堆存的管理，避免露天堆存，并及时清运至最近的垃圾处理站处理，减少对地表水体的影响。</w:t>
      </w:r>
    </w:p>
    <w:p w14:paraId="0482AEAF">
      <w:pPr>
        <w:pStyle w:val="221"/>
        <w:spacing w:after="0" w:line="360" w:lineRule="auto"/>
        <w:ind w:left="0" w:firstLine="482"/>
        <w:rPr>
          <w:color w:val="000000"/>
          <w:sz w:val="24"/>
        </w:rPr>
      </w:pPr>
      <w:r>
        <w:rPr>
          <w:color w:val="000000"/>
          <w:sz w:val="24"/>
        </w:rPr>
        <w:t>（3）施工生活垃圾</w:t>
      </w:r>
    </w:p>
    <w:p w14:paraId="64E8A41F">
      <w:pPr>
        <w:spacing w:line="360" w:lineRule="auto"/>
        <w:ind w:firstLine="480"/>
        <w:rPr>
          <w:color w:val="000000"/>
          <w:sz w:val="24"/>
        </w:rPr>
      </w:pPr>
      <w:r>
        <w:rPr>
          <w:color w:val="000000"/>
          <w:sz w:val="24"/>
        </w:rPr>
        <w:t>施工期施工人员产生的生活垃圾，施工人员不在工场地住宿，不设食堂服务设施，施工生活垃圾产生量小。但若不采取措施进行防治，生活垃圾将会对环境造成影响。因此施工生活垃圾应在施工现场设置垃圾收集点收集、暂存，在达到一定数量后委托环卫部门清运、统一处理后，可消除其对环境的不利影响。</w:t>
      </w:r>
    </w:p>
    <w:p w14:paraId="22A5E792">
      <w:pPr>
        <w:spacing w:line="360" w:lineRule="auto"/>
        <w:ind w:firstLine="480"/>
        <w:rPr>
          <w:color w:val="000000"/>
          <w:sz w:val="24"/>
        </w:rPr>
      </w:pPr>
      <w:r>
        <w:rPr>
          <w:color w:val="000000"/>
          <w:sz w:val="24"/>
        </w:rPr>
        <w:t>从上述分析评价可知，对施工期产生的各种固体废弃物进行综合利用和妥善处置后，对周围环境影响不大。</w:t>
      </w:r>
    </w:p>
    <w:p w14:paraId="280C818D">
      <w:pPr>
        <w:pStyle w:val="183"/>
        <w:ind w:firstLine="472"/>
        <w:rPr>
          <w:rFonts w:eastAsia="仿宋_GB2312"/>
          <w:color w:val="000000"/>
          <w:sz w:val="24"/>
          <w:szCs w:val="24"/>
        </w:rPr>
      </w:pPr>
      <w:bookmarkStart w:id="442" w:name="_Toc495500101"/>
      <w:r>
        <w:rPr>
          <w:rFonts w:eastAsia="仿宋_GB2312"/>
          <w:color w:val="000000"/>
          <w:sz w:val="24"/>
          <w:szCs w:val="24"/>
        </w:rPr>
        <w:t>6.1.5交通影响评价</w:t>
      </w:r>
      <w:bookmarkEnd w:id="442"/>
    </w:p>
    <w:p w14:paraId="5E458D8D">
      <w:pPr>
        <w:spacing w:line="360" w:lineRule="auto"/>
        <w:ind w:firstLine="480"/>
        <w:rPr>
          <w:color w:val="000000"/>
          <w:sz w:val="24"/>
        </w:rPr>
      </w:pPr>
      <w:r>
        <w:rPr>
          <w:color w:val="000000"/>
          <w:sz w:val="24"/>
        </w:rPr>
        <w:t>由于项目地处</w:t>
      </w:r>
      <w:r>
        <w:rPr>
          <w:rFonts w:hint="eastAsia"/>
          <w:color w:val="000000"/>
          <w:sz w:val="24"/>
        </w:rPr>
        <w:t>芒市机场大道环岛南侧</w:t>
      </w:r>
      <w:r>
        <w:rPr>
          <w:color w:val="000000"/>
          <w:sz w:val="24"/>
        </w:rPr>
        <w:t>，施工期间，场地内产生的建筑垃圾需要外运，大量的建筑材料需要运入，运输车辆将会给交通带来一定负担。建设单位、施工单位应定制合理的运输路线和时间，尽量避开繁忙道路和交通高峰时段，以缓解施工期对交通带来的影响。本项目施工过程中主要运输路线选择由绕城边道路进行运输行驶，运输处理尽量不途经城区。</w:t>
      </w:r>
    </w:p>
    <w:p w14:paraId="20239198">
      <w:pPr>
        <w:spacing w:line="360" w:lineRule="auto"/>
        <w:ind w:firstLine="480"/>
        <w:rPr>
          <w:color w:val="000000"/>
          <w:sz w:val="24"/>
        </w:rPr>
      </w:pPr>
      <w:r>
        <w:rPr>
          <w:color w:val="000000"/>
          <w:sz w:val="24"/>
        </w:rPr>
        <w:t>另外建设单位与运输部门共同做好驾驶员的职业道德教育，按规定路线运输，按规定地点处置，并不定期地检查执行的情况。采取上述措施后，将会有效地减轻施工期对交通的影响。</w:t>
      </w:r>
    </w:p>
    <w:p w14:paraId="5ECCD1AF">
      <w:pPr>
        <w:pStyle w:val="182"/>
        <w:ind w:firstLine="275"/>
        <w:rPr>
          <w:rFonts w:ascii="Times New Roman" w:hAnsi="Times New Roman" w:eastAsia="仿宋_GB2312" w:cs="Times New Roman"/>
          <w:color w:val="000000"/>
          <w:sz w:val="28"/>
          <w:szCs w:val="28"/>
        </w:rPr>
      </w:pPr>
      <w:bookmarkStart w:id="443" w:name="_Toc143085407"/>
      <w:bookmarkEnd w:id="443"/>
      <w:bookmarkStart w:id="444" w:name="_Toc217800830"/>
      <w:bookmarkEnd w:id="444"/>
      <w:bookmarkStart w:id="445" w:name="_Toc495500102"/>
      <w:r>
        <w:rPr>
          <w:rFonts w:ascii="Times New Roman" w:hAnsi="Times New Roman" w:eastAsia="仿宋_GB2312" w:cs="Times New Roman"/>
          <w:color w:val="000000"/>
          <w:sz w:val="28"/>
          <w:szCs w:val="28"/>
        </w:rPr>
        <w:t>6.2营运期环境影响评价</w:t>
      </w:r>
      <w:bookmarkEnd w:id="445"/>
    </w:p>
    <w:p w14:paraId="2E4E1594">
      <w:pPr>
        <w:pStyle w:val="183"/>
        <w:ind w:firstLine="472"/>
        <w:rPr>
          <w:rFonts w:eastAsia="仿宋_GB2312"/>
          <w:color w:val="000000"/>
          <w:sz w:val="24"/>
          <w:szCs w:val="24"/>
        </w:rPr>
      </w:pPr>
      <w:bookmarkStart w:id="446" w:name="_Toc241904987"/>
      <w:bookmarkEnd w:id="446"/>
      <w:bookmarkStart w:id="447" w:name="_Toc240180196"/>
      <w:bookmarkEnd w:id="447"/>
      <w:bookmarkStart w:id="448" w:name="_Toc495500103"/>
      <w:r>
        <w:rPr>
          <w:rFonts w:hint="eastAsia" w:eastAsia="仿宋_GB2312"/>
          <w:color w:val="000000"/>
          <w:sz w:val="24"/>
          <w:szCs w:val="24"/>
        </w:rPr>
        <w:t>6</w:t>
      </w:r>
      <w:r>
        <w:rPr>
          <w:rFonts w:eastAsia="仿宋_GB2312"/>
          <w:color w:val="000000"/>
          <w:sz w:val="24"/>
          <w:szCs w:val="24"/>
        </w:rPr>
        <w:t>.</w:t>
      </w:r>
      <w:r>
        <w:rPr>
          <w:rFonts w:hint="eastAsia" w:eastAsia="仿宋_GB2312"/>
          <w:color w:val="000000"/>
          <w:sz w:val="24"/>
          <w:szCs w:val="24"/>
        </w:rPr>
        <w:t>2.1</w:t>
      </w:r>
      <w:r>
        <w:rPr>
          <w:rFonts w:eastAsia="仿宋_GB2312"/>
          <w:color w:val="000000"/>
          <w:sz w:val="24"/>
          <w:szCs w:val="24"/>
        </w:rPr>
        <w:t xml:space="preserve"> 水环境影响评价</w:t>
      </w:r>
      <w:bookmarkEnd w:id="448"/>
    </w:p>
    <w:p w14:paraId="4598329E">
      <w:pPr>
        <w:pStyle w:val="268"/>
        <w:spacing w:before="0" w:line="500" w:lineRule="exact"/>
        <w:ind w:firstLine="480"/>
        <w:rPr>
          <w:rFonts w:ascii="宋体" w:hAnsi="宋体"/>
          <w:color w:val="000000"/>
          <w:szCs w:val="24"/>
        </w:rPr>
      </w:pPr>
      <w:bookmarkStart w:id="449" w:name="_Toc240180197"/>
      <w:bookmarkEnd w:id="449"/>
      <w:bookmarkStart w:id="450" w:name="_Toc241904988"/>
      <w:bookmarkEnd w:id="450"/>
      <w:r>
        <w:rPr>
          <w:color w:val="000000"/>
          <w:szCs w:val="24"/>
        </w:rPr>
        <w:t>项目营运期废水主要为医疗废水和生活污水，</w:t>
      </w:r>
      <w:r>
        <w:rPr>
          <w:rFonts w:hint="eastAsia"/>
          <w:color w:val="000000"/>
        </w:rPr>
        <w:t>项目</w:t>
      </w:r>
      <w:r>
        <w:rPr>
          <w:color w:val="000000"/>
        </w:rPr>
        <w:t>建设单位自建</w:t>
      </w:r>
      <w:r>
        <w:rPr>
          <w:rFonts w:hint="eastAsia"/>
          <w:color w:val="000000"/>
        </w:rPr>
        <w:t>一座</w:t>
      </w:r>
      <w:r>
        <w:rPr>
          <w:color w:val="000000"/>
        </w:rPr>
        <w:t>污水处理站，</w:t>
      </w:r>
      <w:r>
        <w:rPr>
          <w:rFonts w:hint="eastAsia"/>
          <w:color w:val="000000"/>
        </w:rPr>
        <w:t>根据项目的总排水量102.553</w:t>
      </w:r>
      <w:r>
        <w:rPr>
          <w:color w:val="000000"/>
        </w:rPr>
        <w:t>m</w:t>
      </w:r>
      <w:r>
        <w:rPr>
          <w:color w:val="000000"/>
          <w:vertAlign w:val="superscript"/>
        </w:rPr>
        <w:t>3</w:t>
      </w:r>
      <w:r>
        <w:rPr>
          <w:color w:val="000000"/>
        </w:rPr>
        <w:t>/d。处理规模不小于</w:t>
      </w:r>
      <w:r>
        <w:rPr>
          <w:rFonts w:hint="eastAsia"/>
          <w:color w:val="000000"/>
        </w:rPr>
        <w:t>120</w:t>
      </w:r>
      <w:r>
        <w:rPr>
          <w:color w:val="000000"/>
        </w:rPr>
        <w:t>m³/d，可满足项目运营后最大的</w:t>
      </w:r>
      <w:r>
        <w:rPr>
          <w:rFonts w:hint="eastAsia"/>
          <w:color w:val="000000"/>
        </w:rPr>
        <w:t>污水</w:t>
      </w:r>
      <w:r>
        <w:rPr>
          <w:color w:val="000000"/>
        </w:rPr>
        <w:t>处理需求。</w:t>
      </w:r>
      <w:r>
        <w:rPr>
          <w:rFonts w:hint="eastAsia"/>
          <w:color w:val="000000"/>
        </w:rPr>
        <w:t>本项目污水处理站所采用的工艺为二级处理工艺。该工艺处理后的污水水质</w:t>
      </w:r>
      <w:r>
        <w:rPr>
          <w:color w:val="000000"/>
        </w:rPr>
        <w:t>能够</w:t>
      </w:r>
      <w:r>
        <w:rPr>
          <w:rFonts w:hint="eastAsia"/>
          <w:color w:val="000000"/>
        </w:rPr>
        <w:t>达到</w:t>
      </w:r>
      <w:r>
        <w:rPr>
          <w:color w:val="000000"/>
        </w:rPr>
        <w:t>《医疗机构水污染物排放标准》（GB18466-2005）中的预处理标准</w:t>
      </w:r>
      <w:r>
        <w:rPr>
          <w:rFonts w:hint="eastAsia"/>
          <w:color w:val="000000"/>
        </w:rPr>
        <w:t>，处理达标</w:t>
      </w:r>
      <w:r>
        <w:rPr>
          <w:color w:val="000000"/>
        </w:rPr>
        <w:t>后</w:t>
      </w:r>
      <w:r>
        <w:rPr>
          <w:rFonts w:hint="eastAsia"/>
          <w:color w:val="000000"/>
        </w:rPr>
        <w:t>的污水</w:t>
      </w:r>
      <w:r>
        <w:rPr>
          <w:color w:val="000000"/>
        </w:rPr>
        <w:t>排入</w:t>
      </w:r>
      <w:r>
        <w:rPr>
          <w:rFonts w:hint="eastAsia"/>
          <w:color w:val="000000"/>
        </w:rPr>
        <w:t>市政污水管网进入芒市</w:t>
      </w:r>
      <w:r>
        <w:rPr>
          <w:color w:val="000000"/>
        </w:rPr>
        <w:t>污水处理厂。</w:t>
      </w:r>
    </w:p>
    <w:p w14:paraId="3F3C5C14">
      <w:pPr>
        <w:spacing w:line="500" w:lineRule="exact"/>
        <w:ind w:firstLine="480"/>
        <w:rPr>
          <w:rFonts w:hint="eastAsia" w:ascii="宋体" w:hAnsi="宋体"/>
          <w:color w:val="000000"/>
          <w:sz w:val="24"/>
        </w:rPr>
      </w:pPr>
      <w:r>
        <w:rPr>
          <w:rFonts w:ascii="宋体" w:hAnsi="宋体"/>
          <w:color w:val="000000"/>
          <w:sz w:val="24"/>
        </w:rPr>
        <w:t>本</w:t>
      </w:r>
      <w:r>
        <w:rPr>
          <w:rFonts w:hint="eastAsia" w:ascii="宋体" w:hAnsi="宋体"/>
          <w:color w:val="000000"/>
          <w:sz w:val="24"/>
        </w:rPr>
        <w:t>项目污水排放分为两种情况进行分析，一种是正常排放</w:t>
      </w:r>
      <w:r>
        <w:rPr>
          <w:rFonts w:ascii="宋体" w:hAnsi="宋体"/>
          <w:color w:val="000000"/>
          <w:sz w:val="24"/>
        </w:rPr>
        <w:t>（医院污水处理站</w:t>
      </w:r>
      <w:r>
        <w:rPr>
          <w:rFonts w:hint="eastAsia" w:ascii="宋体" w:hAnsi="宋体"/>
          <w:color w:val="000000"/>
          <w:sz w:val="24"/>
        </w:rPr>
        <w:t>正常运行，污水经处理站处理达标后外排</w:t>
      </w:r>
      <w:r>
        <w:rPr>
          <w:rFonts w:ascii="宋体" w:hAnsi="宋体"/>
          <w:color w:val="000000"/>
          <w:sz w:val="24"/>
        </w:rPr>
        <w:t>）</w:t>
      </w:r>
      <w:r>
        <w:rPr>
          <w:rFonts w:hint="eastAsia" w:ascii="宋体" w:hAnsi="宋体"/>
          <w:color w:val="000000"/>
          <w:sz w:val="24"/>
        </w:rPr>
        <w:t>；另一种是非</w:t>
      </w:r>
      <w:r>
        <w:rPr>
          <w:rFonts w:ascii="宋体" w:hAnsi="宋体"/>
          <w:color w:val="000000"/>
          <w:sz w:val="24"/>
        </w:rPr>
        <w:t>正常排放（医院污水处理站发生事故，废水未经处理</w:t>
      </w:r>
      <w:r>
        <w:rPr>
          <w:rFonts w:hint="eastAsia" w:ascii="宋体" w:hAnsi="宋体"/>
          <w:color w:val="000000"/>
          <w:sz w:val="24"/>
        </w:rPr>
        <w:t>或处理不达标就</w:t>
      </w:r>
      <w:r>
        <w:rPr>
          <w:rFonts w:ascii="宋体" w:hAnsi="宋体"/>
          <w:color w:val="000000"/>
          <w:sz w:val="24"/>
        </w:rPr>
        <w:t>直接</w:t>
      </w:r>
      <w:r>
        <w:rPr>
          <w:rFonts w:hint="eastAsia" w:ascii="宋体" w:hAnsi="宋体"/>
          <w:color w:val="000000"/>
          <w:sz w:val="24"/>
        </w:rPr>
        <w:t>外排市政污水管网</w:t>
      </w:r>
      <w:r>
        <w:rPr>
          <w:rFonts w:ascii="宋体" w:hAnsi="宋体"/>
          <w:color w:val="000000"/>
          <w:sz w:val="24"/>
        </w:rPr>
        <w:t>）。</w:t>
      </w:r>
    </w:p>
    <w:p w14:paraId="43EEADC2">
      <w:pPr>
        <w:pStyle w:val="221"/>
        <w:spacing w:before="120" w:after="0" w:line="360" w:lineRule="auto"/>
        <w:ind w:left="0" w:firstLine="482"/>
        <w:rPr>
          <w:rFonts w:hint="eastAsia" w:ascii="宋体" w:hAnsi="宋体"/>
          <w:color w:val="000000"/>
          <w:sz w:val="24"/>
        </w:rPr>
      </w:pPr>
      <w:r>
        <w:rPr>
          <w:rFonts w:hint="eastAsia" w:ascii="宋体" w:hAnsi="宋体"/>
          <w:color w:val="000000"/>
          <w:sz w:val="24"/>
        </w:rPr>
        <w:t>（1）正常排放情况下</w:t>
      </w:r>
    </w:p>
    <w:p w14:paraId="145DEF44">
      <w:pPr>
        <w:pStyle w:val="221"/>
        <w:spacing w:after="0" w:line="360" w:lineRule="auto"/>
        <w:ind w:left="0" w:firstLine="480"/>
        <w:rPr>
          <w:rFonts w:ascii="宋体" w:hAnsi="宋体"/>
          <w:color w:val="000000"/>
          <w:sz w:val="24"/>
        </w:rPr>
      </w:pPr>
      <w:r>
        <w:rPr>
          <w:rFonts w:ascii="宋体" w:hAnsi="宋体"/>
          <w:color w:val="000000"/>
          <w:sz w:val="24"/>
        </w:rPr>
        <w:t>1</w:t>
      </w:r>
      <w:r>
        <w:rPr>
          <w:rFonts w:hint="eastAsia" w:ascii="宋体" w:hAnsi="宋体"/>
          <w:color w:val="000000"/>
          <w:sz w:val="24"/>
        </w:rPr>
        <w:t>）</w:t>
      </w:r>
      <w:r>
        <w:rPr>
          <w:rFonts w:ascii="宋体" w:hAnsi="宋体"/>
          <w:color w:val="000000"/>
          <w:sz w:val="24"/>
        </w:rPr>
        <w:t>、排水去向</w:t>
      </w:r>
    </w:p>
    <w:p w14:paraId="3583C297">
      <w:pPr>
        <w:spacing w:line="500" w:lineRule="exact"/>
        <w:ind w:firstLine="480"/>
        <w:rPr>
          <w:rFonts w:hint="eastAsia" w:hAnsi="宋体"/>
          <w:color w:val="000000"/>
          <w:sz w:val="24"/>
        </w:rPr>
      </w:pPr>
      <w:r>
        <w:rPr>
          <w:rFonts w:hAnsi="宋体"/>
          <w:color w:val="000000"/>
          <w:sz w:val="24"/>
        </w:rPr>
        <w:t>本项目采用</w:t>
      </w:r>
      <w:r>
        <w:rPr>
          <w:rFonts w:hint="eastAsia" w:ascii="宋体" w:hAnsi="宋体"/>
          <w:color w:val="000000"/>
          <w:sz w:val="24"/>
        </w:rPr>
        <w:t>二级</w:t>
      </w:r>
      <w:r>
        <w:rPr>
          <w:rFonts w:hAnsi="宋体"/>
          <w:bCs/>
          <w:color w:val="000000"/>
          <w:sz w:val="24"/>
        </w:rPr>
        <w:t>处理工艺</w:t>
      </w:r>
      <w:r>
        <w:rPr>
          <w:rFonts w:hAnsi="宋体"/>
          <w:color w:val="000000"/>
          <w:sz w:val="24"/>
        </w:rPr>
        <w:t>对医院废水进行预处理，使废水达到《医疗机构水污染物排放标准》（</w:t>
      </w:r>
      <w:r>
        <w:rPr>
          <w:color w:val="000000"/>
          <w:sz w:val="24"/>
        </w:rPr>
        <w:t>GB18466-2005</w:t>
      </w:r>
      <w:r>
        <w:rPr>
          <w:rFonts w:hAnsi="宋体"/>
          <w:color w:val="000000"/>
          <w:sz w:val="24"/>
        </w:rPr>
        <w:t>）中的预处理标准后，经市政污水</w:t>
      </w:r>
      <w:r>
        <w:rPr>
          <w:rFonts w:hint="eastAsia" w:hAnsi="宋体"/>
          <w:color w:val="000000"/>
          <w:sz w:val="24"/>
        </w:rPr>
        <w:t>管网</w:t>
      </w:r>
      <w:r>
        <w:rPr>
          <w:rFonts w:hAnsi="宋体"/>
          <w:color w:val="000000"/>
          <w:sz w:val="24"/>
        </w:rPr>
        <w:t>进入</w:t>
      </w:r>
      <w:r>
        <w:rPr>
          <w:rFonts w:hint="eastAsia" w:hAnsi="宋体"/>
          <w:color w:val="000000"/>
          <w:sz w:val="24"/>
        </w:rPr>
        <w:t>芒市</w:t>
      </w:r>
      <w:r>
        <w:rPr>
          <w:rFonts w:hAnsi="宋体"/>
          <w:color w:val="000000"/>
          <w:sz w:val="24"/>
        </w:rPr>
        <w:t>污水处理厂。</w:t>
      </w:r>
    </w:p>
    <w:p w14:paraId="65EFCE16">
      <w:pPr>
        <w:spacing w:line="500" w:lineRule="exact"/>
        <w:ind w:firstLine="480"/>
        <w:rPr>
          <w:rFonts w:hint="eastAsia"/>
          <w:color w:val="000000"/>
          <w:sz w:val="24"/>
        </w:rPr>
      </w:pPr>
      <w:r>
        <w:rPr>
          <w:rFonts w:hint="eastAsia"/>
          <w:color w:val="000000"/>
          <w:sz w:val="24"/>
        </w:rPr>
        <w:t>污水处理工艺图如下图6-1：</w:t>
      </w:r>
    </w:p>
    <w:p w14:paraId="612C3CC6">
      <w:pPr>
        <w:spacing w:line="500" w:lineRule="exact"/>
        <w:ind w:firstLine="480"/>
        <w:rPr>
          <w:rFonts w:hint="eastAsia"/>
          <w:color w:val="000000"/>
          <w:sz w:val="24"/>
        </w:rPr>
      </w:pPr>
    </w:p>
    <w:p w14:paraId="6207C77F">
      <w:pPr>
        <w:spacing w:line="500" w:lineRule="exact"/>
        <w:ind w:firstLine="480"/>
        <w:rPr>
          <w:rFonts w:hint="eastAsia"/>
          <w:color w:val="000000"/>
          <w:sz w:val="24"/>
        </w:rPr>
      </w:pPr>
    </w:p>
    <w:p w14:paraId="713B7B6B">
      <w:pPr>
        <w:spacing w:line="500" w:lineRule="exact"/>
        <w:ind w:firstLine="480"/>
        <w:rPr>
          <w:rFonts w:hint="eastAsia"/>
          <w:color w:val="000000"/>
          <w:sz w:val="24"/>
        </w:rPr>
      </w:pPr>
    </w:p>
    <w:p w14:paraId="0AB582D9">
      <w:pPr>
        <w:spacing w:line="500" w:lineRule="exact"/>
        <w:ind w:firstLine="480"/>
        <w:rPr>
          <w:rFonts w:hint="eastAsia"/>
          <w:color w:val="000000"/>
          <w:sz w:val="24"/>
        </w:rPr>
      </w:pPr>
    </w:p>
    <w:p w14:paraId="41A31CA8">
      <w:pPr>
        <w:spacing w:line="500" w:lineRule="exact"/>
        <w:ind w:firstLine="480"/>
        <w:rPr>
          <w:rFonts w:hint="eastAsia"/>
          <w:color w:val="000000"/>
          <w:sz w:val="24"/>
        </w:rPr>
      </w:pPr>
    </w:p>
    <w:p w14:paraId="1FEB3BF6">
      <w:pPr>
        <w:spacing w:line="500" w:lineRule="exact"/>
        <w:ind w:firstLine="480"/>
        <w:rPr>
          <w:rFonts w:hint="eastAsia"/>
          <w:color w:val="000000"/>
          <w:sz w:val="24"/>
        </w:rPr>
      </w:pPr>
    </w:p>
    <w:p w14:paraId="2B0AADA6">
      <w:pPr>
        <w:spacing w:line="500" w:lineRule="exact"/>
        <w:ind w:firstLine="480"/>
        <w:rPr>
          <w:rFonts w:hint="eastAsia"/>
          <w:color w:val="000000"/>
          <w:sz w:val="24"/>
        </w:rPr>
      </w:pPr>
    </w:p>
    <w:p w14:paraId="01759656">
      <w:pPr>
        <w:pStyle w:val="221"/>
        <w:spacing w:after="0" w:line="360" w:lineRule="auto"/>
        <w:ind w:left="0" w:firstLine="0"/>
        <w:jc w:val="left"/>
        <w:rPr>
          <w:rFonts w:hint="eastAsia"/>
          <w:color w:val="000000"/>
          <w:sz w:val="24"/>
        </w:rPr>
      </w:pPr>
    </w:p>
    <w:p w14:paraId="7D79D98E">
      <w:pPr>
        <w:pStyle w:val="221"/>
        <w:spacing w:after="0" w:line="360" w:lineRule="auto"/>
        <w:ind w:left="0" w:firstLine="0"/>
        <w:jc w:val="left"/>
        <w:rPr>
          <w:rFonts w:hint="eastAsia"/>
          <w:color w:val="000000"/>
        </w:rPr>
      </w:pPr>
      <w:r>
        <w:rPr>
          <w:rFonts w:hint="eastAsia"/>
          <w:color w:val="000000"/>
        </w:rPr>
        <mc:AlternateContent>
          <mc:Choice Requires="wpg">
            <w:drawing>
              <wp:anchor distT="0" distB="0" distL="114300" distR="114300" simplePos="0" relativeHeight="251660288" behindDoc="0" locked="0" layoutInCell="1" allowOverlap="1">
                <wp:simplePos x="0" y="0"/>
                <wp:positionH relativeFrom="column">
                  <wp:posOffset>114300</wp:posOffset>
                </wp:positionH>
                <wp:positionV relativeFrom="paragraph">
                  <wp:posOffset>99060</wp:posOffset>
                </wp:positionV>
                <wp:extent cx="5257800" cy="2377440"/>
                <wp:effectExtent l="0" t="0" r="0" b="0"/>
                <wp:wrapNone/>
                <wp:docPr id="160" name="_x0000_s1309"/>
                <wp:cNvGraphicFramePr/>
                <a:graphic xmlns:a="http://schemas.openxmlformats.org/drawingml/2006/main">
                  <a:graphicData uri="http://schemas.microsoft.com/office/word/2010/wordprocessingGroup">
                    <wpg:wgp>
                      <wpg:cNvGrpSpPr/>
                      <wpg:grpSpPr>
                        <a:xfrm>
                          <a:off x="0" y="0"/>
                          <a:ext cx="5257800" cy="2377440"/>
                          <a:chOff x="1620" y="9240"/>
                          <a:chExt cx="8280" cy="3744"/>
                        </a:xfrm>
                      </wpg:grpSpPr>
                      <wps:wsp>
                        <wps:cNvPr id="161" name="直接连接符 161"/>
                        <wps:cNvCnPr/>
                        <wps:spPr bwMode="auto">
                          <a:xfrm flipH="1">
                            <a:off x="6480" y="11892"/>
                            <a:ext cx="540" cy="156"/>
                          </a:xfrm>
                          <a:prstGeom prst="line">
                            <a:avLst/>
                          </a:prstGeom>
                          <a:noFill/>
                          <a:ln>
                            <a:solidFill>
                              <a:srgbClr val="000000"/>
                            </a:solidFill>
                            <a:tailEnd type="triangle"/>
                          </a:ln>
                        </wps:spPr>
                        <wps:bodyPr rot="0">
                          <a:noAutofit/>
                        </wps:bodyPr>
                      </wps:wsp>
                      <wpg:grpSp>
                        <wpg:cNvPr id="162" name="组合 162"/>
                        <wpg:cNvGrpSpPr/>
                        <wpg:grpSpPr>
                          <a:xfrm>
                            <a:off x="1620" y="9240"/>
                            <a:ext cx="8280" cy="3744"/>
                            <a:chOff x="1620" y="9240"/>
                            <a:chExt cx="8280" cy="3744"/>
                          </a:xfrm>
                        </wpg:grpSpPr>
                        <wps:wsp>
                          <wps:cNvPr id="163" name="矩形 163"/>
                          <wps:cNvSpPr/>
                          <wps:spPr bwMode="auto">
                            <a:xfrm>
                              <a:off x="1620" y="9246"/>
                              <a:ext cx="900" cy="2028"/>
                            </a:xfrm>
                            <a:prstGeom prst="rect">
                              <a:avLst/>
                            </a:prstGeom>
                            <a:solidFill>
                              <a:srgbClr val="FFFFFF"/>
                            </a:solidFill>
                            <a:ln>
                              <a:solidFill>
                                <a:srgbClr val="000000"/>
                              </a:solidFill>
                              <a:bevel/>
                            </a:ln>
                          </wps:spPr>
                          <wps:txbx>
                            <w:txbxContent>
                              <w:p w14:paraId="5BC77BB1">
                                <w:pPr>
                                  <w:pStyle w:val="216"/>
                                  <w:rPr>
                                    <w:rFonts w:hint="eastAsia"/>
                                  </w:rPr>
                                </w:pPr>
                                <w:r>
                                  <w:rPr>
                                    <w:rFonts w:hint="eastAsia"/>
                                    <w:sz w:val="21"/>
                                    <w:szCs w:val="21"/>
                                  </w:rPr>
                                  <w:t>污水相应处理</w:t>
                                </w:r>
                                <w:r>
                                  <w:rPr>
                                    <w:rFonts w:hint="eastAsia"/>
                                  </w:rPr>
                                  <w:t>后</w:t>
                                </w:r>
                              </w:p>
                              <w:p w14:paraId="039A92D2"/>
                            </w:txbxContent>
                          </wps:txbx>
                          <wps:bodyPr wrap="square" upright="1"/>
                        </wps:wsp>
                        <wps:wsp>
                          <wps:cNvPr id="164" name="矩形 164"/>
                          <wps:cNvSpPr/>
                          <wps:spPr bwMode="auto">
                            <a:xfrm>
                              <a:off x="3240" y="9240"/>
                              <a:ext cx="540" cy="2028"/>
                            </a:xfrm>
                            <a:prstGeom prst="rect">
                              <a:avLst/>
                            </a:prstGeom>
                            <a:solidFill>
                              <a:srgbClr val="FFFFFF"/>
                            </a:solidFill>
                            <a:ln>
                              <a:solidFill>
                                <a:srgbClr val="000000"/>
                              </a:solidFill>
                            </a:ln>
                          </wps:spPr>
                          <wps:txbx>
                            <w:txbxContent>
                              <w:p w14:paraId="1AEAB2D4">
                                <w:pPr>
                                  <w:rPr>
                                    <w:rFonts w:hint="eastAsia"/>
                                  </w:rPr>
                                </w:pPr>
                                <w:r>
                                  <w:rPr>
                                    <w:rFonts w:hint="eastAsia"/>
                                  </w:rPr>
                                  <w:t>格</w:t>
                                </w:r>
                              </w:p>
                              <w:p w14:paraId="1CCF5F50">
                                <w:pPr>
                                  <w:rPr>
                                    <w:rFonts w:hint="eastAsia"/>
                                  </w:rPr>
                                </w:pPr>
                              </w:p>
                              <w:p w14:paraId="45C921D6">
                                <w:pPr>
                                  <w:rPr>
                                    <w:rFonts w:hint="eastAsia"/>
                                  </w:rPr>
                                </w:pPr>
                              </w:p>
                              <w:p w14:paraId="7B68E42C">
                                <w:pPr>
                                  <w:rPr>
                                    <w:rFonts w:hint="eastAsia"/>
                                  </w:rPr>
                                </w:pPr>
                              </w:p>
                              <w:p w14:paraId="03A6F5E3">
                                <w:pPr>
                                  <w:rPr>
                                    <w:rFonts w:hint="eastAsia"/>
                                  </w:rPr>
                                </w:pPr>
                              </w:p>
                              <w:p w14:paraId="2A83E9B5">
                                <w:pPr>
                                  <w:rPr>
                                    <w:rFonts w:hint="eastAsia"/>
                                  </w:rPr>
                                </w:pPr>
                                <w:r>
                                  <w:rPr>
                                    <w:rFonts w:hint="eastAsia"/>
                                  </w:rPr>
                                  <w:t>栅</w:t>
                                </w:r>
                              </w:p>
                              <w:p w14:paraId="01910610"/>
                            </w:txbxContent>
                          </wps:txbx>
                          <wps:bodyPr wrap="square" upright="1"/>
                        </wps:wsp>
                        <wps:wsp>
                          <wps:cNvPr id="165" name="矩形 165"/>
                          <wps:cNvSpPr/>
                          <wps:spPr bwMode="auto">
                            <a:xfrm>
                              <a:off x="4140" y="9240"/>
                              <a:ext cx="540" cy="2028"/>
                            </a:xfrm>
                            <a:prstGeom prst="rect">
                              <a:avLst/>
                            </a:prstGeom>
                            <a:solidFill>
                              <a:srgbClr val="FFFFFF"/>
                            </a:solidFill>
                            <a:ln>
                              <a:solidFill>
                                <a:srgbClr val="000000"/>
                              </a:solidFill>
                            </a:ln>
                          </wps:spPr>
                          <wps:txbx>
                            <w:txbxContent>
                              <w:p w14:paraId="62DA34FE">
                                <w:pPr>
                                  <w:rPr>
                                    <w:rFonts w:hint="eastAsia"/>
                                  </w:rPr>
                                </w:pPr>
                                <w:r>
                                  <w:rPr>
                                    <w:rFonts w:hint="eastAsia"/>
                                  </w:rPr>
                                  <w:t>调</w:t>
                                </w:r>
                              </w:p>
                              <w:p w14:paraId="3C87A94B">
                                <w:pPr>
                                  <w:rPr>
                                    <w:rFonts w:hint="eastAsia"/>
                                  </w:rPr>
                                </w:pPr>
                              </w:p>
                              <w:p w14:paraId="4C8EBA8C">
                                <w:pPr>
                                  <w:rPr>
                                    <w:rFonts w:hint="eastAsia"/>
                                  </w:rPr>
                                </w:pPr>
                                <w:r>
                                  <w:rPr>
                                    <w:rFonts w:hint="eastAsia"/>
                                  </w:rPr>
                                  <w:t>节</w:t>
                                </w:r>
                              </w:p>
                              <w:p w14:paraId="013785EA">
                                <w:pPr>
                                  <w:rPr>
                                    <w:rFonts w:hint="eastAsia"/>
                                  </w:rPr>
                                </w:pPr>
                              </w:p>
                              <w:p w14:paraId="4C61D052">
                                <w:pPr>
                                  <w:rPr>
                                    <w:rFonts w:hint="eastAsia"/>
                                  </w:rPr>
                                </w:pPr>
                              </w:p>
                              <w:p w14:paraId="3954D183">
                                <w:pPr>
                                  <w:rPr>
                                    <w:rFonts w:hint="eastAsia"/>
                                    <w:sz w:val="28"/>
                                  </w:rPr>
                                </w:pPr>
                                <w:r>
                                  <w:rPr>
                                    <w:rFonts w:hint="eastAsia"/>
                                  </w:rPr>
                                  <w:t>池</w:t>
                                </w:r>
                              </w:p>
                              <w:p w14:paraId="691A3563"/>
                            </w:txbxContent>
                          </wps:txbx>
                          <wps:bodyPr wrap="square" upright="1"/>
                        </wps:wsp>
                        <wps:wsp>
                          <wps:cNvPr id="166" name="矩形 166"/>
                          <wps:cNvSpPr/>
                          <wps:spPr bwMode="auto">
                            <a:xfrm>
                              <a:off x="5940" y="9240"/>
                              <a:ext cx="540" cy="2028"/>
                            </a:xfrm>
                            <a:prstGeom prst="rect">
                              <a:avLst/>
                            </a:prstGeom>
                            <a:solidFill>
                              <a:srgbClr val="FFFFFF"/>
                            </a:solidFill>
                            <a:ln>
                              <a:solidFill>
                                <a:srgbClr val="000000"/>
                              </a:solidFill>
                              <a:bevel/>
                            </a:ln>
                          </wps:spPr>
                          <wps:txbx>
                            <w:txbxContent>
                              <w:p w14:paraId="13D63962">
                                <w:pPr>
                                  <w:rPr>
                                    <w:rFonts w:hint="eastAsia"/>
                                  </w:rPr>
                                </w:pPr>
                                <w:r>
                                  <w:rPr>
                                    <w:rFonts w:hint="eastAsia"/>
                                    <w:sz w:val="18"/>
                                    <w:szCs w:val="18"/>
                                  </w:rPr>
                                  <w:t>生化处理厌氧消毒</w:t>
                                </w:r>
                              </w:p>
                              <w:p w14:paraId="1CBF0324"/>
                            </w:txbxContent>
                          </wps:txbx>
                          <wps:bodyPr wrap="square" upright="1"/>
                        </wps:wsp>
                        <wps:wsp>
                          <wps:cNvPr id="167" name="矩形 167"/>
                          <wps:cNvSpPr/>
                          <wps:spPr bwMode="auto">
                            <a:xfrm>
                              <a:off x="5040" y="9240"/>
                              <a:ext cx="540" cy="2028"/>
                            </a:xfrm>
                            <a:prstGeom prst="rect">
                              <a:avLst/>
                            </a:prstGeom>
                            <a:solidFill>
                              <a:srgbClr val="FFFFFF"/>
                            </a:solidFill>
                            <a:ln>
                              <a:solidFill>
                                <a:srgbClr val="000000"/>
                              </a:solidFill>
                            </a:ln>
                          </wps:spPr>
                          <wps:txbx>
                            <w:txbxContent>
                              <w:p w14:paraId="32C61332">
                                <w:pPr>
                                  <w:rPr>
                                    <w:rFonts w:hint="eastAsia"/>
                                  </w:rPr>
                                </w:pPr>
                                <w:r>
                                  <w:rPr>
                                    <w:rFonts w:hint="eastAsia"/>
                                  </w:rPr>
                                  <w:t>初</w:t>
                                </w:r>
                              </w:p>
                              <w:p w14:paraId="600B353E">
                                <w:pPr>
                                  <w:rPr>
                                    <w:rFonts w:hint="eastAsia"/>
                                  </w:rPr>
                                </w:pPr>
                                <w:r>
                                  <w:rPr>
                                    <w:rFonts w:hint="eastAsia"/>
                                  </w:rPr>
                                  <w:t>次</w:t>
                                </w:r>
                              </w:p>
                              <w:p w14:paraId="0F9B86E7">
                                <w:pPr>
                                  <w:rPr>
                                    <w:rFonts w:hint="eastAsia"/>
                                  </w:rPr>
                                </w:pPr>
                                <w:r>
                                  <w:rPr>
                                    <w:rFonts w:hint="eastAsia"/>
                                  </w:rPr>
                                  <w:t>沉</w:t>
                                </w:r>
                              </w:p>
                              <w:p w14:paraId="116B4BF4">
                                <w:pPr>
                                  <w:rPr>
                                    <w:rFonts w:hint="eastAsia"/>
                                  </w:rPr>
                                </w:pPr>
                                <w:r>
                                  <w:rPr>
                                    <w:rFonts w:hint="eastAsia"/>
                                  </w:rPr>
                                  <w:t>淀</w:t>
                                </w:r>
                              </w:p>
                              <w:p w14:paraId="15B74788"/>
                            </w:txbxContent>
                          </wps:txbx>
                          <wps:bodyPr wrap="square" upright="1"/>
                        </wps:wsp>
                        <wps:wsp>
                          <wps:cNvPr id="168" name="矩形 168"/>
                          <wps:cNvSpPr/>
                          <wps:spPr bwMode="auto">
                            <a:xfrm>
                              <a:off x="8460" y="9240"/>
                              <a:ext cx="540" cy="2028"/>
                            </a:xfrm>
                            <a:prstGeom prst="rect">
                              <a:avLst/>
                            </a:prstGeom>
                            <a:solidFill>
                              <a:srgbClr val="FFFFFF"/>
                            </a:solidFill>
                            <a:ln>
                              <a:solidFill>
                                <a:srgbClr val="000000"/>
                              </a:solidFill>
                            </a:ln>
                          </wps:spPr>
                          <wps:txbx>
                            <w:txbxContent>
                              <w:p w14:paraId="7C8A9CB5">
                                <w:pPr>
                                  <w:pStyle w:val="216"/>
                                  <w:rPr>
                                    <w:rFonts w:hint="eastAsia"/>
                                    <w:sz w:val="21"/>
                                    <w:szCs w:val="21"/>
                                  </w:rPr>
                                </w:pPr>
                                <w:r>
                                  <w:rPr>
                                    <w:rFonts w:hint="eastAsia"/>
                                    <w:sz w:val="21"/>
                                    <w:szCs w:val="21"/>
                                  </w:rPr>
                                  <w:t>接触池</w:t>
                                </w:r>
                              </w:p>
                              <w:p w14:paraId="5C3B2B5D"/>
                            </w:txbxContent>
                          </wps:txbx>
                          <wps:bodyPr wrap="square" upright="1"/>
                        </wps:wsp>
                        <wps:wsp>
                          <wps:cNvPr id="169" name="矩形 169"/>
                          <wps:cNvSpPr/>
                          <wps:spPr bwMode="auto">
                            <a:xfrm>
                              <a:off x="6840" y="9240"/>
                              <a:ext cx="540" cy="2028"/>
                            </a:xfrm>
                            <a:prstGeom prst="rect">
                              <a:avLst/>
                            </a:prstGeom>
                            <a:solidFill>
                              <a:srgbClr val="FFFFFF"/>
                            </a:solidFill>
                            <a:ln>
                              <a:solidFill>
                                <a:srgbClr val="000000"/>
                              </a:solidFill>
                            </a:ln>
                          </wps:spPr>
                          <wps:txbx>
                            <w:txbxContent>
                              <w:p w14:paraId="3AC61BB6">
                                <w:pPr>
                                  <w:rPr>
                                    <w:rFonts w:hint="eastAsia"/>
                                  </w:rPr>
                                </w:pPr>
                                <w:r>
                                  <w:rPr>
                                    <w:rFonts w:hint="eastAsia"/>
                                  </w:rPr>
                                  <w:t>二次沉淀池</w:t>
                                </w:r>
                              </w:p>
                              <w:p w14:paraId="2FA2CC1D"/>
                            </w:txbxContent>
                          </wps:txbx>
                          <wps:bodyPr wrap="square" upright="1"/>
                        </wps:wsp>
                        <wps:wsp>
                          <wps:cNvPr id="170" name="矩形 170"/>
                          <wps:cNvSpPr/>
                          <wps:spPr bwMode="auto">
                            <a:xfrm>
                              <a:off x="9360" y="9246"/>
                              <a:ext cx="540" cy="2028"/>
                            </a:xfrm>
                            <a:prstGeom prst="rect">
                              <a:avLst/>
                            </a:prstGeom>
                            <a:solidFill>
                              <a:srgbClr val="FFFFFF"/>
                            </a:solidFill>
                            <a:ln>
                              <a:solidFill>
                                <a:srgbClr val="000000"/>
                              </a:solidFill>
                            </a:ln>
                          </wps:spPr>
                          <wps:txbx>
                            <w:txbxContent>
                              <w:p w14:paraId="03F03E47">
                                <w:pPr>
                                  <w:rPr>
                                    <w:rFonts w:hint="eastAsia"/>
                                  </w:rPr>
                                </w:pPr>
                                <w:r>
                                  <w:rPr>
                                    <w:rFonts w:hint="eastAsia"/>
                                  </w:rPr>
                                  <w:t>达标</w:t>
                                </w:r>
                              </w:p>
                              <w:p w14:paraId="3FD2EF6D">
                                <w:pPr>
                                  <w:rPr>
                                    <w:rFonts w:hint="eastAsia"/>
                                  </w:rPr>
                                </w:pPr>
                                <w:r>
                                  <w:rPr>
                                    <w:rFonts w:hint="eastAsia"/>
                                  </w:rPr>
                                  <w:t>排放</w:t>
                                </w:r>
                              </w:p>
                              <w:p w14:paraId="76CD5B32"/>
                            </w:txbxContent>
                          </wps:txbx>
                          <wps:bodyPr wrap="square" upright="1"/>
                        </wps:wsp>
                        <wps:wsp>
                          <wps:cNvPr id="171" name="直接连接符 171"/>
                          <wps:cNvCnPr/>
                          <wps:spPr bwMode="auto">
                            <a:xfrm flipV="1">
                              <a:off x="2520" y="10176"/>
                              <a:ext cx="720" cy="6"/>
                            </a:xfrm>
                            <a:prstGeom prst="line">
                              <a:avLst/>
                            </a:prstGeom>
                            <a:noFill/>
                            <a:ln>
                              <a:solidFill>
                                <a:srgbClr val="000000"/>
                              </a:solidFill>
                              <a:bevel/>
                              <a:tailEnd type="triangle"/>
                            </a:ln>
                          </wps:spPr>
                          <wps:bodyPr rot="0">
                            <a:noAutofit/>
                          </wps:bodyPr>
                        </wps:wsp>
                        <wps:wsp>
                          <wps:cNvPr id="172" name="直接连接符 172"/>
                          <wps:cNvCnPr/>
                          <wps:spPr bwMode="auto">
                            <a:xfrm>
                              <a:off x="3780" y="10176"/>
                              <a:ext cx="360" cy="0"/>
                            </a:xfrm>
                            <a:prstGeom prst="line">
                              <a:avLst/>
                            </a:prstGeom>
                            <a:noFill/>
                            <a:ln>
                              <a:solidFill>
                                <a:srgbClr val="000000"/>
                              </a:solidFill>
                              <a:tailEnd type="triangle"/>
                            </a:ln>
                          </wps:spPr>
                          <wps:bodyPr rot="0">
                            <a:noAutofit/>
                          </wps:bodyPr>
                        </wps:wsp>
                        <wps:wsp>
                          <wps:cNvPr id="173" name="直接连接符 173"/>
                          <wps:cNvCnPr/>
                          <wps:spPr bwMode="auto">
                            <a:xfrm>
                              <a:off x="4680" y="10176"/>
                              <a:ext cx="360" cy="0"/>
                            </a:xfrm>
                            <a:prstGeom prst="line">
                              <a:avLst/>
                            </a:prstGeom>
                            <a:noFill/>
                            <a:ln>
                              <a:solidFill>
                                <a:srgbClr val="000000"/>
                              </a:solidFill>
                              <a:tailEnd type="triangle"/>
                            </a:ln>
                          </wps:spPr>
                          <wps:bodyPr rot="0">
                            <a:noAutofit/>
                          </wps:bodyPr>
                        </wps:wsp>
                        <wps:wsp>
                          <wps:cNvPr id="174" name="直接连接符 174"/>
                          <wps:cNvCnPr/>
                          <wps:spPr bwMode="auto">
                            <a:xfrm>
                              <a:off x="5580" y="10176"/>
                              <a:ext cx="360" cy="0"/>
                            </a:xfrm>
                            <a:prstGeom prst="line">
                              <a:avLst/>
                            </a:prstGeom>
                            <a:noFill/>
                            <a:ln>
                              <a:solidFill>
                                <a:srgbClr val="000000"/>
                              </a:solidFill>
                              <a:tailEnd type="triangle"/>
                            </a:ln>
                          </wps:spPr>
                          <wps:bodyPr rot="0">
                            <a:noAutofit/>
                          </wps:bodyPr>
                        </wps:wsp>
                        <wps:wsp>
                          <wps:cNvPr id="175" name="直接连接符 175"/>
                          <wps:cNvCnPr/>
                          <wps:spPr bwMode="auto">
                            <a:xfrm>
                              <a:off x="6480" y="10176"/>
                              <a:ext cx="360" cy="0"/>
                            </a:xfrm>
                            <a:prstGeom prst="line">
                              <a:avLst/>
                            </a:prstGeom>
                            <a:noFill/>
                            <a:ln>
                              <a:solidFill>
                                <a:srgbClr val="000000"/>
                              </a:solidFill>
                              <a:tailEnd type="triangle"/>
                            </a:ln>
                          </wps:spPr>
                          <wps:bodyPr rot="0">
                            <a:noAutofit/>
                          </wps:bodyPr>
                        </wps:wsp>
                        <wps:wsp>
                          <wps:cNvPr id="176" name="直接连接符 176"/>
                          <wps:cNvCnPr/>
                          <wps:spPr bwMode="auto">
                            <a:xfrm>
                              <a:off x="7380" y="10176"/>
                              <a:ext cx="1080" cy="0"/>
                            </a:xfrm>
                            <a:prstGeom prst="line">
                              <a:avLst/>
                            </a:prstGeom>
                            <a:noFill/>
                            <a:ln>
                              <a:solidFill>
                                <a:srgbClr val="000000"/>
                              </a:solidFill>
                              <a:tailEnd type="triangle"/>
                            </a:ln>
                          </wps:spPr>
                          <wps:bodyPr rot="0">
                            <a:noAutofit/>
                          </wps:bodyPr>
                        </wps:wsp>
                        <wps:wsp>
                          <wps:cNvPr id="177" name="直接连接符 177"/>
                          <wps:cNvCnPr/>
                          <wps:spPr bwMode="auto">
                            <a:xfrm>
                              <a:off x="9000" y="10176"/>
                              <a:ext cx="360" cy="0"/>
                            </a:xfrm>
                            <a:prstGeom prst="line">
                              <a:avLst/>
                            </a:prstGeom>
                            <a:noFill/>
                            <a:ln>
                              <a:solidFill>
                                <a:srgbClr val="000000"/>
                              </a:solidFill>
                              <a:tailEnd type="triangle"/>
                            </a:ln>
                          </wps:spPr>
                          <wps:bodyPr rot="0">
                            <a:noAutofit/>
                          </wps:bodyPr>
                        </wps:wsp>
                        <wps:wsp>
                          <wps:cNvPr id="178" name="矩形 178"/>
                          <wps:cNvSpPr/>
                          <wps:spPr bwMode="auto">
                            <a:xfrm>
                              <a:off x="4860" y="12516"/>
                              <a:ext cx="1800" cy="468"/>
                            </a:xfrm>
                            <a:prstGeom prst="rect">
                              <a:avLst/>
                            </a:prstGeom>
                            <a:solidFill>
                              <a:srgbClr val="FFFFFF"/>
                            </a:solidFill>
                            <a:ln>
                              <a:solidFill>
                                <a:srgbClr val="000000"/>
                              </a:solidFill>
                            </a:ln>
                          </wps:spPr>
                          <wps:txbx>
                            <w:txbxContent>
                              <w:p w14:paraId="3CCFA266">
                                <w:pPr>
                                  <w:jc w:val="center"/>
                                  <w:rPr>
                                    <w:rFonts w:hint="eastAsia"/>
                                  </w:rPr>
                                </w:pPr>
                                <w:r>
                                  <w:rPr>
                                    <w:rFonts w:hint="eastAsia"/>
                                  </w:rPr>
                                  <w:t>污泥处理</w:t>
                                </w:r>
                              </w:p>
                              <w:p w14:paraId="16203123"/>
                            </w:txbxContent>
                          </wps:txbx>
                          <wps:bodyPr wrap="square" upright="1"/>
                        </wps:wsp>
                        <wps:wsp>
                          <wps:cNvPr id="179" name="直接连接符 179"/>
                          <wps:cNvCnPr/>
                          <wps:spPr bwMode="auto">
                            <a:xfrm>
                              <a:off x="4320" y="11268"/>
                              <a:ext cx="0" cy="1560"/>
                            </a:xfrm>
                            <a:prstGeom prst="line">
                              <a:avLst/>
                            </a:prstGeom>
                            <a:noFill/>
                            <a:ln>
                              <a:solidFill>
                                <a:srgbClr val="000000"/>
                              </a:solidFill>
                            </a:ln>
                          </wps:spPr>
                          <wps:bodyPr rot="0">
                            <a:noAutofit/>
                          </wps:bodyPr>
                        </wps:wsp>
                        <wps:wsp>
                          <wps:cNvPr id="180" name="直接连接符 180"/>
                          <wps:cNvCnPr/>
                          <wps:spPr bwMode="auto">
                            <a:xfrm>
                              <a:off x="4320" y="12828"/>
                              <a:ext cx="540" cy="0"/>
                            </a:xfrm>
                            <a:prstGeom prst="line">
                              <a:avLst/>
                            </a:prstGeom>
                            <a:noFill/>
                            <a:ln>
                              <a:solidFill>
                                <a:srgbClr val="000000"/>
                              </a:solidFill>
                              <a:tailEnd type="triangle"/>
                            </a:ln>
                          </wps:spPr>
                          <wps:bodyPr rot="0">
                            <a:noAutofit/>
                          </wps:bodyPr>
                        </wps:wsp>
                        <wps:wsp>
                          <wps:cNvPr id="181" name="直接连接符 181"/>
                          <wps:cNvCnPr/>
                          <wps:spPr bwMode="auto">
                            <a:xfrm>
                              <a:off x="5220" y="11268"/>
                              <a:ext cx="0" cy="1248"/>
                            </a:xfrm>
                            <a:prstGeom prst="line">
                              <a:avLst/>
                            </a:prstGeom>
                            <a:noFill/>
                            <a:ln>
                              <a:solidFill>
                                <a:srgbClr val="000000"/>
                              </a:solidFill>
                              <a:tailEnd type="triangle"/>
                            </a:ln>
                          </wps:spPr>
                          <wps:bodyPr rot="0">
                            <a:noAutofit/>
                          </wps:bodyPr>
                        </wps:wsp>
                        <wps:wsp>
                          <wps:cNvPr id="182" name="直接连接符 182"/>
                          <wps:cNvCnPr/>
                          <wps:spPr bwMode="auto">
                            <a:xfrm>
                              <a:off x="7020" y="11268"/>
                              <a:ext cx="0" cy="624"/>
                            </a:xfrm>
                            <a:prstGeom prst="line">
                              <a:avLst/>
                            </a:prstGeom>
                            <a:noFill/>
                            <a:ln>
                              <a:solidFill>
                                <a:srgbClr val="000000"/>
                              </a:solidFill>
                            </a:ln>
                          </wps:spPr>
                          <wps:bodyPr rot="0">
                            <a:noAutofit/>
                          </wps:bodyPr>
                        </wps:wsp>
                        <wps:wsp>
                          <wps:cNvPr id="183" name="直接连接符 183"/>
                          <wps:cNvCnPr/>
                          <wps:spPr bwMode="auto">
                            <a:xfrm>
                              <a:off x="6480" y="12048"/>
                              <a:ext cx="0" cy="468"/>
                            </a:xfrm>
                            <a:prstGeom prst="line">
                              <a:avLst/>
                            </a:prstGeom>
                            <a:noFill/>
                            <a:ln>
                              <a:solidFill>
                                <a:srgbClr val="000000"/>
                              </a:solidFill>
                            </a:ln>
                          </wps:spPr>
                          <wps:bodyPr rot="0">
                            <a:noAutofit/>
                          </wps:bodyPr>
                        </wps:wsp>
                        <wps:wsp>
                          <wps:cNvPr id="184" name="直接连接符 184"/>
                          <wps:cNvCnPr/>
                          <wps:spPr bwMode="auto">
                            <a:xfrm>
                              <a:off x="6660" y="12672"/>
                              <a:ext cx="900" cy="0"/>
                            </a:xfrm>
                            <a:prstGeom prst="line">
                              <a:avLst/>
                            </a:prstGeom>
                            <a:noFill/>
                            <a:ln>
                              <a:solidFill>
                                <a:srgbClr val="000000"/>
                              </a:solidFill>
                              <a:tailEnd type="triangle"/>
                            </a:ln>
                          </wps:spPr>
                          <wps:bodyPr rot="0">
                            <a:noAutofit/>
                          </wps:bodyPr>
                        </wps:wsp>
                      </wpg:grpSp>
                    </wpg:wgp>
                  </a:graphicData>
                </a:graphic>
              </wp:anchor>
            </w:drawing>
          </mc:Choice>
          <mc:Fallback>
            <w:pict>
              <v:group id="_x0000_s1309" o:spid="_x0000_s1026" o:spt="203" style="position:absolute;left:0pt;margin-left:9pt;margin-top:7.8pt;height:187.2pt;width:414pt;z-index:251660288;mso-width-relative:page;mso-height-relative:page;" coordorigin="1620,9240" coordsize="8280,3744" o:gfxdata="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">
                <o:lock v:ext="edit" aspectratio="f"/>
                <v:line id="_x0000_s1026" o:spid="_x0000_s1026" o:spt="20" style="position:absolute;left:6480;top:11892;flip:x;height:156;width:540;" filled="f" stroked="t" coordsize="21600,21600" o:gfxdata="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tkLI9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group id="_x0000_s1026" o:spid="_x0000_s1026" o:spt="203" style="position:absolute;left:1620;top:9240;height:3744;width:8280;" coordorigin="1620,9240" coordsize="8280,3744" o:gfxdata="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DP20OdvAAAANwAAAAPAAAAAAAAAAEAIAAAACIAAABkcnMvZG93bnJldi54bWxQ&#10;SwECFAAUAAAACACHTuJAMy8FnjsAAAA5AAAAFQAAAAAAAAABACAAAAALAQAAZHJzL2dyb3Vwc2hh&#10;cGV4bWwueG1sUEsFBgAAAAAGAAYAYAEAAMgDAAAAAA==&#10;">
                  <o:lock v:ext="edit" aspectratio="f"/>
                  <v:rect id="_x0000_s1026" o:spid="_x0000_s1026" o:spt="1" style="position:absolute;left:1620;top:9246;height:2028;width:900;" fillcolor="#FFFFFF" filled="t" stroked="t" coordsize="21600,21600" o:gfxdata="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ok+F8vQAA&#10;ANwAAAAPAAAAAAAAAAEAIAAAACIAAABkcnMvZG93bnJldi54bWxQSwECFAAUAAAACACHTuJAMy8F&#10;njsAAAA5AAAAEAAAAAAAAAABACAAAAAMAQAAZHJzL3NoYXBleG1sLnhtbFBLBQYAAAAABgAGAFsB&#10;AAC2AwAAAAA=&#10;">
                    <v:fill on="t" focussize="0,0"/>
                    <v:stroke color="#000000" joinstyle="bevel"/>
                    <v:imagedata o:title=""/>
                    <o:lock v:ext="edit" aspectratio="f"/>
                    <v:textbox>
                      <w:txbxContent>
                        <w:p w14:paraId="5BC77BB1">
                          <w:pPr>
                            <w:pStyle w:val="216"/>
                            <w:rPr>
                              <w:rFonts w:hint="eastAsia"/>
                            </w:rPr>
                          </w:pPr>
                          <w:r>
                            <w:rPr>
                              <w:rFonts w:hint="eastAsia"/>
                              <w:sz w:val="21"/>
                              <w:szCs w:val="21"/>
                            </w:rPr>
                            <w:t>污水相应处理</w:t>
                          </w:r>
                          <w:r>
                            <w:rPr>
                              <w:rFonts w:hint="eastAsia"/>
                            </w:rPr>
                            <w:t>后</w:t>
                          </w:r>
                        </w:p>
                        <w:p w14:paraId="039A92D2"/>
                      </w:txbxContent>
                    </v:textbox>
                  </v:rect>
                  <v:rect id="_x0000_s1026" o:spid="_x0000_s1026" o:spt="1" style="position:absolute;left:3240;top:9240;height:2028;width:540;" fillcolor="#FFFFFF" filled="t" stroked="t" coordsize="21600,21600" o:gfxdata="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IVm7y8AAAA&#10;3AAAAA8AAAAAAAAAAQAgAAAAIgAAAGRycy9kb3ducmV2LnhtbFBLAQIUABQAAAAIAIdO4kAzLwWe&#10;OwAAADkAAAAQAAAAAAAAAAEAIAAAAAsBAABkcnMvc2hhcGV4bWwueG1sUEsFBgAAAAAGAAYAWwEA&#10;ALUDAAAAAA==&#10;">
                    <v:fill on="t" focussize="0,0"/>
                    <v:stroke color="#000000" joinstyle="round"/>
                    <v:imagedata o:title=""/>
                    <o:lock v:ext="edit" aspectratio="f"/>
                    <v:textbox>
                      <w:txbxContent>
                        <w:p w14:paraId="1AEAB2D4">
                          <w:pPr>
                            <w:rPr>
                              <w:rFonts w:hint="eastAsia"/>
                            </w:rPr>
                          </w:pPr>
                          <w:r>
                            <w:rPr>
                              <w:rFonts w:hint="eastAsia"/>
                            </w:rPr>
                            <w:t>格</w:t>
                          </w:r>
                        </w:p>
                        <w:p w14:paraId="1CCF5F50">
                          <w:pPr>
                            <w:rPr>
                              <w:rFonts w:hint="eastAsia"/>
                            </w:rPr>
                          </w:pPr>
                        </w:p>
                        <w:p w14:paraId="45C921D6">
                          <w:pPr>
                            <w:rPr>
                              <w:rFonts w:hint="eastAsia"/>
                            </w:rPr>
                          </w:pPr>
                        </w:p>
                        <w:p w14:paraId="7B68E42C">
                          <w:pPr>
                            <w:rPr>
                              <w:rFonts w:hint="eastAsia"/>
                            </w:rPr>
                          </w:pPr>
                        </w:p>
                        <w:p w14:paraId="03A6F5E3">
                          <w:pPr>
                            <w:rPr>
                              <w:rFonts w:hint="eastAsia"/>
                            </w:rPr>
                          </w:pPr>
                        </w:p>
                        <w:p w14:paraId="2A83E9B5">
                          <w:pPr>
                            <w:rPr>
                              <w:rFonts w:hint="eastAsia"/>
                            </w:rPr>
                          </w:pPr>
                          <w:r>
                            <w:rPr>
                              <w:rFonts w:hint="eastAsia"/>
                            </w:rPr>
                            <w:t>栅</w:t>
                          </w:r>
                        </w:p>
                        <w:p w14:paraId="01910610"/>
                      </w:txbxContent>
                    </v:textbox>
                  </v:rect>
                  <v:rect id="_x0000_s1026" o:spid="_x0000_s1026" o:spt="1" style="position:absolute;left:4140;top:9240;height:2028;width:540;" fillcolor="#FFFFFF" filled="t" stroked="t" coordsize="21600,21600" o:gfxdata="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1ZPie8AAAA&#10;3AAAAA8AAAAAAAAAAQAgAAAAIgAAAGRycy9kb3ducmV2LnhtbFBLAQIUABQAAAAIAIdO4kAzLwWe&#10;OwAAADkAAAAQAAAAAAAAAAEAIAAAAAsBAABkcnMvc2hhcGV4bWwueG1sUEsFBgAAAAAGAAYAWwEA&#10;ALUDAAAAAA==&#10;">
                    <v:fill on="t" focussize="0,0"/>
                    <v:stroke color="#000000" joinstyle="round"/>
                    <v:imagedata o:title=""/>
                    <o:lock v:ext="edit" aspectratio="f"/>
                    <v:textbox>
                      <w:txbxContent>
                        <w:p w14:paraId="62DA34FE">
                          <w:pPr>
                            <w:rPr>
                              <w:rFonts w:hint="eastAsia"/>
                            </w:rPr>
                          </w:pPr>
                          <w:r>
                            <w:rPr>
                              <w:rFonts w:hint="eastAsia"/>
                            </w:rPr>
                            <w:t>调</w:t>
                          </w:r>
                        </w:p>
                        <w:p w14:paraId="3C87A94B">
                          <w:pPr>
                            <w:rPr>
                              <w:rFonts w:hint="eastAsia"/>
                            </w:rPr>
                          </w:pPr>
                        </w:p>
                        <w:p w14:paraId="4C8EBA8C">
                          <w:pPr>
                            <w:rPr>
                              <w:rFonts w:hint="eastAsia"/>
                            </w:rPr>
                          </w:pPr>
                          <w:r>
                            <w:rPr>
                              <w:rFonts w:hint="eastAsia"/>
                            </w:rPr>
                            <w:t>节</w:t>
                          </w:r>
                        </w:p>
                        <w:p w14:paraId="013785EA">
                          <w:pPr>
                            <w:rPr>
                              <w:rFonts w:hint="eastAsia"/>
                            </w:rPr>
                          </w:pPr>
                        </w:p>
                        <w:p w14:paraId="4C61D052">
                          <w:pPr>
                            <w:rPr>
                              <w:rFonts w:hint="eastAsia"/>
                            </w:rPr>
                          </w:pPr>
                        </w:p>
                        <w:p w14:paraId="3954D183">
                          <w:pPr>
                            <w:rPr>
                              <w:rFonts w:hint="eastAsia"/>
                              <w:sz w:val="28"/>
                            </w:rPr>
                          </w:pPr>
                          <w:r>
                            <w:rPr>
                              <w:rFonts w:hint="eastAsia"/>
                            </w:rPr>
                            <w:t>池</w:t>
                          </w:r>
                        </w:p>
                        <w:p w14:paraId="691A3563"/>
                      </w:txbxContent>
                    </v:textbox>
                  </v:rect>
                  <v:rect id="_x0000_s1026" o:spid="_x0000_s1026" o:spt="1" style="position:absolute;left:5940;top:9240;height:2028;width:540;" fillcolor="#FFFFFF" filled="t" stroked="t" coordsize="21600,21600" o:gfxdata="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jkQuS8AAAA&#10;3AAAAA8AAAAAAAAAAQAgAAAAIgAAAGRycy9kb3ducmV2LnhtbFBLAQIUABQAAAAIAIdO4kAzLwWe&#10;OwAAADkAAAAQAAAAAAAAAAEAIAAAAAsBAABkcnMvc2hhcGV4bWwueG1sUEsFBgAAAAAGAAYAWwEA&#10;ALUDAAAAAA==&#10;">
                    <v:fill on="t" focussize="0,0"/>
                    <v:stroke color="#000000" joinstyle="bevel"/>
                    <v:imagedata o:title=""/>
                    <o:lock v:ext="edit" aspectratio="f"/>
                    <v:textbox>
                      <w:txbxContent>
                        <w:p w14:paraId="13D63962">
                          <w:pPr>
                            <w:rPr>
                              <w:rFonts w:hint="eastAsia"/>
                            </w:rPr>
                          </w:pPr>
                          <w:r>
                            <w:rPr>
                              <w:rFonts w:hint="eastAsia"/>
                              <w:sz w:val="18"/>
                              <w:szCs w:val="18"/>
                            </w:rPr>
                            <w:t>生化处理厌氧消毒</w:t>
                          </w:r>
                        </w:p>
                        <w:p w14:paraId="1CBF0324"/>
                      </w:txbxContent>
                    </v:textbox>
                  </v:rect>
                  <v:rect id="_x0000_s1026" o:spid="_x0000_s1026" o:spt="1" style="position:absolute;left:5040;top:9240;height:2028;width:540;" fillcolor="#FFFFFF" filled="t" stroked="t" coordsize="21600,21600" o:gfxdata="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LHBcu8AAAA&#10;3AAAAA8AAAAAAAAAAQAgAAAAIgAAAGRycy9kb3ducmV2LnhtbFBLAQIUABQAAAAIAIdO4kAzLwWe&#10;OwAAADkAAAAQAAAAAAAAAAEAIAAAAAsBAABkcnMvc2hhcGV4bWwueG1sUEsFBgAAAAAGAAYAWwEA&#10;ALUDAAAAAA==&#10;">
                    <v:fill on="t" focussize="0,0"/>
                    <v:stroke color="#000000" joinstyle="round"/>
                    <v:imagedata o:title=""/>
                    <o:lock v:ext="edit" aspectratio="f"/>
                    <v:textbox>
                      <w:txbxContent>
                        <w:p w14:paraId="32C61332">
                          <w:pPr>
                            <w:rPr>
                              <w:rFonts w:hint="eastAsia"/>
                            </w:rPr>
                          </w:pPr>
                          <w:r>
                            <w:rPr>
                              <w:rFonts w:hint="eastAsia"/>
                            </w:rPr>
                            <w:t>初</w:t>
                          </w:r>
                        </w:p>
                        <w:p w14:paraId="600B353E">
                          <w:pPr>
                            <w:rPr>
                              <w:rFonts w:hint="eastAsia"/>
                            </w:rPr>
                          </w:pPr>
                          <w:r>
                            <w:rPr>
                              <w:rFonts w:hint="eastAsia"/>
                            </w:rPr>
                            <w:t>次</w:t>
                          </w:r>
                        </w:p>
                        <w:p w14:paraId="0F9B86E7">
                          <w:pPr>
                            <w:rPr>
                              <w:rFonts w:hint="eastAsia"/>
                            </w:rPr>
                          </w:pPr>
                          <w:r>
                            <w:rPr>
                              <w:rFonts w:hint="eastAsia"/>
                            </w:rPr>
                            <w:t>沉</w:t>
                          </w:r>
                        </w:p>
                        <w:p w14:paraId="116B4BF4">
                          <w:pPr>
                            <w:rPr>
                              <w:rFonts w:hint="eastAsia"/>
                            </w:rPr>
                          </w:pPr>
                          <w:r>
                            <w:rPr>
                              <w:rFonts w:hint="eastAsia"/>
                            </w:rPr>
                            <w:t>淀</w:t>
                          </w:r>
                        </w:p>
                        <w:p w14:paraId="15B74788"/>
                      </w:txbxContent>
                    </v:textbox>
                  </v:rect>
                  <v:rect id="_x0000_s1026" o:spid="_x0000_s1026" o:spt="1" style="position:absolute;left:8460;top:9240;height:2028;width:540;" fillcolor="#FFFFFF" filled="t" stroked="t" coordsize="21600,21600" o:gfxdata="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jWJG5vQAA&#10;ANwAAAAPAAAAAAAAAAEAIAAAACIAAABkcnMvZG93bnJldi54bWxQSwECFAAUAAAACACHTuJAMy8F&#10;njsAAAA5AAAAEAAAAAAAAAABACAAAAAMAQAAZHJzL3NoYXBleG1sLnhtbFBLBQYAAAAABgAGAFsB&#10;AAC2AwAAAAA=&#10;">
                    <v:fill on="t" focussize="0,0"/>
                    <v:stroke color="#000000" joinstyle="round"/>
                    <v:imagedata o:title=""/>
                    <o:lock v:ext="edit" aspectratio="f"/>
                    <v:textbox>
                      <w:txbxContent>
                        <w:p w14:paraId="7C8A9CB5">
                          <w:pPr>
                            <w:pStyle w:val="216"/>
                            <w:rPr>
                              <w:rFonts w:hint="eastAsia"/>
                              <w:sz w:val="21"/>
                              <w:szCs w:val="21"/>
                            </w:rPr>
                          </w:pPr>
                          <w:r>
                            <w:rPr>
                              <w:rFonts w:hint="eastAsia"/>
                              <w:sz w:val="21"/>
                              <w:szCs w:val="21"/>
                            </w:rPr>
                            <w:t>接触池</w:t>
                          </w:r>
                        </w:p>
                        <w:p w14:paraId="5C3B2B5D"/>
                      </w:txbxContent>
                    </v:textbox>
                  </v:rect>
                  <v:rect id="_x0000_s1026" o:spid="_x0000_s1026" o:spt="1" style="position:absolute;left:6840;top:9240;height:2028;width:540;" fillcolor="#FFFFFF" filled="t" stroked="t" coordsize="21600,21600" o:gfxdata="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wUNCK8AAAA&#10;3AAAAA8AAAAAAAAAAQAgAAAAIgAAAGRycy9kb3ducmV2LnhtbFBLAQIUABQAAAAIAIdO4kAzLwWe&#10;OwAAADkAAAAQAAAAAAAAAAEAIAAAAAsBAABkcnMvc2hhcGV4bWwueG1sUEsFBgAAAAAGAAYAWwEA&#10;ALUDAAAAAA==&#10;">
                    <v:fill on="t" focussize="0,0"/>
                    <v:stroke color="#000000" joinstyle="round"/>
                    <v:imagedata o:title=""/>
                    <o:lock v:ext="edit" aspectratio="f"/>
                    <v:textbox>
                      <w:txbxContent>
                        <w:p w14:paraId="3AC61BB6">
                          <w:pPr>
                            <w:rPr>
                              <w:rFonts w:hint="eastAsia"/>
                            </w:rPr>
                          </w:pPr>
                          <w:r>
                            <w:rPr>
                              <w:rFonts w:hint="eastAsia"/>
                            </w:rPr>
                            <w:t>二次沉淀池</w:t>
                          </w:r>
                        </w:p>
                        <w:p w14:paraId="2FA2CC1D"/>
                      </w:txbxContent>
                    </v:textbox>
                  </v:rect>
                  <v:rect id="_x0000_s1026" o:spid="_x0000_s1026" o:spt="1" style="position:absolute;left:9360;top:9246;height:2028;width:540;" fillcolor="#FFFFFF" filled="t" stroked="t" coordsize="21600,21600" o:gfxdata="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2PcLYr4A&#10;AADcAAAADwAAAAAAAAABACAAAAAiAAAAZHJzL2Rvd25yZXYueG1sUEsBAhQAFAAAAAgAh07iQDMv&#10;BZ47AAAAOQAAABAAAAAAAAAAAQAgAAAADQEAAGRycy9zaGFwZXhtbC54bWxQSwUGAAAAAAYABgBb&#10;AQAAtwMAAAAA&#10;">
                    <v:fill on="t" focussize="0,0"/>
                    <v:stroke color="#000000" joinstyle="round"/>
                    <v:imagedata o:title=""/>
                    <o:lock v:ext="edit" aspectratio="f"/>
                    <v:textbox>
                      <w:txbxContent>
                        <w:p w14:paraId="03F03E47">
                          <w:pPr>
                            <w:rPr>
                              <w:rFonts w:hint="eastAsia"/>
                            </w:rPr>
                          </w:pPr>
                          <w:r>
                            <w:rPr>
                              <w:rFonts w:hint="eastAsia"/>
                            </w:rPr>
                            <w:t>达标</w:t>
                          </w:r>
                        </w:p>
                        <w:p w14:paraId="3FD2EF6D">
                          <w:pPr>
                            <w:rPr>
                              <w:rFonts w:hint="eastAsia"/>
                            </w:rPr>
                          </w:pPr>
                          <w:r>
                            <w:rPr>
                              <w:rFonts w:hint="eastAsia"/>
                            </w:rPr>
                            <w:t>排放</w:t>
                          </w:r>
                        </w:p>
                        <w:p w14:paraId="76CD5B32"/>
                      </w:txbxContent>
                    </v:textbox>
                  </v:rect>
                  <v:line id="_x0000_s1026" o:spid="_x0000_s1026" o:spt="20" style="position:absolute;left:2520;top:10176;flip:y;height:6;width:720;" filled="f" stroked="t" coordsize="21600,21600" o:gfxdata="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yUaoCrsAAADc&#10;AAAADwAAAAAAAAABACAAAAAiAAAAZHJzL2Rvd25yZXYueG1sUEsBAhQAFAAAAAgAh07iQDMvBZ47&#10;AAAAOQAAABAAAAAAAAAAAQAgAAAACgEAAGRycy9zaGFwZXhtbC54bWxQSwUGAAAAAAYABgBbAQAA&#10;tAMAAAAA&#10;">
                    <v:fill on="f" focussize="0,0"/>
                    <v:stroke color="#000000" joinstyle="bevel" endarrow="block"/>
                    <v:imagedata o:title=""/>
                    <o:lock v:ext="edit" aspectratio="f"/>
                  </v:line>
                  <v:line id="_x0000_s1026" o:spid="_x0000_s1026" o:spt="20" style="position:absolute;left:3780;top:10176;height:0;width:360;" filled="f" stroked="t" coordsize="21600,21600" o:gfxdata="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SW2J74A&#10;AADc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line id="_x0000_s1026" o:spid="_x0000_s1026" o:spt="20" style="position:absolute;left:4680;top:10176;height:0;width:360;" filled="f" stroked="t" coordsize="21600,21600" o:gfxdata="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OaRO8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line id="_x0000_s1026" o:spid="_x0000_s1026" o:spt="20" style="position:absolute;left:5580;top:10176;height:0;width:360;" filled="f" stroked="t" coordsize="21600,21600" o:gfxdata="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BgIvI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line id="_x0000_s1026" o:spid="_x0000_s1026" o:spt="20" style="position:absolute;left:6480;top:10176;height:0;width:360;" filled="f" stroked="t" coordsize="21600,21600" o:gfxdata="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uzC5T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line id="_x0000_s1026" o:spid="_x0000_s1026" o:spt="20" style="position:absolute;left:7380;top:10176;height:0;width:1080;" filled="f" stroked="t" coordsize="21600,21600" o:gfxdata="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eHrAk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line id="_x0000_s1026" o:spid="_x0000_s1026" o:spt="20" style="position:absolute;left:9000;top:10176;height:0;width:360;" filled="f" stroked="t" coordsize="21600,21600" o:gfxdata="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xUhW/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rect id="_x0000_s1026" o:spid="_x0000_s1026" o:spt="1" style="position:absolute;left:4860;top:12516;height:468;width:1800;" fillcolor="#FFFFFF" filled="t" stroked="t" coordsize="21600,21600" o:gfxdata="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oEHZL4A&#10;AADcAAAADwAAAAAAAAABACAAAAAiAAAAZHJzL2Rvd25yZXYueG1sUEsBAhQAFAAAAAgAh07iQDMv&#10;BZ47AAAAOQAAABAAAAAAAAAAAQAgAAAADQEAAGRycy9zaGFwZXhtbC54bWxQSwUGAAAAAAYABgBb&#10;AQAAtwMAAAAA&#10;">
                    <v:fill on="t" focussize="0,0"/>
                    <v:stroke color="#000000" joinstyle="round"/>
                    <v:imagedata o:title=""/>
                    <o:lock v:ext="edit" aspectratio="f"/>
                    <v:textbox>
                      <w:txbxContent>
                        <w:p w14:paraId="3CCFA266">
                          <w:pPr>
                            <w:jc w:val="center"/>
                            <w:rPr>
                              <w:rFonts w:hint="eastAsia"/>
                            </w:rPr>
                          </w:pPr>
                          <w:r>
                            <w:rPr>
                              <w:rFonts w:hint="eastAsia"/>
                            </w:rPr>
                            <w:t>污泥处理</w:t>
                          </w:r>
                        </w:p>
                        <w:p w14:paraId="16203123"/>
                      </w:txbxContent>
                    </v:textbox>
                  </v:rect>
                  <v:line id="_x0000_s1026" o:spid="_x0000_s1026" o:spt="20" style="position:absolute;left:4320;top:11268;height:1560;width:0;" filled="f" stroked="t" coordsize="21600,21600" o:gfxdata="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twUPHvQAA&#10;ANw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_x0000_s1026" o:spid="_x0000_s1026" o:spt="20" style="position:absolute;left:4320;top:12828;height:0;width:540;" filled="f" stroked="t" coordsize="21600,21600" o:gfxdata="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Lbv3s&#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line id="_x0000_s1026" o:spid="_x0000_s1026" o:spt="20" style="position:absolute;left:5220;top:11268;height:1248;width:0;" filled="f" stroked="t" coordsize="21600,21600" o:gfxdata="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kIlh3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line id="_x0000_s1026" o:spid="_x0000_s1026" o:spt="20" style="position:absolute;left:7020;top:11268;height:624;width:0;" filled="f" stroked="t" coordsize="21600,21600" o:gfxdata="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WsKGRugAAANwA&#10;AAAPAAAAAAAAAAEAIAAAACIAAABkcnMvZG93bnJldi54bWxQSwECFAAUAAAACACHTuJAMy8FnjsA&#10;AAA5AAAAEAAAAAAAAAABACAAAAAJAQAAZHJzL3NoYXBleG1sLnhtbFBLBQYAAAAABgAGAFsBAACz&#10;AwAAAAA=&#10;">
                    <v:fill on="f" focussize="0,0"/>
                    <v:stroke color="#000000" joinstyle="round"/>
                    <v:imagedata o:title=""/>
                    <o:lock v:ext="edit" aspectratio="f"/>
                  </v:line>
                  <v:line id="_x0000_s1026" o:spid="_x0000_s1026" o:spt="20" style="position:absolute;left:6480;top:12048;height:468;width:0;" filled="f" stroked="t" coordsize="21600,21600" o:gfxdata="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Hn8BAq5AAAA3AAA&#10;AA8AAAAAAAAAAQAgAAAAIgAAAGRycy9kb3ducmV2LnhtbFBLAQIUABQAAAAIAIdO4kAzLwWeOwAA&#10;ADkAAAAQAAAAAAAAAAEAIAAAAAgBAABkcnMvc2hhcGV4bWwueG1sUEsFBgAAAAAGAAYAWwEAALID&#10;AAAAAA==&#10;">
                    <v:fill on="f" focussize="0,0"/>
                    <v:stroke color="#000000" joinstyle="round"/>
                    <v:imagedata o:title=""/>
                    <o:lock v:ext="edit" aspectratio="f"/>
                  </v:line>
                  <v:line id="_x0000_s1026" o:spid="_x0000_s1026" o:spt="20" style="position:absolute;left:6660;top:12672;height:0;width:900;" filled="f" stroked="t" coordsize="21600,21600" o:gfxdata="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0Vfvv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group>
              </v:group>
            </w:pict>
          </mc:Fallback>
        </mc:AlternateContent>
      </w:r>
    </w:p>
    <w:p w14:paraId="7136FB12">
      <w:pPr>
        <w:pStyle w:val="221"/>
        <w:spacing w:after="0" w:line="360" w:lineRule="auto"/>
        <w:ind w:left="0"/>
        <w:jc w:val="left"/>
        <w:rPr>
          <w:rFonts w:hint="eastAsia"/>
          <w:color w:val="000000"/>
        </w:rPr>
      </w:pPr>
      <w:r>
        <w:rPr>
          <w:rFonts w:hint="eastAsia"/>
          <w:color w:val="000000"/>
        </w:rPr>
        <w:t xml:space="preserve">                                                     二氧化氯</w:t>
      </w:r>
    </w:p>
    <w:p w14:paraId="5C8CBEE6">
      <w:pPr>
        <w:pStyle w:val="221"/>
        <w:spacing w:after="0" w:line="360" w:lineRule="auto"/>
        <w:ind w:left="0"/>
        <w:jc w:val="left"/>
        <w:rPr>
          <w:rFonts w:hint="eastAsia"/>
          <w:color w:val="000000"/>
        </w:rPr>
      </w:pPr>
    </w:p>
    <w:p w14:paraId="3E2B5693">
      <w:pPr>
        <w:pStyle w:val="221"/>
        <w:spacing w:after="0" w:line="360" w:lineRule="auto"/>
        <w:ind w:left="0"/>
        <w:jc w:val="left"/>
        <w:rPr>
          <w:rFonts w:hint="eastAsia"/>
          <w:color w:val="000000"/>
        </w:rPr>
      </w:pPr>
    </w:p>
    <w:p w14:paraId="3017A6F7">
      <w:pPr>
        <w:pStyle w:val="221"/>
        <w:spacing w:after="0" w:line="360" w:lineRule="auto"/>
        <w:ind w:left="0"/>
        <w:jc w:val="left"/>
        <w:rPr>
          <w:rFonts w:hint="eastAsia"/>
          <w:color w:val="000000"/>
        </w:rPr>
      </w:pPr>
    </w:p>
    <w:p w14:paraId="01800587">
      <w:pPr>
        <w:pStyle w:val="221"/>
        <w:spacing w:after="0" w:line="360" w:lineRule="auto"/>
        <w:ind w:left="0"/>
        <w:jc w:val="left"/>
        <w:rPr>
          <w:rFonts w:hint="eastAsia"/>
          <w:color w:val="000000"/>
        </w:rPr>
      </w:pPr>
    </w:p>
    <w:p w14:paraId="26758404">
      <w:pPr>
        <w:pStyle w:val="221"/>
        <w:spacing w:after="0" w:line="360" w:lineRule="auto"/>
        <w:ind w:left="0"/>
        <w:jc w:val="left"/>
        <w:rPr>
          <w:rFonts w:hint="eastAsia"/>
          <w:color w:val="000000"/>
        </w:rPr>
      </w:pPr>
      <w:r>
        <w:rPr>
          <w:color w:val="000000"/>
        </w:rPr>
        <mc:AlternateContent>
          <mc:Choice Requires="wps">
            <w:drawing>
              <wp:anchor distT="0" distB="0" distL="114300" distR="114300" simplePos="0" relativeHeight="251660288" behindDoc="0" locked="0" layoutInCell="1" allowOverlap="1">
                <wp:simplePos x="0" y="0"/>
                <wp:positionH relativeFrom="column">
                  <wp:posOffset>-761365</wp:posOffset>
                </wp:positionH>
                <wp:positionV relativeFrom="paragraph">
                  <wp:posOffset>842010</wp:posOffset>
                </wp:positionV>
                <wp:extent cx="800100" cy="593725"/>
                <wp:effectExtent l="0" t="0" r="0" b="0"/>
                <wp:wrapNone/>
                <wp:docPr id="185" name="_x0000_s1334"/>
                <wp:cNvGraphicFramePr/>
                <a:graphic xmlns:a="http://schemas.openxmlformats.org/drawingml/2006/main">
                  <a:graphicData uri="http://schemas.microsoft.com/office/word/2010/wordprocessingShape">
                    <wps:wsp>
                      <wps:cNvSpPr/>
                      <wps:spPr bwMode="auto">
                        <a:xfrm>
                          <a:off x="0" y="0"/>
                          <a:ext cx="800100" cy="593725"/>
                        </a:xfrm>
                        <a:prstGeom prst="rect">
                          <a:avLst/>
                        </a:prstGeom>
                        <a:solidFill>
                          <a:srgbClr val="FFFFFF"/>
                        </a:solidFill>
                        <a:ln>
                          <a:solidFill>
                            <a:srgbClr val="FFFFFF"/>
                          </a:solidFill>
                        </a:ln>
                      </wps:spPr>
                      <wps:bodyPr rot="0">
                        <a:noAutofit/>
                      </wps:bodyPr>
                    </wps:wsp>
                  </a:graphicData>
                </a:graphic>
              </wp:anchor>
            </w:drawing>
          </mc:Choice>
          <mc:Fallback>
            <w:pict>
              <v:rect id="_x0000_s1334" o:spid="_x0000_s1026" o:spt="1" style="position:absolute;left:0pt;margin-left:-59.95pt;margin-top:66.3pt;height:46.75pt;width:63pt;z-index:251660288;mso-width-relative:page;mso-height-relative:page;" fillcolor="#FFFFFF" filled="t" stroked="t" coordsize="21600,21600" o:gfxdata="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OWXlKjXAAAACgEAAA8AAAAAAAAAAQAgAAAAIgAAAGRycy9kb3ducmV2LnhtbFBLAQIU&#10;ABQAAAAIAIdO4kBTAvfWuwEAALEDAAAOAAAAAAAAAAEAIAAAACYBAABkcnMvZTJvRG9jLnhtbFBL&#10;BQYAAAAABgAGAFkBAABTBQAAAAA=&#10;">
                <v:fill on="t" focussize="0,0"/>
                <v:stroke color="#FFFFFF" joinstyle="round"/>
                <v:imagedata o:title=""/>
                <o:lock v:ext="edit" aspectratio="f"/>
              </v:rect>
            </w:pict>
          </mc:Fallback>
        </mc:AlternateContent>
      </w:r>
    </w:p>
    <w:p w14:paraId="4EA526CE">
      <w:pPr>
        <w:spacing w:line="500" w:lineRule="exact"/>
        <w:ind w:firstLine="420"/>
        <w:rPr>
          <w:rFonts w:hint="eastAsia"/>
          <w:color w:val="000000"/>
        </w:rPr>
      </w:pPr>
      <w:r>
        <w:rPr>
          <w:rFonts w:hint="eastAsia"/>
          <w:color w:val="000000"/>
        </w:rPr>
        <w:t xml:space="preserve">                                                    </w:t>
      </w:r>
    </w:p>
    <w:p w14:paraId="00770802">
      <w:pPr>
        <w:spacing w:line="500" w:lineRule="exact"/>
        <w:ind w:firstLine="6177"/>
        <w:rPr>
          <w:rFonts w:hint="eastAsia"/>
          <w:color w:val="000000"/>
          <w:sz w:val="24"/>
        </w:rPr>
      </w:pPr>
      <w:r>
        <w:rPr>
          <w:rFonts w:hint="eastAsia"/>
          <w:b/>
          <w:color w:val="000000"/>
        </w:rPr>
        <w:t>消毒外运</w:t>
      </w:r>
    </w:p>
    <w:p w14:paraId="6EF508D0">
      <w:pPr>
        <w:spacing w:line="500" w:lineRule="exact"/>
        <w:rPr>
          <w:rFonts w:hint="eastAsia"/>
          <w:color w:val="000000"/>
          <w:sz w:val="24"/>
        </w:rPr>
      </w:pPr>
    </w:p>
    <w:p w14:paraId="18D4A70B">
      <w:pPr>
        <w:spacing w:line="500" w:lineRule="exact"/>
        <w:ind w:firstLine="482"/>
        <w:jc w:val="center"/>
        <w:rPr>
          <w:rFonts w:hint="eastAsia" w:ascii="宋体" w:hAnsi="宋体"/>
          <w:b/>
          <w:color w:val="000000"/>
          <w:sz w:val="24"/>
        </w:rPr>
      </w:pPr>
      <w:r>
        <w:rPr>
          <w:rFonts w:hint="eastAsia" w:ascii="宋体" w:hAnsi="宋体"/>
          <w:b/>
          <w:color w:val="000000"/>
          <w:sz w:val="24"/>
        </w:rPr>
        <w:t>图6-1 污水处理工艺流程图</w:t>
      </w:r>
    </w:p>
    <w:p w14:paraId="17C4EC3F">
      <w:pPr>
        <w:pStyle w:val="221"/>
        <w:spacing w:before="120" w:after="0" w:line="360" w:lineRule="auto"/>
        <w:ind w:left="0" w:firstLine="482"/>
        <w:rPr>
          <w:rFonts w:ascii="宋体" w:hAnsi="宋体"/>
          <w:color w:val="000000"/>
          <w:sz w:val="24"/>
        </w:rPr>
      </w:pPr>
      <w:r>
        <w:rPr>
          <w:rFonts w:ascii="宋体" w:hAnsi="宋体"/>
          <w:color w:val="000000"/>
          <w:sz w:val="24"/>
        </w:rPr>
        <w:t>2</w:t>
      </w:r>
      <w:r>
        <w:rPr>
          <w:rFonts w:hint="eastAsia" w:ascii="宋体" w:hAnsi="宋体"/>
          <w:color w:val="000000"/>
          <w:sz w:val="24"/>
        </w:rPr>
        <w:t>）</w:t>
      </w:r>
      <w:r>
        <w:rPr>
          <w:rFonts w:ascii="宋体" w:hAnsi="宋体"/>
          <w:color w:val="000000"/>
          <w:sz w:val="24"/>
        </w:rPr>
        <w:t>、项目污水进入</w:t>
      </w:r>
      <w:r>
        <w:rPr>
          <w:rFonts w:hint="eastAsia" w:ascii="宋体" w:hAnsi="宋体"/>
          <w:color w:val="000000"/>
          <w:sz w:val="24"/>
        </w:rPr>
        <w:t>芒市</w:t>
      </w:r>
      <w:r>
        <w:rPr>
          <w:rFonts w:ascii="宋体" w:hAnsi="宋体"/>
          <w:color w:val="000000"/>
          <w:sz w:val="24"/>
        </w:rPr>
        <w:t>污水处理厂可行性分析</w:t>
      </w:r>
    </w:p>
    <w:p w14:paraId="5FB60B97">
      <w:pPr>
        <w:spacing w:line="500" w:lineRule="exact"/>
        <w:ind w:firstLine="480"/>
        <w:rPr>
          <w:rFonts w:hint="eastAsia" w:hAnsi="宋体"/>
          <w:color w:val="000000"/>
          <w:sz w:val="24"/>
        </w:rPr>
      </w:pPr>
      <w:r>
        <w:rPr>
          <w:rFonts w:hint="eastAsia" w:hAnsi="宋体"/>
          <w:color w:val="000000"/>
          <w:sz w:val="24"/>
        </w:rPr>
        <w:t>项目处于芒市机场大道环岛南侧，项目所在地周边已建设有市政雨污管网。项目区内产生的污水经过自建化粪池、污水处理站处理达</w:t>
      </w:r>
      <w:r>
        <w:rPr>
          <w:rFonts w:hAnsi="宋体"/>
          <w:color w:val="000000"/>
          <w:sz w:val="24"/>
        </w:rPr>
        <w:t>《医疗机构水污染物排放标准》（</w:t>
      </w:r>
      <w:r>
        <w:rPr>
          <w:color w:val="000000"/>
          <w:sz w:val="24"/>
        </w:rPr>
        <w:t>GB18466-2005</w:t>
      </w:r>
      <w:r>
        <w:rPr>
          <w:rFonts w:hAnsi="宋体"/>
          <w:color w:val="000000"/>
          <w:sz w:val="24"/>
        </w:rPr>
        <w:t>）（表</w:t>
      </w:r>
      <w:r>
        <w:rPr>
          <w:color w:val="000000"/>
          <w:sz w:val="24"/>
        </w:rPr>
        <w:t>2</w:t>
      </w:r>
      <w:r>
        <w:rPr>
          <w:rFonts w:hAnsi="宋体"/>
          <w:color w:val="000000"/>
          <w:sz w:val="24"/>
        </w:rPr>
        <w:t>）中的预处理排放标准</w:t>
      </w:r>
      <w:r>
        <w:rPr>
          <w:rFonts w:hint="eastAsia" w:hAnsi="宋体"/>
          <w:color w:val="000000"/>
          <w:sz w:val="24"/>
        </w:rPr>
        <w:t>后，排入30m规划道路市政污水管网。项目区内需自建45m长的管网与市政污水管网接通。</w:t>
      </w:r>
    </w:p>
    <w:p w14:paraId="52999D5E">
      <w:pPr>
        <w:spacing w:line="500" w:lineRule="exact"/>
        <w:ind w:firstLine="480"/>
        <w:rPr>
          <w:rFonts w:hint="eastAsia" w:hAnsi="宋体"/>
          <w:color w:val="000000"/>
          <w:sz w:val="24"/>
        </w:rPr>
      </w:pPr>
      <w:r>
        <w:rPr>
          <w:rFonts w:hint="eastAsia" w:ascii="宋体" w:hAnsi="宋体"/>
          <w:color w:val="000000"/>
          <w:sz w:val="24"/>
        </w:rPr>
        <w:t>芒市污水处理厂位于芒核村，采用氧化沟处理工艺，目前日处理规模为3.0万吨。本项目处在污水处理厂的纳污范围内。</w:t>
      </w:r>
      <w:r>
        <w:rPr>
          <w:rFonts w:hAnsi="宋体"/>
          <w:color w:val="000000"/>
          <w:sz w:val="24"/>
        </w:rPr>
        <w:t>医院废水经</w:t>
      </w:r>
      <w:r>
        <w:rPr>
          <w:rFonts w:hint="eastAsia" w:hAnsi="宋体"/>
          <w:color w:val="000000"/>
          <w:sz w:val="24"/>
        </w:rPr>
        <w:t>自建</w:t>
      </w:r>
      <w:r>
        <w:rPr>
          <w:rFonts w:hAnsi="宋体"/>
          <w:color w:val="000000"/>
          <w:sz w:val="24"/>
        </w:rPr>
        <w:t>污水处理站</w:t>
      </w:r>
      <w:r>
        <w:rPr>
          <w:rFonts w:hint="eastAsia" w:hAnsi="宋体"/>
          <w:color w:val="000000"/>
          <w:sz w:val="24"/>
        </w:rPr>
        <w:t>预</w:t>
      </w:r>
      <w:r>
        <w:rPr>
          <w:rFonts w:hAnsi="宋体"/>
          <w:color w:val="000000"/>
          <w:sz w:val="24"/>
        </w:rPr>
        <w:t>处理后，能够满足《医疗机构水污染物排放标准》（</w:t>
      </w:r>
      <w:r>
        <w:rPr>
          <w:color w:val="000000"/>
          <w:sz w:val="24"/>
        </w:rPr>
        <w:t>GB18466-2005</w:t>
      </w:r>
      <w:r>
        <w:rPr>
          <w:rFonts w:hAnsi="宋体"/>
          <w:color w:val="000000"/>
          <w:sz w:val="24"/>
        </w:rPr>
        <w:t>）（表</w:t>
      </w:r>
      <w:r>
        <w:rPr>
          <w:color w:val="000000"/>
          <w:sz w:val="24"/>
        </w:rPr>
        <w:t>2</w:t>
      </w:r>
      <w:r>
        <w:rPr>
          <w:rFonts w:hAnsi="宋体"/>
          <w:color w:val="000000"/>
          <w:sz w:val="24"/>
        </w:rPr>
        <w:t>）中的预处理排放标准限值</w:t>
      </w:r>
      <w:r>
        <w:rPr>
          <w:color w:val="000000"/>
          <w:sz w:val="24"/>
        </w:rPr>
        <w:t>；</w:t>
      </w:r>
      <w:r>
        <w:rPr>
          <w:rFonts w:hAnsi="宋体"/>
          <w:color w:val="000000"/>
          <w:sz w:val="24"/>
        </w:rPr>
        <w:t>因此，项目废水</w:t>
      </w:r>
      <w:r>
        <w:rPr>
          <w:rFonts w:hAnsi="宋体"/>
          <w:bCs/>
          <w:color w:val="000000"/>
          <w:sz w:val="24"/>
        </w:rPr>
        <w:t>进入</w:t>
      </w:r>
      <w:r>
        <w:rPr>
          <w:rFonts w:hint="eastAsia" w:hAnsi="宋体"/>
          <w:color w:val="000000"/>
          <w:sz w:val="24"/>
        </w:rPr>
        <w:t>芒市</w:t>
      </w:r>
      <w:r>
        <w:rPr>
          <w:rFonts w:hAnsi="宋体"/>
          <w:color w:val="000000"/>
          <w:sz w:val="24"/>
        </w:rPr>
        <w:t>污水处理厂是可行的。</w:t>
      </w:r>
    </w:p>
    <w:p w14:paraId="653826B8">
      <w:pPr>
        <w:pStyle w:val="221"/>
        <w:spacing w:before="120" w:after="0" w:line="360" w:lineRule="auto"/>
        <w:ind w:left="0" w:firstLine="482"/>
        <w:rPr>
          <w:rFonts w:ascii="宋体" w:hAnsi="宋体"/>
          <w:color w:val="000000"/>
          <w:sz w:val="24"/>
        </w:rPr>
      </w:pPr>
      <w:r>
        <w:rPr>
          <w:rFonts w:hint="eastAsia" w:ascii="宋体" w:hAnsi="宋体"/>
          <w:color w:val="000000"/>
          <w:sz w:val="24"/>
        </w:rPr>
        <w:t>3）、</w:t>
      </w:r>
      <w:r>
        <w:rPr>
          <w:rFonts w:ascii="宋体" w:hAnsi="宋体"/>
          <w:color w:val="000000"/>
          <w:sz w:val="24"/>
        </w:rPr>
        <w:t>废水的处理工艺及达标可行性分析</w:t>
      </w:r>
    </w:p>
    <w:p w14:paraId="59F540A5">
      <w:pPr>
        <w:spacing w:line="500" w:lineRule="exact"/>
        <w:ind w:firstLine="480"/>
        <w:rPr>
          <w:rFonts w:hint="eastAsia" w:ascii="宋体" w:hAnsi="宋体"/>
          <w:color w:val="000000"/>
          <w:sz w:val="24"/>
        </w:rPr>
      </w:pPr>
      <w:r>
        <w:rPr>
          <w:rFonts w:ascii="宋体" w:hAnsi="宋体"/>
          <w:color w:val="000000"/>
          <w:sz w:val="24"/>
        </w:rPr>
        <w:t>项目所在区域配套</w:t>
      </w:r>
      <w:r>
        <w:rPr>
          <w:rFonts w:hint="eastAsia" w:ascii="宋体" w:hAnsi="宋体"/>
          <w:color w:val="000000"/>
          <w:sz w:val="24"/>
        </w:rPr>
        <w:t>有市政</w:t>
      </w:r>
      <w:r>
        <w:rPr>
          <w:rFonts w:ascii="宋体" w:hAnsi="宋体"/>
          <w:color w:val="000000"/>
          <w:sz w:val="24"/>
        </w:rPr>
        <w:t>管网，</w:t>
      </w:r>
      <w:r>
        <w:rPr>
          <w:rFonts w:hint="eastAsia" w:ascii="宋体" w:hAnsi="宋体"/>
          <w:color w:val="000000"/>
          <w:sz w:val="24"/>
        </w:rPr>
        <w:t>污水可进入芒市污水处理厂。</w:t>
      </w:r>
      <w:r>
        <w:rPr>
          <w:rFonts w:ascii="宋体" w:hAnsi="宋体"/>
          <w:color w:val="000000"/>
          <w:sz w:val="24"/>
        </w:rPr>
        <w:t>根据GB18466-2005《医疗机构水污染物排放标准》要求，项目废水</w:t>
      </w:r>
      <w:r>
        <w:rPr>
          <w:rFonts w:hint="eastAsia" w:ascii="宋体" w:hAnsi="宋体"/>
          <w:color w:val="000000"/>
          <w:sz w:val="24"/>
        </w:rPr>
        <w:t>可进入芒市污水处理厂，</w:t>
      </w:r>
      <w:r>
        <w:rPr>
          <w:rFonts w:ascii="宋体" w:hAnsi="宋体"/>
          <w:color w:val="000000"/>
          <w:sz w:val="24"/>
        </w:rPr>
        <w:t>项目</w:t>
      </w:r>
      <w:r>
        <w:rPr>
          <w:rFonts w:hint="eastAsia" w:ascii="宋体" w:hAnsi="宋体"/>
          <w:color w:val="000000"/>
          <w:sz w:val="24"/>
        </w:rPr>
        <w:t>医疗</w:t>
      </w:r>
      <w:r>
        <w:rPr>
          <w:rFonts w:ascii="宋体" w:hAnsi="宋体"/>
          <w:color w:val="000000"/>
          <w:sz w:val="24"/>
        </w:rPr>
        <w:t>废水执行GB18466-2005《医疗机构水污染物排放标准》预处理标准。根据GB18466-2005《医疗机构水污染物排放标准》表2中的预处理标准要求，出水的COD</w:t>
      </w:r>
      <w:r>
        <w:rPr>
          <w:rFonts w:ascii="宋体" w:hAnsi="宋体"/>
          <w:color w:val="000000"/>
          <w:sz w:val="24"/>
          <w:vertAlign w:val="subscript"/>
        </w:rPr>
        <w:t>cr</w:t>
      </w:r>
      <w:r>
        <w:rPr>
          <w:rFonts w:ascii="宋体" w:hAnsi="宋体"/>
          <w:color w:val="000000"/>
          <w:sz w:val="24"/>
        </w:rPr>
        <w:t>要求达到250mg/L，BOD</w:t>
      </w:r>
      <w:r>
        <w:rPr>
          <w:rFonts w:ascii="宋体" w:hAnsi="宋体"/>
          <w:color w:val="000000"/>
          <w:sz w:val="24"/>
          <w:vertAlign w:val="subscript"/>
        </w:rPr>
        <w:t>5</w:t>
      </w:r>
      <w:r>
        <w:rPr>
          <w:rFonts w:ascii="宋体" w:hAnsi="宋体"/>
          <w:color w:val="000000"/>
          <w:sz w:val="24"/>
        </w:rPr>
        <w:t>要求达到100mg/L，SS要求达到60mg/L，阴离子表面活性剂要求达到10mg/L，其他有害物质也</w:t>
      </w:r>
      <w:r>
        <w:rPr>
          <w:rFonts w:hint="eastAsia" w:ascii="宋体" w:hAnsi="宋体"/>
          <w:color w:val="000000"/>
          <w:sz w:val="24"/>
        </w:rPr>
        <w:t>有相应的控制指标要求。项目医疗废水的预处理要求如下：</w:t>
      </w:r>
    </w:p>
    <w:p w14:paraId="2ED6C0DB">
      <w:pPr>
        <w:spacing w:line="360" w:lineRule="auto"/>
        <w:ind w:firstLine="480"/>
        <w:rPr>
          <w:rFonts w:hint="eastAsia" w:ascii="宋体" w:hAnsi="宋体"/>
          <w:color w:val="000000"/>
          <w:sz w:val="24"/>
        </w:rPr>
      </w:pPr>
      <w:r>
        <w:rPr>
          <w:rFonts w:hint="eastAsia" w:ascii="宋体" w:hAnsi="宋体"/>
          <w:color w:val="000000"/>
          <w:sz w:val="24"/>
        </w:rPr>
        <w:t>检验科废水用特定容器（1m</w:t>
      </w:r>
      <w:r>
        <w:rPr>
          <w:rFonts w:hint="eastAsia" w:ascii="宋体" w:hAnsi="宋体"/>
          <w:color w:val="000000"/>
          <w:sz w:val="24"/>
          <w:vertAlign w:val="superscript"/>
        </w:rPr>
        <w:t>3</w:t>
      </w:r>
      <w:r>
        <w:rPr>
          <w:rFonts w:hint="eastAsia" w:ascii="宋体" w:hAnsi="宋体"/>
          <w:color w:val="000000"/>
          <w:sz w:val="24"/>
        </w:rPr>
        <w:t>）收集后进行预处理，检验科废水加酸性试剂中和预处理后，进入医院楼下化粪池预处理，再进入污水处理站进行处理。</w:t>
      </w:r>
    </w:p>
    <w:p w14:paraId="515741D9">
      <w:pPr>
        <w:spacing w:line="360" w:lineRule="auto"/>
        <w:ind w:firstLine="480"/>
        <w:rPr>
          <w:rFonts w:hint="eastAsia" w:ascii="宋体" w:hAnsi="宋体"/>
          <w:color w:val="000000"/>
          <w:sz w:val="24"/>
        </w:rPr>
      </w:pPr>
      <w:r>
        <w:rPr>
          <w:rFonts w:hint="eastAsia" w:ascii="宋体" w:hAnsi="宋体"/>
          <w:color w:val="000000"/>
          <w:sz w:val="24"/>
        </w:rPr>
        <w:t>化粪池污水：进入项目化粪池的污水（102.053m</w:t>
      </w:r>
      <w:r>
        <w:rPr>
          <w:rFonts w:hint="eastAsia" w:ascii="宋体" w:hAnsi="宋体"/>
          <w:color w:val="000000"/>
          <w:sz w:val="24"/>
          <w:vertAlign w:val="superscript"/>
        </w:rPr>
        <w:t>3</w:t>
      </w:r>
      <w:r>
        <w:rPr>
          <w:rFonts w:hint="eastAsia" w:ascii="宋体" w:hAnsi="宋体"/>
          <w:color w:val="000000"/>
          <w:sz w:val="24"/>
        </w:rPr>
        <w:t>/d）</w:t>
      </w:r>
      <w:r>
        <w:rPr>
          <w:rFonts w:ascii="宋体" w:hAnsi="宋体"/>
          <w:color w:val="000000"/>
          <w:sz w:val="24"/>
        </w:rPr>
        <w:t>，按国家医院污水处理设计规范，污水在化粪池中的停留时间不小于</w:t>
      </w:r>
      <w:r>
        <w:rPr>
          <w:rFonts w:hint="eastAsia" w:ascii="宋体" w:hAnsi="宋体"/>
          <w:color w:val="000000"/>
          <w:sz w:val="24"/>
        </w:rPr>
        <w:t>36</w:t>
      </w:r>
      <w:r>
        <w:rPr>
          <w:rFonts w:ascii="宋体" w:hAnsi="宋体"/>
          <w:color w:val="000000"/>
          <w:sz w:val="24"/>
        </w:rPr>
        <w:t>h（本</w:t>
      </w:r>
      <w:r>
        <w:rPr>
          <w:rFonts w:hint="eastAsia" w:ascii="宋体" w:hAnsi="宋体"/>
          <w:color w:val="000000"/>
          <w:sz w:val="24"/>
        </w:rPr>
        <w:t>项目每栋楼下面各设有</w:t>
      </w:r>
      <w:r>
        <w:rPr>
          <w:rFonts w:ascii="宋体" w:hAnsi="宋体"/>
          <w:color w:val="000000"/>
          <w:sz w:val="24"/>
        </w:rPr>
        <w:t>面</w:t>
      </w:r>
      <w:r>
        <w:rPr>
          <w:rFonts w:hint="eastAsia" w:ascii="宋体" w:hAnsi="宋体"/>
          <w:color w:val="000000"/>
          <w:sz w:val="24"/>
        </w:rPr>
        <w:t>1个</w:t>
      </w:r>
      <w:r>
        <w:rPr>
          <w:rFonts w:ascii="宋体" w:hAnsi="宋体"/>
          <w:color w:val="000000"/>
          <w:sz w:val="24"/>
        </w:rPr>
        <w:t>化粪池，</w:t>
      </w:r>
      <w:r>
        <w:rPr>
          <w:rFonts w:hint="eastAsia" w:ascii="宋体" w:hAnsi="宋体"/>
          <w:color w:val="000000"/>
          <w:sz w:val="24"/>
        </w:rPr>
        <w:t>总共4个，总</w:t>
      </w:r>
      <w:r>
        <w:rPr>
          <w:rFonts w:ascii="宋体" w:hAnsi="宋体"/>
          <w:color w:val="000000"/>
          <w:sz w:val="24"/>
        </w:rPr>
        <w:t>容积应不小于</w:t>
      </w:r>
      <w:r>
        <w:rPr>
          <w:rFonts w:hint="eastAsia" w:ascii="宋体" w:hAnsi="宋体"/>
          <w:color w:val="000000"/>
          <w:sz w:val="24"/>
        </w:rPr>
        <w:t>140</w:t>
      </w:r>
      <w:r>
        <w:rPr>
          <w:rFonts w:ascii="宋体" w:hAnsi="宋体"/>
          <w:color w:val="000000"/>
          <w:sz w:val="24"/>
        </w:rPr>
        <w:t>m</w:t>
      </w:r>
      <w:r>
        <w:rPr>
          <w:rFonts w:hint="eastAsia" w:ascii="宋体" w:hAnsi="宋体"/>
          <w:color w:val="000000"/>
          <w:sz w:val="24"/>
          <w:vertAlign w:val="superscript"/>
        </w:rPr>
        <w:t>3</w:t>
      </w:r>
      <w:r>
        <w:rPr>
          <w:rFonts w:ascii="宋体" w:hAnsi="宋体"/>
          <w:color w:val="000000"/>
          <w:sz w:val="24"/>
        </w:rPr>
        <w:t>），污水中的粪便、虫卵等悬浮杂质被化粪池截留下来并进行厌氧分解，污水</w:t>
      </w:r>
      <w:r>
        <w:rPr>
          <w:rFonts w:hint="eastAsia" w:ascii="宋体" w:hAnsi="宋体"/>
          <w:color w:val="000000"/>
          <w:sz w:val="24"/>
        </w:rPr>
        <w:t>经过</w:t>
      </w:r>
      <w:r>
        <w:rPr>
          <w:rFonts w:ascii="宋体" w:hAnsi="宋体"/>
          <w:color w:val="000000"/>
          <w:sz w:val="24"/>
        </w:rPr>
        <w:t>初步处理</w:t>
      </w:r>
      <w:r>
        <w:rPr>
          <w:rFonts w:hint="eastAsia" w:ascii="宋体" w:hAnsi="宋体"/>
          <w:color w:val="000000"/>
          <w:sz w:val="24"/>
        </w:rPr>
        <w:t>后再排入污水处理站作进一步处理</w:t>
      </w:r>
      <w:r>
        <w:rPr>
          <w:rFonts w:ascii="宋体" w:hAnsi="宋体"/>
          <w:color w:val="000000"/>
          <w:sz w:val="24"/>
        </w:rPr>
        <w:t>。</w:t>
      </w:r>
    </w:p>
    <w:p w14:paraId="34BB9BDB">
      <w:pPr>
        <w:spacing w:line="360" w:lineRule="auto"/>
        <w:ind w:firstLine="480"/>
        <w:rPr>
          <w:rFonts w:hint="eastAsia" w:ascii="宋体" w:hAnsi="宋体"/>
          <w:color w:val="000000"/>
          <w:sz w:val="24"/>
        </w:rPr>
      </w:pPr>
      <w:r>
        <w:rPr>
          <w:rFonts w:hint="eastAsia" w:ascii="宋体" w:hAnsi="宋体"/>
          <w:color w:val="000000"/>
          <w:sz w:val="24"/>
        </w:rPr>
        <w:t>食堂污水：项目食堂污水的产生量为32t/d，该部分污水先经隔油池处理后再进入化粪池。项目食堂按平均每天工作9h计算，项目</w:t>
      </w:r>
      <w:r>
        <w:rPr>
          <w:rFonts w:ascii="宋体" w:hAnsi="宋体"/>
          <w:color w:val="000000"/>
          <w:sz w:val="24"/>
        </w:rPr>
        <w:t>Qmax=</w:t>
      </w:r>
      <w:r>
        <w:rPr>
          <w:rFonts w:hint="eastAsia" w:ascii="宋体" w:hAnsi="宋体"/>
          <w:color w:val="000000"/>
          <w:sz w:val="24"/>
        </w:rPr>
        <w:t>0.988</w:t>
      </w:r>
      <w:r>
        <w:rPr>
          <w:rFonts w:ascii="宋体" w:hAnsi="宋体"/>
          <w:color w:val="000000"/>
          <w:sz w:val="24"/>
        </w:rPr>
        <w:t>L/s，</w:t>
      </w:r>
      <w:r>
        <w:rPr>
          <w:rFonts w:hint="eastAsia" w:ascii="宋体" w:hAnsi="宋体"/>
          <w:color w:val="000000"/>
          <w:sz w:val="24"/>
        </w:rPr>
        <w:t>根据</w:t>
      </w:r>
      <w:r>
        <w:rPr>
          <w:rFonts w:ascii="宋体" w:hAnsi="宋体"/>
          <w:color w:val="000000"/>
          <w:sz w:val="24"/>
        </w:rPr>
        <w:t>餐饮隔油池容积计算公式：V=Qmax·60·t</w:t>
      </w:r>
      <w:r>
        <w:rPr>
          <w:rFonts w:hint="eastAsia" w:ascii="宋体" w:hAnsi="宋体"/>
          <w:color w:val="000000"/>
          <w:sz w:val="24"/>
        </w:rPr>
        <w:t>，t取值10min，则隔油池的容积设为0.9m</w:t>
      </w:r>
      <w:r>
        <w:rPr>
          <w:rFonts w:hint="eastAsia" w:ascii="宋体" w:hAnsi="宋体"/>
          <w:color w:val="000000"/>
          <w:sz w:val="24"/>
          <w:vertAlign w:val="superscript"/>
        </w:rPr>
        <w:t>3</w:t>
      </w:r>
      <w:r>
        <w:rPr>
          <w:rFonts w:hint="eastAsia" w:ascii="宋体" w:hAnsi="宋体"/>
          <w:color w:val="000000"/>
          <w:sz w:val="24"/>
        </w:rPr>
        <w:t>，可确保废水在隔油池中停留10min，以达到除油效果。</w:t>
      </w:r>
      <w:r>
        <w:rPr>
          <w:rFonts w:ascii="宋体" w:hAnsi="宋体"/>
          <w:color w:val="000000"/>
          <w:sz w:val="24"/>
        </w:rPr>
        <w:t>废水经过隔油池（</w:t>
      </w:r>
      <w:r>
        <w:rPr>
          <w:rFonts w:hint="eastAsia" w:ascii="宋体" w:hAnsi="宋体"/>
          <w:color w:val="000000"/>
          <w:sz w:val="24"/>
        </w:rPr>
        <w:t>0.9</w:t>
      </w:r>
      <w:r>
        <w:rPr>
          <w:color w:val="000000"/>
          <w:sz w:val="24"/>
        </w:rPr>
        <w:t>m</w:t>
      </w:r>
      <w:r>
        <w:rPr>
          <w:color w:val="000000"/>
          <w:sz w:val="24"/>
          <w:vertAlign w:val="superscript"/>
        </w:rPr>
        <w:t>3</w:t>
      </w:r>
      <w:r>
        <w:rPr>
          <w:rFonts w:ascii="宋体" w:hAnsi="宋体"/>
          <w:color w:val="000000"/>
          <w:sz w:val="24"/>
        </w:rPr>
        <w:t>）</w:t>
      </w:r>
      <w:r>
        <w:rPr>
          <w:rFonts w:hint="eastAsia" w:ascii="宋体" w:hAnsi="宋体"/>
          <w:color w:val="000000"/>
          <w:sz w:val="24"/>
        </w:rPr>
        <w:t>、化粪池</w:t>
      </w:r>
      <w:r>
        <w:rPr>
          <w:rFonts w:ascii="宋体" w:hAnsi="宋体"/>
          <w:color w:val="000000"/>
          <w:sz w:val="24"/>
        </w:rPr>
        <w:t>处理后再排入污水处理站处理。</w:t>
      </w:r>
      <w:r>
        <w:rPr>
          <w:rFonts w:hint="eastAsia" w:ascii="宋体" w:hAnsi="宋体"/>
          <w:color w:val="000000"/>
          <w:sz w:val="24"/>
        </w:rPr>
        <w:t>食堂产生的泔水交由专门收购食堂泔水的单位处置。</w:t>
      </w:r>
    </w:p>
    <w:p w14:paraId="09055133">
      <w:pPr>
        <w:pStyle w:val="221"/>
        <w:spacing w:after="0" w:line="360" w:lineRule="auto"/>
        <w:ind w:left="0" w:firstLine="480"/>
        <w:rPr>
          <w:rFonts w:hint="eastAsia" w:hAnsi="宋体"/>
          <w:color w:val="000000"/>
          <w:sz w:val="24"/>
        </w:rPr>
      </w:pPr>
      <w:r>
        <w:rPr>
          <w:rFonts w:hint="eastAsia" w:hAnsi="宋体"/>
          <w:color w:val="000000"/>
          <w:sz w:val="24"/>
        </w:rPr>
        <w:t>项目建成后，医院的污水产生量为102.553m</w:t>
      </w:r>
      <w:r>
        <w:rPr>
          <w:rFonts w:hint="eastAsia" w:hAnsi="宋体"/>
          <w:color w:val="000000"/>
          <w:sz w:val="24"/>
          <w:vertAlign w:val="superscript"/>
        </w:rPr>
        <w:t>3</w:t>
      </w:r>
      <w:r>
        <w:rPr>
          <w:rFonts w:hint="eastAsia" w:hAnsi="宋体"/>
          <w:color w:val="000000"/>
          <w:sz w:val="24"/>
        </w:rPr>
        <w:t>/d，污水处理站的规模为120m</w:t>
      </w:r>
      <w:r>
        <w:rPr>
          <w:rFonts w:hint="eastAsia" w:hAnsi="宋体"/>
          <w:color w:val="000000"/>
          <w:sz w:val="24"/>
          <w:vertAlign w:val="superscript"/>
        </w:rPr>
        <w:t>3</w:t>
      </w:r>
      <w:r>
        <w:rPr>
          <w:rFonts w:hint="eastAsia" w:hAnsi="宋体"/>
          <w:color w:val="000000"/>
          <w:sz w:val="24"/>
        </w:rPr>
        <w:t>/d，能够满足污水处理需求；根据《医院污水处理技术指南》，污水处理站的</w:t>
      </w:r>
      <w:r>
        <w:rPr>
          <w:rFonts w:hAnsi="宋体"/>
          <w:color w:val="000000"/>
          <w:sz w:val="24"/>
        </w:rPr>
        <w:t>处理工艺</w:t>
      </w:r>
      <w:r>
        <w:rPr>
          <w:rFonts w:hint="eastAsia" w:hAnsi="宋体"/>
          <w:color w:val="000000"/>
          <w:sz w:val="24"/>
        </w:rPr>
        <w:t>出水水质</w:t>
      </w:r>
      <w:r>
        <w:rPr>
          <w:rFonts w:hAnsi="宋体"/>
          <w:color w:val="000000"/>
          <w:sz w:val="24"/>
        </w:rPr>
        <w:t>能够达到《医疗机构水污染物排放标准》</w:t>
      </w:r>
      <w:r>
        <w:rPr>
          <w:rFonts w:ascii="宋体" w:hAnsi="宋体"/>
          <w:color w:val="000000"/>
          <w:sz w:val="24"/>
        </w:rPr>
        <w:t>表2中的预处理标准</w:t>
      </w:r>
      <w:r>
        <w:rPr>
          <w:rFonts w:hAnsi="宋体"/>
          <w:color w:val="000000"/>
          <w:sz w:val="24"/>
        </w:rPr>
        <w:t>要求，处理工艺可行。</w:t>
      </w:r>
    </w:p>
    <w:p w14:paraId="3F7F23A1">
      <w:pPr>
        <w:pStyle w:val="221"/>
        <w:spacing w:after="0" w:line="360" w:lineRule="auto"/>
        <w:ind w:left="0" w:firstLine="480"/>
        <w:rPr>
          <w:rFonts w:hint="eastAsia" w:ascii="宋体" w:hAnsi="宋体"/>
          <w:color w:val="000000"/>
          <w:sz w:val="24"/>
        </w:rPr>
      </w:pPr>
      <w:r>
        <w:rPr>
          <w:rFonts w:hint="eastAsia" w:ascii="宋体" w:hAnsi="宋体"/>
          <w:color w:val="000000"/>
          <w:sz w:val="24"/>
        </w:rPr>
        <w:t>（2）非正常排放情况下</w:t>
      </w:r>
    </w:p>
    <w:p w14:paraId="49FA40E3">
      <w:pPr>
        <w:spacing w:line="500" w:lineRule="exact"/>
        <w:ind w:firstLine="480"/>
        <w:rPr>
          <w:color w:val="000000"/>
          <w:sz w:val="24"/>
        </w:rPr>
      </w:pPr>
      <w:r>
        <w:rPr>
          <w:rFonts w:hAnsi="宋体"/>
          <w:color w:val="000000"/>
          <w:sz w:val="24"/>
        </w:rPr>
        <w:t>根据前面工程分析可知，</w:t>
      </w:r>
      <w:r>
        <w:rPr>
          <w:rFonts w:hint="eastAsia"/>
          <w:color w:val="000000"/>
          <w:sz w:val="24"/>
        </w:rPr>
        <w:t>医院</w:t>
      </w:r>
      <w:r>
        <w:rPr>
          <w:color w:val="000000"/>
          <w:sz w:val="24"/>
        </w:rPr>
        <w:t>污水</w:t>
      </w:r>
      <w:r>
        <w:rPr>
          <w:rFonts w:hint="eastAsia"/>
          <w:color w:val="000000"/>
          <w:sz w:val="24"/>
        </w:rPr>
        <w:t>若不经过自建污水处理站处理达标后排放，项目污水中的</w:t>
      </w:r>
      <w:r>
        <w:rPr>
          <w:color w:val="000000"/>
          <w:sz w:val="24"/>
        </w:rPr>
        <w:t>COD</w:t>
      </w:r>
      <w:r>
        <w:rPr>
          <w:bCs/>
          <w:color w:val="000000"/>
          <w:sz w:val="24"/>
          <w:vertAlign w:val="subscript"/>
        </w:rPr>
        <w:t>cr</w:t>
      </w:r>
      <w:r>
        <w:rPr>
          <w:color w:val="000000"/>
          <w:sz w:val="24"/>
        </w:rPr>
        <w:t>、</w:t>
      </w:r>
      <w:r>
        <w:rPr>
          <w:bCs/>
          <w:color w:val="000000"/>
          <w:sz w:val="24"/>
        </w:rPr>
        <w:t>BOD</w:t>
      </w:r>
      <w:r>
        <w:rPr>
          <w:bCs/>
          <w:color w:val="000000"/>
          <w:sz w:val="24"/>
          <w:vertAlign w:val="subscript"/>
        </w:rPr>
        <w:t>5</w:t>
      </w:r>
      <w:r>
        <w:rPr>
          <w:color w:val="000000"/>
          <w:sz w:val="24"/>
        </w:rPr>
        <w:t>、SS和粪大肠菌群数都会超标，其中，COD</w:t>
      </w:r>
      <w:r>
        <w:rPr>
          <w:bCs/>
          <w:color w:val="000000"/>
          <w:sz w:val="24"/>
          <w:vertAlign w:val="subscript"/>
        </w:rPr>
        <w:t>cr</w:t>
      </w:r>
      <w:r>
        <w:rPr>
          <w:color w:val="000000"/>
          <w:sz w:val="24"/>
        </w:rPr>
        <w:t>超标约1.3倍。</w:t>
      </w:r>
    </w:p>
    <w:p w14:paraId="7D3EAC54">
      <w:pPr>
        <w:spacing w:line="500" w:lineRule="exact"/>
        <w:ind w:firstLine="480"/>
        <w:rPr>
          <w:rFonts w:hAnsi="宋体"/>
          <w:color w:val="000000"/>
          <w:sz w:val="24"/>
        </w:rPr>
      </w:pPr>
      <w:r>
        <w:rPr>
          <w:rFonts w:hAnsi="宋体"/>
          <w:color w:val="000000"/>
          <w:sz w:val="24"/>
        </w:rPr>
        <w:t>医院</w:t>
      </w:r>
      <w:r>
        <w:rPr>
          <w:rFonts w:hint="eastAsia" w:hAnsi="宋体"/>
          <w:color w:val="000000"/>
          <w:sz w:val="24"/>
        </w:rPr>
        <w:t>废水</w:t>
      </w:r>
      <w:r>
        <w:rPr>
          <w:rFonts w:hAnsi="宋体"/>
          <w:color w:val="000000"/>
          <w:sz w:val="24"/>
        </w:rPr>
        <w:t>中生活污水所占比重较大，其主要成分</w:t>
      </w:r>
      <w:r>
        <w:rPr>
          <w:rFonts w:hint="eastAsia" w:hAnsi="宋体"/>
          <w:color w:val="000000"/>
          <w:sz w:val="24"/>
        </w:rPr>
        <w:t>为</w:t>
      </w:r>
      <w:r>
        <w:rPr>
          <w:rFonts w:hAnsi="宋体"/>
          <w:color w:val="000000"/>
          <w:sz w:val="24"/>
        </w:rPr>
        <w:t>有机物、悬浮物、油脂、</w:t>
      </w:r>
      <w:r>
        <w:rPr>
          <w:rFonts w:hint="eastAsia"/>
          <w:color w:val="000000"/>
          <w:sz w:val="24"/>
        </w:rPr>
        <w:t>PH</w:t>
      </w:r>
      <w:r>
        <w:rPr>
          <w:rFonts w:hAnsi="宋体"/>
          <w:color w:val="000000"/>
          <w:sz w:val="24"/>
        </w:rPr>
        <w:t>等与常见生活污水</w:t>
      </w:r>
      <w:r>
        <w:rPr>
          <w:rFonts w:hint="eastAsia" w:hAnsi="宋体"/>
          <w:color w:val="000000"/>
          <w:sz w:val="24"/>
        </w:rPr>
        <w:t>类似</w:t>
      </w:r>
      <w:r>
        <w:rPr>
          <w:rFonts w:hAnsi="宋体"/>
          <w:color w:val="000000"/>
          <w:sz w:val="24"/>
        </w:rPr>
        <w:t>，</w:t>
      </w:r>
      <w:r>
        <w:rPr>
          <w:rFonts w:hint="eastAsia" w:hAnsi="宋体"/>
          <w:color w:val="000000"/>
          <w:sz w:val="24"/>
        </w:rPr>
        <w:t>本项目产生的污水通过自建污水处理站处理后外排，</w:t>
      </w:r>
      <w:r>
        <w:rPr>
          <w:rFonts w:hAnsi="宋体"/>
          <w:color w:val="000000"/>
          <w:sz w:val="24"/>
        </w:rPr>
        <w:t>污染物增减量变化不大，不会明显</w:t>
      </w:r>
      <w:r>
        <w:rPr>
          <w:rFonts w:hint="eastAsia"/>
          <w:color w:val="000000"/>
          <w:sz w:val="24"/>
        </w:rPr>
        <w:t>增加芒市</w:t>
      </w:r>
      <w:r>
        <w:rPr>
          <w:color w:val="000000"/>
          <w:sz w:val="24"/>
        </w:rPr>
        <w:t>污水处理厂的处理负荷，对</w:t>
      </w:r>
      <w:r>
        <w:rPr>
          <w:rFonts w:hint="eastAsia"/>
          <w:color w:val="000000"/>
          <w:sz w:val="24"/>
        </w:rPr>
        <w:t>芒市</w:t>
      </w:r>
      <w:r>
        <w:rPr>
          <w:color w:val="000000"/>
          <w:sz w:val="24"/>
        </w:rPr>
        <w:t>污水处理厂出水水质达标排放影响不明显。</w:t>
      </w:r>
    </w:p>
    <w:p w14:paraId="557B6910">
      <w:pPr>
        <w:spacing w:line="500" w:lineRule="exact"/>
        <w:ind w:firstLine="480"/>
        <w:rPr>
          <w:color w:val="000000"/>
          <w:sz w:val="24"/>
        </w:rPr>
      </w:pPr>
      <w:r>
        <w:rPr>
          <w:rFonts w:hAnsi="宋体"/>
          <w:color w:val="000000"/>
          <w:sz w:val="24"/>
        </w:rPr>
        <w:t>项目废水因沾染病人的血、尿、粪便等而具有一定感染性，且医院污水还含有多种致病菌、病毒和寄生虫卵，它们在环境中具有一定的适应力，有的甚至在污水中存活较长，</w:t>
      </w:r>
      <w:r>
        <w:rPr>
          <w:color w:val="000000"/>
          <w:sz w:val="24"/>
        </w:rPr>
        <w:t>若项目废水未</w:t>
      </w:r>
      <w:r>
        <w:rPr>
          <w:rFonts w:hint="eastAsia"/>
          <w:color w:val="000000"/>
          <w:sz w:val="24"/>
        </w:rPr>
        <w:t>经过污水处理站处理</w:t>
      </w:r>
      <w:r>
        <w:rPr>
          <w:color w:val="000000"/>
          <w:sz w:val="24"/>
        </w:rPr>
        <w:t>，直接进入市政污水管网，</w:t>
      </w:r>
      <w:r>
        <w:rPr>
          <w:rFonts w:hint="eastAsia"/>
          <w:color w:val="000000"/>
          <w:sz w:val="24"/>
        </w:rPr>
        <w:t>将会</w:t>
      </w:r>
      <w:r>
        <w:rPr>
          <w:color w:val="000000"/>
          <w:sz w:val="24"/>
        </w:rPr>
        <w:t>造成致病菌和寄生虫卵通过</w:t>
      </w:r>
      <w:r>
        <w:rPr>
          <w:rFonts w:hint="eastAsia"/>
          <w:color w:val="000000"/>
          <w:sz w:val="24"/>
        </w:rPr>
        <w:t>市政管网进入芒市污水处理厂</w:t>
      </w:r>
      <w:r>
        <w:rPr>
          <w:color w:val="000000"/>
          <w:sz w:val="24"/>
        </w:rPr>
        <w:t>，</w:t>
      </w:r>
      <w:r>
        <w:rPr>
          <w:rFonts w:hint="eastAsia"/>
          <w:color w:val="000000"/>
          <w:sz w:val="24"/>
        </w:rPr>
        <w:t>给污水处理厂的正常运行造成影响，还会带来病毒的传播。</w:t>
      </w:r>
    </w:p>
    <w:p w14:paraId="1A11EE4B">
      <w:pPr>
        <w:pStyle w:val="221"/>
        <w:spacing w:after="0" w:line="360" w:lineRule="auto"/>
        <w:ind w:left="0" w:firstLine="480"/>
        <w:rPr>
          <w:rFonts w:hint="eastAsia" w:ascii="宋体" w:hAnsi="宋体"/>
          <w:color w:val="000000"/>
          <w:sz w:val="24"/>
        </w:rPr>
      </w:pPr>
      <w:r>
        <w:rPr>
          <w:rFonts w:ascii="宋体" w:hAnsi="宋体"/>
          <w:color w:val="000000"/>
          <w:sz w:val="24"/>
        </w:rPr>
        <w:t>针对此，</w:t>
      </w:r>
      <w:r>
        <w:rPr>
          <w:rFonts w:hint="eastAsia" w:ascii="宋体" w:hAnsi="宋体"/>
          <w:color w:val="000000"/>
          <w:sz w:val="24"/>
        </w:rPr>
        <w:t>本项目</w:t>
      </w:r>
      <w:r>
        <w:rPr>
          <w:rFonts w:ascii="宋体" w:hAnsi="宋体"/>
          <w:color w:val="000000"/>
          <w:sz w:val="24"/>
        </w:rPr>
        <w:t>拟设置事故池一个，容积为</w:t>
      </w:r>
      <w:r>
        <w:rPr>
          <w:rFonts w:hint="eastAsia" w:ascii="宋体" w:hAnsi="宋体"/>
          <w:color w:val="000000"/>
          <w:sz w:val="24"/>
        </w:rPr>
        <w:t>110</w:t>
      </w:r>
      <w:r>
        <w:rPr>
          <w:rFonts w:ascii="宋体" w:hAnsi="宋体"/>
          <w:color w:val="000000"/>
          <w:sz w:val="24"/>
        </w:rPr>
        <w:t>m</w:t>
      </w:r>
      <w:r>
        <w:rPr>
          <w:rFonts w:ascii="宋体" w:hAnsi="宋体"/>
          <w:color w:val="000000"/>
          <w:sz w:val="24"/>
          <w:vertAlign w:val="superscript"/>
        </w:rPr>
        <w:t>3</w:t>
      </w:r>
      <w:r>
        <w:rPr>
          <w:rFonts w:ascii="宋体" w:hAnsi="宋体"/>
          <w:color w:val="000000"/>
          <w:sz w:val="24"/>
        </w:rPr>
        <w:t>，</w:t>
      </w:r>
      <w:r>
        <w:rPr>
          <w:rFonts w:hint="eastAsia" w:ascii="宋体" w:hAnsi="宋体"/>
          <w:color w:val="000000"/>
          <w:sz w:val="24"/>
        </w:rPr>
        <w:t>能</w:t>
      </w:r>
      <w:r>
        <w:rPr>
          <w:rFonts w:ascii="宋体" w:hAnsi="宋体"/>
          <w:color w:val="000000"/>
          <w:sz w:val="24"/>
        </w:rPr>
        <w:t>够临时存放约</w:t>
      </w:r>
      <w:r>
        <w:rPr>
          <w:rFonts w:hint="eastAsia" w:ascii="宋体" w:hAnsi="宋体"/>
          <w:color w:val="000000"/>
          <w:sz w:val="24"/>
        </w:rPr>
        <w:t>24</w:t>
      </w:r>
      <w:r>
        <w:rPr>
          <w:rFonts w:ascii="宋体" w:hAnsi="宋体"/>
          <w:color w:val="000000"/>
          <w:sz w:val="24"/>
        </w:rPr>
        <w:t>小时</w:t>
      </w:r>
      <w:r>
        <w:rPr>
          <w:rFonts w:hint="eastAsia" w:ascii="宋体" w:hAnsi="宋体"/>
          <w:color w:val="000000"/>
          <w:sz w:val="24"/>
        </w:rPr>
        <w:t>以上</w:t>
      </w:r>
      <w:r>
        <w:rPr>
          <w:rFonts w:ascii="宋体" w:hAnsi="宋体"/>
          <w:color w:val="000000"/>
          <w:sz w:val="24"/>
        </w:rPr>
        <w:t>的医院排水，</w:t>
      </w:r>
      <w:r>
        <w:rPr>
          <w:rFonts w:hint="eastAsia" w:ascii="宋体" w:hAnsi="宋体"/>
          <w:color w:val="000000"/>
          <w:sz w:val="24"/>
        </w:rPr>
        <w:t>污水处理设施在设计时应严格按照设计规范要求，构筑物至少设计成两格并联运行，设备必须采取一用一备。</w:t>
      </w:r>
      <w:r>
        <w:rPr>
          <w:rFonts w:ascii="宋体" w:hAnsi="宋体"/>
          <w:color w:val="000000"/>
          <w:sz w:val="24"/>
        </w:rPr>
        <w:t>根据国内类似医院污水处理站的实际运行经验，若发生废水事故排放的时候，按照医院制订的应急预案，事故可以在</w:t>
      </w:r>
      <w:r>
        <w:rPr>
          <w:rFonts w:hint="eastAsia" w:ascii="宋体" w:hAnsi="宋体"/>
          <w:color w:val="000000"/>
          <w:sz w:val="24"/>
        </w:rPr>
        <w:t>24</w:t>
      </w:r>
      <w:r>
        <w:rPr>
          <w:rFonts w:ascii="宋体" w:hAnsi="宋体"/>
          <w:color w:val="000000"/>
          <w:sz w:val="24"/>
        </w:rPr>
        <w:t>小时内排除，上述事故池的容量完全能够满足事故处理期间临时存放废水的需要。</w:t>
      </w:r>
    </w:p>
    <w:p w14:paraId="38D91938">
      <w:pPr>
        <w:pStyle w:val="221"/>
        <w:spacing w:after="0" w:line="360" w:lineRule="auto"/>
        <w:ind w:left="0" w:firstLine="480"/>
        <w:rPr>
          <w:rFonts w:hint="eastAsia" w:ascii="宋体" w:hAnsi="宋体"/>
          <w:color w:val="000000"/>
          <w:sz w:val="24"/>
        </w:rPr>
      </w:pPr>
      <w:r>
        <w:rPr>
          <w:rFonts w:hint="eastAsia" w:ascii="宋体" w:hAnsi="宋体"/>
          <w:color w:val="000000"/>
          <w:sz w:val="24"/>
        </w:rPr>
        <w:t>（3）小结</w:t>
      </w:r>
    </w:p>
    <w:p w14:paraId="4BD42652">
      <w:pPr>
        <w:pStyle w:val="221"/>
        <w:spacing w:after="0" w:line="360" w:lineRule="auto"/>
        <w:ind w:left="0" w:firstLine="480"/>
        <w:rPr>
          <w:color w:val="000000"/>
          <w:sz w:val="24"/>
        </w:rPr>
      </w:pPr>
      <w:r>
        <w:rPr>
          <w:rFonts w:hint="eastAsia" w:ascii="宋体" w:hAnsi="宋体"/>
          <w:color w:val="000000"/>
          <w:sz w:val="24"/>
        </w:rPr>
        <w:t>根据规范要求项目在污水处理站旁修建一事故池，其容量不小于110m³，可以临时存放24小时以上的污水量。在污水处理站发生故障的非正常情况下，可以临时储存一天的污水量，待污水处理站正常运行后再排入污水处理站处理，杜绝未经处理的废水直接排入市政污水管网。建设在认真落实环评提出的废水防治措施后，项目运营期不会对地表水环境造成</w:t>
      </w:r>
      <w:r>
        <w:rPr>
          <w:rFonts w:hint="eastAsia" w:ascii="宋体" w:hAnsi="宋体"/>
          <w:color w:val="000000"/>
          <w:spacing w:val="-2"/>
          <w:sz w:val="24"/>
        </w:rPr>
        <w:t>不良影响。</w:t>
      </w:r>
    </w:p>
    <w:p w14:paraId="5C956D21">
      <w:pPr>
        <w:pStyle w:val="183"/>
        <w:ind w:firstLine="472"/>
        <w:rPr>
          <w:rFonts w:eastAsia="仿宋_GB2312"/>
          <w:color w:val="000000"/>
          <w:sz w:val="24"/>
          <w:szCs w:val="24"/>
        </w:rPr>
      </w:pPr>
      <w:bookmarkStart w:id="451" w:name="_Toc495500104"/>
      <w:r>
        <w:rPr>
          <w:rFonts w:eastAsia="仿宋_GB2312"/>
          <w:color w:val="000000"/>
          <w:sz w:val="24"/>
          <w:szCs w:val="24"/>
        </w:rPr>
        <w:t>6.2.2 地下水环境影响评价</w:t>
      </w:r>
      <w:bookmarkEnd w:id="451"/>
    </w:p>
    <w:p w14:paraId="39F9B55E">
      <w:pPr>
        <w:pStyle w:val="221"/>
        <w:spacing w:after="0" w:line="360" w:lineRule="auto"/>
        <w:ind w:left="0" w:firstLine="480"/>
        <w:rPr>
          <w:rFonts w:hint="eastAsia" w:ascii="仿宋_GB2312" w:eastAsia="仿宋_GB2312"/>
          <w:color w:val="000000"/>
          <w:sz w:val="24"/>
        </w:rPr>
      </w:pPr>
      <w:r>
        <w:rPr>
          <w:color w:val="000000"/>
          <w:sz w:val="24"/>
        </w:rPr>
        <w:t>污染物对地下水的影响主要是由于降雨或废水通过垂直渗透进入包气带，进入包气带的污染物在物理、化学和生物作用下经吸附、转化、迁移和分解后输入地下水。因此，包气带是联接地面污染物与地下含水层的主要通道和过渡带，既是污染物媒介体，又是污染物的净化场所和防护层。地下水能否被污染以及污染物的种类和性质。一般说来，土壤粒细而紧密，渗透性差，则污染慢；反之，颗粒大松散，渗透性能良好则污染重。</w:t>
      </w:r>
    </w:p>
    <w:p w14:paraId="498FCDBB">
      <w:pPr>
        <w:pStyle w:val="221"/>
        <w:spacing w:after="0" w:line="360" w:lineRule="auto"/>
        <w:ind w:left="0" w:firstLine="480"/>
        <w:rPr>
          <w:rFonts w:hint="eastAsia" w:ascii="宋体" w:hAnsi="宋体"/>
          <w:color w:val="000000"/>
          <w:sz w:val="24"/>
        </w:rPr>
      </w:pPr>
      <w:r>
        <w:rPr>
          <w:rFonts w:hint="eastAsia" w:ascii="宋体" w:hAnsi="宋体"/>
          <w:color w:val="000000"/>
          <w:sz w:val="24"/>
        </w:rPr>
        <w:t>（1）地下水污染途径</w:t>
      </w:r>
    </w:p>
    <w:p w14:paraId="3A36329C">
      <w:pPr>
        <w:pStyle w:val="221"/>
        <w:spacing w:after="0" w:line="360" w:lineRule="auto"/>
        <w:ind w:left="0" w:firstLine="480"/>
        <w:rPr>
          <w:rFonts w:hint="eastAsia" w:ascii="宋体" w:hAnsi="宋体"/>
          <w:color w:val="000000"/>
          <w:sz w:val="24"/>
        </w:rPr>
      </w:pPr>
      <w:r>
        <w:rPr>
          <w:color w:val="000000"/>
          <w:sz w:val="24"/>
        </w:rPr>
        <w:t>污染物从污染源进入地下水所经过路径称为地下水污染途径，地下水污染途径是多种多样的。根据工程所处区域的地质情况，拟建项目可能对下水造成污染的途径主要有：污水处理站、医疗固废暂存间和生活</w:t>
      </w:r>
      <w:r>
        <w:rPr>
          <w:rFonts w:hint="eastAsia"/>
          <w:color w:val="000000"/>
          <w:sz w:val="24"/>
        </w:rPr>
        <w:t>垃圾等</w:t>
      </w:r>
      <w:r>
        <w:rPr>
          <w:color w:val="000000"/>
          <w:sz w:val="24"/>
        </w:rPr>
        <w:t>。</w:t>
      </w:r>
    </w:p>
    <w:p w14:paraId="4D5F1B01">
      <w:pPr>
        <w:pStyle w:val="221"/>
        <w:spacing w:after="0" w:line="360" w:lineRule="auto"/>
        <w:ind w:left="0" w:firstLine="480"/>
        <w:rPr>
          <w:rFonts w:hint="eastAsia" w:ascii="宋体" w:hAnsi="宋体"/>
          <w:color w:val="000000"/>
          <w:sz w:val="24"/>
        </w:rPr>
      </w:pPr>
      <w:r>
        <w:rPr>
          <w:rFonts w:hint="eastAsia" w:ascii="宋体" w:hAnsi="宋体"/>
          <w:color w:val="000000"/>
          <w:sz w:val="24"/>
        </w:rPr>
        <w:t>（2）地下水影响分析</w:t>
      </w:r>
    </w:p>
    <w:p w14:paraId="158ED689">
      <w:pPr>
        <w:spacing w:line="480" w:lineRule="exact"/>
        <w:ind w:firstLine="480"/>
        <w:rPr>
          <w:color w:val="000000"/>
          <w:sz w:val="24"/>
        </w:rPr>
      </w:pPr>
      <w:r>
        <w:rPr>
          <w:rFonts w:hint="eastAsia" w:ascii="宋体" w:hAnsi="宋体" w:cs="宋体"/>
          <w:color w:val="000000"/>
          <w:sz w:val="24"/>
        </w:rPr>
        <w:t>①</w:t>
      </w:r>
      <w:r>
        <w:rPr>
          <w:color w:val="000000"/>
          <w:sz w:val="24"/>
        </w:rPr>
        <w:t>对浅层地下水的污染影响</w:t>
      </w:r>
    </w:p>
    <w:p w14:paraId="695690DA">
      <w:pPr>
        <w:spacing w:line="480" w:lineRule="exact"/>
        <w:ind w:firstLine="480"/>
        <w:rPr>
          <w:color w:val="000000"/>
          <w:sz w:val="24"/>
        </w:rPr>
      </w:pPr>
      <w:r>
        <w:rPr>
          <w:color w:val="000000"/>
          <w:sz w:val="24"/>
        </w:rPr>
        <w:t>正常情况下，对地下水的污染主要是由于污染物迁移穿过包气带进入含水层造成。项目场地为粉质粘土层，包气带防污性能为中级，说明浅层地下水不太容易受到污染。若污水处理站废水发生渗漏，污染物不会很快穿过包气带进入浅层地下水，对浅层地下水的污染很小。</w:t>
      </w:r>
    </w:p>
    <w:p w14:paraId="48E6BCDF">
      <w:pPr>
        <w:spacing w:line="480" w:lineRule="exact"/>
        <w:ind w:firstLine="480"/>
        <w:rPr>
          <w:color w:val="000000"/>
          <w:sz w:val="24"/>
        </w:rPr>
      </w:pPr>
      <w:r>
        <w:rPr>
          <w:color w:val="000000"/>
          <w:sz w:val="24"/>
        </w:rPr>
        <w:t xml:space="preserve"> </w:t>
      </w:r>
      <w:r>
        <w:rPr>
          <w:rFonts w:hint="eastAsia" w:ascii="宋体" w:hAnsi="宋体" w:cs="宋体"/>
          <w:color w:val="000000"/>
          <w:sz w:val="24"/>
        </w:rPr>
        <w:t>②</w:t>
      </w:r>
      <w:r>
        <w:rPr>
          <w:color w:val="000000"/>
          <w:sz w:val="24"/>
        </w:rPr>
        <w:t>对深层地下水的污染影响</w:t>
      </w:r>
    </w:p>
    <w:p w14:paraId="15D0BE1B">
      <w:pPr>
        <w:spacing w:line="480" w:lineRule="exact"/>
        <w:ind w:firstLine="480"/>
        <w:rPr>
          <w:rFonts w:hint="eastAsia" w:cs="宋体"/>
          <w:color w:val="000000"/>
          <w:sz w:val="24"/>
        </w:rPr>
      </w:pPr>
      <w:r>
        <w:rPr>
          <w:color w:val="000000"/>
          <w:sz w:val="24"/>
        </w:rPr>
        <w:t>判断深层地下水是否会受到污染影响，通常分析深层地下水含水组上覆地层的防污性能和有无与浅层地下水的水利联系。通过水文地质条件分析，区内第</w:t>
      </w:r>
      <w:r>
        <w:rPr>
          <w:rFonts w:hint="eastAsia" w:ascii="宋体" w:hAnsi="宋体" w:cs="宋体"/>
          <w:color w:val="000000"/>
          <w:sz w:val="24"/>
        </w:rPr>
        <w:t>Ⅱ</w:t>
      </w:r>
      <w:r>
        <w:rPr>
          <w:color w:val="000000"/>
          <w:sz w:val="24"/>
        </w:rPr>
        <w:t>含水组顶板为分布比较稳定且厚度较大的粘土隔水层，所以垂直渗入补给条件较差，与浅层地下水水利联系不密切。因此，深层地下水不会受到项目下渗污水的污染影响。</w:t>
      </w:r>
    </w:p>
    <w:p w14:paraId="607CB70A">
      <w:pPr>
        <w:pStyle w:val="183"/>
        <w:ind w:firstLine="472"/>
        <w:rPr>
          <w:rFonts w:eastAsia="仿宋_GB2312"/>
          <w:color w:val="000000"/>
          <w:sz w:val="24"/>
          <w:szCs w:val="24"/>
        </w:rPr>
      </w:pPr>
      <w:bookmarkStart w:id="452" w:name="_Toc217800831"/>
      <w:bookmarkEnd w:id="452"/>
      <w:bookmarkStart w:id="453" w:name="_Toc495500105"/>
      <w:r>
        <w:rPr>
          <w:rFonts w:eastAsia="仿宋_GB2312"/>
          <w:color w:val="000000"/>
          <w:sz w:val="24"/>
          <w:szCs w:val="24"/>
        </w:rPr>
        <w:t>6.2.3大气环境影评价</w:t>
      </w:r>
      <w:bookmarkEnd w:id="453"/>
    </w:p>
    <w:p w14:paraId="501E369C">
      <w:pPr>
        <w:pStyle w:val="221"/>
        <w:spacing w:after="0" w:line="360" w:lineRule="auto"/>
        <w:ind w:left="0" w:firstLine="480"/>
        <w:rPr>
          <w:rFonts w:ascii="宋体" w:hAnsi="宋体"/>
          <w:color w:val="000000"/>
          <w:sz w:val="24"/>
        </w:rPr>
      </w:pPr>
      <w:bookmarkStart w:id="454" w:name="_Toc241904996"/>
      <w:bookmarkEnd w:id="454"/>
      <w:bookmarkStart w:id="455" w:name="_Toc240180206"/>
      <w:bookmarkEnd w:id="455"/>
      <w:r>
        <w:rPr>
          <w:rFonts w:hint="eastAsia" w:ascii="宋体" w:hAnsi="宋体"/>
          <w:color w:val="000000"/>
          <w:sz w:val="24"/>
        </w:rPr>
        <w:t>（1）</w:t>
      </w:r>
      <w:r>
        <w:rPr>
          <w:rFonts w:ascii="宋体" w:hAnsi="宋体"/>
          <w:color w:val="000000"/>
          <w:sz w:val="24"/>
        </w:rPr>
        <w:t>污染源分析</w:t>
      </w:r>
    </w:p>
    <w:p w14:paraId="31E5C766">
      <w:pPr>
        <w:pStyle w:val="191"/>
        <w:ind w:firstLine="556"/>
        <w:rPr>
          <w:rFonts w:hint="eastAsia" w:eastAsia="宋体"/>
          <w:color w:val="000000"/>
          <w:sz w:val="24"/>
          <w:szCs w:val="24"/>
        </w:rPr>
      </w:pPr>
      <w:r>
        <w:rPr>
          <w:rFonts w:hint="eastAsia" w:eastAsia="宋体"/>
          <w:color w:val="000000"/>
          <w:sz w:val="24"/>
          <w:szCs w:val="24"/>
        </w:rPr>
        <w:t>项目建设区域内，主要是以电、液化气、太阳能等清洁能源为燃料，项目区内主要废气影响为停车场机动车尾气、污水处理设施</w:t>
      </w:r>
      <w:r>
        <w:rPr>
          <w:rFonts w:eastAsia="宋体"/>
          <w:color w:val="000000"/>
          <w:sz w:val="24"/>
          <w:szCs w:val="24"/>
        </w:rPr>
        <w:t>和固废暂存间的恶臭</w:t>
      </w:r>
      <w:r>
        <w:rPr>
          <w:rFonts w:hint="eastAsia" w:eastAsia="宋体"/>
          <w:color w:val="000000"/>
          <w:sz w:val="24"/>
          <w:szCs w:val="24"/>
        </w:rPr>
        <w:t>、食堂油烟、</w:t>
      </w:r>
      <w:r>
        <w:rPr>
          <w:rFonts w:eastAsia="宋体"/>
          <w:color w:val="000000"/>
          <w:sz w:val="24"/>
          <w:szCs w:val="24"/>
        </w:rPr>
        <w:t>柴油发电机废气</w:t>
      </w:r>
      <w:r>
        <w:rPr>
          <w:rFonts w:hint="eastAsia" w:eastAsia="宋体"/>
          <w:color w:val="000000"/>
          <w:sz w:val="24"/>
          <w:szCs w:val="24"/>
        </w:rPr>
        <w:t>等污染。</w:t>
      </w:r>
    </w:p>
    <w:p w14:paraId="2305FAC5">
      <w:pPr>
        <w:pStyle w:val="221"/>
        <w:spacing w:after="0" w:line="360" w:lineRule="auto"/>
        <w:ind w:left="0" w:firstLine="480"/>
        <w:rPr>
          <w:rFonts w:hint="eastAsia" w:ascii="宋体" w:hAnsi="宋体"/>
          <w:color w:val="000000"/>
          <w:sz w:val="24"/>
        </w:rPr>
      </w:pPr>
      <w:bookmarkStart w:id="456" w:name="_Toc240180207"/>
      <w:bookmarkStart w:id="457" w:name="_Toc241904997"/>
      <w:r>
        <w:rPr>
          <w:rFonts w:hint="eastAsia" w:ascii="宋体" w:hAnsi="宋体"/>
          <w:color w:val="000000"/>
          <w:sz w:val="24"/>
        </w:rPr>
        <w:t>（2）</w:t>
      </w:r>
      <w:bookmarkEnd w:id="456"/>
      <w:bookmarkEnd w:id="457"/>
      <w:r>
        <w:rPr>
          <w:rFonts w:hint="eastAsia" w:ascii="宋体" w:hAnsi="宋体"/>
          <w:color w:val="000000"/>
          <w:sz w:val="24"/>
        </w:rPr>
        <w:t>机动车尾气影响分析</w:t>
      </w:r>
    </w:p>
    <w:p w14:paraId="411CD964">
      <w:pPr>
        <w:pStyle w:val="191"/>
        <w:ind w:firstLine="556"/>
        <w:rPr>
          <w:rFonts w:eastAsia="宋体"/>
          <w:color w:val="000000"/>
          <w:sz w:val="24"/>
          <w:szCs w:val="24"/>
        </w:rPr>
      </w:pPr>
      <w:r>
        <w:rPr>
          <w:rFonts w:eastAsia="宋体"/>
          <w:color w:val="000000"/>
          <w:sz w:val="24"/>
          <w:szCs w:val="24"/>
        </w:rPr>
        <w:t>根据项目工程分析，</w:t>
      </w:r>
      <w:r>
        <w:rPr>
          <w:rFonts w:hint="eastAsia" w:eastAsia="宋体"/>
          <w:color w:val="000000"/>
          <w:sz w:val="24"/>
          <w:szCs w:val="24"/>
        </w:rPr>
        <w:t>本项目</w:t>
      </w:r>
      <w:r>
        <w:rPr>
          <w:rFonts w:eastAsia="宋体"/>
          <w:color w:val="000000"/>
          <w:sz w:val="24"/>
          <w:szCs w:val="24"/>
        </w:rPr>
        <w:t>停车场</w:t>
      </w:r>
      <w:r>
        <w:rPr>
          <w:rFonts w:hint="eastAsia" w:eastAsia="宋体"/>
          <w:color w:val="000000"/>
          <w:sz w:val="24"/>
          <w:szCs w:val="24"/>
        </w:rPr>
        <w:t>有地上停车场和地下停车场；项目大部分停车位设置在地下车库，</w:t>
      </w:r>
      <w:r>
        <w:rPr>
          <w:rFonts w:eastAsia="宋体"/>
          <w:color w:val="000000"/>
          <w:sz w:val="24"/>
          <w:szCs w:val="24"/>
        </w:rPr>
        <w:t>进出</w:t>
      </w:r>
      <w:r>
        <w:rPr>
          <w:rFonts w:hint="eastAsia" w:eastAsia="宋体"/>
          <w:color w:val="000000"/>
          <w:sz w:val="24"/>
          <w:szCs w:val="24"/>
        </w:rPr>
        <w:t>地下车库</w:t>
      </w:r>
      <w:r>
        <w:rPr>
          <w:rFonts w:eastAsia="宋体"/>
          <w:color w:val="000000"/>
          <w:sz w:val="24"/>
          <w:szCs w:val="24"/>
        </w:rPr>
        <w:t>的汽车将排放一定量的汽车废气，汽车废气主要集中在</w:t>
      </w:r>
      <w:r>
        <w:rPr>
          <w:rFonts w:hint="eastAsia" w:eastAsia="宋体"/>
          <w:color w:val="000000"/>
          <w:sz w:val="24"/>
          <w:szCs w:val="24"/>
        </w:rPr>
        <w:t>地下</w:t>
      </w:r>
      <w:r>
        <w:rPr>
          <w:rFonts w:eastAsia="宋体"/>
          <w:color w:val="000000"/>
          <w:sz w:val="24"/>
          <w:szCs w:val="24"/>
        </w:rPr>
        <w:t>车库</w:t>
      </w:r>
      <w:r>
        <w:rPr>
          <w:rFonts w:hint="eastAsia" w:eastAsia="宋体"/>
          <w:color w:val="000000"/>
          <w:sz w:val="24"/>
          <w:szCs w:val="24"/>
        </w:rPr>
        <w:t>或地上</w:t>
      </w:r>
      <w:r>
        <w:rPr>
          <w:rFonts w:eastAsia="宋体"/>
          <w:color w:val="000000"/>
          <w:sz w:val="24"/>
          <w:szCs w:val="24"/>
        </w:rPr>
        <w:t>停车场，由进出停放在</w:t>
      </w:r>
      <w:r>
        <w:rPr>
          <w:rFonts w:hint="eastAsia" w:eastAsia="宋体"/>
          <w:color w:val="000000"/>
          <w:sz w:val="24"/>
          <w:szCs w:val="24"/>
        </w:rPr>
        <w:t>地上</w:t>
      </w:r>
      <w:r>
        <w:rPr>
          <w:rFonts w:eastAsia="宋体"/>
          <w:color w:val="000000"/>
          <w:sz w:val="24"/>
          <w:szCs w:val="24"/>
        </w:rPr>
        <w:t>停车场</w:t>
      </w:r>
      <w:r>
        <w:rPr>
          <w:rFonts w:hint="eastAsia" w:eastAsia="宋体"/>
          <w:color w:val="000000"/>
          <w:sz w:val="24"/>
          <w:szCs w:val="24"/>
        </w:rPr>
        <w:t>和地下</w:t>
      </w:r>
      <w:r>
        <w:rPr>
          <w:rFonts w:eastAsia="宋体"/>
          <w:color w:val="000000"/>
          <w:sz w:val="24"/>
          <w:szCs w:val="24"/>
        </w:rPr>
        <w:t>车库的汽车</w:t>
      </w:r>
      <w:r>
        <w:rPr>
          <w:rFonts w:hint="eastAsia" w:eastAsia="宋体"/>
          <w:color w:val="000000"/>
          <w:sz w:val="24"/>
          <w:szCs w:val="24"/>
        </w:rPr>
        <w:t>在</w:t>
      </w:r>
      <w:r>
        <w:rPr>
          <w:rFonts w:eastAsia="宋体"/>
          <w:color w:val="000000"/>
          <w:sz w:val="24"/>
          <w:szCs w:val="24"/>
        </w:rPr>
        <w:t>行驶和启动时产生</w:t>
      </w:r>
      <w:r>
        <w:rPr>
          <w:rFonts w:hint="eastAsia" w:eastAsia="宋体"/>
          <w:color w:val="000000"/>
          <w:sz w:val="24"/>
          <w:szCs w:val="24"/>
        </w:rPr>
        <w:t>汽车尾气</w:t>
      </w:r>
      <w:r>
        <w:rPr>
          <w:rFonts w:eastAsia="宋体"/>
          <w:color w:val="000000"/>
          <w:sz w:val="24"/>
          <w:szCs w:val="24"/>
        </w:rPr>
        <w:t>。主要污染物为CO、HC、NOx等。废气污染物浓度取决于汽车发动机燃料燃烧</w:t>
      </w:r>
      <w:r>
        <w:rPr>
          <w:rFonts w:hint="eastAsia" w:eastAsia="宋体"/>
          <w:color w:val="000000"/>
          <w:sz w:val="24"/>
          <w:szCs w:val="24"/>
          <w:lang w:eastAsia="zh-CN"/>
        </w:rPr>
        <w:t>的</w:t>
      </w:r>
      <w:r>
        <w:rPr>
          <w:rFonts w:eastAsia="宋体"/>
          <w:color w:val="000000"/>
          <w:sz w:val="24"/>
          <w:szCs w:val="24"/>
        </w:rPr>
        <w:t>情况。由于在</w:t>
      </w:r>
      <w:r>
        <w:rPr>
          <w:rFonts w:hint="eastAsia" w:eastAsia="宋体"/>
          <w:color w:val="000000"/>
          <w:sz w:val="24"/>
          <w:szCs w:val="24"/>
        </w:rPr>
        <w:t>项目</w:t>
      </w:r>
      <w:r>
        <w:rPr>
          <w:rFonts w:eastAsia="宋体"/>
          <w:color w:val="000000"/>
          <w:sz w:val="24"/>
          <w:szCs w:val="24"/>
        </w:rPr>
        <w:t>区停放的汽车主要是私家车和商用微型车。停车数量不多，尾气排放量不大，汽车废气属低架点源无组织排放性质，具有间断性产生、产生时间较短、产生量较小、产生点相对分散、易被稀释扩散等特点，正常情况下，汽车废气对环境空气的影响轻微。汽车废气排放量见表</w:t>
      </w:r>
      <w:r>
        <w:rPr>
          <w:rFonts w:hint="eastAsia" w:eastAsia="宋体"/>
          <w:color w:val="000000"/>
          <w:sz w:val="24"/>
          <w:szCs w:val="24"/>
        </w:rPr>
        <w:t>6.2-1</w:t>
      </w:r>
      <w:r>
        <w:rPr>
          <w:rFonts w:eastAsia="宋体"/>
          <w:color w:val="000000"/>
          <w:sz w:val="24"/>
          <w:szCs w:val="24"/>
        </w:rPr>
        <w:t>。</w:t>
      </w:r>
    </w:p>
    <w:p w14:paraId="1E6AB317">
      <w:pPr>
        <w:spacing w:line="360" w:lineRule="auto"/>
        <w:ind w:firstLine="482"/>
        <w:jc w:val="center"/>
        <w:rPr>
          <w:b/>
          <w:color w:val="000000"/>
          <w:sz w:val="24"/>
        </w:rPr>
      </w:pPr>
      <w:r>
        <w:rPr>
          <w:b/>
          <w:color w:val="000000"/>
          <w:sz w:val="24"/>
        </w:rPr>
        <w:t>表</w:t>
      </w:r>
      <w:r>
        <w:rPr>
          <w:rFonts w:hint="eastAsia"/>
          <w:b/>
          <w:color w:val="000000"/>
          <w:sz w:val="24"/>
        </w:rPr>
        <w:t>6.2-1</w:t>
      </w:r>
      <w:r>
        <w:rPr>
          <w:b/>
          <w:color w:val="000000"/>
          <w:sz w:val="24"/>
        </w:rPr>
        <w:t xml:space="preserve"> </w:t>
      </w:r>
      <w:r>
        <w:rPr>
          <w:rFonts w:hint="eastAsia"/>
          <w:b/>
          <w:color w:val="000000"/>
          <w:sz w:val="24"/>
        </w:rPr>
        <w:t xml:space="preserve"> </w:t>
      </w:r>
      <w:r>
        <w:rPr>
          <w:b/>
          <w:color w:val="000000"/>
          <w:sz w:val="24"/>
        </w:rPr>
        <w:t>车库及停车场大气污染物排放</w:t>
      </w:r>
    </w:p>
    <w:tbl>
      <w:tblPr>
        <w:tblStyle w:val="27"/>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2930"/>
        <w:gridCol w:w="1385"/>
        <w:gridCol w:w="1344"/>
        <w:gridCol w:w="1455"/>
        <w:gridCol w:w="1414"/>
      </w:tblGrid>
      <w:tr w14:paraId="0DC8049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2930" w:type="dxa"/>
            <w:noWrap w:val="0"/>
            <w:vAlign w:val="top"/>
          </w:tcPr>
          <w:p w14:paraId="4839EA81">
            <w:pPr>
              <w:jc w:val="center"/>
              <w:rPr>
                <w:rFonts w:ascii="宋体" w:hAnsi="宋体"/>
                <w:color w:val="000000"/>
              </w:rPr>
            </w:pPr>
            <w:r>
              <w:rPr>
                <w:rFonts w:ascii="宋体" w:hAnsi="宋体"/>
                <w:color w:val="000000"/>
              </w:rPr>
              <w:t>排放情况</w:t>
            </w:r>
          </w:p>
        </w:tc>
        <w:tc>
          <w:tcPr>
            <w:tcW w:w="1385" w:type="dxa"/>
            <w:noWrap w:val="0"/>
            <w:vAlign w:val="top"/>
          </w:tcPr>
          <w:p w14:paraId="20EFFA90">
            <w:pPr>
              <w:jc w:val="center"/>
              <w:rPr>
                <w:rFonts w:ascii="宋体" w:hAnsi="宋体"/>
                <w:color w:val="000000"/>
              </w:rPr>
            </w:pPr>
            <w:r>
              <w:rPr>
                <w:rFonts w:ascii="宋体" w:hAnsi="宋体"/>
                <w:color w:val="000000"/>
              </w:rPr>
              <w:t>总烃</w:t>
            </w:r>
          </w:p>
        </w:tc>
        <w:tc>
          <w:tcPr>
            <w:tcW w:w="1344" w:type="dxa"/>
            <w:noWrap w:val="0"/>
            <w:vAlign w:val="top"/>
          </w:tcPr>
          <w:p w14:paraId="024044A5">
            <w:pPr>
              <w:jc w:val="center"/>
              <w:rPr>
                <w:rFonts w:ascii="宋体" w:hAnsi="宋体"/>
                <w:color w:val="000000"/>
              </w:rPr>
            </w:pPr>
            <w:r>
              <w:rPr>
                <w:rFonts w:ascii="宋体" w:hAnsi="宋体"/>
                <w:color w:val="000000"/>
              </w:rPr>
              <w:t>CO</w:t>
            </w:r>
          </w:p>
        </w:tc>
        <w:tc>
          <w:tcPr>
            <w:tcW w:w="1455" w:type="dxa"/>
            <w:noWrap w:val="0"/>
            <w:vAlign w:val="top"/>
          </w:tcPr>
          <w:p w14:paraId="6FFAF90F">
            <w:pPr>
              <w:jc w:val="center"/>
              <w:rPr>
                <w:rFonts w:ascii="宋体" w:hAnsi="宋体"/>
                <w:color w:val="000000"/>
                <w:vertAlign w:val="subscript"/>
              </w:rPr>
            </w:pPr>
            <w:r>
              <w:rPr>
                <w:rFonts w:ascii="宋体" w:hAnsi="宋体"/>
                <w:color w:val="000000"/>
              </w:rPr>
              <w:t>NO</w:t>
            </w:r>
            <w:r>
              <w:rPr>
                <w:rFonts w:ascii="宋体" w:hAnsi="宋体"/>
                <w:color w:val="000000"/>
                <w:vertAlign w:val="subscript"/>
              </w:rPr>
              <w:t>X</w:t>
            </w:r>
          </w:p>
        </w:tc>
        <w:tc>
          <w:tcPr>
            <w:tcW w:w="1414" w:type="dxa"/>
            <w:noWrap w:val="0"/>
            <w:vAlign w:val="top"/>
          </w:tcPr>
          <w:p w14:paraId="026F79BD">
            <w:pPr>
              <w:jc w:val="center"/>
              <w:rPr>
                <w:rFonts w:ascii="宋体" w:hAnsi="宋体"/>
                <w:color w:val="000000"/>
                <w:vertAlign w:val="subscript"/>
              </w:rPr>
            </w:pPr>
            <w:r>
              <w:rPr>
                <w:rFonts w:ascii="宋体" w:hAnsi="宋体"/>
                <w:color w:val="000000"/>
              </w:rPr>
              <w:t>NO</w:t>
            </w:r>
            <w:r>
              <w:rPr>
                <w:rFonts w:ascii="宋体" w:hAnsi="宋体"/>
                <w:color w:val="000000"/>
                <w:vertAlign w:val="subscript"/>
              </w:rPr>
              <w:t>2</w:t>
            </w:r>
          </w:p>
        </w:tc>
      </w:tr>
      <w:tr w14:paraId="15F53C0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41" w:hRule="atLeast"/>
          <w:jc w:val="center"/>
        </w:trPr>
        <w:tc>
          <w:tcPr>
            <w:tcW w:w="2930" w:type="dxa"/>
            <w:noWrap w:val="0"/>
            <w:vAlign w:val="top"/>
          </w:tcPr>
          <w:p w14:paraId="4604F11D">
            <w:pPr>
              <w:jc w:val="center"/>
              <w:rPr>
                <w:rFonts w:ascii="宋体" w:hAnsi="宋体"/>
                <w:color w:val="000000"/>
              </w:rPr>
            </w:pPr>
            <w:r>
              <w:rPr>
                <w:rFonts w:ascii="宋体" w:hAnsi="宋体"/>
                <w:color w:val="000000"/>
              </w:rPr>
              <w:t>单车排放（g/h）</w:t>
            </w:r>
          </w:p>
        </w:tc>
        <w:tc>
          <w:tcPr>
            <w:tcW w:w="1385" w:type="dxa"/>
            <w:noWrap w:val="0"/>
            <w:vAlign w:val="top"/>
          </w:tcPr>
          <w:p w14:paraId="0C5B5FDC">
            <w:pPr>
              <w:jc w:val="center"/>
              <w:rPr>
                <w:rFonts w:ascii="宋体" w:hAnsi="宋体"/>
                <w:color w:val="000000"/>
              </w:rPr>
            </w:pPr>
            <w:r>
              <w:rPr>
                <w:rFonts w:ascii="宋体" w:hAnsi="宋体"/>
                <w:color w:val="000000"/>
              </w:rPr>
              <w:t>1.6</w:t>
            </w:r>
          </w:p>
        </w:tc>
        <w:tc>
          <w:tcPr>
            <w:tcW w:w="1344" w:type="dxa"/>
            <w:noWrap w:val="0"/>
            <w:vAlign w:val="top"/>
          </w:tcPr>
          <w:p w14:paraId="66A45FBC">
            <w:pPr>
              <w:jc w:val="center"/>
              <w:rPr>
                <w:rFonts w:ascii="宋体" w:hAnsi="宋体"/>
                <w:color w:val="000000"/>
              </w:rPr>
            </w:pPr>
            <w:r>
              <w:rPr>
                <w:rFonts w:ascii="宋体" w:hAnsi="宋体"/>
                <w:color w:val="000000"/>
              </w:rPr>
              <w:t>3.8</w:t>
            </w:r>
          </w:p>
        </w:tc>
        <w:tc>
          <w:tcPr>
            <w:tcW w:w="1455" w:type="dxa"/>
            <w:noWrap w:val="0"/>
            <w:vAlign w:val="top"/>
          </w:tcPr>
          <w:p w14:paraId="7D50D773">
            <w:pPr>
              <w:jc w:val="center"/>
              <w:rPr>
                <w:rFonts w:ascii="宋体" w:hAnsi="宋体"/>
                <w:color w:val="000000"/>
              </w:rPr>
            </w:pPr>
            <w:r>
              <w:rPr>
                <w:rFonts w:ascii="宋体" w:hAnsi="宋体"/>
                <w:color w:val="000000"/>
              </w:rPr>
              <w:t>0.25</w:t>
            </w:r>
          </w:p>
        </w:tc>
        <w:tc>
          <w:tcPr>
            <w:tcW w:w="1414" w:type="dxa"/>
            <w:noWrap w:val="0"/>
            <w:vAlign w:val="top"/>
          </w:tcPr>
          <w:p w14:paraId="6206964F">
            <w:pPr>
              <w:jc w:val="center"/>
              <w:rPr>
                <w:rFonts w:ascii="宋体" w:hAnsi="宋体"/>
                <w:color w:val="000000"/>
              </w:rPr>
            </w:pPr>
            <w:r>
              <w:rPr>
                <w:rFonts w:ascii="宋体" w:hAnsi="宋体"/>
                <w:color w:val="000000"/>
              </w:rPr>
              <w:t>0.077</w:t>
            </w:r>
          </w:p>
        </w:tc>
      </w:tr>
    </w:tbl>
    <w:p w14:paraId="294060F7">
      <w:pPr>
        <w:spacing w:before="120" w:line="360" w:lineRule="auto"/>
        <w:ind w:firstLine="480"/>
        <w:rPr>
          <w:rFonts w:hint="eastAsia" w:ascii="宋体" w:hAnsi="宋体"/>
          <w:color w:val="000000"/>
          <w:sz w:val="24"/>
        </w:rPr>
      </w:pPr>
      <w:r>
        <w:rPr>
          <w:rFonts w:ascii="宋体" w:hAnsi="宋体"/>
          <w:bCs/>
          <w:color w:val="000000"/>
          <w:sz w:val="24"/>
        </w:rPr>
        <w:t>项目共设有停车位</w:t>
      </w:r>
      <w:r>
        <w:rPr>
          <w:rFonts w:hint="eastAsia" w:ascii="宋体" w:hAnsi="宋体"/>
          <w:bCs/>
          <w:color w:val="000000"/>
          <w:sz w:val="24"/>
        </w:rPr>
        <w:t>200</w:t>
      </w:r>
      <w:r>
        <w:rPr>
          <w:rFonts w:ascii="宋体" w:hAnsi="宋体"/>
          <w:bCs/>
          <w:color w:val="000000"/>
          <w:sz w:val="24"/>
        </w:rPr>
        <w:t>个车位，</w:t>
      </w:r>
      <w:r>
        <w:rPr>
          <w:rFonts w:hint="eastAsia" w:ascii="宋体" w:hAnsi="宋体"/>
          <w:bCs/>
          <w:color w:val="000000"/>
          <w:sz w:val="24"/>
        </w:rPr>
        <w:t>地下车库115个、地上车位85个，地下车库内</w:t>
      </w:r>
      <w:r>
        <w:rPr>
          <w:rFonts w:hint="eastAsia" w:ascii="宋体" w:hAnsi="宋体"/>
          <w:color w:val="000000"/>
          <w:sz w:val="24"/>
        </w:rPr>
        <w:t>各自设置相对独立的机械排风系统，严格按照设计要求排气设计每小时换气不低于6次，保证满足《大气污染物综合排放标准》中的2级标准。地下车场排气口设置于地面2.5m以上，按要求地下排气口的位置要避开建筑的窗户等。</w:t>
      </w:r>
      <w:r>
        <w:rPr>
          <w:rFonts w:hint="eastAsia" w:ascii="宋体" w:hAnsi="宋体"/>
          <w:bCs/>
          <w:color w:val="000000"/>
          <w:sz w:val="24"/>
        </w:rPr>
        <w:t>由于项目区</w:t>
      </w:r>
      <w:r>
        <w:rPr>
          <w:rFonts w:ascii="宋体" w:hAnsi="宋体"/>
          <w:bCs/>
          <w:color w:val="000000"/>
          <w:sz w:val="24"/>
        </w:rPr>
        <w:t>地势空旷，易于稀释扩散，对环境的影响不大。</w:t>
      </w:r>
      <w:r>
        <w:rPr>
          <w:rFonts w:hAnsi="宋体"/>
          <w:color w:val="000000"/>
          <w:sz w:val="24"/>
        </w:rPr>
        <w:t>通过拟采取的污染防治措施：包括选取对尾气有吸附作用的树种进行绿化，</w:t>
      </w:r>
      <w:r>
        <w:rPr>
          <w:rFonts w:hint="eastAsia" w:hAnsi="宋体"/>
          <w:color w:val="000000"/>
          <w:sz w:val="24"/>
        </w:rPr>
        <w:t>通过加强绿化可以大大</w:t>
      </w:r>
      <w:r>
        <w:rPr>
          <w:rFonts w:hAnsi="宋体"/>
          <w:color w:val="000000"/>
          <w:sz w:val="24"/>
        </w:rPr>
        <w:t>降低汽车尾气排放对环境的影响。</w:t>
      </w:r>
    </w:p>
    <w:p w14:paraId="56497413">
      <w:pPr>
        <w:pStyle w:val="221"/>
        <w:spacing w:after="0" w:line="360" w:lineRule="auto"/>
        <w:ind w:left="0" w:firstLine="480"/>
        <w:rPr>
          <w:rFonts w:hint="eastAsia" w:ascii="宋体" w:hAnsi="宋体"/>
          <w:color w:val="000000"/>
          <w:sz w:val="24"/>
        </w:rPr>
      </w:pPr>
      <w:bookmarkStart w:id="458" w:name="_Toc241904998"/>
      <w:bookmarkStart w:id="459" w:name="_Toc240180208"/>
      <w:r>
        <w:rPr>
          <w:rFonts w:hint="eastAsia" w:ascii="宋体" w:hAnsi="宋体"/>
          <w:color w:val="000000"/>
          <w:sz w:val="24"/>
        </w:rPr>
        <w:t>（3）</w:t>
      </w:r>
      <w:bookmarkEnd w:id="458"/>
      <w:bookmarkEnd w:id="459"/>
      <w:r>
        <w:rPr>
          <w:rFonts w:hint="eastAsia" w:ascii="宋体" w:hAnsi="宋体"/>
          <w:color w:val="000000"/>
          <w:sz w:val="24"/>
        </w:rPr>
        <w:t>污水处理站臭气影响分析</w:t>
      </w:r>
    </w:p>
    <w:p w14:paraId="66ABB96D">
      <w:pPr>
        <w:pStyle w:val="197"/>
        <w:spacing w:after="0" w:line="360" w:lineRule="auto"/>
        <w:ind w:left="0" w:firstLine="436"/>
        <w:rPr>
          <w:rFonts w:hint="eastAsia" w:ascii="宋体" w:hAnsi="宋体"/>
          <w:color w:val="000000"/>
          <w:sz w:val="24"/>
        </w:rPr>
      </w:pPr>
      <w:r>
        <w:rPr>
          <w:rFonts w:ascii="宋体" w:hAnsi="宋体"/>
          <w:color w:val="000000"/>
          <w:sz w:val="24"/>
        </w:rPr>
        <w:t>项目拟</w:t>
      </w:r>
      <w:r>
        <w:rPr>
          <w:rFonts w:hint="eastAsia" w:ascii="宋体" w:hAnsi="宋体"/>
          <w:color w:val="000000"/>
          <w:sz w:val="24"/>
        </w:rPr>
        <w:t>建污水处</w:t>
      </w:r>
      <w:r>
        <w:rPr>
          <w:rFonts w:hint="eastAsia" w:ascii="宋体" w:hAnsi="宋体"/>
          <w:color w:val="000000"/>
          <w:spacing w:val="-4"/>
          <w:sz w:val="24"/>
        </w:rPr>
        <w:t>理站，为地埋式，</w:t>
      </w:r>
      <w:r>
        <w:rPr>
          <w:rFonts w:ascii="宋体" w:hAnsi="宋体"/>
          <w:color w:val="000000"/>
          <w:spacing w:val="-4"/>
          <w:sz w:val="24"/>
        </w:rPr>
        <w:t>运行</w:t>
      </w:r>
      <w:r>
        <w:rPr>
          <w:rFonts w:ascii="宋体" w:hAnsi="宋体"/>
          <w:color w:val="000000"/>
          <w:sz w:val="24"/>
        </w:rPr>
        <w:t>过程中会产生异味，</w:t>
      </w:r>
      <w:r>
        <w:rPr>
          <w:rFonts w:hint="eastAsia" w:ascii="宋体" w:hAnsi="宋体"/>
          <w:color w:val="000000"/>
          <w:sz w:val="24"/>
        </w:rPr>
        <w:t>主要来自于污水、栅渣和污泥处理过程中产生的氨、硫化氢、臭气、甲硫醇等。</w:t>
      </w:r>
    </w:p>
    <w:p w14:paraId="2598E2EA">
      <w:pPr>
        <w:pStyle w:val="197"/>
        <w:spacing w:after="0" w:line="360" w:lineRule="auto"/>
        <w:ind w:left="0" w:firstLine="436"/>
        <w:rPr>
          <w:rFonts w:hint="eastAsia" w:ascii="宋体" w:hAnsi="宋体"/>
          <w:color w:val="000000"/>
          <w:sz w:val="24"/>
        </w:rPr>
      </w:pPr>
      <w:r>
        <w:rPr>
          <w:rFonts w:hint="eastAsia" w:ascii="宋体" w:hAnsi="宋体"/>
          <w:color w:val="000000"/>
          <w:sz w:val="24"/>
        </w:rPr>
        <w:t>由于本项目距离周边敏感点较近，项目污水处理站恶臭气体采取有组织排放。医院废水处理站规模120m</w:t>
      </w:r>
      <w:r>
        <w:rPr>
          <w:rFonts w:hint="eastAsia" w:ascii="宋体" w:hAnsi="宋体"/>
          <w:color w:val="000000"/>
          <w:sz w:val="24"/>
          <w:vertAlign w:val="superscript"/>
        </w:rPr>
        <w:t>3</w:t>
      </w:r>
      <w:r>
        <w:rPr>
          <w:rFonts w:ascii="宋体" w:hAnsi="宋体"/>
          <w:color w:val="000000"/>
          <w:sz w:val="24"/>
        </w:rPr>
        <w:t>/d</w:t>
      </w:r>
      <w:r>
        <w:rPr>
          <w:rFonts w:hint="eastAsia" w:ascii="宋体" w:hAnsi="宋体"/>
          <w:color w:val="000000"/>
          <w:sz w:val="24"/>
        </w:rPr>
        <w:t>，设置在医院的西北侧</w:t>
      </w:r>
      <w:r>
        <w:rPr>
          <w:rFonts w:ascii="宋体" w:hAnsi="宋体"/>
          <w:color w:val="000000"/>
          <w:sz w:val="24"/>
        </w:rPr>
        <w:t>，</w:t>
      </w:r>
      <w:r>
        <w:rPr>
          <w:rFonts w:hint="eastAsia" w:ascii="宋体" w:hAnsi="宋体"/>
          <w:color w:val="000000"/>
          <w:sz w:val="24"/>
        </w:rPr>
        <w:t>处理构筑物全部设置在地下，并设置除臭装置（臭氧消毒除臭法+活性炭吸附法）活性炭的用量120kg/a，处理后通过采用一根排气管道避开敏感目标排放。通过有组织排放对周围环境影响较小。</w:t>
      </w:r>
    </w:p>
    <w:p w14:paraId="48B75964">
      <w:pPr>
        <w:spacing w:line="360" w:lineRule="auto"/>
        <w:ind w:firstLine="480"/>
        <w:rPr>
          <w:rFonts w:hint="eastAsia"/>
          <w:color w:val="000000"/>
          <w:sz w:val="24"/>
        </w:rPr>
      </w:pPr>
      <w:r>
        <w:rPr>
          <w:rFonts w:hint="eastAsia" w:ascii="宋体" w:hAnsi="宋体"/>
          <w:color w:val="000000"/>
          <w:sz w:val="24"/>
        </w:rPr>
        <w:t>另外项目的污水处理系统在运行及污泥搬运过程中，会有一定的臭气产生，因此项目方运营中，应注意污泥的搬运时间与方式，最大限度减轻污泥臭气对区内空气环境的影响。</w:t>
      </w:r>
    </w:p>
    <w:p w14:paraId="45145F4D">
      <w:pPr>
        <w:pStyle w:val="221"/>
        <w:spacing w:after="0" w:line="360" w:lineRule="auto"/>
        <w:ind w:left="0" w:firstLine="480"/>
        <w:rPr>
          <w:rFonts w:hint="eastAsia" w:ascii="宋体" w:hAnsi="宋体"/>
          <w:color w:val="000000"/>
          <w:sz w:val="24"/>
        </w:rPr>
      </w:pPr>
      <w:r>
        <w:rPr>
          <w:rFonts w:hint="eastAsia" w:ascii="宋体" w:hAnsi="宋体"/>
          <w:color w:val="000000"/>
          <w:sz w:val="24"/>
        </w:rPr>
        <w:t>（4）厨房油烟影响分析</w:t>
      </w:r>
    </w:p>
    <w:p w14:paraId="54AFC266">
      <w:pPr>
        <w:spacing w:line="360" w:lineRule="auto"/>
        <w:ind w:firstLine="480"/>
        <w:rPr>
          <w:rFonts w:hint="eastAsia" w:ascii="宋体" w:hAnsi="宋体"/>
          <w:color w:val="000000"/>
          <w:sz w:val="24"/>
        </w:rPr>
      </w:pPr>
      <w:r>
        <w:rPr>
          <w:rFonts w:ascii="宋体" w:hAnsi="宋体"/>
          <w:color w:val="000000"/>
          <w:sz w:val="24"/>
        </w:rPr>
        <w:t>项目</w:t>
      </w:r>
      <w:r>
        <w:rPr>
          <w:rFonts w:hint="eastAsia" w:ascii="宋体" w:hAnsi="宋体"/>
          <w:color w:val="000000"/>
          <w:sz w:val="24"/>
        </w:rPr>
        <w:t>厨房</w:t>
      </w:r>
      <w:r>
        <w:rPr>
          <w:rFonts w:ascii="宋体" w:hAnsi="宋体"/>
          <w:color w:val="000000"/>
          <w:sz w:val="24"/>
        </w:rPr>
        <w:t>均采用液化气作为燃料，液化气属于清洁燃料。</w:t>
      </w:r>
      <w:r>
        <w:rPr>
          <w:rFonts w:hint="eastAsia" w:ascii="宋体" w:hAnsi="宋体"/>
          <w:color w:val="000000"/>
          <w:sz w:val="24"/>
        </w:rPr>
        <w:t>厨房</w:t>
      </w:r>
      <w:r>
        <w:rPr>
          <w:rFonts w:ascii="宋体" w:hAnsi="宋体"/>
          <w:color w:val="000000"/>
          <w:sz w:val="24"/>
        </w:rPr>
        <w:t>产生的废气（油烟）必须经处理后达到GB18483-2001《饮食业油烟排放标准》的规定后达标排放。燃料燃烧产生的废气通过油烟净化设备处理，</w:t>
      </w:r>
      <w:r>
        <w:rPr>
          <w:rFonts w:hint="eastAsia" w:ascii="宋体" w:hAnsi="宋体"/>
          <w:color w:val="000000"/>
          <w:sz w:val="24"/>
        </w:rPr>
        <w:t>根据前面工程分析项目</w:t>
      </w:r>
      <w:r>
        <w:rPr>
          <w:rFonts w:ascii="宋体" w:hAnsi="宋体"/>
          <w:color w:val="000000"/>
          <w:sz w:val="24"/>
        </w:rPr>
        <w:t>经处理后油烟排放浓度为</w:t>
      </w:r>
      <w:r>
        <w:rPr>
          <w:rFonts w:hint="eastAsia" w:ascii="宋体" w:hAnsi="宋体"/>
          <w:color w:val="000000"/>
          <w:sz w:val="24"/>
        </w:rPr>
        <w:t>0.51mg/m</w:t>
      </w:r>
      <w:r>
        <w:rPr>
          <w:rFonts w:hint="eastAsia" w:ascii="宋体" w:hAnsi="宋体"/>
          <w:color w:val="000000"/>
          <w:sz w:val="24"/>
          <w:vertAlign w:val="superscript"/>
        </w:rPr>
        <w:t>3</w:t>
      </w:r>
      <w:r>
        <w:rPr>
          <w:rFonts w:ascii="宋体" w:hAnsi="宋体"/>
          <w:color w:val="000000"/>
          <w:sz w:val="24"/>
        </w:rPr>
        <w:t>，用管道集中引至屋顶排入大气。同时，排气筒</w:t>
      </w:r>
      <w:r>
        <w:rPr>
          <w:rFonts w:hint="eastAsia" w:ascii="宋体" w:hAnsi="宋体"/>
          <w:color w:val="000000"/>
          <w:sz w:val="24"/>
        </w:rPr>
        <w:t>出口段的长度至少应有4.5倍直径（或当量直径）的平直管段，而且，排气筒出</w:t>
      </w:r>
      <w:r>
        <w:rPr>
          <w:rFonts w:ascii="宋体" w:hAnsi="宋体"/>
          <w:color w:val="000000"/>
          <w:sz w:val="24"/>
        </w:rPr>
        <w:t>口朝向应避开易受影响的建筑物</w:t>
      </w:r>
      <w:r>
        <w:rPr>
          <w:rFonts w:hint="eastAsia" w:ascii="宋体" w:hAnsi="宋体"/>
          <w:color w:val="000000"/>
          <w:sz w:val="24"/>
        </w:rPr>
        <w:t>。</w:t>
      </w:r>
      <w:r>
        <w:rPr>
          <w:rFonts w:ascii="宋体" w:hAnsi="宋体"/>
          <w:color w:val="000000"/>
          <w:sz w:val="24"/>
        </w:rPr>
        <w:t>项目拟使用能源均属清洁能源，不会产生二氧化硫和烟尘等对周围环境影响较大的大气污染物。</w:t>
      </w:r>
    </w:p>
    <w:p w14:paraId="4F65A290">
      <w:pPr>
        <w:pStyle w:val="197"/>
        <w:spacing w:after="0" w:line="360" w:lineRule="auto"/>
        <w:ind w:left="0" w:firstLine="480"/>
        <w:rPr>
          <w:rFonts w:hint="eastAsia" w:ascii="宋体" w:hAnsi="宋体"/>
          <w:color w:val="000000"/>
          <w:sz w:val="24"/>
        </w:rPr>
      </w:pPr>
      <w:r>
        <w:rPr>
          <w:rFonts w:hint="eastAsia" w:ascii="宋体" w:hAnsi="宋体"/>
          <w:color w:val="000000"/>
          <w:sz w:val="24"/>
        </w:rPr>
        <w:t>综上所述，项目产生的厨房废气通过采取一定的防治措施后对周围环境影响不大。</w:t>
      </w:r>
    </w:p>
    <w:p w14:paraId="7AAA06D1">
      <w:pPr>
        <w:pStyle w:val="221"/>
        <w:spacing w:after="0" w:line="360" w:lineRule="auto"/>
        <w:ind w:left="0" w:firstLine="480"/>
        <w:rPr>
          <w:rFonts w:hint="eastAsia" w:ascii="宋体" w:hAnsi="宋体"/>
          <w:color w:val="000000"/>
          <w:sz w:val="24"/>
        </w:rPr>
      </w:pPr>
      <w:r>
        <w:rPr>
          <w:rFonts w:hint="eastAsia" w:ascii="宋体" w:hAnsi="宋体"/>
          <w:color w:val="000000"/>
          <w:sz w:val="24"/>
        </w:rPr>
        <w:t>（5）备用发电机燃料废气</w:t>
      </w:r>
    </w:p>
    <w:p w14:paraId="5F7B617C">
      <w:pPr>
        <w:spacing w:line="360" w:lineRule="auto"/>
        <w:ind w:firstLine="480"/>
        <w:rPr>
          <w:rFonts w:hint="eastAsia"/>
          <w:color w:val="000000"/>
          <w:sz w:val="24"/>
        </w:rPr>
      </w:pPr>
      <w:r>
        <w:rPr>
          <w:rFonts w:hint="eastAsia" w:ascii="宋体" w:hAnsi="宋体"/>
          <w:color w:val="000000"/>
          <w:sz w:val="24"/>
        </w:rPr>
        <w:t>项目配置有备用发电机，备用发电机设置于项目的设备房内，发电机使用柴油为燃料，产生的废气同汽车尾气成分类似。由于发电机仅在停电时使用，使用频率低，每年2～3次，每次运行8～10小时，排放废气量小，其产生的废气通过排气筒排放到室外，设计时排气口朝向绿化带一侧，使用时不会对周围环境产生大的影响。外排的发电机废气随空气逐渐扩散、稀释，不会对环境产生大的影响。</w:t>
      </w:r>
    </w:p>
    <w:p w14:paraId="41B9982D">
      <w:pPr>
        <w:pStyle w:val="183"/>
        <w:ind w:firstLine="472"/>
        <w:rPr>
          <w:rFonts w:eastAsia="仿宋_GB2312"/>
          <w:color w:val="000000"/>
          <w:sz w:val="24"/>
          <w:szCs w:val="24"/>
        </w:rPr>
      </w:pPr>
      <w:bookmarkStart w:id="460" w:name="_Toc217800833"/>
      <w:bookmarkEnd w:id="460"/>
      <w:bookmarkStart w:id="461" w:name="_Toc143085416"/>
      <w:bookmarkEnd w:id="461"/>
      <w:bookmarkStart w:id="462" w:name="_Toc495500106"/>
      <w:r>
        <w:rPr>
          <w:rFonts w:eastAsia="仿宋_GB2312"/>
          <w:color w:val="000000"/>
          <w:sz w:val="24"/>
          <w:szCs w:val="24"/>
        </w:rPr>
        <w:t>6.2.4声环境影响评价</w:t>
      </w:r>
      <w:bookmarkEnd w:id="462"/>
    </w:p>
    <w:p w14:paraId="702A530B">
      <w:pPr>
        <w:pStyle w:val="221"/>
        <w:spacing w:after="0" w:line="360" w:lineRule="auto"/>
        <w:ind w:left="0" w:firstLine="482"/>
        <w:rPr>
          <w:b/>
          <w:color w:val="000000"/>
          <w:sz w:val="24"/>
        </w:rPr>
      </w:pPr>
      <w:r>
        <w:rPr>
          <w:b/>
          <w:color w:val="000000"/>
          <w:sz w:val="24"/>
        </w:rPr>
        <w:t>1、项目噪声源分析</w:t>
      </w:r>
    </w:p>
    <w:p w14:paraId="570A8062">
      <w:pPr>
        <w:spacing w:line="360" w:lineRule="auto"/>
        <w:ind w:firstLine="480"/>
        <w:rPr>
          <w:rFonts w:hint="eastAsia" w:ascii="宋体" w:hAnsi="宋体"/>
          <w:color w:val="000000"/>
          <w:sz w:val="24"/>
        </w:rPr>
      </w:pPr>
      <w:r>
        <w:rPr>
          <w:color w:val="000000"/>
          <w:sz w:val="24"/>
        </w:rPr>
        <w:t>本项目运营期主要噪声源为污水处理站水泵和污泥脱水机，柴油发电机组等设备噪声。各主要噪声源均安装在室内，并且采取各种减震、消声等降噪措施进行处理。项目各设备噪声采取防治措施后其源强声压级见表</w:t>
      </w:r>
      <w:r>
        <w:rPr>
          <w:rFonts w:ascii="宋体" w:hAnsi="宋体"/>
          <w:color w:val="000000"/>
          <w:sz w:val="24"/>
        </w:rPr>
        <w:t>6.</w:t>
      </w:r>
      <w:r>
        <w:rPr>
          <w:rFonts w:hint="eastAsia" w:ascii="宋体" w:hAnsi="宋体"/>
          <w:color w:val="000000"/>
          <w:sz w:val="24"/>
        </w:rPr>
        <w:t>2</w:t>
      </w:r>
      <w:r>
        <w:rPr>
          <w:rFonts w:ascii="宋体" w:hAnsi="宋体"/>
          <w:color w:val="000000"/>
          <w:sz w:val="24"/>
        </w:rPr>
        <w:t>-</w:t>
      </w:r>
      <w:r>
        <w:rPr>
          <w:rFonts w:hint="eastAsia" w:ascii="宋体" w:hAnsi="宋体"/>
          <w:color w:val="000000"/>
          <w:sz w:val="24"/>
        </w:rPr>
        <w:t>2</w:t>
      </w:r>
      <w:r>
        <w:rPr>
          <w:rFonts w:ascii="宋体" w:hAnsi="宋体"/>
          <w:color w:val="000000"/>
          <w:sz w:val="24"/>
        </w:rPr>
        <w:t>。</w:t>
      </w:r>
    </w:p>
    <w:p w14:paraId="330B68F0">
      <w:pPr>
        <w:spacing w:line="360" w:lineRule="auto"/>
        <w:ind w:firstLine="482"/>
        <w:jc w:val="center"/>
        <w:rPr>
          <w:rFonts w:hint="eastAsia"/>
          <w:b/>
          <w:color w:val="000000"/>
          <w:sz w:val="24"/>
        </w:rPr>
      </w:pPr>
      <w:r>
        <w:rPr>
          <w:b/>
          <w:color w:val="000000"/>
          <w:sz w:val="24"/>
        </w:rPr>
        <w:t>表6.</w:t>
      </w:r>
      <w:r>
        <w:rPr>
          <w:rFonts w:hint="eastAsia"/>
          <w:b/>
          <w:color w:val="000000"/>
          <w:sz w:val="24"/>
        </w:rPr>
        <w:t>2</w:t>
      </w:r>
      <w:r>
        <w:rPr>
          <w:b/>
          <w:color w:val="000000"/>
          <w:sz w:val="24"/>
        </w:rPr>
        <w:t>-</w:t>
      </w:r>
      <w:r>
        <w:rPr>
          <w:rFonts w:hint="eastAsia"/>
          <w:b/>
          <w:color w:val="000000"/>
          <w:sz w:val="24"/>
        </w:rPr>
        <w:t>2</w:t>
      </w:r>
      <w:r>
        <w:rPr>
          <w:b/>
          <w:color w:val="000000"/>
          <w:sz w:val="24"/>
        </w:rPr>
        <w:t xml:space="preserve">  运营期主要噪声设备及噪声源强    单位dB(A)</w:t>
      </w:r>
    </w:p>
    <w:tbl>
      <w:tblPr>
        <w:tblStyle w:val="27"/>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027"/>
        <w:gridCol w:w="1231"/>
        <w:gridCol w:w="933"/>
        <w:gridCol w:w="2726"/>
        <w:gridCol w:w="1393"/>
        <w:gridCol w:w="1218"/>
      </w:tblGrid>
      <w:tr w14:paraId="4DE3F44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42" w:hRule="atLeast"/>
          <w:jc w:val="center"/>
        </w:trPr>
        <w:tc>
          <w:tcPr>
            <w:tcW w:w="1027" w:type="dxa"/>
            <w:noWrap w:val="0"/>
            <w:vAlign w:val="center"/>
          </w:tcPr>
          <w:p w14:paraId="5C51B11C">
            <w:pPr>
              <w:spacing w:line="340" w:lineRule="exact"/>
              <w:jc w:val="center"/>
              <w:rPr>
                <w:rFonts w:ascii="宋体" w:hAnsi="宋体"/>
                <w:color w:val="000000"/>
                <w:szCs w:val="21"/>
              </w:rPr>
            </w:pPr>
            <w:r>
              <w:rPr>
                <w:rFonts w:ascii="宋体" w:hAnsi="宋体"/>
                <w:color w:val="000000"/>
                <w:szCs w:val="21"/>
              </w:rPr>
              <w:t>声源</w:t>
            </w:r>
          </w:p>
          <w:p w14:paraId="1655456F">
            <w:pPr>
              <w:spacing w:line="340" w:lineRule="exact"/>
              <w:jc w:val="center"/>
              <w:rPr>
                <w:rFonts w:ascii="宋体" w:hAnsi="宋体"/>
                <w:color w:val="000000"/>
                <w:szCs w:val="21"/>
              </w:rPr>
            </w:pPr>
            <w:r>
              <w:rPr>
                <w:rFonts w:ascii="宋体" w:hAnsi="宋体"/>
                <w:color w:val="000000"/>
                <w:szCs w:val="21"/>
              </w:rPr>
              <w:t>位置</w:t>
            </w:r>
          </w:p>
        </w:tc>
        <w:tc>
          <w:tcPr>
            <w:tcW w:w="1231" w:type="dxa"/>
            <w:noWrap w:val="0"/>
            <w:vAlign w:val="center"/>
          </w:tcPr>
          <w:p w14:paraId="2C8CFD43">
            <w:pPr>
              <w:spacing w:line="340" w:lineRule="exact"/>
              <w:jc w:val="center"/>
              <w:rPr>
                <w:rFonts w:ascii="宋体" w:hAnsi="宋体"/>
                <w:color w:val="000000"/>
                <w:szCs w:val="21"/>
              </w:rPr>
            </w:pPr>
            <w:r>
              <w:rPr>
                <w:rFonts w:ascii="宋体" w:hAnsi="宋体"/>
                <w:color w:val="000000"/>
                <w:szCs w:val="21"/>
              </w:rPr>
              <w:t>高噪设</w:t>
            </w:r>
          </w:p>
          <w:p w14:paraId="3E412456">
            <w:pPr>
              <w:spacing w:line="340" w:lineRule="exact"/>
              <w:jc w:val="center"/>
              <w:rPr>
                <w:rFonts w:ascii="宋体" w:hAnsi="宋体"/>
                <w:color w:val="000000"/>
                <w:szCs w:val="21"/>
              </w:rPr>
            </w:pPr>
            <w:r>
              <w:rPr>
                <w:rFonts w:ascii="宋体" w:hAnsi="宋体"/>
                <w:color w:val="000000"/>
                <w:szCs w:val="21"/>
              </w:rPr>
              <w:t>备名称</w:t>
            </w:r>
          </w:p>
        </w:tc>
        <w:tc>
          <w:tcPr>
            <w:tcW w:w="933" w:type="dxa"/>
            <w:noWrap w:val="0"/>
            <w:vAlign w:val="center"/>
          </w:tcPr>
          <w:p w14:paraId="1E6F5EC9">
            <w:pPr>
              <w:spacing w:line="340" w:lineRule="exact"/>
              <w:ind w:firstLine="8"/>
              <w:jc w:val="center"/>
              <w:rPr>
                <w:rFonts w:ascii="宋体" w:hAnsi="宋体"/>
                <w:color w:val="000000"/>
                <w:szCs w:val="21"/>
              </w:rPr>
            </w:pPr>
            <w:r>
              <w:rPr>
                <w:rFonts w:ascii="宋体" w:hAnsi="宋体"/>
                <w:color w:val="000000"/>
                <w:szCs w:val="21"/>
              </w:rPr>
              <w:t>单台噪声级</w:t>
            </w:r>
          </w:p>
        </w:tc>
        <w:tc>
          <w:tcPr>
            <w:tcW w:w="2726" w:type="dxa"/>
            <w:noWrap w:val="0"/>
            <w:vAlign w:val="center"/>
          </w:tcPr>
          <w:p w14:paraId="2EECAED0">
            <w:pPr>
              <w:spacing w:line="340" w:lineRule="exact"/>
              <w:jc w:val="center"/>
              <w:rPr>
                <w:rFonts w:ascii="宋体" w:hAnsi="宋体"/>
                <w:color w:val="000000"/>
                <w:szCs w:val="21"/>
              </w:rPr>
            </w:pPr>
            <w:r>
              <w:rPr>
                <w:rFonts w:ascii="宋体" w:hAnsi="宋体"/>
                <w:color w:val="000000"/>
                <w:szCs w:val="21"/>
              </w:rPr>
              <w:t>降噪措施</w:t>
            </w:r>
          </w:p>
        </w:tc>
        <w:tc>
          <w:tcPr>
            <w:tcW w:w="1393" w:type="dxa"/>
            <w:noWrap w:val="0"/>
            <w:vAlign w:val="center"/>
          </w:tcPr>
          <w:p w14:paraId="5F978587">
            <w:pPr>
              <w:spacing w:line="340" w:lineRule="exact"/>
              <w:rPr>
                <w:rFonts w:ascii="宋体" w:hAnsi="宋体"/>
                <w:color w:val="000000"/>
                <w:szCs w:val="21"/>
              </w:rPr>
            </w:pPr>
            <w:r>
              <w:rPr>
                <w:rFonts w:ascii="宋体" w:hAnsi="宋体"/>
                <w:color w:val="000000"/>
                <w:szCs w:val="21"/>
              </w:rPr>
              <w:t>治理后噪声级</w:t>
            </w:r>
          </w:p>
        </w:tc>
        <w:tc>
          <w:tcPr>
            <w:tcW w:w="1218" w:type="dxa"/>
            <w:noWrap w:val="0"/>
            <w:vAlign w:val="center"/>
          </w:tcPr>
          <w:p w14:paraId="079F5044">
            <w:pPr>
              <w:spacing w:line="340" w:lineRule="exact"/>
              <w:jc w:val="center"/>
              <w:rPr>
                <w:rFonts w:ascii="宋体" w:hAnsi="宋体"/>
                <w:color w:val="000000"/>
                <w:szCs w:val="21"/>
              </w:rPr>
            </w:pPr>
            <w:r>
              <w:rPr>
                <w:rFonts w:ascii="宋体" w:hAnsi="宋体"/>
                <w:color w:val="000000"/>
                <w:szCs w:val="21"/>
              </w:rPr>
              <w:t>特性</w:t>
            </w:r>
          </w:p>
        </w:tc>
      </w:tr>
      <w:tr w14:paraId="00C1273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41" w:hRule="atLeast"/>
          <w:jc w:val="center"/>
        </w:trPr>
        <w:tc>
          <w:tcPr>
            <w:tcW w:w="1027" w:type="dxa"/>
            <w:noWrap w:val="0"/>
            <w:vAlign w:val="center"/>
          </w:tcPr>
          <w:p w14:paraId="650E399A">
            <w:pPr>
              <w:spacing w:line="340" w:lineRule="exact"/>
              <w:jc w:val="center"/>
              <w:rPr>
                <w:rFonts w:ascii="宋体" w:hAnsi="宋体"/>
                <w:color w:val="000000"/>
                <w:szCs w:val="21"/>
              </w:rPr>
            </w:pPr>
            <w:r>
              <w:rPr>
                <w:rFonts w:ascii="宋体" w:hAnsi="宋体"/>
                <w:color w:val="000000"/>
                <w:szCs w:val="21"/>
              </w:rPr>
              <w:t>发电机房</w:t>
            </w:r>
          </w:p>
        </w:tc>
        <w:tc>
          <w:tcPr>
            <w:tcW w:w="1231" w:type="dxa"/>
            <w:noWrap w:val="0"/>
            <w:vAlign w:val="center"/>
          </w:tcPr>
          <w:p w14:paraId="2148909A">
            <w:pPr>
              <w:spacing w:line="340" w:lineRule="exact"/>
              <w:jc w:val="center"/>
              <w:rPr>
                <w:rFonts w:ascii="宋体" w:hAnsi="宋体"/>
                <w:color w:val="000000"/>
                <w:szCs w:val="21"/>
              </w:rPr>
            </w:pPr>
            <w:r>
              <w:rPr>
                <w:rFonts w:ascii="宋体" w:hAnsi="宋体"/>
                <w:color w:val="000000"/>
                <w:szCs w:val="21"/>
              </w:rPr>
              <w:t>柴油发电</w:t>
            </w:r>
          </w:p>
          <w:p w14:paraId="177CA5CB">
            <w:pPr>
              <w:spacing w:line="340" w:lineRule="exact"/>
              <w:jc w:val="center"/>
              <w:rPr>
                <w:rFonts w:ascii="宋体" w:hAnsi="宋体"/>
                <w:color w:val="000000"/>
                <w:szCs w:val="21"/>
              </w:rPr>
            </w:pPr>
            <w:r>
              <w:rPr>
                <w:rFonts w:ascii="宋体" w:hAnsi="宋体"/>
                <w:color w:val="000000"/>
                <w:szCs w:val="21"/>
              </w:rPr>
              <w:t>机组1台</w:t>
            </w:r>
          </w:p>
        </w:tc>
        <w:tc>
          <w:tcPr>
            <w:tcW w:w="933" w:type="dxa"/>
            <w:noWrap w:val="0"/>
            <w:vAlign w:val="center"/>
          </w:tcPr>
          <w:p w14:paraId="564618C8">
            <w:pPr>
              <w:spacing w:line="340" w:lineRule="exact"/>
              <w:jc w:val="center"/>
              <w:rPr>
                <w:rFonts w:ascii="宋体" w:hAnsi="宋体"/>
                <w:color w:val="000000"/>
                <w:szCs w:val="21"/>
              </w:rPr>
            </w:pPr>
            <w:r>
              <w:rPr>
                <w:rFonts w:ascii="宋体" w:hAnsi="宋体"/>
                <w:color w:val="000000"/>
                <w:szCs w:val="21"/>
              </w:rPr>
              <w:t>100</w:t>
            </w:r>
          </w:p>
        </w:tc>
        <w:tc>
          <w:tcPr>
            <w:tcW w:w="2726" w:type="dxa"/>
            <w:noWrap w:val="0"/>
            <w:vAlign w:val="center"/>
          </w:tcPr>
          <w:p w14:paraId="2FCDA8AA">
            <w:pPr>
              <w:spacing w:line="340" w:lineRule="exact"/>
              <w:jc w:val="center"/>
              <w:rPr>
                <w:rFonts w:ascii="宋体" w:hAnsi="宋体"/>
                <w:color w:val="000000"/>
                <w:szCs w:val="21"/>
              </w:rPr>
            </w:pPr>
            <w:r>
              <w:rPr>
                <w:rFonts w:ascii="宋体" w:hAnsi="宋体"/>
                <w:color w:val="000000"/>
                <w:szCs w:val="21"/>
              </w:rPr>
              <w:t>设置专用机房，墙体采用二四砖墙，加装隔声材料，设备基础减震</w:t>
            </w:r>
          </w:p>
        </w:tc>
        <w:tc>
          <w:tcPr>
            <w:tcW w:w="1393" w:type="dxa"/>
            <w:noWrap w:val="0"/>
            <w:vAlign w:val="center"/>
          </w:tcPr>
          <w:p w14:paraId="1F4EE49E">
            <w:pPr>
              <w:spacing w:line="340" w:lineRule="exact"/>
              <w:jc w:val="center"/>
              <w:rPr>
                <w:rFonts w:ascii="宋体" w:hAnsi="宋体"/>
                <w:color w:val="000000"/>
                <w:szCs w:val="21"/>
              </w:rPr>
            </w:pPr>
            <w:r>
              <w:rPr>
                <w:rFonts w:ascii="宋体" w:hAnsi="宋体"/>
                <w:color w:val="000000"/>
                <w:szCs w:val="21"/>
              </w:rPr>
              <w:t>70</w:t>
            </w:r>
          </w:p>
        </w:tc>
        <w:tc>
          <w:tcPr>
            <w:tcW w:w="1218" w:type="dxa"/>
            <w:noWrap w:val="0"/>
            <w:vAlign w:val="center"/>
          </w:tcPr>
          <w:p w14:paraId="4399D4A8">
            <w:pPr>
              <w:spacing w:line="340" w:lineRule="exact"/>
              <w:jc w:val="center"/>
              <w:rPr>
                <w:rFonts w:ascii="宋体" w:hAnsi="宋体"/>
                <w:color w:val="000000"/>
                <w:szCs w:val="21"/>
              </w:rPr>
            </w:pPr>
            <w:r>
              <w:rPr>
                <w:rFonts w:ascii="宋体" w:hAnsi="宋体"/>
                <w:color w:val="000000"/>
                <w:szCs w:val="21"/>
              </w:rPr>
              <w:t>连续、不常用</w:t>
            </w:r>
          </w:p>
        </w:tc>
      </w:tr>
      <w:tr w14:paraId="183B4A3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0" w:hRule="atLeast"/>
          <w:jc w:val="center"/>
        </w:trPr>
        <w:tc>
          <w:tcPr>
            <w:tcW w:w="1027" w:type="dxa"/>
            <w:vMerge w:val="restart"/>
            <w:noWrap w:val="0"/>
            <w:vAlign w:val="center"/>
          </w:tcPr>
          <w:p w14:paraId="6905057B">
            <w:pPr>
              <w:spacing w:line="340" w:lineRule="exact"/>
              <w:jc w:val="center"/>
              <w:rPr>
                <w:rFonts w:hint="eastAsia" w:ascii="宋体" w:hAnsi="宋体"/>
                <w:color w:val="000000"/>
                <w:szCs w:val="21"/>
              </w:rPr>
            </w:pPr>
            <w:r>
              <w:rPr>
                <w:rFonts w:ascii="宋体" w:hAnsi="宋体"/>
                <w:color w:val="000000"/>
                <w:szCs w:val="21"/>
              </w:rPr>
              <w:t>污水处</w:t>
            </w:r>
          </w:p>
          <w:p w14:paraId="71352546">
            <w:pPr>
              <w:spacing w:line="340" w:lineRule="exact"/>
              <w:jc w:val="center"/>
              <w:rPr>
                <w:rFonts w:ascii="宋体" w:hAnsi="宋体"/>
                <w:color w:val="000000"/>
                <w:szCs w:val="21"/>
              </w:rPr>
            </w:pPr>
            <w:r>
              <w:rPr>
                <w:rFonts w:ascii="宋体" w:hAnsi="宋体"/>
                <w:color w:val="000000"/>
                <w:szCs w:val="21"/>
              </w:rPr>
              <w:t>理站</w:t>
            </w:r>
          </w:p>
        </w:tc>
        <w:tc>
          <w:tcPr>
            <w:tcW w:w="1231" w:type="dxa"/>
            <w:noWrap w:val="0"/>
            <w:vAlign w:val="center"/>
          </w:tcPr>
          <w:p w14:paraId="22D5AA27">
            <w:pPr>
              <w:spacing w:line="340" w:lineRule="exact"/>
              <w:jc w:val="center"/>
              <w:rPr>
                <w:rFonts w:ascii="宋体" w:hAnsi="宋体"/>
                <w:color w:val="000000"/>
                <w:szCs w:val="21"/>
              </w:rPr>
            </w:pPr>
            <w:r>
              <w:rPr>
                <w:rFonts w:ascii="宋体" w:hAnsi="宋体"/>
                <w:color w:val="000000"/>
                <w:szCs w:val="21"/>
              </w:rPr>
              <w:t>水泵2台</w:t>
            </w:r>
          </w:p>
        </w:tc>
        <w:tc>
          <w:tcPr>
            <w:tcW w:w="933" w:type="dxa"/>
            <w:noWrap w:val="0"/>
            <w:vAlign w:val="center"/>
          </w:tcPr>
          <w:p w14:paraId="136F1560">
            <w:pPr>
              <w:spacing w:line="340" w:lineRule="exact"/>
              <w:jc w:val="center"/>
              <w:rPr>
                <w:rFonts w:ascii="宋体" w:hAnsi="宋体"/>
                <w:color w:val="000000"/>
                <w:szCs w:val="21"/>
              </w:rPr>
            </w:pPr>
            <w:r>
              <w:rPr>
                <w:rFonts w:ascii="宋体" w:hAnsi="宋体"/>
                <w:color w:val="000000"/>
                <w:szCs w:val="21"/>
              </w:rPr>
              <w:t>75</w:t>
            </w:r>
          </w:p>
        </w:tc>
        <w:tc>
          <w:tcPr>
            <w:tcW w:w="2726" w:type="dxa"/>
            <w:vMerge w:val="restart"/>
            <w:noWrap w:val="0"/>
            <w:vAlign w:val="center"/>
          </w:tcPr>
          <w:p w14:paraId="79F7C872">
            <w:pPr>
              <w:spacing w:line="340" w:lineRule="exact"/>
              <w:jc w:val="center"/>
              <w:rPr>
                <w:rFonts w:ascii="宋体" w:hAnsi="宋体"/>
                <w:color w:val="000000"/>
                <w:spacing w:val="-8"/>
                <w:szCs w:val="21"/>
              </w:rPr>
            </w:pPr>
            <w:r>
              <w:rPr>
                <w:rFonts w:ascii="宋体" w:hAnsi="宋体"/>
                <w:color w:val="000000"/>
                <w:spacing w:val="-8"/>
                <w:szCs w:val="21"/>
              </w:rPr>
              <w:t>设置专用机房，墙体采用二四砖墙，并加装隔声材料，设备基础安装减震座，水泵进出口</w:t>
            </w:r>
            <w:r>
              <w:rPr>
                <w:rFonts w:ascii="宋体" w:hAnsi="宋体"/>
                <w:bCs/>
                <w:color w:val="000000"/>
                <w:spacing w:val="-8"/>
                <w:szCs w:val="21"/>
              </w:rPr>
              <w:t>设金属软管接头。</w:t>
            </w:r>
          </w:p>
        </w:tc>
        <w:tc>
          <w:tcPr>
            <w:tcW w:w="1393" w:type="dxa"/>
            <w:noWrap w:val="0"/>
            <w:vAlign w:val="center"/>
          </w:tcPr>
          <w:p w14:paraId="0173EB50">
            <w:pPr>
              <w:spacing w:line="340" w:lineRule="exact"/>
              <w:jc w:val="center"/>
              <w:rPr>
                <w:rFonts w:ascii="宋体" w:hAnsi="宋体"/>
                <w:color w:val="000000"/>
                <w:szCs w:val="21"/>
              </w:rPr>
            </w:pPr>
            <w:r>
              <w:rPr>
                <w:rFonts w:ascii="宋体" w:hAnsi="宋体"/>
                <w:color w:val="000000"/>
                <w:szCs w:val="21"/>
              </w:rPr>
              <w:t>60</w:t>
            </w:r>
          </w:p>
        </w:tc>
        <w:tc>
          <w:tcPr>
            <w:tcW w:w="1218" w:type="dxa"/>
            <w:noWrap w:val="0"/>
            <w:vAlign w:val="center"/>
          </w:tcPr>
          <w:p w14:paraId="6CC607B7">
            <w:pPr>
              <w:spacing w:line="340" w:lineRule="exact"/>
              <w:jc w:val="center"/>
              <w:rPr>
                <w:rFonts w:ascii="宋体" w:hAnsi="宋体"/>
                <w:color w:val="000000"/>
                <w:szCs w:val="21"/>
              </w:rPr>
            </w:pPr>
            <w:r>
              <w:rPr>
                <w:rFonts w:ascii="宋体" w:hAnsi="宋体"/>
                <w:color w:val="000000"/>
                <w:szCs w:val="21"/>
              </w:rPr>
              <w:t>连续</w:t>
            </w:r>
          </w:p>
        </w:tc>
      </w:tr>
      <w:tr w14:paraId="64FF846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44" w:hRule="atLeast"/>
          <w:jc w:val="center"/>
        </w:trPr>
        <w:tc>
          <w:tcPr>
            <w:tcW w:w="1027" w:type="dxa"/>
            <w:vMerge w:val="continue"/>
            <w:noWrap w:val="0"/>
            <w:vAlign w:val="center"/>
          </w:tcPr>
          <w:p w14:paraId="6B77AF59">
            <w:pPr>
              <w:spacing w:line="340" w:lineRule="exact"/>
              <w:jc w:val="center"/>
              <w:rPr>
                <w:rFonts w:ascii="宋体" w:hAnsi="宋体"/>
                <w:color w:val="000000"/>
                <w:szCs w:val="21"/>
              </w:rPr>
            </w:pPr>
          </w:p>
        </w:tc>
        <w:tc>
          <w:tcPr>
            <w:tcW w:w="1231" w:type="dxa"/>
            <w:noWrap w:val="0"/>
            <w:vAlign w:val="center"/>
          </w:tcPr>
          <w:p w14:paraId="2D01A246">
            <w:pPr>
              <w:spacing w:line="340" w:lineRule="exact"/>
              <w:jc w:val="center"/>
              <w:rPr>
                <w:rFonts w:ascii="宋体" w:hAnsi="宋体"/>
                <w:color w:val="000000"/>
                <w:szCs w:val="21"/>
              </w:rPr>
            </w:pPr>
            <w:r>
              <w:rPr>
                <w:rFonts w:ascii="宋体" w:hAnsi="宋体"/>
                <w:color w:val="000000"/>
                <w:szCs w:val="21"/>
              </w:rPr>
              <w:t>污泥脱</w:t>
            </w:r>
          </w:p>
          <w:p w14:paraId="2F82BF4F">
            <w:pPr>
              <w:spacing w:line="340" w:lineRule="exact"/>
              <w:jc w:val="center"/>
              <w:rPr>
                <w:rFonts w:ascii="宋体" w:hAnsi="宋体"/>
                <w:color w:val="000000"/>
                <w:szCs w:val="21"/>
              </w:rPr>
            </w:pPr>
            <w:r>
              <w:rPr>
                <w:rFonts w:ascii="宋体" w:hAnsi="宋体"/>
                <w:color w:val="000000"/>
                <w:szCs w:val="21"/>
              </w:rPr>
              <w:t>水机1台</w:t>
            </w:r>
          </w:p>
        </w:tc>
        <w:tc>
          <w:tcPr>
            <w:tcW w:w="933" w:type="dxa"/>
            <w:noWrap w:val="0"/>
            <w:vAlign w:val="center"/>
          </w:tcPr>
          <w:p w14:paraId="4D0B7353">
            <w:pPr>
              <w:spacing w:line="340" w:lineRule="exact"/>
              <w:jc w:val="center"/>
              <w:rPr>
                <w:rFonts w:ascii="宋体" w:hAnsi="宋体"/>
                <w:color w:val="000000"/>
                <w:szCs w:val="21"/>
              </w:rPr>
            </w:pPr>
            <w:r>
              <w:rPr>
                <w:rFonts w:ascii="宋体" w:hAnsi="宋体"/>
                <w:color w:val="000000"/>
                <w:szCs w:val="21"/>
              </w:rPr>
              <w:t>85</w:t>
            </w:r>
          </w:p>
        </w:tc>
        <w:tc>
          <w:tcPr>
            <w:tcW w:w="2726" w:type="dxa"/>
            <w:vMerge w:val="continue"/>
            <w:noWrap w:val="0"/>
            <w:vAlign w:val="center"/>
          </w:tcPr>
          <w:p w14:paraId="0CEA24F3">
            <w:pPr>
              <w:spacing w:line="340" w:lineRule="exact"/>
              <w:jc w:val="center"/>
              <w:rPr>
                <w:rFonts w:ascii="宋体" w:hAnsi="宋体"/>
                <w:color w:val="000000"/>
                <w:szCs w:val="21"/>
              </w:rPr>
            </w:pPr>
          </w:p>
        </w:tc>
        <w:tc>
          <w:tcPr>
            <w:tcW w:w="1393" w:type="dxa"/>
            <w:noWrap w:val="0"/>
            <w:vAlign w:val="center"/>
          </w:tcPr>
          <w:p w14:paraId="6B4A3308">
            <w:pPr>
              <w:spacing w:line="340" w:lineRule="exact"/>
              <w:jc w:val="center"/>
              <w:rPr>
                <w:rFonts w:ascii="宋体" w:hAnsi="宋体"/>
                <w:color w:val="000000"/>
                <w:szCs w:val="21"/>
              </w:rPr>
            </w:pPr>
            <w:r>
              <w:rPr>
                <w:rFonts w:ascii="宋体" w:hAnsi="宋体"/>
                <w:color w:val="000000"/>
                <w:szCs w:val="21"/>
              </w:rPr>
              <w:t>70</w:t>
            </w:r>
          </w:p>
        </w:tc>
        <w:tc>
          <w:tcPr>
            <w:tcW w:w="1218" w:type="dxa"/>
            <w:noWrap w:val="0"/>
            <w:vAlign w:val="center"/>
          </w:tcPr>
          <w:p w14:paraId="62E652D0">
            <w:pPr>
              <w:spacing w:line="340" w:lineRule="exact"/>
              <w:jc w:val="center"/>
              <w:rPr>
                <w:rFonts w:ascii="宋体" w:hAnsi="宋体"/>
                <w:color w:val="000000"/>
                <w:szCs w:val="21"/>
              </w:rPr>
            </w:pPr>
            <w:r>
              <w:rPr>
                <w:rFonts w:ascii="宋体" w:hAnsi="宋体"/>
                <w:color w:val="000000"/>
                <w:szCs w:val="21"/>
              </w:rPr>
              <w:t>连续、不常用</w:t>
            </w:r>
          </w:p>
        </w:tc>
      </w:tr>
      <w:tr w14:paraId="731FD37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03" w:hRule="atLeast"/>
          <w:jc w:val="center"/>
        </w:trPr>
        <w:tc>
          <w:tcPr>
            <w:tcW w:w="1027" w:type="dxa"/>
            <w:noWrap w:val="0"/>
            <w:vAlign w:val="center"/>
          </w:tcPr>
          <w:p w14:paraId="42449291">
            <w:pPr>
              <w:spacing w:line="340" w:lineRule="exact"/>
              <w:jc w:val="center"/>
              <w:rPr>
                <w:rFonts w:ascii="宋体" w:hAnsi="宋体"/>
                <w:color w:val="000000"/>
                <w:szCs w:val="21"/>
              </w:rPr>
            </w:pPr>
            <w:r>
              <w:rPr>
                <w:rFonts w:ascii="宋体" w:hAnsi="宋体"/>
                <w:color w:val="000000"/>
                <w:szCs w:val="21"/>
              </w:rPr>
              <w:t>水泵房</w:t>
            </w:r>
          </w:p>
        </w:tc>
        <w:tc>
          <w:tcPr>
            <w:tcW w:w="1231" w:type="dxa"/>
            <w:noWrap w:val="0"/>
            <w:vAlign w:val="center"/>
          </w:tcPr>
          <w:p w14:paraId="52F9FAA7">
            <w:pPr>
              <w:spacing w:line="340" w:lineRule="exact"/>
              <w:jc w:val="center"/>
              <w:rPr>
                <w:rFonts w:ascii="宋体" w:hAnsi="宋体"/>
                <w:color w:val="000000"/>
                <w:szCs w:val="21"/>
              </w:rPr>
            </w:pPr>
            <w:r>
              <w:rPr>
                <w:rFonts w:ascii="宋体" w:hAnsi="宋体"/>
                <w:color w:val="000000"/>
                <w:szCs w:val="21"/>
              </w:rPr>
              <w:t>水泵2台</w:t>
            </w:r>
          </w:p>
        </w:tc>
        <w:tc>
          <w:tcPr>
            <w:tcW w:w="933" w:type="dxa"/>
            <w:noWrap w:val="0"/>
            <w:vAlign w:val="center"/>
          </w:tcPr>
          <w:p w14:paraId="13021544">
            <w:pPr>
              <w:spacing w:line="340" w:lineRule="exact"/>
              <w:jc w:val="center"/>
              <w:rPr>
                <w:rFonts w:ascii="宋体" w:hAnsi="宋体"/>
                <w:color w:val="000000"/>
                <w:szCs w:val="21"/>
              </w:rPr>
            </w:pPr>
            <w:r>
              <w:rPr>
                <w:rFonts w:ascii="宋体" w:hAnsi="宋体"/>
                <w:color w:val="000000"/>
                <w:szCs w:val="21"/>
              </w:rPr>
              <w:t>70</w:t>
            </w:r>
          </w:p>
        </w:tc>
        <w:tc>
          <w:tcPr>
            <w:tcW w:w="2726" w:type="dxa"/>
            <w:noWrap w:val="0"/>
            <w:vAlign w:val="center"/>
          </w:tcPr>
          <w:p w14:paraId="51AF6202">
            <w:pPr>
              <w:spacing w:line="340" w:lineRule="exact"/>
              <w:jc w:val="center"/>
              <w:rPr>
                <w:rFonts w:ascii="宋体" w:hAnsi="宋体"/>
                <w:color w:val="000000"/>
                <w:szCs w:val="21"/>
              </w:rPr>
            </w:pPr>
            <w:r>
              <w:rPr>
                <w:rFonts w:ascii="宋体" w:hAnsi="宋体"/>
                <w:color w:val="000000"/>
                <w:szCs w:val="21"/>
              </w:rPr>
              <w:t>设专用机房，墙体采用二四砖墙，加装隔声材料，</w:t>
            </w:r>
            <w:r>
              <w:rPr>
                <w:rFonts w:ascii="宋体" w:hAnsi="宋体"/>
                <w:color w:val="000000"/>
                <w:spacing w:val="-8"/>
                <w:szCs w:val="21"/>
              </w:rPr>
              <w:t>水泵进出口</w:t>
            </w:r>
            <w:r>
              <w:rPr>
                <w:rFonts w:ascii="宋体" w:hAnsi="宋体"/>
                <w:bCs/>
                <w:color w:val="000000"/>
                <w:spacing w:val="-8"/>
                <w:szCs w:val="21"/>
              </w:rPr>
              <w:t>设金属软管接头。</w:t>
            </w:r>
          </w:p>
        </w:tc>
        <w:tc>
          <w:tcPr>
            <w:tcW w:w="1393" w:type="dxa"/>
            <w:noWrap w:val="0"/>
            <w:vAlign w:val="center"/>
          </w:tcPr>
          <w:p w14:paraId="1BB4D5A3">
            <w:pPr>
              <w:spacing w:line="340" w:lineRule="exact"/>
              <w:jc w:val="center"/>
              <w:rPr>
                <w:rFonts w:ascii="宋体" w:hAnsi="宋体"/>
                <w:color w:val="000000"/>
                <w:szCs w:val="21"/>
              </w:rPr>
            </w:pPr>
            <w:r>
              <w:rPr>
                <w:rFonts w:ascii="宋体" w:hAnsi="宋体"/>
                <w:color w:val="000000"/>
                <w:szCs w:val="21"/>
              </w:rPr>
              <w:t>55</w:t>
            </w:r>
          </w:p>
        </w:tc>
        <w:tc>
          <w:tcPr>
            <w:tcW w:w="1218" w:type="dxa"/>
            <w:noWrap w:val="0"/>
            <w:vAlign w:val="center"/>
          </w:tcPr>
          <w:p w14:paraId="69A117A0">
            <w:pPr>
              <w:spacing w:line="340" w:lineRule="exact"/>
              <w:jc w:val="center"/>
              <w:rPr>
                <w:rFonts w:ascii="宋体" w:hAnsi="宋体"/>
                <w:color w:val="000000"/>
                <w:szCs w:val="21"/>
              </w:rPr>
            </w:pPr>
            <w:r>
              <w:rPr>
                <w:rFonts w:ascii="宋体" w:hAnsi="宋体"/>
                <w:color w:val="000000"/>
                <w:szCs w:val="21"/>
              </w:rPr>
              <w:t>连续、常用</w:t>
            </w:r>
          </w:p>
        </w:tc>
      </w:tr>
    </w:tbl>
    <w:p w14:paraId="07E4590C">
      <w:pPr>
        <w:pStyle w:val="221"/>
        <w:spacing w:before="120" w:after="0" w:line="360" w:lineRule="auto"/>
        <w:ind w:left="0" w:firstLine="482"/>
        <w:rPr>
          <w:rFonts w:hint="eastAsia" w:ascii="宋体" w:hAnsi="宋体"/>
          <w:b/>
          <w:color w:val="000000"/>
          <w:sz w:val="24"/>
        </w:rPr>
      </w:pPr>
      <w:r>
        <w:rPr>
          <w:rFonts w:hint="eastAsia" w:ascii="宋体" w:hAnsi="宋体"/>
          <w:b/>
          <w:color w:val="000000"/>
          <w:sz w:val="24"/>
        </w:rPr>
        <w:t>2、</w:t>
      </w:r>
      <w:r>
        <w:rPr>
          <w:rFonts w:ascii="宋体" w:hAnsi="宋体"/>
          <w:b/>
          <w:color w:val="000000"/>
          <w:sz w:val="24"/>
        </w:rPr>
        <w:t>项目噪声影响预测</w:t>
      </w:r>
    </w:p>
    <w:p w14:paraId="291552CA">
      <w:pPr>
        <w:pStyle w:val="221"/>
        <w:spacing w:after="0" w:line="360" w:lineRule="auto"/>
        <w:ind w:left="0" w:firstLine="480"/>
        <w:rPr>
          <w:rFonts w:hint="eastAsia" w:ascii="宋体" w:hAnsi="宋体"/>
          <w:color w:val="000000"/>
          <w:sz w:val="24"/>
        </w:rPr>
      </w:pPr>
      <w:r>
        <w:rPr>
          <w:rFonts w:hint="eastAsia" w:ascii="宋体" w:hAnsi="宋体"/>
          <w:color w:val="000000"/>
          <w:sz w:val="24"/>
        </w:rPr>
        <w:t>（1）预测内容</w:t>
      </w:r>
    </w:p>
    <w:p w14:paraId="06DDE1D3">
      <w:pPr>
        <w:spacing w:line="360" w:lineRule="auto"/>
        <w:ind w:firstLine="480"/>
        <w:rPr>
          <w:rFonts w:ascii="宋体" w:hAnsi="宋体"/>
          <w:color w:val="000000"/>
          <w:sz w:val="24"/>
        </w:rPr>
      </w:pPr>
      <w:r>
        <w:rPr>
          <w:rFonts w:ascii="宋体" w:hAnsi="宋体"/>
          <w:color w:val="000000"/>
          <w:sz w:val="24"/>
        </w:rPr>
        <w:t>本项目建成后，</w:t>
      </w:r>
      <w:r>
        <w:rPr>
          <w:rFonts w:hint="eastAsia" w:ascii="宋体" w:hAnsi="宋体"/>
          <w:color w:val="000000"/>
          <w:sz w:val="24"/>
        </w:rPr>
        <w:t>本</w:t>
      </w:r>
      <w:r>
        <w:rPr>
          <w:rFonts w:ascii="宋体" w:hAnsi="宋体"/>
          <w:color w:val="000000"/>
          <w:sz w:val="24"/>
        </w:rPr>
        <w:t>环评根据《环境影响评价技术导则——声环境》（HJ2.4-2009）的要求，确定本项目各产噪设备在厂界的噪声贡献值，及医院厂界内外敏感点的预测值作为评价量。</w:t>
      </w:r>
    </w:p>
    <w:p w14:paraId="444608E0">
      <w:pPr>
        <w:spacing w:line="360" w:lineRule="auto"/>
        <w:ind w:firstLine="480"/>
        <w:rPr>
          <w:rFonts w:ascii="宋体" w:hAnsi="宋体"/>
          <w:color w:val="000000"/>
          <w:sz w:val="24"/>
        </w:rPr>
      </w:pPr>
      <w:r>
        <w:rPr>
          <w:rFonts w:ascii="宋体" w:hAnsi="宋体"/>
          <w:color w:val="000000"/>
          <w:sz w:val="24"/>
        </w:rPr>
        <w:t>根据工程特征、项目外环境及项目总平面布置情况，项目各产噪单元距厂界的距离见表6.</w:t>
      </w:r>
      <w:r>
        <w:rPr>
          <w:rFonts w:hint="eastAsia" w:ascii="宋体" w:hAnsi="宋体"/>
          <w:color w:val="000000"/>
          <w:sz w:val="24"/>
        </w:rPr>
        <w:t>2</w:t>
      </w:r>
      <w:r>
        <w:rPr>
          <w:rFonts w:ascii="宋体" w:hAnsi="宋体"/>
          <w:color w:val="000000"/>
          <w:sz w:val="24"/>
        </w:rPr>
        <w:t>-</w:t>
      </w:r>
      <w:r>
        <w:rPr>
          <w:rFonts w:hint="eastAsia" w:ascii="宋体" w:hAnsi="宋体"/>
          <w:color w:val="000000"/>
          <w:sz w:val="24"/>
        </w:rPr>
        <w:t>3</w:t>
      </w:r>
      <w:r>
        <w:rPr>
          <w:rFonts w:ascii="宋体" w:hAnsi="宋体"/>
          <w:color w:val="000000"/>
          <w:sz w:val="24"/>
        </w:rPr>
        <w:t>，评价区域关心点距各产噪单元的距离见表6.</w:t>
      </w:r>
      <w:r>
        <w:rPr>
          <w:rFonts w:hint="eastAsia" w:ascii="宋体" w:hAnsi="宋体"/>
          <w:color w:val="000000"/>
          <w:sz w:val="24"/>
        </w:rPr>
        <w:t>2</w:t>
      </w:r>
      <w:r>
        <w:rPr>
          <w:rFonts w:ascii="宋体" w:hAnsi="宋体"/>
          <w:color w:val="000000"/>
          <w:sz w:val="24"/>
        </w:rPr>
        <w:t>-</w:t>
      </w:r>
      <w:r>
        <w:rPr>
          <w:rFonts w:hint="eastAsia" w:ascii="宋体" w:hAnsi="宋体"/>
          <w:color w:val="000000"/>
          <w:sz w:val="24"/>
        </w:rPr>
        <w:t>4</w:t>
      </w:r>
      <w:r>
        <w:rPr>
          <w:rFonts w:ascii="宋体" w:hAnsi="宋体"/>
          <w:color w:val="000000"/>
          <w:sz w:val="24"/>
        </w:rPr>
        <w:t>。</w:t>
      </w:r>
    </w:p>
    <w:p w14:paraId="7F3894CB">
      <w:pPr>
        <w:spacing w:line="480" w:lineRule="exact"/>
        <w:ind w:firstLine="200"/>
        <w:jc w:val="center"/>
        <w:rPr>
          <w:color w:val="000000"/>
          <w:sz w:val="24"/>
        </w:rPr>
      </w:pPr>
      <w:r>
        <w:rPr>
          <w:b/>
          <w:color w:val="000000"/>
          <w:sz w:val="24"/>
        </w:rPr>
        <w:t>表6.</w:t>
      </w:r>
      <w:r>
        <w:rPr>
          <w:rFonts w:hint="eastAsia"/>
          <w:b/>
          <w:color w:val="000000"/>
          <w:sz w:val="24"/>
        </w:rPr>
        <w:t>2</w:t>
      </w:r>
      <w:r>
        <w:rPr>
          <w:b/>
          <w:color w:val="000000"/>
          <w:sz w:val="24"/>
        </w:rPr>
        <w:t>-</w:t>
      </w:r>
      <w:r>
        <w:rPr>
          <w:rFonts w:hint="eastAsia"/>
          <w:b/>
          <w:color w:val="000000"/>
          <w:sz w:val="24"/>
        </w:rPr>
        <w:t>3</w:t>
      </w:r>
      <w:r>
        <w:rPr>
          <w:b/>
          <w:color w:val="000000"/>
          <w:sz w:val="24"/>
        </w:rPr>
        <w:t xml:space="preserve">  项目各产噪单元距厂界及住院楼的距离</w:t>
      </w:r>
      <w:r>
        <w:rPr>
          <w:color w:val="000000"/>
          <w:sz w:val="24"/>
        </w:rPr>
        <w:t xml:space="preserve">    单位：m</w:t>
      </w:r>
    </w:p>
    <w:tbl>
      <w:tblPr>
        <w:tblStyle w:val="27"/>
        <w:tblW w:w="0" w:type="auto"/>
        <w:jc w:val="center"/>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Layout w:type="fixed"/>
        <w:tblCellMar>
          <w:top w:w="0" w:type="dxa"/>
          <w:left w:w="108" w:type="dxa"/>
          <w:bottom w:w="0" w:type="dxa"/>
          <w:right w:w="108" w:type="dxa"/>
        </w:tblCellMar>
      </w:tblPr>
      <w:tblGrid>
        <w:gridCol w:w="1967"/>
        <w:gridCol w:w="1332"/>
        <w:gridCol w:w="1339"/>
        <w:gridCol w:w="1303"/>
        <w:gridCol w:w="1277"/>
        <w:gridCol w:w="1310"/>
      </w:tblGrid>
      <w:tr w14:paraId="0B9A41CE">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609" w:hRule="atLeast"/>
          <w:jc w:val="center"/>
        </w:trPr>
        <w:tc>
          <w:tcPr>
            <w:tcW w:w="1967" w:type="dxa"/>
            <w:noWrap w:val="0"/>
            <w:vAlign w:val="top"/>
          </w:tcPr>
          <w:p w14:paraId="3A420867">
            <w:pPr>
              <w:widowControl/>
              <w:spacing w:line="280" w:lineRule="exact"/>
              <w:ind w:left="525" w:hanging="525"/>
              <w:rPr>
                <w:rFonts w:ascii="宋体" w:hAnsi="宋体"/>
                <w:color w:val="000000"/>
                <w:szCs w:val="21"/>
              </w:rPr>
            </w:pPr>
            <w:r>
              <w:rPr>
                <w:rFonts w:ascii="宋体" w:hAnsi="宋体"/>
                <w:color w:val="000000"/>
                <w:szCs w:val="21"/>
              </w:rPr>
              <w:t xml:space="preserve">      噪声源  </w:t>
            </w:r>
          </w:p>
          <w:p w14:paraId="0BDA95FE">
            <w:pPr>
              <w:widowControl/>
              <w:spacing w:line="280" w:lineRule="exact"/>
              <w:rPr>
                <w:rFonts w:ascii="宋体" w:hAnsi="宋体"/>
                <w:color w:val="000000"/>
                <w:szCs w:val="21"/>
              </w:rPr>
            </w:pPr>
            <w:r>
              <w:rPr>
                <w:rFonts w:ascii="宋体" w:hAnsi="宋体"/>
                <w:color w:val="000000"/>
                <w:szCs w:val="21"/>
              </w:rPr>
              <w:t xml:space="preserve">场地边界         </w:t>
            </w:r>
          </w:p>
        </w:tc>
        <w:tc>
          <w:tcPr>
            <w:tcW w:w="1332" w:type="dxa"/>
            <w:noWrap w:val="0"/>
            <w:vAlign w:val="center"/>
          </w:tcPr>
          <w:p w14:paraId="2FDEA36C">
            <w:pPr>
              <w:widowControl/>
              <w:spacing w:line="280" w:lineRule="exact"/>
              <w:jc w:val="center"/>
              <w:rPr>
                <w:rFonts w:ascii="宋体" w:hAnsi="宋体"/>
                <w:color w:val="000000"/>
                <w:szCs w:val="21"/>
              </w:rPr>
            </w:pPr>
            <w:r>
              <w:rPr>
                <w:rFonts w:ascii="宋体" w:hAnsi="宋体"/>
                <w:color w:val="000000"/>
                <w:szCs w:val="21"/>
              </w:rPr>
              <w:t>发电</w:t>
            </w:r>
          </w:p>
          <w:p w14:paraId="00DA6B21">
            <w:pPr>
              <w:widowControl/>
              <w:spacing w:line="280" w:lineRule="exact"/>
              <w:jc w:val="center"/>
              <w:rPr>
                <w:rFonts w:ascii="宋体" w:hAnsi="宋体"/>
                <w:color w:val="000000"/>
                <w:szCs w:val="21"/>
              </w:rPr>
            </w:pPr>
            <w:r>
              <w:rPr>
                <w:rFonts w:ascii="宋体" w:hAnsi="宋体"/>
                <w:color w:val="000000"/>
                <w:szCs w:val="21"/>
              </w:rPr>
              <w:t>机房</w:t>
            </w:r>
          </w:p>
        </w:tc>
        <w:tc>
          <w:tcPr>
            <w:tcW w:w="1339" w:type="dxa"/>
            <w:noWrap w:val="0"/>
            <w:vAlign w:val="center"/>
          </w:tcPr>
          <w:p w14:paraId="69D42CD1">
            <w:pPr>
              <w:widowControl/>
              <w:spacing w:line="280" w:lineRule="exact"/>
              <w:jc w:val="center"/>
              <w:rPr>
                <w:rFonts w:ascii="宋体" w:hAnsi="宋体"/>
                <w:color w:val="000000"/>
                <w:szCs w:val="21"/>
              </w:rPr>
            </w:pPr>
            <w:r>
              <w:rPr>
                <w:rFonts w:ascii="宋体" w:hAnsi="宋体"/>
                <w:color w:val="000000"/>
                <w:szCs w:val="21"/>
              </w:rPr>
              <w:t>配电室</w:t>
            </w:r>
          </w:p>
        </w:tc>
        <w:tc>
          <w:tcPr>
            <w:tcW w:w="1303" w:type="dxa"/>
            <w:noWrap w:val="0"/>
            <w:vAlign w:val="top"/>
          </w:tcPr>
          <w:p w14:paraId="1AB4B9D3">
            <w:pPr>
              <w:widowControl/>
              <w:spacing w:line="280" w:lineRule="exact"/>
              <w:jc w:val="center"/>
              <w:rPr>
                <w:rFonts w:ascii="宋体" w:hAnsi="宋体"/>
                <w:color w:val="000000"/>
                <w:szCs w:val="21"/>
              </w:rPr>
            </w:pPr>
            <w:r>
              <w:rPr>
                <w:rFonts w:ascii="宋体" w:hAnsi="宋体"/>
                <w:color w:val="000000"/>
                <w:szCs w:val="21"/>
              </w:rPr>
              <w:t>污水</w:t>
            </w:r>
          </w:p>
          <w:p w14:paraId="745C8D04">
            <w:pPr>
              <w:widowControl/>
              <w:spacing w:line="280" w:lineRule="exact"/>
              <w:jc w:val="center"/>
              <w:rPr>
                <w:rFonts w:ascii="宋体" w:hAnsi="宋体"/>
                <w:color w:val="000000"/>
                <w:szCs w:val="21"/>
              </w:rPr>
            </w:pPr>
            <w:r>
              <w:rPr>
                <w:rFonts w:ascii="宋体" w:hAnsi="宋体"/>
                <w:color w:val="000000"/>
                <w:szCs w:val="21"/>
              </w:rPr>
              <w:t>处理站</w:t>
            </w:r>
          </w:p>
        </w:tc>
        <w:tc>
          <w:tcPr>
            <w:tcW w:w="1277" w:type="dxa"/>
            <w:noWrap w:val="0"/>
            <w:vAlign w:val="top"/>
          </w:tcPr>
          <w:p w14:paraId="5271D0F8">
            <w:pPr>
              <w:widowControl/>
              <w:spacing w:line="280" w:lineRule="exact"/>
              <w:jc w:val="center"/>
              <w:rPr>
                <w:rFonts w:hint="eastAsia" w:ascii="宋体" w:hAnsi="宋体"/>
                <w:color w:val="000000"/>
                <w:szCs w:val="21"/>
              </w:rPr>
            </w:pPr>
          </w:p>
          <w:p w14:paraId="0C62380E">
            <w:pPr>
              <w:widowControl/>
              <w:spacing w:line="280" w:lineRule="exact"/>
              <w:jc w:val="center"/>
              <w:rPr>
                <w:rFonts w:ascii="宋体" w:hAnsi="宋体"/>
                <w:color w:val="000000"/>
                <w:szCs w:val="21"/>
              </w:rPr>
            </w:pPr>
            <w:r>
              <w:rPr>
                <w:rFonts w:ascii="宋体" w:hAnsi="宋体"/>
                <w:color w:val="000000"/>
                <w:szCs w:val="21"/>
              </w:rPr>
              <w:t>水泵房</w:t>
            </w:r>
          </w:p>
        </w:tc>
        <w:tc>
          <w:tcPr>
            <w:tcW w:w="1310" w:type="dxa"/>
            <w:noWrap w:val="0"/>
            <w:vAlign w:val="center"/>
          </w:tcPr>
          <w:p w14:paraId="03A3D275">
            <w:pPr>
              <w:widowControl/>
              <w:spacing w:line="280" w:lineRule="exact"/>
              <w:jc w:val="center"/>
              <w:rPr>
                <w:rFonts w:ascii="宋体" w:hAnsi="宋体"/>
                <w:color w:val="000000"/>
                <w:szCs w:val="21"/>
              </w:rPr>
            </w:pPr>
            <w:r>
              <w:rPr>
                <w:rFonts w:ascii="宋体" w:hAnsi="宋体"/>
                <w:color w:val="000000"/>
                <w:szCs w:val="21"/>
              </w:rPr>
              <w:t>电梯</w:t>
            </w:r>
          </w:p>
          <w:p w14:paraId="7FEBFBAE">
            <w:pPr>
              <w:widowControl/>
              <w:spacing w:line="280" w:lineRule="exact"/>
              <w:jc w:val="center"/>
              <w:rPr>
                <w:rFonts w:ascii="宋体" w:hAnsi="宋体"/>
                <w:color w:val="000000"/>
                <w:szCs w:val="21"/>
              </w:rPr>
            </w:pPr>
            <w:r>
              <w:rPr>
                <w:rFonts w:ascii="宋体" w:hAnsi="宋体"/>
                <w:color w:val="000000"/>
                <w:szCs w:val="21"/>
              </w:rPr>
              <w:t>机房</w:t>
            </w:r>
          </w:p>
        </w:tc>
      </w:tr>
      <w:tr w14:paraId="11B27B74">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303" w:hRule="atLeast"/>
          <w:jc w:val="center"/>
        </w:trPr>
        <w:tc>
          <w:tcPr>
            <w:tcW w:w="1967" w:type="dxa"/>
            <w:noWrap w:val="0"/>
            <w:vAlign w:val="center"/>
          </w:tcPr>
          <w:p w14:paraId="69005D83">
            <w:pPr>
              <w:widowControl/>
              <w:spacing w:line="280" w:lineRule="exact"/>
              <w:jc w:val="center"/>
              <w:rPr>
                <w:rFonts w:ascii="宋体" w:hAnsi="宋体"/>
                <w:color w:val="000000"/>
                <w:szCs w:val="21"/>
              </w:rPr>
            </w:pPr>
            <w:r>
              <w:rPr>
                <w:rFonts w:ascii="宋体" w:hAnsi="宋体"/>
                <w:color w:val="000000"/>
                <w:szCs w:val="21"/>
              </w:rPr>
              <w:t>东场界</w:t>
            </w:r>
          </w:p>
        </w:tc>
        <w:tc>
          <w:tcPr>
            <w:tcW w:w="1332" w:type="dxa"/>
            <w:noWrap w:val="0"/>
            <w:vAlign w:val="center"/>
          </w:tcPr>
          <w:p w14:paraId="547E0667">
            <w:pPr>
              <w:widowControl/>
              <w:spacing w:line="280" w:lineRule="exact"/>
              <w:jc w:val="center"/>
              <w:rPr>
                <w:rFonts w:ascii="宋体" w:hAnsi="宋体"/>
                <w:color w:val="000000"/>
                <w:szCs w:val="21"/>
              </w:rPr>
            </w:pPr>
            <w:r>
              <w:rPr>
                <w:rFonts w:hint="eastAsia" w:ascii="宋体" w:hAnsi="宋体"/>
                <w:color w:val="000000"/>
                <w:szCs w:val="21"/>
              </w:rPr>
              <w:t>68</w:t>
            </w:r>
          </w:p>
        </w:tc>
        <w:tc>
          <w:tcPr>
            <w:tcW w:w="1339" w:type="dxa"/>
            <w:noWrap w:val="0"/>
            <w:vAlign w:val="center"/>
          </w:tcPr>
          <w:p w14:paraId="6A3AE3F8">
            <w:pPr>
              <w:widowControl/>
              <w:spacing w:line="280" w:lineRule="exact"/>
              <w:jc w:val="center"/>
              <w:rPr>
                <w:rFonts w:ascii="宋体" w:hAnsi="宋体"/>
                <w:color w:val="000000"/>
                <w:szCs w:val="21"/>
              </w:rPr>
            </w:pPr>
            <w:r>
              <w:rPr>
                <w:rFonts w:hint="eastAsia" w:ascii="宋体" w:hAnsi="宋体"/>
                <w:color w:val="000000"/>
                <w:szCs w:val="21"/>
              </w:rPr>
              <w:t>65</w:t>
            </w:r>
          </w:p>
        </w:tc>
        <w:tc>
          <w:tcPr>
            <w:tcW w:w="1303" w:type="dxa"/>
            <w:noWrap w:val="0"/>
            <w:vAlign w:val="top"/>
          </w:tcPr>
          <w:p w14:paraId="6DB5DA09">
            <w:pPr>
              <w:widowControl/>
              <w:spacing w:line="280" w:lineRule="exact"/>
              <w:jc w:val="center"/>
              <w:rPr>
                <w:rFonts w:hint="eastAsia" w:ascii="宋体" w:hAnsi="宋体"/>
                <w:color w:val="000000"/>
                <w:szCs w:val="21"/>
              </w:rPr>
            </w:pPr>
            <w:r>
              <w:rPr>
                <w:rFonts w:hint="eastAsia" w:ascii="宋体" w:hAnsi="宋体"/>
                <w:color w:val="000000"/>
                <w:szCs w:val="21"/>
              </w:rPr>
              <w:t>35</w:t>
            </w:r>
          </w:p>
        </w:tc>
        <w:tc>
          <w:tcPr>
            <w:tcW w:w="1277" w:type="dxa"/>
            <w:noWrap w:val="0"/>
            <w:vAlign w:val="top"/>
          </w:tcPr>
          <w:p w14:paraId="726850F5">
            <w:pPr>
              <w:widowControl/>
              <w:spacing w:line="280" w:lineRule="exact"/>
              <w:jc w:val="center"/>
              <w:rPr>
                <w:rFonts w:ascii="宋体" w:hAnsi="宋体"/>
                <w:color w:val="000000"/>
                <w:szCs w:val="21"/>
              </w:rPr>
            </w:pPr>
            <w:r>
              <w:rPr>
                <w:rFonts w:ascii="宋体" w:hAnsi="宋体"/>
                <w:color w:val="000000"/>
                <w:szCs w:val="21"/>
              </w:rPr>
              <w:t>32</w:t>
            </w:r>
          </w:p>
        </w:tc>
        <w:tc>
          <w:tcPr>
            <w:tcW w:w="1310" w:type="dxa"/>
            <w:noWrap w:val="0"/>
            <w:vAlign w:val="center"/>
          </w:tcPr>
          <w:p w14:paraId="720348B4">
            <w:pPr>
              <w:widowControl/>
              <w:spacing w:line="280" w:lineRule="exact"/>
              <w:jc w:val="center"/>
              <w:rPr>
                <w:rFonts w:ascii="宋体" w:hAnsi="宋体"/>
                <w:color w:val="000000"/>
                <w:szCs w:val="21"/>
              </w:rPr>
            </w:pPr>
            <w:r>
              <w:rPr>
                <w:rFonts w:hint="eastAsia" w:ascii="宋体" w:hAnsi="宋体"/>
                <w:color w:val="000000"/>
                <w:szCs w:val="21"/>
              </w:rPr>
              <w:t>55</w:t>
            </w:r>
          </w:p>
        </w:tc>
      </w:tr>
      <w:tr w14:paraId="2164B2DE">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326" w:hRule="atLeast"/>
          <w:jc w:val="center"/>
        </w:trPr>
        <w:tc>
          <w:tcPr>
            <w:tcW w:w="1967" w:type="dxa"/>
            <w:noWrap w:val="0"/>
            <w:vAlign w:val="center"/>
          </w:tcPr>
          <w:p w14:paraId="1F0D5814">
            <w:pPr>
              <w:widowControl/>
              <w:spacing w:line="280" w:lineRule="exact"/>
              <w:jc w:val="center"/>
              <w:rPr>
                <w:rFonts w:ascii="宋体" w:hAnsi="宋体"/>
                <w:color w:val="000000"/>
                <w:szCs w:val="21"/>
              </w:rPr>
            </w:pPr>
            <w:r>
              <w:rPr>
                <w:rFonts w:ascii="宋体" w:hAnsi="宋体"/>
                <w:color w:val="000000"/>
                <w:szCs w:val="21"/>
              </w:rPr>
              <w:t>南场界</w:t>
            </w:r>
          </w:p>
        </w:tc>
        <w:tc>
          <w:tcPr>
            <w:tcW w:w="1332" w:type="dxa"/>
            <w:noWrap w:val="0"/>
            <w:vAlign w:val="top"/>
          </w:tcPr>
          <w:p w14:paraId="6EDA9A2E">
            <w:pPr>
              <w:jc w:val="center"/>
              <w:rPr>
                <w:rFonts w:hint="eastAsia" w:ascii="宋体" w:hAnsi="宋体"/>
                <w:color w:val="000000"/>
              </w:rPr>
            </w:pPr>
            <w:r>
              <w:rPr>
                <w:rFonts w:hint="eastAsia" w:ascii="宋体" w:hAnsi="宋体"/>
                <w:color w:val="000000"/>
              </w:rPr>
              <w:t>28</w:t>
            </w:r>
          </w:p>
        </w:tc>
        <w:tc>
          <w:tcPr>
            <w:tcW w:w="1339" w:type="dxa"/>
            <w:noWrap w:val="0"/>
            <w:vAlign w:val="top"/>
          </w:tcPr>
          <w:p w14:paraId="53A7F3AE">
            <w:pPr>
              <w:jc w:val="center"/>
              <w:rPr>
                <w:rFonts w:hint="eastAsia" w:ascii="宋体" w:hAnsi="宋体"/>
                <w:color w:val="000000"/>
              </w:rPr>
            </w:pPr>
            <w:r>
              <w:rPr>
                <w:rFonts w:hint="eastAsia" w:ascii="宋体" w:hAnsi="宋体"/>
                <w:color w:val="000000"/>
              </w:rPr>
              <w:t>32</w:t>
            </w:r>
          </w:p>
        </w:tc>
        <w:tc>
          <w:tcPr>
            <w:tcW w:w="1303" w:type="dxa"/>
            <w:noWrap w:val="0"/>
            <w:vAlign w:val="top"/>
          </w:tcPr>
          <w:p w14:paraId="23C33BEC">
            <w:pPr>
              <w:widowControl/>
              <w:spacing w:line="280" w:lineRule="exact"/>
              <w:jc w:val="center"/>
              <w:rPr>
                <w:rFonts w:hint="eastAsia" w:ascii="宋体" w:hAnsi="宋体"/>
                <w:color w:val="000000"/>
                <w:szCs w:val="21"/>
              </w:rPr>
            </w:pPr>
            <w:r>
              <w:rPr>
                <w:rFonts w:hint="eastAsia" w:ascii="宋体" w:hAnsi="宋体"/>
                <w:color w:val="000000"/>
                <w:szCs w:val="21"/>
              </w:rPr>
              <w:t>98</w:t>
            </w:r>
          </w:p>
        </w:tc>
        <w:tc>
          <w:tcPr>
            <w:tcW w:w="1277" w:type="dxa"/>
            <w:noWrap w:val="0"/>
            <w:vAlign w:val="top"/>
          </w:tcPr>
          <w:p w14:paraId="7A4B565E">
            <w:pPr>
              <w:widowControl/>
              <w:spacing w:line="280" w:lineRule="exact"/>
              <w:jc w:val="center"/>
              <w:rPr>
                <w:rFonts w:hint="eastAsia" w:ascii="宋体" w:hAnsi="宋体"/>
                <w:color w:val="000000"/>
                <w:szCs w:val="21"/>
              </w:rPr>
            </w:pPr>
            <w:r>
              <w:rPr>
                <w:rFonts w:hint="eastAsia" w:ascii="宋体" w:hAnsi="宋体"/>
                <w:color w:val="000000"/>
                <w:szCs w:val="21"/>
              </w:rPr>
              <w:t>96</w:t>
            </w:r>
          </w:p>
        </w:tc>
        <w:tc>
          <w:tcPr>
            <w:tcW w:w="1310" w:type="dxa"/>
            <w:noWrap w:val="0"/>
            <w:vAlign w:val="center"/>
          </w:tcPr>
          <w:p w14:paraId="76FA4495">
            <w:pPr>
              <w:widowControl/>
              <w:spacing w:line="280" w:lineRule="exact"/>
              <w:jc w:val="center"/>
              <w:rPr>
                <w:rFonts w:hint="eastAsia" w:ascii="宋体" w:hAnsi="宋体"/>
                <w:color w:val="000000"/>
                <w:szCs w:val="21"/>
              </w:rPr>
            </w:pPr>
            <w:r>
              <w:rPr>
                <w:rFonts w:hint="eastAsia" w:ascii="宋体" w:hAnsi="宋体"/>
                <w:color w:val="000000"/>
                <w:szCs w:val="21"/>
              </w:rPr>
              <w:t>36</w:t>
            </w:r>
          </w:p>
        </w:tc>
      </w:tr>
      <w:tr w14:paraId="2E9D15E8">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303" w:hRule="atLeast"/>
          <w:jc w:val="center"/>
        </w:trPr>
        <w:tc>
          <w:tcPr>
            <w:tcW w:w="1967" w:type="dxa"/>
            <w:noWrap w:val="0"/>
            <w:vAlign w:val="center"/>
          </w:tcPr>
          <w:p w14:paraId="39B0130C">
            <w:pPr>
              <w:widowControl/>
              <w:spacing w:line="280" w:lineRule="exact"/>
              <w:jc w:val="center"/>
              <w:rPr>
                <w:rFonts w:ascii="宋体" w:hAnsi="宋体"/>
                <w:color w:val="000000"/>
                <w:szCs w:val="21"/>
              </w:rPr>
            </w:pPr>
            <w:r>
              <w:rPr>
                <w:rFonts w:ascii="宋体" w:hAnsi="宋体"/>
                <w:color w:val="000000"/>
                <w:szCs w:val="21"/>
              </w:rPr>
              <w:t>西场界</w:t>
            </w:r>
          </w:p>
        </w:tc>
        <w:tc>
          <w:tcPr>
            <w:tcW w:w="1332" w:type="dxa"/>
            <w:noWrap w:val="0"/>
            <w:vAlign w:val="top"/>
          </w:tcPr>
          <w:p w14:paraId="697FA95D">
            <w:pPr>
              <w:jc w:val="center"/>
              <w:rPr>
                <w:rFonts w:ascii="宋体" w:hAnsi="宋体"/>
                <w:color w:val="000000"/>
              </w:rPr>
            </w:pPr>
            <w:r>
              <w:rPr>
                <w:rFonts w:hint="eastAsia" w:ascii="宋体" w:hAnsi="宋体"/>
                <w:color w:val="000000"/>
              </w:rPr>
              <w:t>19</w:t>
            </w:r>
          </w:p>
        </w:tc>
        <w:tc>
          <w:tcPr>
            <w:tcW w:w="1339" w:type="dxa"/>
            <w:noWrap w:val="0"/>
            <w:vAlign w:val="top"/>
          </w:tcPr>
          <w:p w14:paraId="21E85BE7">
            <w:pPr>
              <w:jc w:val="center"/>
              <w:rPr>
                <w:rFonts w:ascii="宋体" w:hAnsi="宋体"/>
                <w:color w:val="000000"/>
              </w:rPr>
            </w:pPr>
            <w:r>
              <w:rPr>
                <w:rFonts w:hint="eastAsia" w:ascii="宋体" w:hAnsi="宋体"/>
                <w:color w:val="000000"/>
              </w:rPr>
              <w:t>18</w:t>
            </w:r>
          </w:p>
        </w:tc>
        <w:tc>
          <w:tcPr>
            <w:tcW w:w="1303" w:type="dxa"/>
            <w:noWrap w:val="0"/>
            <w:vAlign w:val="top"/>
          </w:tcPr>
          <w:p w14:paraId="5A8426D5">
            <w:pPr>
              <w:widowControl/>
              <w:spacing w:line="280" w:lineRule="exact"/>
              <w:jc w:val="center"/>
              <w:rPr>
                <w:rFonts w:hint="eastAsia" w:ascii="宋体" w:hAnsi="宋体"/>
                <w:color w:val="000000"/>
                <w:szCs w:val="21"/>
              </w:rPr>
            </w:pPr>
            <w:r>
              <w:rPr>
                <w:rFonts w:hint="eastAsia" w:ascii="宋体" w:hAnsi="宋体"/>
                <w:color w:val="000000"/>
                <w:szCs w:val="21"/>
              </w:rPr>
              <w:t>35</w:t>
            </w:r>
          </w:p>
        </w:tc>
        <w:tc>
          <w:tcPr>
            <w:tcW w:w="1277" w:type="dxa"/>
            <w:noWrap w:val="0"/>
            <w:vAlign w:val="top"/>
          </w:tcPr>
          <w:p w14:paraId="1C79FD7B">
            <w:pPr>
              <w:widowControl/>
              <w:spacing w:line="280" w:lineRule="exact"/>
              <w:jc w:val="center"/>
              <w:rPr>
                <w:rFonts w:hint="eastAsia" w:ascii="宋体" w:hAnsi="宋体"/>
                <w:color w:val="000000"/>
                <w:szCs w:val="21"/>
              </w:rPr>
            </w:pPr>
            <w:r>
              <w:rPr>
                <w:rFonts w:hint="eastAsia" w:ascii="宋体" w:hAnsi="宋体"/>
                <w:color w:val="000000"/>
                <w:szCs w:val="21"/>
              </w:rPr>
              <w:t>32</w:t>
            </w:r>
          </w:p>
        </w:tc>
        <w:tc>
          <w:tcPr>
            <w:tcW w:w="1310" w:type="dxa"/>
            <w:noWrap w:val="0"/>
            <w:vAlign w:val="center"/>
          </w:tcPr>
          <w:p w14:paraId="12237654">
            <w:pPr>
              <w:widowControl/>
              <w:spacing w:line="280" w:lineRule="exact"/>
              <w:jc w:val="center"/>
              <w:rPr>
                <w:rFonts w:hint="eastAsia" w:ascii="宋体" w:hAnsi="宋体"/>
                <w:color w:val="000000"/>
                <w:szCs w:val="21"/>
              </w:rPr>
            </w:pPr>
            <w:r>
              <w:rPr>
                <w:rFonts w:hint="eastAsia" w:ascii="宋体" w:hAnsi="宋体"/>
                <w:color w:val="000000"/>
                <w:szCs w:val="21"/>
              </w:rPr>
              <w:t>20</w:t>
            </w:r>
          </w:p>
        </w:tc>
      </w:tr>
      <w:tr w14:paraId="395F7CA4">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153" w:hRule="atLeast"/>
          <w:jc w:val="center"/>
        </w:trPr>
        <w:tc>
          <w:tcPr>
            <w:tcW w:w="1967" w:type="dxa"/>
            <w:noWrap w:val="0"/>
            <w:vAlign w:val="center"/>
          </w:tcPr>
          <w:p w14:paraId="7474E969">
            <w:pPr>
              <w:widowControl/>
              <w:spacing w:line="280" w:lineRule="exact"/>
              <w:jc w:val="center"/>
              <w:rPr>
                <w:rFonts w:ascii="宋体" w:hAnsi="宋体"/>
                <w:color w:val="000000"/>
                <w:szCs w:val="21"/>
              </w:rPr>
            </w:pPr>
            <w:r>
              <w:rPr>
                <w:rFonts w:ascii="宋体" w:hAnsi="宋体"/>
                <w:color w:val="000000"/>
                <w:szCs w:val="21"/>
              </w:rPr>
              <w:t>北场界</w:t>
            </w:r>
          </w:p>
        </w:tc>
        <w:tc>
          <w:tcPr>
            <w:tcW w:w="1332" w:type="dxa"/>
            <w:noWrap w:val="0"/>
            <w:vAlign w:val="center"/>
          </w:tcPr>
          <w:p w14:paraId="18FB1261">
            <w:pPr>
              <w:widowControl/>
              <w:spacing w:line="280" w:lineRule="exact"/>
              <w:jc w:val="center"/>
              <w:rPr>
                <w:rFonts w:ascii="宋体" w:hAnsi="宋体"/>
                <w:color w:val="000000"/>
                <w:szCs w:val="21"/>
              </w:rPr>
            </w:pPr>
            <w:r>
              <w:rPr>
                <w:rFonts w:hint="eastAsia" w:ascii="宋体" w:hAnsi="宋体"/>
                <w:color w:val="000000"/>
                <w:szCs w:val="21"/>
              </w:rPr>
              <w:t>28</w:t>
            </w:r>
          </w:p>
        </w:tc>
        <w:tc>
          <w:tcPr>
            <w:tcW w:w="1339" w:type="dxa"/>
            <w:noWrap w:val="0"/>
            <w:vAlign w:val="center"/>
          </w:tcPr>
          <w:p w14:paraId="54CD5A5B">
            <w:pPr>
              <w:widowControl/>
              <w:spacing w:line="280" w:lineRule="exact"/>
              <w:jc w:val="center"/>
              <w:rPr>
                <w:rFonts w:ascii="宋体" w:hAnsi="宋体"/>
                <w:color w:val="000000"/>
                <w:szCs w:val="21"/>
              </w:rPr>
            </w:pPr>
            <w:r>
              <w:rPr>
                <w:rFonts w:ascii="宋体" w:hAnsi="宋体"/>
                <w:color w:val="000000"/>
                <w:szCs w:val="21"/>
              </w:rPr>
              <w:t>23</w:t>
            </w:r>
          </w:p>
        </w:tc>
        <w:tc>
          <w:tcPr>
            <w:tcW w:w="1303" w:type="dxa"/>
            <w:noWrap w:val="0"/>
            <w:vAlign w:val="top"/>
          </w:tcPr>
          <w:p w14:paraId="2C195E8A">
            <w:pPr>
              <w:widowControl/>
              <w:spacing w:line="280" w:lineRule="exact"/>
              <w:jc w:val="center"/>
              <w:rPr>
                <w:rFonts w:hint="eastAsia" w:ascii="宋体" w:hAnsi="宋体"/>
                <w:color w:val="000000"/>
                <w:szCs w:val="21"/>
              </w:rPr>
            </w:pPr>
            <w:r>
              <w:rPr>
                <w:rFonts w:hint="eastAsia" w:ascii="宋体" w:hAnsi="宋体"/>
                <w:color w:val="000000"/>
                <w:szCs w:val="21"/>
              </w:rPr>
              <w:t>15</w:t>
            </w:r>
          </w:p>
        </w:tc>
        <w:tc>
          <w:tcPr>
            <w:tcW w:w="1277" w:type="dxa"/>
            <w:noWrap w:val="0"/>
            <w:vAlign w:val="top"/>
          </w:tcPr>
          <w:p w14:paraId="78141E95">
            <w:pPr>
              <w:widowControl/>
              <w:spacing w:line="280" w:lineRule="exact"/>
              <w:jc w:val="center"/>
              <w:rPr>
                <w:rFonts w:hint="eastAsia" w:ascii="宋体" w:hAnsi="宋体"/>
                <w:color w:val="000000"/>
                <w:szCs w:val="21"/>
              </w:rPr>
            </w:pPr>
            <w:r>
              <w:rPr>
                <w:rFonts w:hint="eastAsia" w:ascii="宋体" w:hAnsi="宋体"/>
                <w:color w:val="000000"/>
                <w:szCs w:val="21"/>
              </w:rPr>
              <w:t>18</w:t>
            </w:r>
          </w:p>
        </w:tc>
        <w:tc>
          <w:tcPr>
            <w:tcW w:w="1310" w:type="dxa"/>
            <w:noWrap w:val="0"/>
            <w:vAlign w:val="center"/>
          </w:tcPr>
          <w:p w14:paraId="0B66A373">
            <w:pPr>
              <w:widowControl/>
              <w:spacing w:line="280" w:lineRule="exact"/>
              <w:jc w:val="center"/>
              <w:rPr>
                <w:rFonts w:hint="eastAsia" w:ascii="宋体" w:hAnsi="宋体"/>
                <w:color w:val="000000"/>
                <w:szCs w:val="21"/>
              </w:rPr>
            </w:pPr>
            <w:r>
              <w:rPr>
                <w:rFonts w:ascii="宋体" w:hAnsi="宋体"/>
                <w:color w:val="000000"/>
                <w:szCs w:val="21"/>
              </w:rPr>
              <w:t>2</w:t>
            </w:r>
            <w:r>
              <w:rPr>
                <w:rFonts w:hint="eastAsia" w:ascii="宋体" w:hAnsi="宋体"/>
                <w:color w:val="000000"/>
                <w:szCs w:val="21"/>
              </w:rPr>
              <w:t>5</w:t>
            </w:r>
          </w:p>
        </w:tc>
      </w:tr>
      <w:tr w14:paraId="6511B558">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153" w:hRule="atLeast"/>
          <w:jc w:val="center"/>
        </w:trPr>
        <w:tc>
          <w:tcPr>
            <w:tcW w:w="1967" w:type="dxa"/>
            <w:noWrap w:val="0"/>
            <w:vAlign w:val="center"/>
          </w:tcPr>
          <w:p w14:paraId="45E00C95">
            <w:pPr>
              <w:widowControl/>
              <w:spacing w:line="280" w:lineRule="exact"/>
              <w:jc w:val="center"/>
              <w:rPr>
                <w:rFonts w:ascii="宋体" w:hAnsi="宋体"/>
                <w:color w:val="000000"/>
                <w:szCs w:val="21"/>
              </w:rPr>
            </w:pPr>
            <w:r>
              <w:rPr>
                <w:rFonts w:ascii="宋体" w:hAnsi="宋体"/>
                <w:color w:val="000000"/>
                <w:szCs w:val="21"/>
              </w:rPr>
              <w:t>医院内住院楼病房</w:t>
            </w:r>
          </w:p>
        </w:tc>
        <w:tc>
          <w:tcPr>
            <w:tcW w:w="1332" w:type="dxa"/>
            <w:noWrap w:val="0"/>
            <w:vAlign w:val="center"/>
          </w:tcPr>
          <w:p w14:paraId="3C95CCEA">
            <w:pPr>
              <w:widowControl/>
              <w:spacing w:line="280" w:lineRule="exact"/>
              <w:jc w:val="center"/>
              <w:rPr>
                <w:rFonts w:ascii="宋体" w:hAnsi="宋体"/>
                <w:color w:val="000000"/>
                <w:szCs w:val="21"/>
              </w:rPr>
            </w:pPr>
            <w:r>
              <w:rPr>
                <w:rFonts w:ascii="宋体" w:hAnsi="宋体"/>
                <w:color w:val="000000"/>
                <w:szCs w:val="21"/>
              </w:rPr>
              <w:t>20</w:t>
            </w:r>
          </w:p>
        </w:tc>
        <w:tc>
          <w:tcPr>
            <w:tcW w:w="1339" w:type="dxa"/>
            <w:noWrap w:val="0"/>
            <w:vAlign w:val="center"/>
          </w:tcPr>
          <w:p w14:paraId="41A4B4DB">
            <w:pPr>
              <w:widowControl/>
              <w:spacing w:line="280" w:lineRule="exact"/>
              <w:jc w:val="center"/>
              <w:rPr>
                <w:rFonts w:ascii="宋体" w:hAnsi="宋体"/>
                <w:color w:val="000000"/>
                <w:szCs w:val="21"/>
              </w:rPr>
            </w:pPr>
            <w:r>
              <w:rPr>
                <w:rFonts w:ascii="宋体" w:hAnsi="宋体"/>
                <w:color w:val="000000"/>
                <w:szCs w:val="21"/>
              </w:rPr>
              <w:t>20</w:t>
            </w:r>
          </w:p>
        </w:tc>
        <w:tc>
          <w:tcPr>
            <w:tcW w:w="1303" w:type="dxa"/>
            <w:noWrap w:val="0"/>
            <w:vAlign w:val="top"/>
          </w:tcPr>
          <w:p w14:paraId="16EAA2B2">
            <w:pPr>
              <w:widowControl/>
              <w:spacing w:line="280" w:lineRule="exact"/>
              <w:jc w:val="center"/>
              <w:rPr>
                <w:rFonts w:hint="eastAsia" w:ascii="宋体" w:hAnsi="宋体"/>
                <w:color w:val="000000"/>
                <w:szCs w:val="21"/>
              </w:rPr>
            </w:pPr>
            <w:r>
              <w:rPr>
                <w:rFonts w:hint="eastAsia" w:ascii="宋体" w:hAnsi="宋体"/>
                <w:color w:val="000000"/>
                <w:szCs w:val="21"/>
              </w:rPr>
              <w:t>29</w:t>
            </w:r>
          </w:p>
        </w:tc>
        <w:tc>
          <w:tcPr>
            <w:tcW w:w="1277" w:type="dxa"/>
            <w:noWrap w:val="0"/>
            <w:vAlign w:val="top"/>
          </w:tcPr>
          <w:p w14:paraId="2A9A3392">
            <w:pPr>
              <w:widowControl/>
              <w:spacing w:line="280" w:lineRule="exact"/>
              <w:jc w:val="center"/>
              <w:rPr>
                <w:rFonts w:hint="eastAsia" w:ascii="宋体" w:hAnsi="宋体"/>
                <w:color w:val="000000"/>
                <w:szCs w:val="21"/>
              </w:rPr>
            </w:pPr>
            <w:r>
              <w:rPr>
                <w:rFonts w:hint="eastAsia" w:ascii="宋体" w:hAnsi="宋体"/>
                <w:color w:val="000000"/>
                <w:szCs w:val="21"/>
              </w:rPr>
              <w:t>26</w:t>
            </w:r>
          </w:p>
        </w:tc>
        <w:tc>
          <w:tcPr>
            <w:tcW w:w="1310" w:type="dxa"/>
            <w:noWrap w:val="0"/>
            <w:vAlign w:val="center"/>
          </w:tcPr>
          <w:p w14:paraId="415B903B">
            <w:pPr>
              <w:widowControl/>
              <w:spacing w:line="280" w:lineRule="exact"/>
              <w:jc w:val="center"/>
              <w:rPr>
                <w:rFonts w:ascii="宋体" w:hAnsi="宋体"/>
                <w:color w:val="000000"/>
                <w:szCs w:val="21"/>
              </w:rPr>
            </w:pPr>
            <w:r>
              <w:rPr>
                <w:rFonts w:ascii="宋体" w:hAnsi="宋体"/>
                <w:color w:val="000000"/>
                <w:szCs w:val="21"/>
              </w:rPr>
              <w:t>20</w:t>
            </w:r>
          </w:p>
        </w:tc>
      </w:tr>
    </w:tbl>
    <w:p w14:paraId="3DF33404">
      <w:pPr>
        <w:spacing w:line="360" w:lineRule="auto"/>
        <w:ind w:firstLine="210"/>
        <w:rPr>
          <w:color w:val="000000"/>
          <w:szCs w:val="21"/>
        </w:rPr>
      </w:pPr>
      <w:r>
        <w:rPr>
          <w:color w:val="000000"/>
          <w:szCs w:val="21"/>
        </w:rPr>
        <w:t>注：发电机房、电梯机房均位于住院楼负1层。</w:t>
      </w:r>
    </w:p>
    <w:p w14:paraId="130BB38A">
      <w:pPr>
        <w:spacing w:line="500" w:lineRule="exact"/>
        <w:ind w:firstLine="200"/>
        <w:jc w:val="center"/>
        <w:rPr>
          <w:b/>
          <w:color w:val="000000"/>
          <w:sz w:val="24"/>
        </w:rPr>
      </w:pPr>
      <w:r>
        <w:rPr>
          <w:b/>
          <w:color w:val="000000"/>
          <w:sz w:val="24"/>
        </w:rPr>
        <w:t>表6.</w:t>
      </w:r>
      <w:r>
        <w:rPr>
          <w:rFonts w:hint="eastAsia"/>
          <w:b/>
          <w:color w:val="000000"/>
          <w:sz w:val="24"/>
        </w:rPr>
        <w:t>2</w:t>
      </w:r>
      <w:r>
        <w:rPr>
          <w:b/>
          <w:color w:val="000000"/>
          <w:sz w:val="24"/>
        </w:rPr>
        <w:t>-</w:t>
      </w:r>
      <w:r>
        <w:rPr>
          <w:rFonts w:hint="eastAsia"/>
          <w:b/>
          <w:color w:val="000000"/>
          <w:sz w:val="24"/>
        </w:rPr>
        <w:t>4</w:t>
      </w:r>
      <w:r>
        <w:rPr>
          <w:b/>
          <w:color w:val="000000"/>
          <w:sz w:val="24"/>
        </w:rPr>
        <w:t xml:space="preserve">  评价区域环境关心点距医院场界的距离</w:t>
      </w:r>
    </w:p>
    <w:tbl>
      <w:tblPr>
        <w:tblStyle w:val="27"/>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841"/>
        <w:gridCol w:w="3079"/>
        <w:gridCol w:w="2304"/>
        <w:gridCol w:w="2304"/>
      </w:tblGrid>
      <w:tr w14:paraId="697A28D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841" w:type="dxa"/>
            <w:noWrap w:val="0"/>
            <w:vAlign w:val="top"/>
          </w:tcPr>
          <w:p w14:paraId="6BD774C2">
            <w:pPr>
              <w:spacing w:line="360" w:lineRule="exact"/>
              <w:jc w:val="center"/>
              <w:rPr>
                <w:rFonts w:ascii="宋体" w:hAnsi="宋体"/>
                <w:color w:val="000000"/>
                <w:szCs w:val="21"/>
              </w:rPr>
            </w:pPr>
            <w:r>
              <w:rPr>
                <w:rFonts w:ascii="宋体" w:hAnsi="宋体"/>
                <w:color w:val="000000"/>
                <w:szCs w:val="21"/>
              </w:rPr>
              <w:t>序号</w:t>
            </w:r>
          </w:p>
        </w:tc>
        <w:tc>
          <w:tcPr>
            <w:tcW w:w="3079" w:type="dxa"/>
            <w:noWrap w:val="0"/>
            <w:vAlign w:val="top"/>
          </w:tcPr>
          <w:p w14:paraId="079A3214">
            <w:pPr>
              <w:spacing w:line="360" w:lineRule="exact"/>
              <w:jc w:val="center"/>
              <w:rPr>
                <w:rFonts w:ascii="宋体" w:hAnsi="宋体"/>
                <w:color w:val="000000"/>
                <w:szCs w:val="21"/>
              </w:rPr>
            </w:pPr>
            <w:r>
              <w:rPr>
                <w:rFonts w:ascii="宋体" w:hAnsi="宋体"/>
                <w:color w:val="000000"/>
                <w:szCs w:val="21"/>
              </w:rPr>
              <w:t>敏感点</w:t>
            </w:r>
          </w:p>
        </w:tc>
        <w:tc>
          <w:tcPr>
            <w:tcW w:w="2304" w:type="dxa"/>
            <w:noWrap w:val="0"/>
            <w:vAlign w:val="top"/>
          </w:tcPr>
          <w:p w14:paraId="56CDEFF2">
            <w:pPr>
              <w:spacing w:line="360" w:lineRule="exact"/>
              <w:jc w:val="center"/>
              <w:rPr>
                <w:rFonts w:ascii="宋体" w:hAnsi="宋体"/>
                <w:color w:val="000000"/>
                <w:szCs w:val="21"/>
              </w:rPr>
            </w:pPr>
            <w:r>
              <w:rPr>
                <w:rFonts w:ascii="宋体" w:hAnsi="宋体"/>
                <w:color w:val="000000"/>
                <w:szCs w:val="21"/>
              </w:rPr>
              <w:t>内容</w:t>
            </w:r>
          </w:p>
        </w:tc>
        <w:tc>
          <w:tcPr>
            <w:tcW w:w="2304" w:type="dxa"/>
            <w:noWrap w:val="0"/>
            <w:vAlign w:val="top"/>
          </w:tcPr>
          <w:p w14:paraId="6D9500FB">
            <w:pPr>
              <w:spacing w:line="360" w:lineRule="exact"/>
              <w:jc w:val="center"/>
              <w:rPr>
                <w:rFonts w:ascii="宋体" w:hAnsi="宋体"/>
                <w:color w:val="000000"/>
                <w:szCs w:val="21"/>
              </w:rPr>
            </w:pPr>
            <w:r>
              <w:rPr>
                <w:rFonts w:ascii="宋体" w:hAnsi="宋体"/>
                <w:color w:val="000000"/>
                <w:szCs w:val="21"/>
              </w:rPr>
              <w:t>方位、距离</w:t>
            </w:r>
          </w:p>
        </w:tc>
      </w:tr>
      <w:tr w14:paraId="42AC2A0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841" w:type="dxa"/>
            <w:noWrap w:val="0"/>
            <w:vAlign w:val="top"/>
          </w:tcPr>
          <w:p w14:paraId="23851603">
            <w:pPr>
              <w:pStyle w:val="201"/>
              <w:spacing w:line="360" w:lineRule="exact"/>
              <w:jc w:val="center"/>
              <w:rPr>
                <w:rFonts w:ascii="宋体" w:hAnsi="宋体"/>
                <w:color w:val="000000"/>
                <w:sz w:val="21"/>
                <w:szCs w:val="21"/>
              </w:rPr>
            </w:pPr>
            <w:r>
              <w:rPr>
                <w:rFonts w:ascii="宋体" w:hAnsi="宋体"/>
                <w:color w:val="000000"/>
                <w:sz w:val="21"/>
                <w:szCs w:val="21"/>
              </w:rPr>
              <w:t>1</w:t>
            </w:r>
          </w:p>
        </w:tc>
        <w:tc>
          <w:tcPr>
            <w:tcW w:w="3079" w:type="dxa"/>
            <w:noWrap w:val="0"/>
            <w:vAlign w:val="top"/>
          </w:tcPr>
          <w:p w14:paraId="65C75C36">
            <w:pPr>
              <w:pStyle w:val="201"/>
              <w:spacing w:line="360" w:lineRule="exact"/>
              <w:jc w:val="center"/>
              <w:rPr>
                <w:rFonts w:hint="eastAsia" w:ascii="宋体" w:hAnsi="宋体"/>
                <w:color w:val="000000"/>
                <w:sz w:val="21"/>
                <w:szCs w:val="21"/>
              </w:rPr>
            </w:pPr>
            <w:r>
              <w:rPr>
                <w:rFonts w:hint="eastAsia"/>
                <w:color w:val="000000"/>
                <w:sz w:val="21"/>
                <w:szCs w:val="21"/>
              </w:rPr>
              <w:t>泛亚壹城</w:t>
            </w:r>
          </w:p>
        </w:tc>
        <w:tc>
          <w:tcPr>
            <w:tcW w:w="2304" w:type="dxa"/>
            <w:noWrap w:val="0"/>
            <w:vAlign w:val="top"/>
          </w:tcPr>
          <w:p w14:paraId="60EAE042">
            <w:pPr>
              <w:pStyle w:val="201"/>
              <w:spacing w:line="360" w:lineRule="exact"/>
              <w:jc w:val="center"/>
              <w:rPr>
                <w:rFonts w:hint="eastAsia" w:ascii="宋体" w:hAnsi="宋体"/>
                <w:color w:val="000000"/>
                <w:sz w:val="21"/>
                <w:szCs w:val="21"/>
              </w:rPr>
            </w:pPr>
            <w:r>
              <w:rPr>
                <w:rFonts w:hint="eastAsia" w:ascii="宋体" w:hAnsi="宋体"/>
                <w:color w:val="000000"/>
                <w:sz w:val="21"/>
                <w:szCs w:val="21"/>
              </w:rPr>
              <w:t>300户</w:t>
            </w:r>
          </w:p>
        </w:tc>
        <w:tc>
          <w:tcPr>
            <w:tcW w:w="2304" w:type="dxa"/>
            <w:noWrap w:val="0"/>
            <w:vAlign w:val="top"/>
          </w:tcPr>
          <w:p w14:paraId="01518E49">
            <w:pPr>
              <w:pStyle w:val="201"/>
              <w:spacing w:line="360" w:lineRule="exact"/>
              <w:jc w:val="center"/>
              <w:rPr>
                <w:rFonts w:hint="eastAsia" w:ascii="宋体" w:hAnsi="宋体"/>
                <w:color w:val="000000"/>
                <w:sz w:val="21"/>
                <w:szCs w:val="21"/>
              </w:rPr>
            </w:pPr>
            <w:r>
              <w:rPr>
                <w:rFonts w:hint="eastAsia" w:ascii="宋体" w:hAnsi="宋体"/>
                <w:color w:val="000000"/>
                <w:sz w:val="21"/>
                <w:szCs w:val="21"/>
              </w:rPr>
              <w:t>厂</w:t>
            </w:r>
            <w:r>
              <w:rPr>
                <w:rFonts w:ascii="宋体" w:hAnsi="宋体"/>
                <w:color w:val="000000"/>
                <w:sz w:val="21"/>
                <w:szCs w:val="21"/>
              </w:rPr>
              <w:t>界</w:t>
            </w:r>
            <w:r>
              <w:rPr>
                <w:rFonts w:hint="eastAsia" w:ascii="宋体" w:hAnsi="宋体"/>
                <w:color w:val="000000"/>
                <w:sz w:val="21"/>
                <w:szCs w:val="21"/>
              </w:rPr>
              <w:t>南</w:t>
            </w:r>
            <w:r>
              <w:rPr>
                <w:rFonts w:ascii="宋体" w:hAnsi="宋体"/>
                <w:color w:val="000000"/>
                <w:sz w:val="21"/>
                <w:szCs w:val="21"/>
              </w:rPr>
              <w:t>面</w:t>
            </w:r>
            <w:r>
              <w:rPr>
                <w:rFonts w:hint="eastAsia" w:ascii="宋体" w:hAnsi="宋体"/>
                <w:color w:val="000000"/>
                <w:sz w:val="21"/>
                <w:szCs w:val="21"/>
              </w:rPr>
              <w:t>55m</w:t>
            </w:r>
          </w:p>
        </w:tc>
      </w:tr>
      <w:tr w14:paraId="5ABDA0B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54" w:hRule="atLeast"/>
          <w:jc w:val="center"/>
        </w:trPr>
        <w:tc>
          <w:tcPr>
            <w:tcW w:w="841" w:type="dxa"/>
            <w:noWrap w:val="0"/>
            <w:vAlign w:val="top"/>
          </w:tcPr>
          <w:p w14:paraId="4BF49F95">
            <w:pPr>
              <w:pStyle w:val="201"/>
              <w:spacing w:line="360" w:lineRule="exact"/>
              <w:jc w:val="center"/>
              <w:rPr>
                <w:rFonts w:ascii="宋体" w:hAnsi="宋体"/>
                <w:color w:val="000000"/>
                <w:sz w:val="21"/>
                <w:szCs w:val="21"/>
              </w:rPr>
            </w:pPr>
            <w:r>
              <w:rPr>
                <w:rFonts w:ascii="宋体" w:hAnsi="宋体"/>
                <w:color w:val="000000"/>
                <w:sz w:val="21"/>
                <w:szCs w:val="21"/>
              </w:rPr>
              <w:t>2</w:t>
            </w:r>
          </w:p>
        </w:tc>
        <w:tc>
          <w:tcPr>
            <w:tcW w:w="3079" w:type="dxa"/>
            <w:noWrap w:val="0"/>
            <w:vAlign w:val="top"/>
          </w:tcPr>
          <w:p w14:paraId="7310F6E2">
            <w:pPr>
              <w:pStyle w:val="201"/>
              <w:spacing w:line="360" w:lineRule="exact"/>
              <w:jc w:val="center"/>
              <w:rPr>
                <w:rFonts w:hint="eastAsia" w:ascii="宋体" w:hAnsi="宋体"/>
                <w:color w:val="000000"/>
                <w:sz w:val="21"/>
                <w:szCs w:val="21"/>
              </w:rPr>
            </w:pPr>
            <w:r>
              <w:rPr>
                <w:rFonts w:hint="eastAsia"/>
                <w:color w:val="000000"/>
                <w:sz w:val="21"/>
                <w:szCs w:val="21"/>
              </w:rPr>
              <w:t>芒核村</w:t>
            </w:r>
          </w:p>
        </w:tc>
        <w:tc>
          <w:tcPr>
            <w:tcW w:w="2304" w:type="dxa"/>
            <w:noWrap w:val="0"/>
            <w:vAlign w:val="top"/>
          </w:tcPr>
          <w:p w14:paraId="0BA1D4A9">
            <w:pPr>
              <w:pStyle w:val="201"/>
              <w:spacing w:line="360" w:lineRule="exact"/>
              <w:jc w:val="center"/>
              <w:rPr>
                <w:rFonts w:hint="eastAsia" w:ascii="宋体" w:hAnsi="宋体"/>
                <w:color w:val="000000"/>
                <w:sz w:val="21"/>
                <w:szCs w:val="21"/>
              </w:rPr>
            </w:pPr>
            <w:r>
              <w:rPr>
                <w:rFonts w:hint="eastAsia" w:ascii="宋体" w:hAnsi="宋体"/>
                <w:color w:val="000000"/>
                <w:sz w:val="21"/>
                <w:szCs w:val="21"/>
              </w:rPr>
              <w:t>70户</w:t>
            </w:r>
          </w:p>
        </w:tc>
        <w:tc>
          <w:tcPr>
            <w:tcW w:w="2304" w:type="dxa"/>
            <w:noWrap w:val="0"/>
            <w:vAlign w:val="top"/>
          </w:tcPr>
          <w:p w14:paraId="76A30895">
            <w:pPr>
              <w:pStyle w:val="201"/>
              <w:spacing w:line="360" w:lineRule="exact"/>
              <w:jc w:val="center"/>
              <w:rPr>
                <w:rFonts w:hint="eastAsia" w:ascii="宋体" w:hAnsi="宋体"/>
                <w:color w:val="000000"/>
                <w:sz w:val="21"/>
                <w:szCs w:val="21"/>
              </w:rPr>
            </w:pPr>
            <w:r>
              <w:rPr>
                <w:rFonts w:hint="eastAsia" w:ascii="宋体" w:hAnsi="宋体"/>
                <w:color w:val="000000"/>
                <w:sz w:val="21"/>
                <w:szCs w:val="21"/>
              </w:rPr>
              <w:t>厂</w:t>
            </w:r>
            <w:r>
              <w:rPr>
                <w:rFonts w:ascii="宋体" w:hAnsi="宋体"/>
                <w:color w:val="000000"/>
                <w:sz w:val="21"/>
                <w:szCs w:val="21"/>
              </w:rPr>
              <w:t>界</w:t>
            </w:r>
            <w:r>
              <w:rPr>
                <w:rFonts w:hint="eastAsia" w:ascii="宋体" w:hAnsi="宋体"/>
                <w:color w:val="000000"/>
                <w:sz w:val="21"/>
                <w:szCs w:val="21"/>
              </w:rPr>
              <w:t>北面165m</w:t>
            </w:r>
          </w:p>
        </w:tc>
      </w:tr>
      <w:tr w14:paraId="0B2CD04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841" w:type="dxa"/>
            <w:noWrap w:val="0"/>
            <w:vAlign w:val="top"/>
          </w:tcPr>
          <w:p w14:paraId="6D5AF969">
            <w:pPr>
              <w:pStyle w:val="201"/>
              <w:spacing w:line="360" w:lineRule="exact"/>
              <w:jc w:val="center"/>
              <w:rPr>
                <w:rFonts w:ascii="宋体" w:hAnsi="宋体"/>
                <w:color w:val="000000"/>
                <w:sz w:val="21"/>
                <w:szCs w:val="21"/>
              </w:rPr>
            </w:pPr>
            <w:r>
              <w:rPr>
                <w:rFonts w:ascii="宋体" w:hAnsi="宋体"/>
                <w:color w:val="000000"/>
                <w:sz w:val="21"/>
                <w:szCs w:val="21"/>
              </w:rPr>
              <w:t>3</w:t>
            </w:r>
          </w:p>
        </w:tc>
        <w:tc>
          <w:tcPr>
            <w:tcW w:w="3079" w:type="dxa"/>
            <w:vMerge w:val="restart"/>
            <w:noWrap w:val="0"/>
            <w:vAlign w:val="top"/>
          </w:tcPr>
          <w:p w14:paraId="6D549336">
            <w:pPr>
              <w:pStyle w:val="201"/>
              <w:spacing w:line="360" w:lineRule="exact"/>
              <w:jc w:val="center"/>
              <w:rPr>
                <w:rFonts w:hint="eastAsia" w:ascii="宋体" w:hAnsi="宋体"/>
                <w:color w:val="000000"/>
                <w:sz w:val="21"/>
                <w:szCs w:val="21"/>
              </w:rPr>
            </w:pPr>
            <w:r>
              <w:rPr>
                <w:rFonts w:hint="eastAsia"/>
                <w:color w:val="000000"/>
                <w:sz w:val="21"/>
                <w:szCs w:val="21"/>
              </w:rPr>
              <w:t>商住混合居民区</w:t>
            </w:r>
          </w:p>
        </w:tc>
        <w:tc>
          <w:tcPr>
            <w:tcW w:w="2304" w:type="dxa"/>
            <w:noWrap w:val="0"/>
            <w:vAlign w:val="top"/>
          </w:tcPr>
          <w:p w14:paraId="021D1370">
            <w:pPr>
              <w:pStyle w:val="201"/>
              <w:spacing w:line="360" w:lineRule="exact"/>
              <w:jc w:val="center"/>
              <w:rPr>
                <w:rFonts w:hint="eastAsia" w:ascii="宋体" w:hAnsi="宋体"/>
                <w:color w:val="000000"/>
                <w:sz w:val="21"/>
                <w:szCs w:val="21"/>
              </w:rPr>
            </w:pPr>
            <w:r>
              <w:rPr>
                <w:rFonts w:hint="eastAsia" w:ascii="宋体" w:hAnsi="宋体"/>
                <w:color w:val="000000"/>
                <w:sz w:val="21"/>
                <w:szCs w:val="21"/>
              </w:rPr>
              <w:t>7户</w:t>
            </w:r>
          </w:p>
        </w:tc>
        <w:tc>
          <w:tcPr>
            <w:tcW w:w="2304" w:type="dxa"/>
            <w:noWrap w:val="0"/>
            <w:vAlign w:val="top"/>
          </w:tcPr>
          <w:p w14:paraId="40C92A8A">
            <w:pPr>
              <w:pStyle w:val="201"/>
              <w:spacing w:line="360" w:lineRule="exact"/>
              <w:jc w:val="center"/>
              <w:rPr>
                <w:rFonts w:hint="eastAsia" w:ascii="宋体" w:hAnsi="宋体"/>
                <w:color w:val="000000"/>
                <w:sz w:val="21"/>
                <w:szCs w:val="21"/>
              </w:rPr>
            </w:pPr>
            <w:r>
              <w:rPr>
                <w:rFonts w:hint="eastAsia" w:ascii="宋体" w:hAnsi="宋体"/>
                <w:color w:val="000000"/>
                <w:sz w:val="21"/>
                <w:szCs w:val="21"/>
              </w:rPr>
              <w:t>厂</w:t>
            </w:r>
            <w:r>
              <w:rPr>
                <w:rFonts w:ascii="宋体" w:hAnsi="宋体"/>
                <w:color w:val="000000"/>
                <w:sz w:val="21"/>
                <w:szCs w:val="21"/>
              </w:rPr>
              <w:t>界</w:t>
            </w:r>
            <w:r>
              <w:rPr>
                <w:rFonts w:hint="eastAsia" w:ascii="宋体" w:hAnsi="宋体"/>
                <w:color w:val="000000"/>
                <w:sz w:val="21"/>
                <w:szCs w:val="21"/>
              </w:rPr>
              <w:t>东面35m</w:t>
            </w:r>
          </w:p>
        </w:tc>
      </w:tr>
      <w:tr w14:paraId="55DC4AD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841" w:type="dxa"/>
            <w:noWrap w:val="0"/>
            <w:vAlign w:val="top"/>
          </w:tcPr>
          <w:p w14:paraId="1876A5A0">
            <w:pPr>
              <w:pStyle w:val="201"/>
              <w:spacing w:line="360" w:lineRule="exact"/>
              <w:jc w:val="center"/>
              <w:rPr>
                <w:rFonts w:hint="eastAsia" w:ascii="宋体" w:hAnsi="宋体"/>
                <w:color w:val="000000"/>
                <w:sz w:val="21"/>
                <w:szCs w:val="21"/>
              </w:rPr>
            </w:pPr>
            <w:r>
              <w:rPr>
                <w:rFonts w:hint="eastAsia" w:ascii="宋体" w:hAnsi="宋体"/>
                <w:color w:val="000000"/>
                <w:sz w:val="21"/>
                <w:szCs w:val="21"/>
              </w:rPr>
              <w:t>4</w:t>
            </w:r>
          </w:p>
        </w:tc>
        <w:tc>
          <w:tcPr>
            <w:tcW w:w="3079" w:type="dxa"/>
            <w:vMerge w:val="continue"/>
            <w:noWrap w:val="0"/>
            <w:vAlign w:val="top"/>
          </w:tcPr>
          <w:p w14:paraId="7F1A3AA8">
            <w:pPr>
              <w:pStyle w:val="201"/>
              <w:spacing w:line="360" w:lineRule="exact"/>
              <w:jc w:val="center"/>
              <w:rPr>
                <w:rFonts w:hint="eastAsia" w:ascii="宋体" w:hAnsi="宋体"/>
                <w:color w:val="000000"/>
                <w:sz w:val="21"/>
                <w:szCs w:val="21"/>
              </w:rPr>
            </w:pPr>
          </w:p>
        </w:tc>
        <w:tc>
          <w:tcPr>
            <w:tcW w:w="2304" w:type="dxa"/>
            <w:noWrap w:val="0"/>
            <w:vAlign w:val="top"/>
          </w:tcPr>
          <w:p w14:paraId="2A0EEE6E">
            <w:pPr>
              <w:pStyle w:val="201"/>
              <w:spacing w:line="360" w:lineRule="exact"/>
              <w:jc w:val="center"/>
              <w:rPr>
                <w:rFonts w:hint="eastAsia" w:ascii="宋体" w:hAnsi="宋体"/>
                <w:color w:val="000000"/>
                <w:sz w:val="21"/>
                <w:szCs w:val="21"/>
              </w:rPr>
            </w:pPr>
            <w:r>
              <w:rPr>
                <w:rFonts w:hint="eastAsia" w:ascii="宋体" w:hAnsi="宋体"/>
                <w:color w:val="000000"/>
                <w:sz w:val="21"/>
                <w:szCs w:val="21"/>
              </w:rPr>
              <w:t>9户</w:t>
            </w:r>
          </w:p>
        </w:tc>
        <w:tc>
          <w:tcPr>
            <w:tcW w:w="2304" w:type="dxa"/>
            <w:noWrap w:val="0"/>
            <w:vAlign w:val="top"/>
          </w:tcPr>
          <w:p w14:paraId="50344E50">
            <w:pPr>
              <w:pStyle w:val="201"/>
              <w:spacing w:line="360" w:lineRule="exact"/>
              <w:jc w:val="center"/>
              <w:rPr>
                <w:rFonts w:hint="eastAsia" w:ascii="宋体" w:hAnsi="宋体"/>
                <w:color w:val="000000"/>
                <w:sz w:val="21"/>
                <w:szCs w:val="21"/>
              </w:rPr>
            </w:pPr>
            <w:r>
              <w:rPr>
                <w:rFonts w:hint="eastAsia" w:ascii="宋体" w:hAnsi="宋体"/>
                <w:color w:val="000000"/>
                <w:sz w:val="21"/>
                <w:szCs w:val="21"/>
              </w:rPr>
              <w:t>厂界北面15m</w:t>
            </w:r>
          </w:p>
        </w:tc>
      </w:tr>
      <w:tr w14:paraId="36D0DFF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841" w:type="dxa"/>
            <w:noWrap w:val="0"/>
            <w:vAlign w:val="top"/>
          </w:tcPr>
          <w:p w14:paraId="10FF686F">
            <w:pPr>
              <w:pStyle w:val="201"/>
              <w:spacing w:line="360" w:lineRule="exact"/>
              <w:jc w:val="center"/>
              <w:rPr>
                <w:rFonts w:hint="eastAsia" w:ascii="宋体" w:hAnsi="宋体"/>
                <w:color w:val="000000"/>
                <w:sz w:val="21"/>
                <w:szCs w:val="21"/>
              </w:rPr>
            </w:pPr>
            <w:r>
              <w:rPr>
                <w:rFonts w:hint="eastAsia" w:ascii="宋体" w:hAnsi="宋体"/>
                <w:color w:val="000000"/>
                <w:sz w:val="21"/>
                <w:szCs w:val="21"/>
              </w:rPr>
              <w:t>5</w:t>
            </w:r>
          </w:p>
        </w:tc>
        <w:tc>
          <w:tcPr>
            <w:tcW w:w="3079" w:type="dxa"/>
            <w:noWrap w:val="0"/>
            <w:vAlign w:val="top"/>
          </w:tcPr>
          <w:p w14:paraId="6D0453D7">
            <w:pPr>
              <w:pStyle w:val="201"/>
              <w:spacing w:line="360" w:lineRule="exact"/>
              <w:jc w:val="center"/>
              <w:rPr>
                <w:rFonts w:ascii="宋体" w:hAnsi="宋体"/>
                <w:color w:val="000000"/>
                <w:sz w:val="21"/>
                <w:szCs w:val="21"/>
              </w:rPr>
            </w:pPr>
            <w:r>
              <w:rPr>
                <w:rFonts w:ascii="宋体" w:hAnsi="宋体"/>
                <w:color w:val="000000"/>
                <w:sz w:val="21"/>
                <w:szCs w:val="21"/>
              </w:rPr>
              <w:t>医院内住院楼病房</w:t>
            </w:r>
          </w:p>
        </w:tc>
        <w:tc>
          <w:tcPr>
            <w:tcW w:w="2304" w:type="dxa"/>
            <w:noWrap w:val="0"/>
            <w:vAlign w:val="top"/>
          </w:tcPr>
          <w:p w14:paraId="34DF9D18">
            <w:pPr>
              <w:pStyle w:val="201"/>
              <w:spacing w:line="360" w:lineRule="exact"/>
              <w:jc w:val="center"/>
              <w:rPr>
                <w:rFonts w:hint="eastAsia" w:ascii="宋体" w:hAnsi="宋体"/>
                <w:color w:val="000000"/>
                <w:sz w:val="21"/>
                <w:szCs w:val="21"/>
              </w:rPr>
            </w:pPr>
            <w:r>
              <w:rPr>
                <w:rFonts w:hint="eastAsia" w:ascii="宋体" w:hAnsi="宋体"/>
                <w:color w:val="000000"/>
                <w:sz w:val="21"/>
                <w:szCs w:val="21"/>
              </w:rPr>
              <w:t>230床</w:t>
            </w:r>
          </w:p>
        </w:tc>
        <w:tc>
          <w:tcPr>
            <w:tcW w:w="2304" w:type="dxa"/>
            <w:noWrap w:val="0"/>
            <w:vAlign w:val="top"/>
          </w:tcPr>
          <w:p w14:paraId="2BB1238D">
            <w:pPr>
              <w:pStyle w:val="201"/>
              <w:spacing w:line="360" w:lineRule="exact"/>
              <w:jc w:val="center"/>
              <w:rPr>
                <w:rFonts w:hint="eastAsia" w:ascii="宋体" w:hAnsi="宋体"/>
                <w:color w:val="000000"/>
                <w:sz w:val="21"/>
                <w:szCs w:val="21"/>
              </w:rPr>
            </w:pPr>
            <w:r>
              <w:rPr>
                <w:rFonts w:hint="eastAsia" w:ascii="宋体" w:hAnsi="宋体"/>
                <w:color w:val="000000"/>
                <w:sz w:val="21"/>
                <w:szCs w:val="21"/>
              </w:rPr>
              <w:t>20m</w:t>
            </w:r>
          </w:p>
        </w:tc>
      </w:tr>
    </w:tbl>
    <w:p w14:paraId="31B65A1A">
      <w:pPr>
        <w:spacing w:before="120" w:line="360" w:lineRule="auto"/>
        <w:ind w:firstLine="480"/>
        <w:rPr>
          <w:color w:val="000000"/>
          <w:sz w:val="24"/>
        </w:rPr>
      </w:pPr>
      <w:r>
        <w:rPr>
          <w:rFonts w:hint="eastAsia"/>
          <w:color w:val="000000"/>
          <w:sz w:val="24"/>
        </w:rPr>
        <w:t>（2）</w:t>
      </w:r>
      <w:r>
        <w:rPr>
          <w:color w:val="000000"/>
          <w:sz w:val="24"/>
        </w:rPr>
        <w:t>预测模式</w:t>
      </w:r>
    </w:p>
    <w:p w14:paraId="24383978">
      <w:pPr>
        <w:spacing w:line="360" w:lineRule="auto"/>
        <w:ind w:firstLine="480"/>
        <w:rPr>
          <w:rFonts w:ascii="宋体" w:hAnsi="宋体"/>
          <w:color w:val="000000"/>
          <w:sz w:val="24"/>
        </w:rPr>
      </w:pPr>
      <w:r>
        <w:rPr>
          <w:rFonts w:ascii="宋体" w:hAnsi="宋体"/>
          <w:color w:val="000000"/>
          <w:sz w:val="24"/>
        </w:rPr>
        <w:t>评价以各个设备房为点源，采用点声源模式预测噪声源对环境的影响，预测仅考虑距离衰减。预测中噪声源强取采取措施后的噪声值。</w:t>
      </w:r>
    </w:p>
    <w:p w14:paraId="4E2A2C06">
      <w:pPr>
        <w:pStyle w:val="191"/>
        <w:ind w:firstLine="482"/>
        <w:rPr>
          <w:rFonts w:eastAsia="宋体"/>
          <w:color w:val="000000"/>
          <w:sz w:val="24"/>
          <w:szCs w:val="24"/>
        </w:rPr>
      </w:pPr>
      <w:r>
        <w:rPr>
          <w:rFonts w:eastAsia="宋体"/>
          <w:color w:val="000000"/>
          <w:sz w:val="24"/>
          <w:szCs w:val="24"/>
        </w:rPr>
        <w:t>预测模式如下：</w:t>
      </w:r>
    </w:p>
    <w:p w14:paraId="75FB679B">
      <w:pPr>
        <w:spacing w:line="360" w:lineRule="auto"/>
        <w:ind w:firstLine="482"/>
        <w:rPr>
          <w:rFonts w:ascii="宋体" w:hAnsi="宋体"/>
          <w:color w:val="000000"/>
          <w:sz w:val="24"/>
        </w:rPr>
      </w:pPr>
      <w:r>
        <w:rPr>
          <w:rFonts w:ascii="宋体" w:hAnsi="宋体"/>
          <w:color w:val="000000"/>
          <w:sz w:val="24"/>
        </w:rPr>
        <w:t>声压级合成模式：</w:t>
      </w:r>
    </w:p>
    <w:p w14:paraId="38F2433E">
      <w:pPr>
        <w:spacing w:line="360" w:lineRule="auto"/>
        <w:ind w:firstLine="480"/>
        <w:jc w:val="center"/>
        <w:rPr>
          <w:rFonts w:ascii="宋体" w:hAnsi="宋体"/>
          <w:color w:val="000000"/>
          <w:sz w:val="24"/>
        </w:rPr>
      </w:pPr>
      <w:r>
        <w:rPr>
          <w:rFonts w:ascii="宋体" w:hAnsi="宋体"/>
          <w:color w:val="000000"/>
          <w:sz w:val="24"/>
        </w:rPr>
        <w:object>
          <v:shape id="_x0000_i1028" o:spt="75" type="#_x0000_t75" style="height:43.85pt;width:127.75pt;" o:ole="t" filled="f" o:preferrelative="t" stroked="f" coordsize="21600,21600">
            <v:path/>
            <v:fill on="f" focussize="0,0"/>
            <v:stroke on="f" joinstyle="miter"/>
            <v:imagedata r:id="rId32" o:title=""/>
            <o:lock v:ext="edit" rotation="t" aspectratio="t"/>
            <w10:wrap type="none"/>
            <w10:anchorlock/>
          </v:shape>
          <o:OLEObject Type="Embed" ProgID="Equation.3" ShapeID="_x0000_i1028" DrawAspect="Content" ObjectID="_1468075728" r:id="rId31">
            <o:LockedField>false</o:LockedField>
          </o:OLEObject>
        </w:object>
      </w:r>
    </w:p>
    <w:p w14:paraId="07C8266E">
      <w:pPr>
        <w:spacing w:line="360" w:lineRule="auto"/>
        <w:ind w:firstLine="676"/>
        <w:rPr>
          <w:rFonts w:ascii="宋体" w:hAnsi="宋体"/>
          <w:color w:val="000000"/>
          <w:sz w:val="24"/>
        </w:rPr>
      </w:pPr>
      <w:r>
        <w:rPr>
          <w:rFonts w:ascii="宋体" w:hAnsi="宋体"/>
          <w:color w:val="000000"/>
          <w:sz w:val="24"/>
        </w:rPr>
        <w:t>式中：</w:t>
      </w:r>
    </w:p>
    <w:p w14:paraId="7552BB8B">
      <w:pPr>
        <w:spacing w:line="360" w:lineRule="auto"/>
        <w:ind w:firstLine="720"/>
        <w:rPr>
          <w:rFonts w:ascii="宋体" w:hAnsi="宋体"/>
          <w:color w:val="000000"/>
          <w:sz w:val="24"/>
        </w:rPr>
      </w:pPr>
      <w:r>
        <w:rPr>
          <w:rFonts w:ascii="宋体" w:hAnsi="宋体"/>
          <w:color w:val="000000"/>
          <w:sz w:val="24"/>
        </w:rPr>
        <w:object>
          <v:shape id="_x0000_i1029" o:spt="75" type="#_x0000_t75" style="height:18.75pt;width:18.75pt;" o:ole="t" filled="f" o:preferrelative="t" stroked="f" coordsize="21600,21600">
            <v:path/>
            <v:fill on="f" focussize="0,0"/>
            <v:stroke on="f" joinstyle="miter"/>
            <v:imagedata r:id="rId34" o:title=""/>
            <o:lock v:ext="edit" rotation="t" aspectratio="t"/>
            <w10:wrap type="none"/>
            <w10:anchorlock/>
          </v:shape>
          <o:OLEObject Type="Embed" ProgID="Equation.3" ShapeID="_x0000_i1029" DrawAspect="Content" ObjectID="_1468075729" r:id="rId33">
            <o:LockedField>false</o:LockedField>
          </o:OLEObject>
        </w:object>
      </w:r>
      <w:r>
        <w:rPr>
          <w:rFonts w:ascii="宋体" w:hAnsi="宋体"/>
          <w:color w:val="000000"/>
          <w:sz w:val="24"/>
        </w:rPr>
        <w:t>—预测点总声压级，dB（A）；</w:t>
      </w:r>
    </w:p>
    <w:p w14:paraId="588583CC">
      <w:pPr>
        <w:spacing w:line="360" w:lineRule="auto"/>
        <w:ind w:firstLine="720"/>
        <w:rPr>
          <w:rFonts w:ascii="宋体" w:hAnsi="宋体"/>
          <w:color w:val="000000"/>
          <w:sz w:val="24"/>
        </w:rPr>
      </w:pPr>
      <w:r>
        <w:rPr>
          <w:rFonts w:ascii="宋体" w:hAnsi="宋体"/>
          <w:color w:val="000000"/>
          <w:position w:val="-12"/>
          <w:sz w:val="24"/>
        </w:rPr>
        <w:object>
          <v:shape id="_x0000_i1030" o:spt="75" type="#_x0000_t75" style="height:21.75pt;width:13.4pt;" o:ole="t" filled="f" o:preferrelative="t" stroked="f" coordsize="21600,21600">
            <v:path/>
            <v:fill on="f" focussize="0,0"/>
            <v:stroke on="f" joinstyle="miter"/>
            <v:imagedata r:id="rId36" o:title=""/>
            <o:lock v:ext="edit" rotation="t" aspectratio="t"/>
            <w10:wrap type="none"/>
            <w10:anchorlock/>
          </v:shape>
          <o:OLEObject Type="Embed" ProgID="Equation.3" ShapeID="_x0000_i1030" DrawAspect="Content" ObjectID="_1468075730" r:id="rId35">
            <o:LockedField>false</o:LockedField>
          </o:OLEObject>
        </w:object>
      </w:r>
      <w:r>
        <w:rPr>
          <w:rFonts w:ascii="宋体" w:hAnsi="宋体"/>
          <w:color w:val="000000"/>
          <w:sz w:val="24"/>
        </w:rPr>
        <w:t>—第i个点声源在预测点产生的A声压级，dB（A）；</w:t>
      </w:r>
    </w:p>
    <w:p w14:paraId="540C326C">
      <w:pPr>
        <w:spacing w:line="360" w:lineRule="auto"/>
        <w:ind w:firstLine="720"/>
        <w:rPr>
          <w:rFonts w:ascii="宋体" w:hAnsi="宋体"/>
          <w:color w:val="000000"/>
          <w:sz w:val="24"/>
        </w:rPr>
      </w:pPr>
      <w:r>
        <w:rPr>
          <w:rFonts w:ascii="宋体" w:hAnsi="宋体"/>
          <w:color w:val="000000"/>
          <w:sz w:val="24"/>
        </w:rPr>
        <w:t>N——声源个数。</w:t>
      </w:r>
    </w:p>
    <w:p w14:paraId="5D48B775">
      <w:pPr>
        <w:pStyle w:val="191"/>
        <w:ind w:firstLine="480"/>
        <w:rPr>
          <w:rFonts w:hint="eastAsia" w:eastAsia="宋体"/>
          <w:color w:val="000000"/>
          <w:sz w:val="24"/>
          <w:szCs w:val="24"/>
        </w:rPr>
      </w:pPr>
      <w:r>
        <w:rPr>
          <w:rFonts w:hint="eastAsia" w:eastAsia="宋体"/>
          <w:bCs/>
          <w:color w:val="000000"/>
          <w:sz w:val="24"/>
          <w:szCs w:val="24"/>
        </w:rPr>
        <w:t>噪声自然衰减</w:t>
      </w:r>
      <w:r>
        <w:rPr>
          <w:rFonts w:eastAsia="宋体"/>
          <w:bCs/>
          <w:color w:val="000000"/>
          <w:sz w:val="24"/>
          <w:szCs w:val="24"/>
        </w:rPr>
        <w:t>预测模式：</w:t>
      </w:r>
    </w:p>
    <w:p w14:paraId="554AF17F">
      <w:pPr>
        <w:spacing w:line="360" w:lineRule="auto"/>
        <w:ind w:firstLine="480"/>
        <w:jc w:val="center"/>
        <w:rPr>
          <w:rFonts w:ascii="宋体" w:hAnsi="宋体"/>
          <w:color w:val="000000"/>
          <w:sz w:val="24"/>
        </w:rPr>
      </w:pPr>
      <w:r>
        <w:rPr>
          <w:rFonts w:ascii="宋体" w:hAnsi="宋体"/>
          <w:color w:val="000000"/>
          <w:position w:val="-32"/>
          <w:sz w:val="24"/>
        </w:rPr>
        <w:object>
          <v:shape id="_x0000_i1031" o:spt="75" type="#_x0000_t75" style="height:39.8pt;width:125.75pt;" o:ole="t" filled="f" o:preferrelative="t" stroked="f" coordsize="21600,21600">
            <v:path/>
            <v:fill on="f" focussize="0,0"/>
            <v:stroke on="f" joinstyle="miter"/>
            <v:imagedata r:id="rId38" o:title=""/>
            <o:lock v:ext="edit" rotation="t" aspectratio="t"/>
            <w10:wrap type="none"/>
            <w10:anchorlock/>
          </v:shape>
          <o:OLEObject Type="Embed" ProgID="Equation.3" ShapeID="_x0000_i1031" DrawAspect="Content" ObjectID="_1468075731" r:id="rId37">
            <o:LockedField>false</o:LockedField>
          </o:OLEObject>
        </w:object>
      </w:r>
    </w:p>
    <w:p w14:paraId="3B545609">
      <w:pPr>
        <w:spacing w:line="360" w:lineRule="auto"/>
        <w:ind w:firstLine="480"/>
        <w:rPr>
          <w:rFonts w:ascii="宋体" w:hAnsi="宋体"/>
          <w:color w:val="000000"/>
          <w:sz w:val="24"/>
        </w:rPr>
      </w:pPr>
      <w:r>
        <w:rPr>
          <w:rFonts w:ascii="宋体" w:hAnsi="宋体"/>
          <w:color w:val="000000"/>
          <w:sz w:val="24"/>
        </w:rPr>
        <w:t>式中：</w:t>
      </w:r>
      <w:r>
        <w:rPr>
          <w:rFonts w:ascii="宋体" w:hAnsi="宋体"/>
          <w:color w:val="000000"/>
          <w:position w:val="-10"/>
          <w:sz w:val="24"/>
        </w:rPr>
        <w:object>
          <v:shape id="_x0000_i1032" o:spt="75" type="#_x0000_t75" style="height:20.2pt;width:36.4pt;" o:ole="t" filled="f" o:preferrelative="t" stroked="f" coordsize="21600,21600">
            <v:path/>
            <v:fill on="f" focussize="0,0"/>
            <v:stroke on="f" joinstyle="miter"/>
            <v:imagedata r:id="rId40" o:title=""/>
            <o:lock v:ext="edit" rotation="t" aspectratio="t"/>
            <w10:wrap type="none"/>
            <w10:anchorlock/>
          </v:shape>
          <o:OLEObject Type="Embed" ProgID="Equation.3" ShapeID="_x0000_i1032" DrawAspect="Content" ObjectID="_1468075732" r:id="rId39">
            <o:LockedField>false</o:LockedField>
          </o:OLEObject>
        </w:object>
      </w:r>
      <w:r>
        <w:rPr>
          <w:rFonts w:ascii="宋体" w:hAnsi="宋体"/>
          <w:color w:val="000000"/>
          <w:sz w:val="24"/>
        </w:rPr>
        <w:t>──点声源在预测点产生的声压级，dB(A)；</w:t>
      </w:r>
    </w:p>
    <w:p w14:paraId="17F96314">
      <w:pPr>
        <w:spacing w:line="360" w:lineRule="auto"/>
        <w:ind w:firstLine="1200"/>
        <w:rPr>
          <w:rFonts w:ascii="宋体" w:hAnsi="宋体"/>
          <w:color w:val="000000"/>
          <w:sz w:val="24"/>
        </w:rPr>
      </w:pPr>
      <w:r>
        <w:rPr>
          <w:rFonts w:ascii="宋体" w:hAnsi="宋体"/>
          <w:color w:val="000000"/>
          <w:sz w:val="24"/>
        </w:rPr>
        <w:object>
          <v:shape id="_x0000_i1033" o:spt="75" type="#_x0000_t75" style="height:19.35pt;width:38.95pt;" o:ole="t" filled="f" o:preferrelative="t" stroked="f" coordsize="21600,21600">
            <v:path/>
            <v:fill on="f" focussize="0,0"/>
            <v:stroke on="f" joinstyle="miter"/>
            <v:imagedata r:id="rId42" o:title=""/>
            <o:lock v:ext="edit" rotation="t" aspectratio="t"/>
            <w10:wrap type="none"/>
            <w10:anchorlock/>
          </v:shape>
          <o:OLEObject Type="Embed" ProgID="Equation.3" ShapeID="_x0000_i1033" DrawAspect="Content" ObjectID="_1468075733" r:id="rId41">
            <o:LockedField>false</o:LockedField>
          </o:OLEObject>
        </w:object>
      </w:r>
      <w:r>
        <w:rPr>
          <w:rFonts w:ascii="宋体" w:hAnsi="宋体"/>
          <w:color w:val="000000"/>
          <w:sz w:val="24"/>
        </w:rPr>
        <w:t>──参考位置</w:t>
      </w:r>
      <w:r>
        <w:rPr>
          <w:rFonts w:ascii="宋体" w:hAnsi="宋体"/>
          <w:color w:val="000000"/>
          <w:sz w:val="24"/>
        </w:rPr>
        <w:object>
          <v:shape id="_x0000_i1034" o:spt="75" type="#_x0000_t75" style="height:17.95pt;width:11pt;" o:ole="t" filled="f" o:preferrelative="t" stroked="f" coordsize="21600,21600">
            <v:path/>
            <v:fill on="f" focussize="0,0"/>
            <v:stroke on="f" joinstyle="miter"/>
            <v:imagedata r:id="rId44" o:title=""/>
            <o:lock v:ext="edit" rotation="t" aspectratio="t"/>
            <w10:wrap type="none"/>
            <w10:anchorlock/>
          </v:shape>
          <o:OLEObject Type="Embed" ProgID="Equation.3" ShapeID="_x0000_i1034" DrawAspect="Content" ObjectID="_1468075734" r:id="rId43">
            <o:LockedField>false</o:LockedField>
          </o:OLEObject>
        </w:object>
      </w:r>
      <w:r>
        <w:rPr>
          <w:rFonts w:ascii="宋体" w:hAnsi="宋体"/>
          <w:color w:val="000000"/>
          <w:sz w:val="24"/>
        </w:rPr>
        <w:t>处</w:t>
      </w:r>
      <w:r>
        <w:rPr>
          <w:rFonts w:hint="eastAsia" w:ascii="宋体" w:hAnsi="宋体"/>
          <w:color w:val="000000"/>
          <w:sz w:val="24"/>
          <w:lang w:eastAsia="zh-CN"/>
        </w:rPr>
        <w:t>的</w:t>
      </w:r>
      <w:r>
        <w:rPr>
          <w:rFonts w:ascii="宋体" w:hAnsi="宋体"/>
          <w:color w:val="000000"/>
          <w:sz w:val="24"/>
        </w:rPr>
        <w:t>声压级，dB(A)；</w:t>
      </w:r>
    </w:p>
    <w:p w14:paraId="41F464E4">
      <w:pPr>
        <w:spacing w:line="360" w:lineRule="auto"/>
        <w:ind w:firstLine="1200"/>
        <w:rPr>
          <w:rFonts w:ascii="宋体" w:hAnsi="宋体"/>
          <w:color w:val="000000"/>
          <w:sz w:val="24"/>
        </w:rPr>
      </w:pPr>
      <w:r>
        <w:rPr>
          <w:rFonts w:ascii="宋体" w:hAnsi="宋体"/>
          <w:color w:val="000000"/>
          <w:sz w:val="24"/>
        </w:rPr>
        <w:object>
          <v:shape id="_x0000_i1035" o:spt="75" type="#_x0000_t75" style="height:9.95pt;width:9pt;" o:ole="t" filled="f" o:preferrelative="t" stroked="f" coordsize="21600,21600">
            <v:path/>
            <v:fill on="f" focussize="0,0"/>
            <v:stroke on="f" joinstyle="miter"/>
            <v:imagedata r:id="rId46" o:title=""/>
            <o:lock v:ext="edit" rotation="t" aspectratio="t"/>
            <w10:wrap type="none"/>
            <w10:anchorlock/>
          </v:shape>
          <o:OLEObject Type="Embed" ProgID="Equation.3" ShapeID="_x0000_i1035" DrawAspect="Content" ObjectID="_1468075735" r:id="rId45">
            <o:LockedField>false</o:LockedField>
          </o:OLEObject>
        </w:object>
      </w:r>
      <w:r>
        <w:rPr>
          <w:rFonts w:ascii="宋体" w:hAnsi="宋体"/>
          <w:color w:val="000000"/>
          <w:sz w:val="24"/>
        </w:rPr>
        <w:t>——预测点距声源距离，m；</w:t>
      </w:r>
    </w:p>
    <w:p w14:paraId="0B208AB0">
      <w:pPr>
        <w:spacing w:line="360" w:lineRule="auto"/>
        <w:rPr>
          <w:color w:val="000000"/>
          <w:sz w:val="24"/>
        </w:rPr>
      </w:pPr>
      <w:r>
        <w:rPr>
          <w:rFonts w:ascii="宋体" w:hAnsi="宋体"/>
          <w:color w:val="000000"/>
          <w:sz w:val="24"/>
        </w:rPr>
        <w:t xml:space="preserve">          </w:t>
      </w:r>
      <w:r>
        <w:rPr>
          <w:rFonts w:ascii="宋体" w:hAnsi="宋体"/>
          <w:color w:val="000000"/>
          <w:sz w:val="24"/>
        </w:rPr>
        <w:object>
          <v:shape id="_x0000_i1036" o:spt="75" type="#_x0000_t75" style="height:17.95pt;width:11pt;" o:ole="t" filled="f" o:preferrelative="t" stroked="f" coordsize="21600,21600">
            <v:path/>
            <v:fill on="f" focussize="0,0"/>
            <v:stroke on="f" joinstyle="miter"/>
            <v:imagedata r:id="rId48" o:title=""/>
            <o:lock v:ext="edit" rotation="t" aspectratio="t"/>
            <w10:wrap type="none"/>
            <w10:anchorlock/>
          </v:shape>
          <o:OLEObject Type="Embed" ProgID="Equation.3" ShapeID="_x0000_i1036" DrawAspect="Content" ObjectID="_1468075736" r:id="rId47">
            <o:LockedField>false</o:LockedField>
          </o:OLEObject>
        </w:object>
      </w:r>
      <w:r>
        <w:rPr>
          <w:rFonts w:ascii="宋体" w:hAnsi="宋体"/>
          <w:color w:val="000000"/>
          <w:sz w:val="24"/>
        </w:rPr>
        <w:t>──参考位置距声源的距离，m；</w:t>
      </w:r>
    </w:p>
    <w:p w14:paraId="2E4C59E0">
      <w:pPr>
        <w:spacing w:line="360" w:lineRule="auto"/>
        <w:ind w:firstLine="480"/>
        <w:rPr>
          <w:color w:val="000000"/>
          <w:sz w:val="24"/>
        </w:rPr>
      </w:pPr>
      <w:r>
        <w:rPr>
          <w:rFonts w:hint="eastAsia"/>
          <w:color w:val="000000"/>
          <w:sz w:val="24"/>
        </w:rPr>
        <w:t>（3）</w:t>
      </w:r>
      <w:r>
        <w:rPr>
          <w:color w:val="000000"/>
          <w:sz w:val="24"/>
        </w:rPr>
        <w:t>评价标准</w:t>
      </w:r>
    </w:p>
    <w:p w14:paraId="62F4ACDD">
      <w:pPr>
        <w:spacing w:line="360" w:lineRule="auto"/>
        <w:ind w:firstLine="482"/>
        <w:rPr>
          <w:rFonts w:hint="eastAsia" w:ascii="宋体" w:hAnsi="宋体"/>
          <w:color w:val="000000"/>
          <w:sz w:val="24"/>
        </w:rPr>
      </w:pPr>
      <w:r>
        <w:rPr>
          <w:rFonts w:ascii="宋体" w:hAnsi="宋体"/>
          <w:color w:val="000000"/>
          <w:sz w:val="24"/>
        </w:rPr>
        <w:t>评价标准采用《工业企业厂界环境噪声排放标准》（GB12348-2008）对场界噪声达标进行分析评价。对行政生活办公区及评价关心点的影响，采用《声环境质量标准》进行分析评价</w:t>
      </w:r>
      <w:r>
        <w:rPr>
          <w:rFonts w:hint="eastAsia" w:ascii="宋体" w:hAnsi="宋体"/>
          <w:color w:val="000000"/>
          <w:sz w:val="24"/>
        </w:rPr>
        <w:t>。</w:t>
      </w:r>
    </w:p>
    <w:p w14:paraId="2ED4C0CC">
      <w:pPr>
        <w:spacing w:line="360" w:lineRule="auto"/>
        <w:ind w:firstLine="480"/>
        <w:rPr>
          <w:color w:val="000000"/>
          <w:sz w:val="24"/>
        </w:rPr>
      </w:pPr>
      <w:r>
        <w:rPr>
          <w:rFonts w:hint="eastAsia"/>
          <w:color w:val="000000"/>
          <w:sz w:val="24"/>
        </w:rPr>
        <w:t>（4）</w:t>
      </w:r>
      <w:r>
        <w:rPr>
          <w:color w:val="000000"/>
          <w:sz w:val="24"/>
        </w:rPr>
        <w:t>预测结果</w:t>
      </w:r>
    </w:p>
    <w:p w14:paraId="0B4D48D1">
      <w:pPr>
        <w:spacing w:line="460" w:lineRule="exact"/>
        <w:ind w:firstLine="480"/>
        <w:rPr>
          <w:rFonts w:hint="eastAsia" w:hAnsi="宋体"/>
          <w:color w:val="000000"/>
          <w:sz w:val="24"/>
        </w:rPr>
      </w:pPr>
      <w:r>
        <w:rPr>
          <w:rFonts w:hAnsi="宋体"/>
          <w:color w:val="000000"/>
          <w:sz w:val="24"/>
        </w:rPr>
        <w:t>利用上述模式，预测项目各厂界噪声和厂界周围的敏感点噪声，预测结果见表</w:t>
      </w:r>
      <w:r>
        <w:rPr>
          <w:rFonts w:hint="eastAsia"/>
          <w:color w:val="000000"/>
          <w:sz w:val="24"/>
        </w:rPr>
        <w:t>6.2</w:t>
      </w:r>
      <w:r>
        <w:rPr>
          <w:color w:val="000000"/>
          <w:sz w:val="24"/>
        </w:rPr>
        <w:t>-</w:t>
      </w:r>
      <w:r>
        <w:rPr>
          <w:rFonts w:hint="eastAsia"/>
          <w:color w:val="000000"/>
          <w:sz w:val="24"/>
        </w:rPr>
        <w:t>5</w:t>
      </w:r>
      <w:r>
        <w:rPr>
          <w:rFonts w:hAnsi="宋体"/>
          <w:color w:val="000000"/>
          <w:sz w:val="24"/>
        </w:rPr>
        <w:t>和</w:t>
      </w:r>
      <w:r>
        <w:rPr>
          <w:rFonts w:hint="eastAsia"/>
          <w:color w:val="000000"/>
          <w:sz w:val="24"/>
        </w:rPr>
        <w:t>6.2</w:t>
      </w:r>
      <w:r>
        <w:rPr>
          <w:color w:val="000000"/>
          <w:sz w:val="24"/>
        </w:rPr>
        <w:t>-</w:t>
      </w:r>
      <w:r>
        <w:rPr>
          <w:rFonts w:hint="eastAsia"/>
          <w:color w:val="000000"/>
          <w:sz w:val="24"/>
        </w:rPr>
        <w:t>6</w:t>
      </w:r>
      <w:r>
        <w:rPr>
          <w:rFonts w:hAnsi="宋体"/>
          <w:color w:val="000000"/>
          <w:sz w:val="24"/>
        </w:rPr>
        <w:t>。</w:t>
      </w:r>
    </w:p>
    <w:p w14:paraId="7CDA0CED">
      <w:pPr>
        <w:spacing w:line="500" w:lineRule="exact"/>
        <w:ind w:firstLine="200"/>
        <w:jc w:val="center"/>
        <w:rPr>
          <w:color w:val="000000"/>
          <w:sz w:val="24"/>
        </w:rPr>
      </w:pPr>
      <w:r>
        <w:rPr>
          <w:b/>
          <w:color w:val="000000"/>
          <w:sz w:val="24"/>
        </w:rPr>
        <w:t>表6.</w:t>
      </w:r>
      <w:r>
        <w:rPr>
          <w:rFonts w:hint="eastAsia"/>
          <w:b/>
          <w:color w:val="000000"/>
          <w:sz w:val="24"/>
        </w:rPr>
        <w:t>2</w:t>
      </w:r>
      <w:r>
        <w:rPr>
          <w:b/>
          <w:color w:val="000000"/>
          <w:sz w:val="24"/>
        </w:rPr>
        <w:t>-</w:t>
      </w:r>
      <w:r>
        <w:rPr>
          <w:rFonts w:hint="eastAsia"/>
          <w:b/>
          <w:color w:val="000000"/>
          <w:sz w:val="24"/>
        </w:rPr>
        <w:t>5</w:t>
      </w:r>
      <w:r>
        <w:rPr>
          <w:b/>
          <w:color w:val="000000"/>
          <w:sz w:val="24"/>
        </w:rPr>
        <w:t xml:space="preserve">  机械设备对厂界和住院楼噪声贡献值预测结果</w:t>
      </w:r>
    </w:p>
    <w:tbl>
      <w:tblPr>
        <w:tblStyle w:val="27"/>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982"/>
        <w:gridCol w:w="1440"/>
        <w:gridCol w:w="935"/>
        <w:gridCol w:w="1585"/>
        <w:gridCol w:w="1620"/>
        <w:gridCol w:w="2061"/>
      </w:tblGrid>
      <w:tr w14:paraId="7DBAE1F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40" w:hRule="atLeast"/>
          <w:jc w:val="center"/>
        </w:trPr>
        <w:tc>
          <w:tcPr>
            <w:tcW w:w="982" w:type="dxa"/>
            <w:noWrap w:val="0"/>
            <w:vAlign w:val="top"/>
          </w:tcPr>
          <w:p w14:paraId="5270DD7D">
            <w:pPr>
              <w:spacing w:line="320" w:lineRule="exact"/>
              <w:rPr>
                <w:color w:val="000000"/>
                <w:szCs w:val="21"/>
              </w:rPr>
            </w:pPr>
            <w:r>
              <w:rPr>
                <w:color w:val="000000"/>
                <w:szCs w:val="21"/>
              </w:rPr>
              <w:t>预测点</w:t>
            </w:r>
          </w:p>
        </w:tc>
        <w:tc>
          <w:tcPr>
            <w:tcW w:w="1440" w:type="dxa"/>
            <w:noWrap w:val="0"/>
            <w:vAlign w:val="top"/>
          </w:tcPr>
          <w:p w14:paraId="11640833">
            <w:pPr>
              <w:spacing w:line="320" w:lineRule="exact"/>
              <w:rPr>
                <w:color w:val="000000"/>
                <w:szCs w:val="21"/>
              </w:rPr>
            </w:pPr>
            <w:r>
              <w:rPr>
                <w:color w:val="000000"/>
                <w:szCs w:val="21"/>
              </w:rPr>
              <w:t>噪声源</w:t>
            </w:r>
          </w:p>
        </w:tc>
        <w:tc>
          <w:tcPr>
            <w:tcW w:w="935" w:type="dxa"/>
            <w:noWrap w:val="0"/>
            <w:vAlign w:val="top"/>
          </w:tcPr>
          <w:p w14:paraId="6E917EAE">
            <w:pPr>
              <w:spacing w:line="320" w:lineRule="exact"/>
              <w:rPr>
                <w:color w:val="000000"/>
                <w:szCs w:val="21"/>
              </w:rPr>
            </w:pPr>
            <w:r>
              <w:rPr>
                <w:color w:val="000000"/>
                <w:szCs w:val="21"/>
              </w:rPr>
              <w:t>噪声</w:t>
            </w:r>
          </w:p>
          <w:p w14:paraId="4DF6B0B1">
            <w:pPr>
              <w:spacing w:line="320" w:lineRule="exact"/>
              <w:rPr>
                <w:color w:val="000000"/>
                <w:szCs w:val="21"/>
              </w:rPr>
            </w:pPr>
            <w:r>
              <w:rPr>
                <w:color w:val="000000"/>
                <w:szCs w:val="21"/>
              </w:rPr>
              <w:t>源强</w:t>
            </w:r>
          </w:p>
        </w:tc>
        <w:tc>
          <w:tcPr>
            <w:tcW w:w="1585" w:type="dxa"/>
            <w:noWrap w:val="0"/>
            <w:vAlign w:val="top"/>
          </w:tcPr>
          <w:p w14:paraId="0E991F3F">
            <w:pPr>
              <w:spacing w:line="320" w:lineRule="exact"/>
              <w:rPr>
                <w:color w:val="000000"/>
                <w:szCs w:val="21"/>
              </w:rPr>
            </w:pPr>
            <w:r>
              <w:rPr>
                <w:color w:val="000000"/>
                <w:szCs w:val="21"/>
              </w:rPr>
              <w:t>与厂界最近距离（m）</w:t>
            </w:r>
          </w:p>
        </w:tc>
        <w:tc>
          <w:tcPr>
            <w:tcW w:w="1620" w:type="dxa"/>
            <w:noWrap w:val="0"/>
            <w:vAlign w:val="top"/>
          </w:tcPr>
          <w:p w14:paraId="44BBA96F">
            <w:pPr>
              <w:spacing w:line="320" w:lineRule="exact"/>
              <w:rPr>
                <w:color w:val="000000"/>
                <w:szCs w:val="21"/>
              </w:rPr>
            </w:pPr>
            <w:r>
              <w:rPr>
                <w:color w:val="000000"/>
                <w:szCs w:val="21"/>
              </w:rPr>
              <w:t>单个声源贡献值dB(A)</w:t>
            </w:r>
          </w:p>
        </w:tc>
        <w:tc>
          <w:tcPr>
            <w:tcW w:w="2061" w:type="dxa"/>
            <w:noWrap w:val="0"/>
            <w:vAlign w:val="top"/>
          </w:tcPr>
          <w:p w14:paraId="538527D9">
            <w:pPr>
              <w:spacing w:line="320" w:lineRule="exact"/>
              <w:rPr>
                <w:color w:val="000000"/>
                <w:szCs w:val="21"/>
              </w:rPr>
            </w:pPr>
            <w:r>
              <w:rPr>
                <w:color w:val="000000"/>
                <w:szCs w:val="21"/>
              </w:rPr>
              <w:t>预测值dB(A)</w:t>
            </w:r>
          </w:p>
        </w:tc>
      </w:tr>
      <w:tr w14:paraId="2D19B0C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82" w:type="dxa"/>
            <w:vMerge w:val="restart"/>
            <w:noWrap w:val="0"/>
            <w:vAlign w:val="top"/>
          </w:tcPr>
          <w:p w14:paraId="38A27EA9">
            <w:pPr>
              <w:spacing w:line="320" w:lineRule="exact"/>
              <w:rPr>
                <w:color w:val="000000"/>
                <w:szCs w:val="21"/>
              </w:rPr>
            </w:pPr>
          </w:p>
          <w:p w14:paraId="56564DC0">
            <w:pPr>
              <w:spacing w:line="320" w:lineRule="exact"/>
              <w:rPr>
                <w:color w:val="000000"/>
                <w:szCs w:val="21"/>
              </w:rPr>
            </w:pPr>
            <w:r>
              <w:rPr>
                <w:color w:val="000000"/>
                <w:szCs w:val="21"/>
              </w:rPr>
              <w:t>东场界</w:t>
            </w:r>
          </w:p>
        </w:tc>
        <w:tc>
          <w:tcPr>
            <w:tcW w:w="1440" w:type="dxa"/>
            <w:noWrap w:val="0"/>
            <w:vAlign w:val="top"/>
          </w:tcPr>
          <w:p w14:paraId="04F04250">
            <w:pPr>
              <w:spacing w:line="320" w:lineRule="exact"/>
              <w:rPr>
                <w:color w:val="000000"/>
                <w:szCs w:val="21"/>
              </w:rPr>
            </w:pPr>
            <w:r>
              <w:rPr>
                <w:color w:val="000000"/>
                <w:szCs w:val="21"/>
              </w:rPr>
              <w:t>发电机房</w:t>
            </w:r>
          </w:p>
        </w:tc>
        <w:tc>
          <w:tcPr>
            <w:tcW w:w="935" w:type="dxa"/>
            <w:noWrap w:val="0"/>
            <w:vAlign w:val="top"/>
          </w:tcPr>
          <w:p w14:paraId="5BAF70F5">
            <w:pPr>
              <w:spacing w:line="320" w:lineRule="exact"/>
              <w:rPr>
                <w:color w:val="000000"/>
                <w:szCs w:val="21"/>
              </w:rPr>
            </w:pPr>
            <w:r>
              <w:rPr>
                <w:color w:val="000000"/>
                <w:szCs w:val="21"/>
              </w:rPr>
              <w:t>70</w:t>
            </w:r>
          </w:p>
        </w:tc>
        <w:tc>
          <w:tcPr>
            <w:tcW w:w="1585" w:type="dxa"/>
            <w:noWrap w:val="0"/>
            <w:vAlign w:val="top"/>
          </w:tcPr>
          <w:p w14:paraId="6C477E6B">
            <w:pPr>
              <w:spacing w:line="320" w:lineRule="exact"/>
              <w:rPr>
                <w:rFonts w:hint="eastAsia"/>
                <w:color w:val="000000"/>
                <w:szCs w:val="21"/>
              </w:rPr>
            </w:pPr>
            <w:r>
              <w:rPr>
                <w:rFonts w:hint="eastAsia"/>
                <w:color w:val="000000"/>
                <w:szCs w:val="21"/>
              </w:rPr>
              <w:t>68</w:t>
            </w:r>
          </w:p>
        </w:tc>
        <w:tc>
          <w:tcPr>
            <w:tcW w:w="1620" w:type="dxa"/>
            <w:noWrap w:val="0"/>
            <w:vAlign w:val="top"/>
          </w:tcPr>
          <w:p w14:paraId="422984E3">
            <w:pPr>
              <w:spacing w:line="320" w:lineRule="exact"/>
              <w:rPr>
                <w:rFonts w:hint="eastAsia"/>
                <w:color w:val="000000"/>
                <w:szCs w:val="21"/>
              </w:rPr>
            </w:pPr>
            <w:r>
              <w:rPr>
                <w:color w:val="000000"/>
                <w:szCs w:val="21"/>
              </w:rPr>
              <w:t>3</w:t>
            </w:r>
            <w:r>
              <w:rPr>
                <w:rFonts w:hint="eastAsia"/>
                <w:color w:val="000000"/>
                <w:szCs w:val="21"/>
              </w:rPr>
              <w:t xml:space="preserve">3.35  </w:t>
            </w:r>
          </w:p>
        </w:tc>
        <w:tc>
          <w:tcPr>
            <w:tcW w:w="2061" w:type="dxa"/>
            <w:vMerge w:val="restart"/>
            <w:noWrap w:val="0"/>
            <w:vAlign w:val="center"/>
          </w:tcPr>
          <w:p w14:paraId="3C3A4D3E">
            <w:pPr>
              <w:widowControl/>
              <w:spacing w:line="300" w:lineRule="exact"/>
              <w:rPr>
                <w:rFonts w:hint="eastAsia"/>
                <w:color w:val="000000"/>
                <w:szCs w:val="21"/>
              </w:rPr>
            </w:pPr>
            <w:r>
              <w:rPr>
                <w:rFonts w:hint="eastAsia"/>
                <w:color w:val="000000"/>
                <w:szCs w:val="21"/>
              </w:rPr>
              <w:t>42.58</w:t>
            </w:r>
          </w:p>
        </w:tc>
      </w:tr>
      <w:tr w14:paraId="69F1EA3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82" w:type="dxa"/>
            <w:vMerge w:val="continue"/>
            <w:noWrap w:val="0"/>
            <w:vAlign w:val="top"/>
          </w:tcPr>
          <w:p w14:paraId="4E11E095">
            <w:pPr>
              <w:spacing w:line="320" w:lineRule="exact"/>
              <w:rPr>
                <w:color w:val="000000"/>
                <w:szCs w:val="21"/>
              </w:rPr>
            </w:pPr>
          </w:p>
        </w:tc>
        <w:tc>
          <w:tcPr>
            <w:tcW w:w="1440" w:type="dxa"/>
            <w:noWrap w:val="0"/>
            <w:vAlign w:val="top"/>
          </w:tcPr>
          <w:p w14:paraId="1278857E">
            <w:pPr>
              <w:spacing w:line="320" w:lineRule="exact"/>
              <w:rPr>
                <w:color w:val="000000"/>
                <w:szCs w:val="21"/>
              </w:rPr>
            </w:pPr>
            <w:r>
              <w:rPr>
                <w:color w:val="000000"/>
                <w:szCs w:val="21"/>
              </w:rPr>
              <w:t>配电室</w:t>
            </w:r>
          </w:p>
        </w:tc>
        <w:tc>
          <w:tcPr>
            <w:tcW w:w="935" w:type="dxa"/>
            <w:noWrap w:val="0"/>
            <w:vAlign w:val="top"/>
          </w:tcPr>
          <w:p w14:paraId="644970D7">
            <w:pPr>
              <w:spacing w:line="320" w:lineRule="exact"/>
              <w:rPr>
                <w:color w:val="000000"/>
                <w:szCs w:val="21"/>
              </w:rPr>
            </w:pPr>
            <w:r>
              <w:rPr>
                <w:color w:val="000000"/>
                <w:szCs w:val="21"/>
              </w:rPr>
              <w:t>55</w:t>
            </w:r>
          </w:p>
        </w:tc>
        <w:tc>
          <w:tcPr>
            <w:tcW w:w="1585" w:type="dxa"/>
            <w:noWrap w:val="0"/>
            <w:vAlign w:val="top"/>
          </w:tcPr>
          <w:p w14:paraId="656EC069">
            <w:pPr>
              <w:spacing w:line="320" w:lineRule="exact"/>
              <w:rPr>
                <w:rFonts w:hint="eastAsia"/>
                <w:color w:val="000000"/>
                <w:szCs w:val="21"/>
              </w:rPr>
            </w:pPr>
            <w:r>
              <w:rPr>
                <w:rFonts w:hint="eastAsia"/>
                <w:color w:val="000000"/>
                <w:szCs w:val="21"/>
              </w:rPr>
              <w:t>65</w:t>
            </w:r>
          </w:p>
        </w:tc>
        <w:tc>
          <w:tcPr>
            <w:tcW w:w="1620" w:type="dxa"/>
            <w:noWrap w:val="0"/>
            <w:vAlign w:val="top"/>
          </w:tcPr>
          <w:p w14:paraId="17022C86">
            <w:pPr>
              <w:spacing w:line="320" w:lineRule="exact"/>
              <w:rPr>
                <w:rFonts w:hint="eastAsia"/>
                <w:color w:val="000000"/>
                <w:szCs w:val="21"/>
              </w:rPr>
            </w:pPr>
            <w:r>
              <w:rPr>
                <w:rFonts w:hint="eastAsia"/>
                <w:color w:val="000000"/>
                <w:szCs w:val="21"/>
              </w:rPr>
              <w:t xml:space="preserve">18.74  </w:t>
            </w:r>
          </w:p>
        </w:tc>
        <w:tc>
          <w:tcPr>
            <w:tcW w:w="2061" w:type="dxa"/>
            <w:vMerge w:val="continue"/>
            <w:noWrap w:val="0"/>
            <w:vAlign w:val="center"/>
          </w:tcPr>
          <w:p w14:paraId="50512792">
            <w:pPr>
              <w:spacing w:line="320" w:lineRule="exact"/>
              <w:rPr>
                <w:color w:val="000000"/>
                <w:szCs w:val="21"/>
              </w:rPr>
            </w:pPr>
          </w:p>
        </w:tc>
      </w:tr>
      <w:tr w14:paraId="4411566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58" w:hRule="atLeast"/>
          <w:jc w:val="center"/>
        </w:trPr>
        <w:tc>
          <w:tcPr>
            <w:tcW w:w="982" w:type="dxa"/>
            <w:vMerge w:val="continue"/>
            <w:noWrap w:val="0"/>
            <w:vAlign w:val="top"/>
          </w:tcPr>
          <w:p w14:paraId="124CD9A4">
            <w:pPr>
              <w:spacing w:line="320" w:lineRule="exact"/>
              <w:rPr>
                <w:color w:val="000000"/>
                <w:szCs w:val="21"/>
              </w:rPr>
            </w:pPr>
          </w:p>
        </w:tc>
        <w:tc>
          <w:tcPr>
            <w:tcW w:w="1440" w:type="dxa"/>
            <w:noWrap w:val="0"/>
            <w:vAlign w:val="top"/>
          </w:tcPr>
          <w:p w14:paraId="58434F55">
            <w:pPr>
              <w:spacing w:line="320" w:lineRule="exact"/>
              <w:rPr>
                <w:color w:val="000000"/>
                <w:szCs w:val="21"/>
              </w:rPr>
            </w:pPr>
            <w:r>
              <w:rPr>
                <w:color w:val="000000"/>
                <w:szCs w:val="21"/>
              </w:rPr>
              <w:t>污水处理站</w:t>
            </w:r>
          </w:p>
        </w:tc>
        <w:tc>
          <w:tcPr>
            <w:tcW w:w="935" w:type="dxa"/>
            <w:noWrap w:val="0"/>
            <w:vAlign w:val="top"/>
          </w:tcPr>
          <w:p w14:paraId="3A20888C">
            <w:pPr>
              <w:spacing w:line="320" w:lineRule="exact"/>
              <w:rPr>
                <w:color w:val="000000"/>
                <w:szCs w:val="21"/>
              </w:rPr>
            </w:pPr>
            <w:r>
              <w:rPr>
                <w:color w:val="000000"/>
                <w:szCs w:val="21"/>
              </w:rPr>
              <w:t>70.27</w:t>
            </w:r>
          </w:p>
        </w:tc>
        <w:tc>
          <w:tcPr>
            <w:tcW w:w="1585" w:type="dxa"/>
            <w:noWrap w:val="0"/>
            <w:vAlign w:val="top"/>
          </w:tcPr>
          <w:p w14:paraId="35414BE5">
            <w:pPr>
              <w:spacing w:line="320" w:lineRule="exact"/>
              <w:rPr>
                <w:rFonts w:hint="eastAsia"/>
                <w:color w:val="000000"/>
                <w:szCs w:val="21"/>
              </w:rPr>
            </w:pPr>
            <w:r>
              <w:rPr>
                <w:rFonts w:hint="eastAsia"/>
                <w:color w:val="000000"/>
                <w:szCs w:val="21"/>
              </w:rPr>
              <w:t>35</w:t>
            </w:r>
          </w:p>
        </w:tc>
        <w:tc>
          <w:tcPr>
            <w:tcW w:w="1620" w:type="dxa"/>
            <w:noWrap w:val="0"/>
            <w:vAlign w:val="top"/>
          </w:tcPr>
          <w:p w14:paraId="50C21E1E">
            <w:pPr>
              <w:spacing w:line="320" w:lineRule="exact"/>
              <w:rPr>
                <w:rFonts w:hint="eastAsia"/>
                <w:color w:val="000000"/>
                <w:szCs w:val="21"/>
              </w:rPr>
            </w:pPr>
            <w:r>
              <w:rPr>
                <w:rFonts w:hint="eastAsia"/>
                <w:color w:val="000000"/>
                <w:szCs w:val="21"/>
              </w:rPr>
              <w:t xml:space="preserve">39.38  </w:t>
            </w:r>
          </w:p>
        </w:tc>
        <w:tc>
          <w:tcPr>
            <w:tcW w:w="2061" w:type="dxa"/>
            <w:vMerge w:val="continue"/>
            <w:noWrap w:val="0"/>
            <w:vAlign w:val="center"/>
          </w:tcPr>
          <w:p w14:paraId="536EAE96">
            <w:pPr>
              <w:spacing w:line="320" w:lineRule="exact"/>
              <w:rPr>
                <w:color w:val="000000"/>
                <w:szCs w:val="21"/>
              </w:rPr>
            </w:pPr>
          </w:p>
        </w:tc>
      </w:tr>
      <w:tr w14:paraId="3E73DBB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58" w:hRule="atLeast"/>
          <w:jc w:val="center"/>
        </w:trPr>
        <w:tc>
          <w:tcPr>
            <w:tcW w:w="982" w:type="dxa"/>
            <w:vMerge w:val="continue"/>
            <w:noWrap w:val="0"/>
            <w:vAlign w:val="top"/>
          </w:tcPr>
          <w:p w14:paraId="1101CDFF">
            <w:pPr>
              <w:spacing w:line="320" w:lineRule="exact"/>
              <w:rPr>
                <w:color w:val="000000"/>
                <w:szCs w:val="21"/>
              </w:rPr>
            </w:pPr>
          </w:p>
        </w:tc>
        <w:tc>
          <w:tcPr>
            <w:tcW w:w="1440" w:type="dxa"/>
            <w:noWrap w:val="0"/>
            <w:vAlign w:val="top"/>
          </w:tcPr>
          <w:p w14:paraId="022AD408">
            <w:pPr>
              <w:tabs>
                <w:tab w:val="center" w:pos="661"/>
              </w:tabs>
              <w:spacing w:line="320" w:lineRule="exact"/>
              <w:rPr>
                <w:color w:val="000000"/>
                <w:szCs w:val="21"/>
              </w:rPr>
            </w:pPr>
            <w:r>
              <w:rPr>
                <w:color w:val="000000"/>
                <w:szCs w:val="21"/>
              </w:rPr>
              <w:t>水泵房</w:t>
            </w:r>
          </w:p>
        </w:tc>
        <w:tc>
          <w:tcPr>
            <w:tcW w:w="935" w:type="dxa"/>
            <w:noWrap w:val="0"/>
            <w:vAlign w:val="top"/>
          </w:tcPr>
          <w:p w14:paraId="11146F2D">
            <w:pPr>
              <w:spacing w:line="320" w:lineRule="exact"/>
              <w:rPr>
                <w:color w:val="000000"/>
                <w:szCs w:val="21"/>
              </w:rPr>
            </w:pPr>
            <w:r>
              <w:rPr>
                <w:color w:val="000000"/>
                <w:szCs w:val="21"/>
              </w:rPr>
              <w:t>58</w:t>
            </w:r>
          </w:p>
        </w:tc>
        <w:tc>
          <w:tcPr>
            <w:tcW w:w="1585" w:type="dxa"/>
            <w:noWrap w:val="0"/>
            <w:vAlign w:val="top"/>
          </w:tcPr>
          <w:p w14:paraId="1340D799">
            <w:pPr>
              <w:spacing w:line="320" w:lineRule="exact"/>
              <w:rPr>
                <w:rFonts w:hint="eastAsia"/>
                <w:color w:val="000000"/>
                <w:szCs w:val="21"/>
              </w:rPr>
            </w:pPr>
            <w:r>
              <w:rPr>
                <w:color w:val="000000"/>
                <w:szCs w:val="21"/>
              </w:rPr>
              <w:t>3</w:t>
            </w:r>
            <w:r>
              <w:rPr>
                <w:rFonts w:hint="eastAsia"/>
                <w:color w:val="000000"/>
                <w:szCs w:val="21"/>
              </w:rPr>
              <w:t>2</w:t>
            </w:r>
          </w:p>
        </w:tc>
        <w:tc>
          <w:tcPr>
            <w:tcW w:w="1620" w:type="dxa"/>
            <w:noWrap w:val="0"/>
            <w:vAlign w:val="top"/>
          </w:tcPr>
          <w:p w14:paraId="53488C39">
            <w:pPr>
              <w:spacing w:line="320" w:lineRule="exact"/>
              <w:rPr>
                <w:rFonts w:hint="eastAsia"/>
                <w:color w:val="000000"/>
                <w:szCs w:val="21"/>
              </w:rPr>
            </w:pPr>
            <w:r>
              <w:rPr>
                <w:rFonts w:hint="eastAsia"/>
                <w:color w:val="000000"/>
                <w:szCs w:val="21"/>
              </w:rPr>
              <w:t xml:space="preserve">27.89  </w:t>
            </w:r>
          </w:p>
        </w:tc>
        <w:tc>
          <w:tcPr>
            <w:tcW w:w="2061" w:type="dxa"/>
            <w:vMerge w:val="continue"/>
            <w:noWrap w:val="0"/>
            <w:vAlign w:val="center"/>
          </w:tcPr>
          <w:p w14:paraId="7CF3419F">
            <w:pPr>
              <w:spacing w:line="320" w:lineRule="exact"/>
              <w:rPr>
                <w:color w:val="000000"/>
                <w:szCs w:val="21"/>
              </w:rPr>
            </w:pPr>
          </w:p>
        </w:tc>
      </w:tr>
      <w:tr w14:paraId="30B76E5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57" w:hRule="atLeast"/>
          <w:jc w:val="center"/>
        </w:trPr>
        <w:tc>
          <w:tcPr>
            <w:tcW w:w="982" w:type="dxa"/>
            <w:vMerge w:val="continue"/>
            <w:noWrap w:val="0"/>
            <w:vAlign w:val="top"/>
          </w:tcPr>
          <w:p w14:paraId="011EF19B">
            <w:pPr>
              <w:spacing w:line="320" w:lineRule="exact"/>
              <w:rPr>
                <w:color w:val="000000"/>
                <w:szCs w:val="21"/>
              </w:rPr>
            </w:pPr>
          </w:p>
        </w:tc>
        <w:tc>
          <w:tcPr>
            <w:tcW w:w="1440" w:type="dxa"/>
            <w:noWrap w:val="0"/>
            <w:vAlign w:val="top"/>
          </w:tcPr>
          <w:p w14:paraId="759E4CAC">
            <w:pPr>
              <w:tabs>
                <w:tab w:val="center" w:pos="661"/>
              </w:tabs>
              <w:spacing w:line="320" w:lineRule="exact"/>
              <w:rPr>
                <w:color w:val="000000"/>
                <w:szCs w:val="21"/>
              </w:rPr>
            </w:pPr>
            <w:r>
              <w:rPr>
                <w:color w:val="000000"/>
                <w:szCs w:val="21"/>
              </w:rPr>
              <w:t>电梯机房</w:t>
            </w:r>
          </w:p>
        </w:tc>
        <w:tc>
          <w:tcPr>
            <w:tcW w:w="935" w:type="dxa"/>
            <w:noWrap w:val="0"/>
            <w:vAlign w:val="top"/>
          </w:tcPr>
          <w:p w14:paraId="21DC61FB">
            <w:pPr>
              <w:spacing w:line="320" w:lineRule="exact"/>
              <w:rPr>
                <w:color w:val="000000"/>
                <w:szCs w:val="21"/>
              </w:rPr>
            </w:pPr>
            <w:r>
              <w:rPr>
                <w:color w:val="000000"/>
                <w:szCs w:val="21"/>
              </w:rPr>
              <w:t>73.01</w:t>
            </w:r>
          </w:p>
        </w:tc>
        <w:tc>
          <w:tcPr>
            <w:tcW w:w="1585" w:type="dxa"/>
            <w:noWrap w:val="0"/>
            <w:vAlign w:val="top"/>
          </w:tcPr>
          <w:p w14:paraId="71C96059">
            <w:pPr>
              <w:spacing w:line="320" w:lineRule="exact"/>
              <w:rPr>
                <w:rFonts w:hint="eastAsia"/>
                <w:color w:val="000000"/>
                <w:szCs w:val="21"/>
              </w:rPr>
            </w:pPr>
            <w:r>
              <w:rPr>
                <w:rFonts w:hint="eastAsia"/>
                <w:color w:val="000000"/>
                <w:szCs w:val="21"/>
              </w:rPr>
              <w:t>55</w:t>
            </w:r>
          </w:p>
        </w:tc>
        <w:tc>
          <w:tcPr>
            <w:tcW w:w="1620" w:type="dxa"/>
            <w:noWrap w:val="0"/>
            <w:vAlign w:val="top"/>
          </w:tcPr>
          <w:p w14:paraId="60FE4318">
            <w:pPr>
              <w:spacing w:line="320" w:lineRule="exact"/>
              <w:rPr>
                <w:rFonts w:hint="eastAsia"/>
                <w:color w:val="000000"/>
                <w:szCs w:val="21"/>
              </w:rPr>
            </w:pPr>
            <w:r>
              <w:rPr>
                <w:color w:val="000000"/>
                <w:szCs w:val="21"/>
              </w:rPr>
              <w:t>3</w:t>
            </w:r>
            <w:r>
              <w:rPr>
                <w:rFonts w:hint="eastAsia"/>
                <w:color w:val="000000"/>
                <w:szCs w:val="21"/>
              </w:rPr>
              <w:t xml:space="preserve">8.20  </w:t>
            </w:r>
          </w:p>
        </w:tc>
        <w:tc>
          <w:tcPr>
            <w:tcW w:w="2061" w:type="dxa"/>
            <w:vMerge w:val="continue"/>
            <w:noWrap w:val="0"/>
            <w:vAlign w:val="center"/>
          </w:tcPr>
          <w:p w14:paraId="0CC40521">
            <w:pPr>
              <w:spacing w:line="320" w:lineRule="exact"/>
              <w:rPr>
                <w:color w:val="000000"/>
                <w:szCs w:val="21"/>
              </w:rPr>
            </w:pPr>
          </w:p>
        </w:tc>
      </w:tr>
      <w:tr w14:paraId="0BE0B06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82" w:type="dxa"/>
            <w:vMerge w:val="restart"/>
            <w:noWrap w:val="0"/>
            <w:vAlign w:val="top"/>
          </w:tcPr>
          <w:p w14:paraId="4980B50C">
            <w:pPr>
              <w:spacing w:line="320" w:lineRule="exact"/>
              <w:rPr>
                <w:color w:val="000000"/>
                <w:szCs w:val="21"/>
              </w:rPr>
            </w:pPr>
          </w:p>
          <w:p w14:paraId="73BD7241">
            <w:pPr>
              <w:spacing w:line="320" w:lineRule="exact"/>
              <w:rPr>
                <w:color w:val="000000"/>
                <w:szCs w:val="21"/>
              </w:rPr>
            </w:pPr>
            <w:r>
              <w:rPr>
                <w:color w:val="000000"/>
                <w:szCs w:val="21"/>
              </w:rPr>
              <w:t>南场界</w:t>
            </w:r>
          </w:p>
        </w:tc>
        <w:tc>
          <w:tcPr>
            <w:tcW w:w="1440" w:type="dxa"/>
            <w:noWrap w:val="0"/>
            <w:vAlign w:val="top"/>
          </w:tcPr>
          <w:p w14:paraId="3AD084BA">
            <w:pPr>
              <w:spacing w:line="320" w:lineRule="exact"/>
              <w:rPr>
                <w:color w:val="000000"/>
                <w:szCs w:val="21"/>
              </w:rPr>
            </w:pPr>
            <w:r>
              <w:rPr>
                <w:color w:val="000000"/>
                <w:szCs w:val="21"/>
              </w:rPr>
              <w:t>发电机房</w:t>
            </w:r>
          </w:p>
        </w:tc>
        <w:tc>
          <w:tcPr>
            <w:tcW w:w="935" w:type="dxa"/>
            <w:noWrap w:val="0"/>
            <w:vAlign w:val="top"/>
          </w:tcPr>
          <w:p w14:paraId="5A7D3333">
            <w:pPr>
              <w:spacing w:line="320" w:lineRule="exact"/>
              <w:rPr>
                <w:color w:val="000000"/>
                <w:szCs w:val="21"/>
              </w:rPr>
            </w:pPr>
            <w:r>
              <w:rPr>
                <w:color w:val="000000"/>
                <w:szCs w:val="21"/>
              </w:rPr>
              <w:t>70</w:t>
            </w:r>
          </w:p>
        </w:tc>
        <w:tc>
          <w:tcPr>
            <w:tcW w:w="1585" w:type="dxa"/>
            <w:noWrap w:val="0"/>
            <w:vAlign w:val="top"/>
          </w:tcPr>
          <w:p w14:paraId="42E2C5FE">
            <w:pPr>
              <w:spacing w:line="320" w:lineRule="exact"/>
              <w:rPr>
                <w:rFonts w:hint="eastAsia"/>
                <w:color w:val="000000"/>
                <w:szCs w:val="21"/>
              </w:rPr>
            </w:pPr>
            <w:r>
              <w:rPr>
                <w:rFonts w:hint="eastAsia"/>
                <w:color w:val="000000"/>
                <w:szCs w:val="21"/>
              </w:rPr>
              <w:t>28</w:t>
            </w:r>
          </w:p>
        </w:tc>
        <w:tc>
          <w:tcPr>
            <w:tcW w:w="1620" w:type="dxa"/>
            <w:noWrap w:val="0"/>
            <w:vAlign w:val="top"/>
          </w:tcPr>
          <w:p w14:paraId="35FA521A">
            <w:pPr>
              <w:spacing w:line="320" w:lineRule="exact"/>
              <w:rPr>
                <w:rFonts w:hint="eastAsia"/>
                <w:color w:val="000000"/>
                <w:szCs w:val="21"/>
              </w:rPr>
            </w:pPr>
            <w:r>
              <w:rPr>
                <w:rFonts w:hint="eastAsia"/>
                <w:color w:val="000000"/>
                <w:szCs w:val="21"/>
              </w:rPr>
              <w:t xml:space="preserve">41.05  </w:t>
            </w:r>
          </w:p>
        </w:tc>
        <w:tc>
          <w:tcPr>
            <w:tcW w:w="2061" w:type="dxa"/>
            <w:vMerge w:val="restart"/>
            <w:noWrap w:val="0"/>
            <w:vAlign w:val="center"/>
          </w:tcPr>
          <w:p w14:paraId="1D2105C4">
            <w:pPr>
              <w:widowControl/>
              <w:spacing w:line="300" w:lineRule="exact"/>
              <w:rPr>
                <w:rFonts w:hint="eastAsia"/>
                <w:color w:val="000000"/>
                <w:szCs w:val="21"/>
              </w:rPr>
            </w:pPr>
            <w:r>
              <w:rPr>
                <w:rFonts w:hint="eastAsia"/>
                <w:color w:val="000000"/>
                <w:szCs w:val="21"/>
              </w:rPr>
              <w:t>44.71</w:t>
            </w:r>
          </w:p>
        </w:tc>
      </w:tr>
      <w:tr w14:paraId="1C16587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82" w:type="dxa"/>
            <w:vMerge w:val="continue"/>
            <w:noWrap w:val="0"/>
            <w:vAlign w:val="top"/>
          </w:tcPr>
          <w:p w14:paraId="764027AC">
            <w:pPr>
              <w:spacing w:line="320" w:lineRule="exact"/>
              <w:rPr>
                <w:color w:val="000000"/>
                <w:szCs w:val="21"/>
              </w:rPr>
            </w:pPr>
          </w:p>
        </w:tc>
        <w:tc>
          <w:tcPr>
            <w:tcW w:w="1440" w:type="dxa"/>
            <w:noWrap w:val="0"/>
            <w:vAlign w:val="top"/>
          </w:tcPr>
          <w:p w14:paraId="105CDB81">
            <w:pPr>
              <w:spacing w:line="320" w:lineRule="exact"/>
              <w:rPr>
                <w:color w:val="000000"/>
                <w:szCs w:val="21"/>
              </w:rPr>
            </w:pPr>
            <w:r>
              <w:rPr>
                <w:color w:val="000000"/>
                <w:szCs w:val="21"/>
              </w:rPr>
              <w:t>配电室</w:t>
            </w:r>
          </w:p>
        </w:tc>
        <w:tc>
          <w:tcPr>
            <w:tcW w:w="935" w:type="dxa"/>
            <w:noWrap w:val="0"/>
            <w:vAlign w:val="top"/>
          </w:tcPr>
          <w:p w14:paraId="1CE0102D">
            <w:pPr>
              <w:spacing w:line="320" w:lineRule="exact"/>
              <w:rPr>
                <w:color w:val="000000"/>
                <w:szCs w:val="21"/>
              </w:rPr>
            </w:pPr>
            <w:r>
              <w:rPr>
                <w:color w:val="000000"/>
                <w:szCs w:val="21"/>
              </w:rPr>
              <w:t>55</w:t>
            </w:r>
          </w:p>
        </w:tc>
        <w:tc>
          <w:tcPr>
            <w:tcW w:w="1585" w:type="dxa"/>
            <w:noWrap w:val="0"/>
            <w:vAlign w:val="top"/>
          </w:tcPr>
          <w:p w14:paraId="67E4FBC7">
            <w:pPr>
              <w:spacing w:line="320" w:lineRule="exact"/>
              <w:rPr>
                <w:rFonts w:hint="eastAsia"/>
                <w:color w:val="000000"/>
                <w:szCs w:val="21"/>
              </w:rPr>
            </w:pPr>
            <w:r>
              <w:rPr>
                <w:rFonts w:hint="eastAsia"/>
                <w:color w:val="000000"/>
                <w:szCs w:val="21"/>
              </w:rPr>
              <w:t>32</w:t>
            </w:r>
          </w:p>
        </w:tc>
        <w:tc>
          <w:tcPr>
            <w:tcW w:w="1620" w:type="dxa"/>
            <w:noWrap w:val="0"/>
            <w:vAlign w:val="top"/>
          </w:tcPr>
          <w:p w14:paraId="19E1BFA0">
            <w:pPr>
              <w:spacing w:line="320" w:lineRule="exact"/>
              <w:rPr>
                <w:rFonts w:hint="eastAsia"/>
                <w:color w:val="000000"/>
                <w:szCs w:val="21"/>
              </w:rPr>
            </w:pPr>
            <w:r>
              <w:rPr>
                <w:color w:val="000000"/>
                <w:szCs w:val="21"/>
              </w:rPr>
              <w:t>2</w:t>
            </w:r>
            <w:r>
              <w:rPr>
                <w:rFonts w:hint="eastAsia"/>
                <w:color w:val="000000"/>
                <w:szCs w:val="21"/>
              </w:rPr>
              <w:t xml:space="preserve">4.89  </w:t>
            </w:r>
          </w:p>
        </w:tc>
        <w:tc>
          <w:tcPr>
            <w:tcW w:w="2061" w:type="dxa"/>
            <w:vMerge w:val="continue"/>
            <w:noWrap w:val="0"/>
            <w:vAlign w:val="center"/>
          </w:tcPr>
          <w:p w14:paraId="6691A50E">
            <w:pPr>
              <w:spacing w:line="320" w:lineRule="exact"/>
              <w:rPr>
                <w:color w:val="000000"/>
                <w:szCs w:val="21"/>
              </w:rPr>
            </w:pPr>
          </w:p>
        </w:tc>
      </w:tr>
      <w:tr w14:paraId="46068A9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58" w:hRule="atLeast"/>
          <w:jc w:val="center"/>
        </w:trPr>
        <w:tc>
          <w:tcPr>
            <w:tcW w:w="982" w:type="dxa"/>
            <w:vMerge w:val="continue"/>
            <w:noWrap w:val="0"/>
            <w:vAlign w:val="top"/>
          </w:tcPr>
          <w:p w14:paraId="6DCD0371">
            <w:pPr>
              <w:spacing w:line="320" w:lineRule="exact"/>
              <w:rPr>
                <w:color w:val="000000"/>
                <w:szCs w:val="21"/>
              </w:rPr>
            </w:pPr>
          </w:p>
        </w:tc>
        <w:tc>
          <w:tcPr>
            <w:tcW w:w="1440" w:type="dxa"/>
            <w:noWrap w:val="0"/>
            <w:vAlign w:val="top"/>
          </w:tcPr>
          <w:p w14:paraId="7207452A">
            <w:pPr>
              <w:spacing w:line="320" w:lineRule="exact"/>
              <w:rPr>
                <w:color w:val="000000"/>
                <w:szCs w:val="21"/>
              </w:rPr>
            </w:pPr>
            <w:r>
              <w:rPr>
                <w:color w:val="000000"/>
                <w:szCs w:val="21"/>
              </w:rPr>
              <w:t>污水处理站</w:t>
            </w:r>
          </w:p>
        </w:tc>
        <w:tc>
          <w:tcPr>
            <w:tcW w:w="935" w:type="dxa"/>
            <w:noWrap w:val="0"/>
            <w:vAlign w:val="top"/>
          </w:tcPr>
          <w:p w14:paraId="78067846">
            <w:pPr>
              <w:spacing w:line="320" w:lineRule="exact"/>
              <w:rPr>
                <w:color w:val="000000"/>
                <w:szCs w:val="21"/>
              </w:rPr>
            </w:pPr>
            <w:r>
              <w:rPr>
                <w:color w:val="000000"/>
                <w:szCs w:val="21"/>
              </w:rPr>
              <w:t>70.27</w:t>
            </w:r>
          </w:p>
        </w:tc>
        <w:tc>
          <w:tcPr>
            <w:tcW w:w="1585" w:type="dxa"/>
            <w:noWrap w:val="0"/>
            <w:vAlign w:val="top"/>
          </w:tcPr>
          <w:p w14:paraId="06E1887F">
            <w:pPr>
              <w:spacing w:line="320" w:lineRule="exact"/>
              <w:rPr>
                <w:rFonts w:hint="eastAsia"/>
                <w:color w:val="000000"/>
                <w:szCs w:val="21"/>
              </w:rPr>
            </w:pPr>
            <w:r>
              <w:rPr>
                <w:rFonts w:hint="eastAsia"/>
                <w:color w:val="000000"/>
                <w:szCs w:val="21"/>
              </w:rPr>
              <w:t>98</w:t>
            </w:r>
          </w:p>
        </w:tc>
        <w:tc>
          <w:tcPr>
            <w:tcW w:w="1620" w:type="dxa"/>
            <w:noWrap w:val="0"/>
            <w:vAlign w:val="top"/>
          </w:tcPr>
          <w:p w14:paraId="3D448D70">
            <w:pPr>
              <w:spacing w:line="320" w:lineRule="exact"/>
              <w:rPr>
                <w:rFonts w:hint="eastAsia"/>
                <w:color w:val="000000"/>
                <w:szCs w:val="21"/>
              </w:rPr>
            </w:pPr>
            <w:r>
              <w:rPr>
                <w:rFonts w:hint="eastAsia"/>
                <w:color w:val="000000"/>
                <w:szCs w:val="21"/>
              </w:rPr>
              <w:t xml:space="preserve">30.19  </w:t>
            </w:r>
          </w:p>
        </w:tc>
        <w:tc>
          <w:tcPr>
            <w:tcW w:w="2061" w:type="dxa"/>
            <w:vMerge w:val="continue"/>
            <w:noWrap w:val="0"/>
            <w:vAlign w:val="center"/>
          </w:tcPr>
          <w:p w14:paraId="670B9A27">
            <w:pPr>
              <w:spacing w:line="320" w:lineRule="exact"/>
              <w:rPr>
                <w:color w:val="000000"/>
                <w:szCs w:val="21"/>
              </w:rPr>
            </w:pPr>
          </w:p>
        </w:tc>
      </w:tr>
      <w:tr w14:paraId="1473D7D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58" w:hRule="atLeast"/>
          <w:jc w:val="center"/>
        </w:trPr>
        <w:tc>
          <w:tcPr>
            <w:tcW w:w="982" w:type="dxa"/>
            <w:vMerge w:val="continue"/>
            <w:noWrap w:val="0"/>
            <w:vAlign w:val="top"/>
          </w:tcPr>
          <w:p w14:paraId="526CE3CF">
            <w:pPr>
              <w:spacing w:line="320" w:lineRule="exact"/>
              <w:rPr>
                <w:color w:val="000000"/>
                <w:szCs w:val="21"/>
              </w:rPr>
            </w:pPr>
          </w:p>
        </w:tc>
        <w:tc>
          <w:tcPr>
            <w:tcW w:w="1440" w:type="dxa"/>
            <w:noWrap w:val="0"/>
            <w:vAlign w:val="top"/>
          </w:tcPr>
          <w:p w14:paraId="43C0D5C0">
            <w:pPr>
              <w:spacing w:line="320" w:lineRule="exact"/>
              <w:rPr>
                <w:color w:val="000000"/>
                <w:szCs w:val="21"/>
              </w:rPr>
            </w:pPr>
            <w:r>
              <w:rPr>
                <w:color w:val="000000"/>
                <w:szCs w:val="21"/>
              </w:rPr>
              <w:t>水泵房</w:t>
            </w:r>
          </w:p>
        </w:tc>
        <w:tc>
          <w:tcPr>
            <w:tcW w:w="935" w:type="dxa"/>
            <w:noWrap w:val="0"/>
            <w:vAlign w:val="top"/>
          </w:tcPr>
          <w:p w14:paraId="55317AD1">
            <w:pPr>
              <w:spacing w:line="320" w:lineRule="exact"/>
              <w:rPr>
                <w:color w:val="000000"/>
                <w:szCs w:val="21"/>
              </w:rPr>
            </w:pPr>
            <w:r>
              <w:rPr>
                <w:color w:val="000000"/>
                <w:szCs w:val="21"/>
              </w:rPr>
              <w:t>58</w:t>
            </w:r>
          </w:p>
        </w:tc>
        <w:tc>
          <w:tcPr>
            <w:tcW w:w="1585" w:type="dxa"/>
            <w:noWrap w:val="0"/>
            <w:vAlign w:val="top"/>
          </w:tcPr>
          <w:p w14:paraId="7F07B684">
            <w:pPr>
              <w:spacing w:line="320" w:lineRule="exact"/>
              <w:rPr>
                <w:rFonts w:hint="eastAsia"/>
                <w:color w:val="000000"/>
                <w:szCs w:val="21"/>
              </w:rPr>
            </w:pPr>
            <w:r>
              <w:rPr>
                <w:rFonts w:hint="eastAsia"/>
                <w:color w:val="000000"/>
                <w:szCs w:val="21"/>
              </w:rPr>
              <w:t>96</w:t>
            </w:r>
          </w:p>
        </w:tc>
        <w:tc>
          <w:tcPr>
            <w:tcW w:w="1620" w:type="dxa"/>
            <w:noWrap w:val="0"/>
            <w:vAlign w:val="top"/>
          </w:tcPr>
          <w:p w14:paraId="653269B6">
            <w:pPr>
              <w:spacing w:line="320" w:lineRule="exact"/>
              <w:rPr>
                <w:rFonts w:hint="eastAsia"/>
                <w:color w:val="000000"/>
                <w:szCs w:val="21"/>
              </w:rPr>
            </w:pPr>
            <w:r>
              <w:rPr>
                <w:rFonts w:hint="eastAsia"/>
                <w:color w:val="000000"/>
                <w:szCs w:val="21"/>
              </w:rPr>
              <w:t xml:space="preserve">18.35  </w:t>
            </w:r>
          </w:p>
        </w:tc>
        <w:tc>
          <w:tcPr>
            <w:tcW w:w="2061" w:type="dxa"/>
            <w:vMerge w:val="continue"/>
            <w:noWrap w:val="0"/>
            <w:vAlign w:val="center"/>
          </w:tcPr>
          <w:p w14:paraId="401EF7CC">
            <w:pPr>
              <w:spacing w:line="320" w:lineRule="exact"/>
              <w:rPr>
                <w:color w:val="000000"/>
                <w:szCs w:val="21"/>
              </w:rPr>
            </w:pPr>
          </w:p>
        </w:tc>
      </w:tr>
      <w:tr w14:paraId="4181CA8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57" w:hRule="atLeast"/>
          <w:jc w:val="center"/>
        </w:trPr>
        <w:tc>
          <w:tcPr>
            <w:tcW w:w="982" w:type="dxa"/>
            <w:vMerge w:val="continue"/>
            <w:noWrap w:val="0"/>
            <w:vAlign w:val="top"/>
          </w:tcPr>
          <w:p w14:paraId="0213F079">
            <w:pPr>
              <w:spacing w:line="320" w:lineRule="exact"/>
              <w:rPr>
                <w:color w:val="000000"/>
                <w:szCs w:val="21"/>
              </w:rPr>
            </w:pPr>
          </w:p>
        </w:tc>
        <w:tc>
          <w:tcPr>
            <w:tcW w:w="1440" w:type="dxa"/>
            <w:noWrap w:val="0"/>
            <w:vAlign w:val="top"/>
          </w:tcPr>
          <w:p w14:paraId="6F1FADCE">
            <w:pPr>
              <w:spacing w:line="320" w:lineRule="exact"/>
              <w:rPr>
                <w:color w:val="000000"/>
                <w:szCs w:val="21"/>
              </w:rPr>
            </w:pPr>
            <w:r>
              <w:rPr>
                <w:color w:val="000000"/>
                <w:szCs w:val="21"/>
              </w:rPr>
              <w:t>电梯机房</w:t>
            </w:r>
          </w:p>
        </w:tc>
        <w:tc>
          <w:tcPr>
            <w:tcW w:w="935" w:type="dxa"/>
            <w:noWrap w:val="0"/>
            <w:vAlign w:val="top"/>
          </w:tcPr>
          <w:p w14:paraId="322F5154">
            <w:pPr>
              <w:spacing w:line="320" w:lineRule="exact"/>
              <w:rPr>
                <w:color w:val="000000"/>
                <w:szCs w:val="21"/>
              </w:rPr>
            </w:pPr>
            <w:r>
              <w:rPr>
                <w:color w:val="000000"/>
                <w:szCs w:val="21"/>
              </w:rPr>
              <w:t>73.01</w:t>
            </w:r>
          </w:p>
        </w:tc>
        <w:tc>
          <w:tcPr>
            <w:tcW w:w="1585" w:type="dxa"/>
            <w:noWrap w:val="0"/>
            <w:vAlign w:val="top"/>
          </w:tcPr>
          <w:p w14:paraId="29AE8834">
            <w:pPr>
              <w:spacing w:line="320" w:lineRule="exact"/>
              <w:rPr>
                <w:rFonts w:hint="eastAsia"/>
                <w:color w:val="000000"/>
                <w:szCs w:val="21"/>
              </w:rPr>
            </w:pPr>
            <w:r>
              <w:rPr>
                <w:rFonts w:hint="eastAsia"/>
                <w:color w:val="000000"/>
                <w:szCs w:val="21"/>
              </w:rPr>
              <w:t>36</w:t>
            </w:r>
          </w:p>
        </w:tc>
        <w:tc>
          <w:tcPr>
            <w:tcW w:w="1620" w:type="dxa"/>
            <w:noWrap w:val="0"/>
            <w:vAlign w:val="top"/>
          </w:tcPr>
          <w:p w14:paraId="129A57BC">
            <w:pPr>
              <w:spacing w:line="320" w:lineRule="exact"/>
              <w:rPr>
                <w:rFonts w:hint="eastAsia"/>
                <w:color w:val="000000"/>
                <w:szCs w:val="21"/>
              </w:rPr>
            </w:pPr>
            <w:r>
              <w:rPr>
                <w:rFonts w:hint="eastAsia"/>
                <w:color w:val="000000"/>
                <w:szCs w:val="21"/>
              </w:rPr>
              <w:t xml:space="preserve">41.88  </w:t>
            </w:r>
          </w:p>
        </w:tc>
        <w:tc>
          <w:tcPr>
            <w:tcW w:w="2061" w:type="dxa"/>
            <w:vMerge w:val="continue"/>
            <w:noWrap w:val="0"/>
            <w:vAlign w:val="center"/>
          </w:tcPr>
          <w:p w14:paraId="014C3429">
            <w:pPr>
              <w:spacing w:line="320" w:lineRule="exact"/>
              <w:rPr>
                <w:color w:val="000000"/>
                <w:szCs w:val="21"/>
              </w:rPr>
            </w:pPr>
          </w:p>
        </w:tc>
      </w:tr>
      <w:tr w14:paraId="3885C21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82" w:type="dxa"/>
            <w:vMerge w:val="restart"/>
            <w:noWrap w:val="0"/>
            <w:vAlign w:val="top"/>
          </w:tcPr>
          <w:p w14:paraId="2032C2A0">
            <w:pPr>
              <w:spacing w:line="320" w:lineRule="exact"/>
              <w:rPr>
                <w:color w:val="000000"/>
                <w:szCs w:val="21"/>
              </w:rPr>
            </w:pPr>
          </w:p>
          <w:p w14:paraId="18B8E023">
            <w:pPr>
              <w:spacing w:line="320" w:lineRule="exact"/>
              <w:rPr>
                <w:color w:val="000000"/>
                <w:szCs w:val="21"/>
              </w:rPr>
            </w:pPr>
            <w:r>
              <w:rPr>
                <w:color w:val="000000"/>
                <w:szCs w:val="21"/>
              </w:rPr>
              <w:t>西场界</w:t>
            </w:r>
          </w:p>
        </w:tc>
        <w:tc>
          <w:tcPr>
            <w:tcW w:w="1440" w:type="dxa"/>
            <w:noWrap w:val="0"/>
            <w:vAlign w:val="top"/>
          </w:tcPr>
          <w:p w14:paraId="05C84864">
            <w:pPr>
              <w:spacing w:line="320" w:lineRule="exact"/>
              <w:rPr>
                <w:color w:val="000000"/>
                <w:szCs w:val="21"/>
              </w:rPr>
            </w:pPr>
            <w:r>
              <w:rPr>
                <w:color w:val="000000"/>
                <w:szCs w:val="21"/>
              </w:rPr>
              <w:t>发电机房</w:t>
            </w:r>
          </w:p>
        </w:tc>
        <w:tc>
          <w:tcPr>
            <w:tcW w:w="935" w:type="dxa"/>
            <w:noWrap w:val="0"/>
            <w:vAlign w:val="top"/>
          </w:tcPr>
          <w:p w14:paraId="72C48803">
            <w:pPr>
              <w:spacing w:line="320" w:lineRule="exact"/>
              <w:rPr>
                <w:color w:val="000000"/>
                <w:szCs w:val="21"/>
              </w:rPr>
            </w:pPr>
            <w:r>
              <w:rPr>
                <w:color w:val="000000"/>
                <w:szCs w:val="21"/>
              </w:rPr>
              <w:t>70</w:t>
            </w:r>
          </w:p>
        </w:tc>
        <w:tc>
          <w:tcPr>
            <w:tcW w:w="1585" w:type="dxa"/>
            <w:noWrap w:val="0"/>
            <w:vAlign w:val="top"/>
          </w:tcPr>
          <w:p w14:paraId="1ADDD389">
            <w:pPr>
              <w:spacing w:line="320" w:lineRule="exact"/>
              <w:rPr>
                <w:rFonts w:hint="eastAsia"/>
                <w:color w:val="000000"/>
                <w:szCs w:val="21"/>
              </w:rPr>
            </w:pPr>
            <w:r>
              <w:rPr>
                <w:rFonts w:hint="eastAsia"/>
                <w:color w:val="000000"/>
                <w:szCs w:val="21"/>
              </w:rPr>
              <w:t>19</w:t>
            </w:r>
          </w:p>
        </w:tc>
        <w:tc>
          <w:tcPr>
            <w:tcW w:w="1620" w:type="dxa"/>
            <w:noWrap w:val="0"/>
            <w:vAlign w:val="top"/>
          </w:tcPr>
          <w:p w14:paraId="77EB99AB">
            <w:pPr>
              <w:spacing w:line="320" w:lineRule="exact"/>
              <w:rPr>
                <w:rFonts w:hint="eastAsia"/>
                <w:color w:val="000000"/>
                <w:szCs w:val="21"/>
              </w:rPr>
            </w:pPr>
            <w:r>
              <w:rPr>
                <w:rFonts w:hint="eastAsia"/>
                <w:color w:val="000000"/>
                <w:szCs w:val="21"/>
              </w:rPr>
              <w:t xml:space="preserve">44.42 </w:t>
            </w:r>
          </w:p>
        </w:tc>
        <w:tc>
          <w:tcPr>
            <w:tcW w:w="2061" w:type="dxa"/>
            <w:vMerge w:val="restart"/>
            <w:noWrap w:val="0"/>
            <w:vAlign w:val="center"/>
          </w:tcPr>
          <w:p w14:paraId="29CC1258">
            <w:pPr>
              <w:widowControl/>
              <w:spacing w:line="300" w:lineRule="exact"/>
              <w:rPr>
                <w:rFonts w:hint="eastAsia"/>
                <w:color w:val="000000"/>
                <w:szCs w:val="21"/>
              </w:rPr>
            </w:pPr>
            <w:r>
              <w:rPr>
                <w:rFonts w:hint="eastAsia"/>
                <w:color w:val="000000"/>
                <w:szCs w:val="21"/>
              </w:rPr>
              <w:t>49.44</w:t>
            </w:r>
          </w:p>
        </w:tc>
      </w:tr>
      <w:tr w14:paraId="7B00F7B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82" w:type="dxa"/>
            <w:vMerge w:val="continue"/>
            <w:noWrap w:val="0"/>
            <w:vAlign w:val="top"/>
          </w:tcPr>
          <w:p w14:paraId="4B829A1A">
            <w:pPr>
              <w:spacing w:line="320" w:lineRule="exact"/>
              <w:rPr>
                <w:color w:val="000000"/>
                <w:szCs w:val="21"/>
              </w:rPr>
            </w:pPr>
          </w:p>
        </w:tc>
        <w:tc>
          <w:tcPr>
            <w:tcW w:w="1440" w:type="dxa"/>
            <w:noWrap w:val="0"/>
            <w:vAlign w:val="top"/>
          </w:tcPr>
          <w:p w14:paraId="4D90CB04">
            <w:pPr>
              <w:spacing w:line="320" w:lineRule="exact"/>
              <w:rPr>
                <w:color w:val="000000"/>
                <w:szCs w:val="21"/>
              </w:rPr>
            </w:pPr>
            <w:r>
              <w:rPr>
                <w:color w:val="000000"/>
                <w:szCs w:val="21"/>
              </w:rPr>
              <w:t>配电室</w:t>
            </w:r>
          </w:p>
        </w:tc>
        <w:tc>
          <w:tcPr>
            <w:tcW w:w="935" w:type="dxa"/>
            <w:noWrap w:val="0"/>
            <w:vAlign w:val="top"/>
          </w:tcPr>
          <w:p w14:paraId="21CA8856">
            <w:pPr>
              <w:spacing w:line="320" w:lineRule="exact"/>
              <w:rPr>
                <w:color w:val="000000"/>
                <w:szCs w:val="21"/>
              </w:rPr>
            </w:pPr>
            <w:r>
              <w:rPr>
                <w:color w:val="000000"/>
                <w:szCs w:val="21"/>
              </w:rPr>
              <w:t>55</w:t>
            </w:r>
          </w:p>
        </w:tc>
        <w:tc>
          <w:tcPr>
            <w:tcW w:w="1585" w:type="dxa"/>
            <w:noWrap w:val="0"/>
            <w:vAlign w:val="top"/>
          </w:tcPr>
          <w:p w14:paraId="5D74A383">
            <w:pPr>
              <w:spacing w:line="320" w:lineRule="exact"/>
              <w:rPr>
                <w:rFonts w:hint="eastAsia"/>
                <w:color w:val="000000"/>
                <w:szCs w:val="21"/>
              </w:rPr>
            </w:pPr>
            <w:r>
              <w:rPr>
                <w:rFonts w:hint="eastAsia"/>
                <w:color w:val="000000"/>
                <w:szCs w:val="21"/>
              </w:rPr>
              <w:t>18</w:t>
            </w:r>
          </w:p>
        </w:tc>
        <w:tc>
          <w:tcPr>
            <w:tcW w:w="1620" w:type="dxa"/>
            <w:noWrap w:val="0"/>
            <w:vAlign w:val="top"/>
          </w:tcPr>
          <w:p w14:paraId="6A539B82">
            <w:pPr>
              <w:spacing w:line="320" w:lineRule="exact"/>
              <w:rPr>
                <w:rFonts w:hint="eastAsia"/>
                <w:color w:val="000000"/>
                <w:szCs w:val="21"/>
              </w:rPr>
            </w:pPr>
            <w:r>
              <w:rPr>
                <w:color w:val="000000"/>
                <w:szCs w:val="21"/>
              </w:rPr>
              <w:t>2</w:t>
            </w:r>
            <w:r>
              <w:rPr>
                <w:rFonts w:hint="eastAsia"/>
                <w:color w:val="000000"/>
                <w:szCs w:val="21"/>
              </w:rPr>
              <w:t xml:space="preserve">9.89  </w:t>
            </w:r>
          </w:p>
        </w:tc>
        <w:tc>
          <w:tcPr>
            <w:tcW w:w="2061" w:type="dxa"/>
            <w:vMerge w:val="continue"/>
            <w:noWrap w:val="0"/>
            <w:vAlign w:val="center"/>
          </w:tcPr>
          <w:p w14:paraId="15B7BFC5">
            <w:pPr>
              <w:spacing w:line="320" w:lineRule="exact"/>
              <w:rPr>
                <w:color w:val="000000"/>
                <w:szCs w:val="21"/>
              </w:rPr>
            </w:pPr>
          </w:p>
        </w:tc>
      </w:tr>
      <w:tr w14:paraId="4D47F23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58" w:hRule="atLeast"/>
          <w:jc w:val="center"/>
        </w:trPr>
        <w:tc>
          <w:tcPr>
            <w:tcW w:w="982" w:type="dxa"/>
            <w:vMerge w:val="continue"/>
            <w:noWrap w:val="0"/>
            <w:vAlign w:val="top"/>
          </w:tcPr>
          <w:p w14:paraId="1A8D55E6">
            <w:pPr>
              <w:spacing w:line="320" w:lineRule="exact"/>
              <w:rPr>
                <w:color w:val="000000"/>
                <w:szCs w:val="21"/>
              </w:rPr>
            </w:pPr>
          </w:p>
        </w:tc>
        <w:tc>
          <w:tcPr>
            <w:tcW w:w="1440" w:type="dxa"/>
            <w:noWrap w:val="0"/>
            <w:vAlign w:val="top"/>
          </w:tcPr>
          <w:p w14:paraId="15174EFC">
            <w:pPr>
              <w:spacing w:line="320" w:lineRule="exact"/>
              <w:rPr>
                <w:color w:val="000000"/>
                <w:szCs w:val="21"/>
              </w:rPr>
            </w:pPr>
            <w:r>
              <w:rPr>
                <w:color w:val="000000"/>
                <w:szCs w:val="21"/>
              </w:rPr>
              <w:t>污水处理站</w:t>
            </w:r>
          </w:p>
        </w:tc>
        <w:tc>
          <w:tcPr>
            <w:tcW w:w="935" w:type="dxa"/>
            <w:noWrap w:val="0"/>
            <w:vAlign w:val="top"/>
          </w:tcPr>
          <w:p w14:paraId="62FD1771">
            <w:pPr>
              <w:spacing w:line="320" w:lineRule="exact"/>
              <w:rPr>
                <w:color w:val="000000"/>
                <w:szCs w:val="21"/>
              </w:rPr>
            </w:pPr>
            <w:r>
              <w:rPr>
                <w:color w:val="000000"/>
                <w:szCs w:val="21"/>
              </w:rPr>
              <w:t>70.27</w:t>
            </w:r>
          </w:p>
        </w:tc>
        <w:tc>
          <w:tcPr>
            <w:tcW w:w="1585" w:type="dxa"/>
            <w:noWrap w:val="0"/>
            <w:vAlign w:val="top"/>
          </w:tcPr>
          <w:p w14:paraId="2FD93A36">
            <w:pPr>
              <w:spacing w:line="320" w:lineRule="exact"/>
              <w:rPr>
                <w:rFonts w:hint="eastAsia"/>
                <w:color w:val="000000"/>
                <w:szCs w:val="21"/>
              </w:rPr>
            </w:pPr>
            <w:r>
              <w:rPr>
                <w:rFonts w:hint="eastAsia"/>
                <w:color w:val="000000"/>
                <w:szCs w:val="21"/>
              </w:rPr>
              <w:t>35</w:t>
            </w:r>
          </w:p>
        </w:tc>
        <w:tc>
          <w:tcPr>
            <w:tcW w:w="1620" w:type="dxa"/>
            <w:noWrap w:val="0"/>
            <w:vAlign w:val="top"/>
          </w:tcPr>
          <w:p w14:paraId="3A1BFB18">
            <w:pPr>
              <w:spacing w:line="320" w:lineRule="exact"/>
              <w:rPr>
                <w:rFonts w:hint="eastAsia"/>
                <w:color w:val="000000"/>
                <w:szCs w:val="21"/>
              </w:rPr>
            </w:pPr>
            <w:r>
              <w:rPr>
                <w:color w:val="000000"/>
                <w:szCs w:val="21"/>
              </w:rPr>
              <w:t>3</w:t>
            </w:r>
            <w:r>
              <w:rPr>
                <w:rFonts w:hint="eastAsia"/>
                <w:color w:val="000000"/>
                <w:szCs w:val="21"/>
              </w:rPr>
              <w:t xml:space="preserve">9.38  </w:t>
            </w:r>
          </w:p>
        </w:tc>
        <w:tc>
          <w:tcPr>
            <w:tcW w:w="2061" w:type="dxa"/>
            <w:vMerge w:val="continue"/>
            <w:noWrap w:val="0"/>
            <w:vAlign w:val="center"/>
          </w:tcPr>
          <w:p w14:paraId="57D98F3A">
            <w:pPr>
              <w:spacing w:line="320" w:lineRule="exact"/>
              <w:rPr>
                <w:color w:val="000000"/>
                <w:szCs w:val="21"/>
              </w:rPr>
            </w:pPr>
          </w:p>
        </w:tc>
      </w:tr>
      <w:tr w14:paraId="68F0A63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58" w:hRule="atLeast"/>
          <w:jc w:val="center"/>
        </w:trPr>
        <w:tc>
          <w:tcPr>
            <w:tcW w:w="982" w:type="dxa"/>
            <w:vMerge w:val="continue"/>
            <w:noWrap w:val="0"/>
            <w:vAlign w:val="top"/>
          </w:tcPr>
          <w:p w14:paraId="35A8019B">
            <w:pPr>
              <w:spacing w:line="320" w:lineRule="exact"/>
              <w:rPr>
                <w:color w:val="000000"/>
                <w:szCs w:val="21"/>
              </w:rPr>
            </w:pPr>
          </w:p>
        </w:tc>
        <w:tc>
          <w:tcPr>
            <w:tcW w:w="1440" w:type="dxa"/>
            <w:noWrap w:val="0"/>
            <w:vAlign w:val="top"/>
          </w:tcPr>
          <w:p w14:paraId="340AF8F0">
            <w:pPr>
              <w:spacing w:line="320" w:lineRule="exact"/>
              <w:rPr>
                <w:color w:val="000000"/>
                <w:szCs w:val="21"/>
              </w:rPr>
            </w:pPr>
            <w:r>
              <w:rPr>
                <w:color w:val="000000"/>
                <w:szCs w:val="21"/>
              </w:rPr>
              <w:t>水泵房</w:t>
            </w:r>
          </w:p>
        </w:tc>
        <w:tc>
          <w:tcPr>
            <w:tcW w:w="935" w:type="dxa"/>
            <w:noWrap w:val="0"/>
            <w:vAlign w:val="top"/>
          </w:tcPr>
          <w:p w14:paraId="378673E0">
            <w:pPr>
              <w:spacing w:line="320" w:lineRule="exact"/>
              <w:rPr>
                <w:color w:val="000000"/>
                <w:szCs w:val="21"/>
              </w:rPr>
            </w:pPr>
            <w:r>
              <w:rPr>
                <w:color w:val="000000"/>
                <w:szCs w:val="21"/>
              </w:rPr>
              <w:t>58</w:t>
            </w:r>
          </w:p>
        </w:tc>
        <w:tc>
          <w:tcPr>
            <w:tcW w:w="1585" w:type="dxa"/>
            <w:noWrap w:val="0"/>
            <w:vAlign w:val="top"/>
          </w:tcPr>
          <w:p w14:paraId="470D12D1">
            <w:pPr>
              <w:spacing w:line="320" w:lineRule="exact"/>
              <w:rPr>
                <w:rFonts w:hint="eastAsia"/>
                <w:color w:val="000000"/>
                <w:szCs w:val="21"/>
              </w:rPr>
            </w:pPr>
            <w:r>
              <w:rPr>
                <w:rFonts w:hint="eastAsia"/>
                <w:color w:val="000000"/>
                <w:szCs w:val="21"/>
              </w:rPr>
              <w:t>32</w:t>
            </w:r>
          </w:p>
        </w:tc>
        <w:tc>
          <w:tcPr>
            <w:tcW w:w="1620" w:type="dxa"/>
            <w:noWrap w:val="0"/>
            <w:vAlign w:val="top"/>
          </w:tcPr>
          <w:p w14:paraId="186B70FF">
            <w:pPr>
              <w:spacing w:line="320" w:lineRule="exact"/>
              <w:rPr>
                <w:rFonts w:hint="eastAsia"/>
                <w:color w:val="000000"/>
                <w:szCs w:val="21"/>
              </w:rPr>
            </w:pPr>
            <w:r>
              <w:rPr>
                <w:color w:val="000000"/>
                <w:szCs w:val="21"/>
              </w:rPr>
              <w:t>2</w:t>
            </w:r>
            <w:r>
              <w:rPr>
                <w:rFonts w:hint="eastAsia"/>
                <w:color w:val="000000"/>
                <w:szCs w:val="21"/>
              </w:rPr>
              <w:t xml:space="preserve">7.89  </w:t>
            </w:r>
          </w:p>
        </w:tc>
        <w:tc>
          <w:tcPr>
            <w:tcW w:w="2061" w:type="dxa"/>
            <w:vMerge w:val="continue"/>
            <w:noWrap w:val="0"/>
            <w:vAlign w:val="center"/>
          </w:tcPr>
          <w:p w14:paraId="41F3C65C">
            <w:pPr>
              <w:spacing w:line="320" w:lineRule="exact"/>
              <w:rPr>
                <w:color w:val="000000"/>
                <w:szCs w:val="21"/>
              </w:rPr>
            </w:pPr>
          </w:p>
        </w:tc>
      </w:tr>
      <w:tr w14:paraId="438A2BF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57" w:hRule="atLeast"/>
          <w:jc w:val="center"/>
        </w:trPr>
        <w:tc>
          <w:tcPr>
            <w:tcW w:w="982" w:type="dxa"/>
            <w:vMerge w:val="continue"/>
            <w:noWrap w:val="0"/>
            <w:vAlign w:val="top"/>
          </w:tcPr>
          <w:p w14:paraId="7F98EC11">
            <w:pPr>
              <w:spacing w:line="320" w:lineRule="exact"/>
              <w:rPr>
                <w:color w:val="000000"/>
                <w:szCs w:val="21"/>
              </w:rPr>
            </w:pPr>
          </w:p>
        </w:tc>
        <w:tc>
          <w:tcPr>
            <w:tcW w:w="1440" w:type="dxa"/>
            <w:noWrap w:val="0"/>
            <w:vAlign w:val="top"/>
          </w:tcPr>
          <w:p w14:paraId="72469913">
            <w:pPr>
              <w:spacing w:line="320" w:lineRule="exact"/>
              <w:rPr>
                <w:color w:val="000000"/>
                <w:szCs w:val="21"/>
              </w:rPr>
            </w:pPr>
            <w:r>
              <w:rPr>
                <w:color w:val="000000"/>
                <w:szCs w:val="21"/>
              </w:rPr>
              <w:t>电梯机房</w:t>
            </w:r>
          </w:p>
        </w:tc>
        <w:tc>
          <w:tcPr>
            <w:tcW w:w="935" w:type="dxa"/>
            <w:noWrap w:val="0"/>
            <w:vAlign w:val="top"/>
          </w:tcPr>
          <w:p w14:paraId="75CED715">
            <w:pPr>
              <w:spacing w:line="320" w:lineRule="exact"/>
              <w:rPr>
                <w:color w:val="000000"/>
                <w:szCs w:val="21"/>
              </w:rPr>
            </w:pPr>
            <w:r>
              <w:rPr>
                <w:color w:val="000000"/>
                <w:szCs w:val="21"/>
              </w:rPr>
              <w:t>73.01</w:t>
            </w:r>
          </w:p>
        </w:tc>
        <w:tc>
          <w:tcPr>
            <w:tcW w:w="1585" w:type="dxa"/>
            <w:noWrap w:val="0"/>
            <w:vAlign w:val="top"/>
          </w:tcPr>
          <w:p w14:paraId="6A3C5A8A">
            <w:pPr>
              <w:spacing w:line="320" w:lineRule="exact"/>
              <w:rPr>
                <w:rFonts w:hint="eastAsia"/>
                <w:color w:val="000000"/>
                <w:szCs w:val="21"/>
              </w:rPr>
            </w:pPr>
            <w:r>
              <w:rPr>
                <w:rFonts w:hint="eastAsia"/>
                <w:color w:val="000000"/>
                <w:szCs w:val="21"/>
              </w:rPr>
              <w:t>20</w:t>
            </w:r>
          </w:p>
        </w:tc>
        <w:tc>
          <w:tcPr>
            <w:tcW w:w="1620" w:type="dxa"/>
            <w:noWrap w:val="0"/>
            <w:vAlign w:val="top"/>
          </w:tcPr>
          <w:p w14:paraId="18C50374">
            <w:pPr>
              <w:spacing w:line="320" w:lineRule="exact"/>
              <w:rPr>
                <w:rFonts w:hint="eastAsia"/>
                <w:color w:val="000000"/>
                <w:szCs w:val="21"/>
              </w:rPr>
            </w:pPr>
            <w:r>
              <w:rPr>
                <w:color w:val="000000"/>
                <w:szCs w:val="21"/>
              </w:rPr>
              <w:t>4</w:t>
            </w:r>
            <w:r>
              <w:rPr>
                <w:rFonts w:hint="eastAsia"/>
                <w:color w:val="000000"/>
                <w:szCs w:val="21"/>
              </w:rPr>
              <w:t xml:space="preserve">6.98  </w:t>
            </w:r>
          </w:p>
        </w:tc>
        <w:tc>
          <w:tcPr>
            <w:tcW w:w="2061" w:type="dxa"/>
            <w:vMerge w:val="continue"/>
            <w:noWrap w:val="0"/>
            <w:vAlign w:val="center"/>
          </w:tcPr>
          <w:p w14:paraId="63A1D7AD">
            <w:pPr>
              <w:spacing w:line="320" w:lineRule="exact"/>
              <w:rPr>
                <w:color w:val="000000"/>
                <w:szCs w:val="21"/>
              </w:rPr>
            </w:pPr>
          </w:p>
        </w:tc>
      </w:tr>
      <w:tr w14:paraId="4587A69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82" w:type="dxa"/>
            <w:vMerge w:val="restart"/>
            <w:noWrap w:val="0"/>
            <w:vAlign w:val="top"/>
          </w:tcPr>
          <w:p w14:paraId="29574CE8">
            <w:pPr>
              <w:spacing w:line="320" w:lineRule="exact"/>
              <w:rPr>
                <w:color w:val="000000"/>
                <w:szCs w:val="21"/>
              </w:rPr>
            </w:pPr>
          </w:p>
          <w:p w14:paraId="1419F6F2">
            <w:pPr>
              <w:spacing w:line="320" w:lineRule="exact"/>
              <w:rPr>
                <w:color w:val="000000"/>
                <w:szCs w:val="21"/>
              </w:rPr>
            </w:pPr>
            <w:r>
              <w:rPr>
                <w:color w:val="000000"/>
                <w:szCs w:val="21"/>
              </w:rPr>
              <w:t>北场界</w:t>
            </w:r>
          </w:p>
        </w:tc>
        <w:tc>
          <w:tcPr>
            <w:tcW w:w="1440" w:type="dxa"/>
            <w:noWrap w:val="0"/>
            <w:vAlign w:val="top"/>
          </w:tcPr>
          <w:p w14:paraId="7EB60F39">
            <w:pPr>
              <w:spacing w:line="320" w:lineRule="exact"/>
              <w:rPr>
                <w:color w:val="000000"/>
                <w:szCs w:val="21"/>
              </w:rPr>
            </w:pPr>
            <w:r>
              <w:rPr>
                <w:color w:val="000000"/>
                <w:szCs w:val="21"/>
              </w:rPr>
              <w:t>发电机房</w:t>
            </w:r>
          </w:p>
        </w:tc>
        <w:tc>
          <w:tcPr>
            <w:tcW w:w="935" w:type="dxa"/>
            <w:noWrap w:val="0"/>
            <w:vAlign w:val="top"/>
          </w:tcPr>
          <w:p w14:paraId="69CA09C9">
            <w:pPr>
              <w:spacing w:line="320" w:lineRule="exact"/>
              <w:rPr>
                <w:color w:val="000000"/>
                <w:szCs w:val="21"/>
              </w:rPr>
            </w:pPr>
            <w:r>
              <w:rPr>
                <w:color w:val="000000"/>
                <w:szCs w:val="21"/>
              </w:rPr>
              <w:t>70</w:t>
            </w:r>
          </w:p>
        </w:tc>
        <w:tc>
          <w:tcPr>
            <w:tcW w:w="1585" w:type="dxa"/>
            <w:noWrap w:val="0"/>
            <w:vAlign w:val="top"/>
          </w:tcPr>
          <w:p w14:paraId="7521DDF9">
            <w:pPr>
              <w:spacing w:line="320" w:lineRule="exact"/>
              <w:rPr>
                <w:rFonts w:hint="eastAsia"/>
                <w:color w:val="000000"/>
                <w:szCs w:val="21"/>
              </w:rPr>
            </w:pPr>
            <w:r>
              <w:rPr>
                <w:rFonts w:hint="eastAsia"/>
                <w:color w:val="000000"/>
                <w:szCs w:val="21"/>
              </w:rPr>
              <w:t>28</w:t>
            </w:r>
          </w:p>
        </w:tc>
        <w:tc>
          <w:tcPr>
            <w:tcW w:w="1620" w:type="dxa"/>
            <w:noWrap w:val="0"/>
            <w:vAlign w:val="top"/>
          </w:tcPr>
          <w:p w14:paraId="3A1630A4">
            <w:pPr>
              <w:spacing w:line="320" w:lineRule="exact"/>
              <w:rPr>
                <w:rFonts w:hint="eastAsia"/>
                <w:color w:val="000000"/>
                <w:szCs w:val="21"/>
              </w:rPr>
            </w:pPr>
            <w:r>
              <w:rPr>
                <w:color w:val="000000"/>
                <w:szCs w:val="21"/>
              </w:rPr>
              <w:t>4</w:t>
            </w:r>
            <w:r>
              <w:rPr>
                <w:rFonts w:hint="eastAsia"/>
                <w:color w:val="000000"/>
                <w:szCs w:val="21"/>
              </w:rPr>
              <w:t xml:space="preserve">1.05  </w:t>
            </w:r>
          </w:p>
        </w:tc>
        <w:tc>
          <w:tcPr>
            <w:tcW w:w="2061" w:type="dxa"/>
            <w:vMerge w:val="restart"/>
            <w:noWrap w:val="0"/>
            <w:vAlign w:val="center"/>
          </w:tcPr>
          <w:p w14:paraId="35E12E85">
            <w:pPr>
              <w:widowControl/>
              <w:spacing w:line="300" w:lineRule="exact"/>
              <w:rPr>
                <w:rFonts w:hint="eastAsia"/>
                <w:color w:val="000000"/>
                <w:szCs w:val="21"/>
              </w:rPr>
            </w:pPr>
            <w:r>
              <w:rPr>
                <w:color w:val="000000"/>
                <w:szCs w:val="21"/>
              </w:rPr>
              <w:t>4</w:t>
            </w:r>
            <w:r>
              <w:rPr>
                <w:rFonts w:hint="eastAsia"/>
                <w:color w:val="000000"/>
                <w:szCs w:val="21"/>
              </w:rPr>
              <w:t>9.75</w:t>
            </w:r>
          </w:p>
        </w:tc>
      </w:tr>
      <w:tr w14:paraId="3A4B5F8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82" w:type="dxa"/>
            <w:vMerge w:val="continue"/>
            <w:noWrap w:val="0"/>
            <w:vAlign w:val="top"/>
          </w:tcPr>
          <w:p w14:paraId="254F2F91">
            <w:pPr>
              <w:spacing w:line="320" w:lineRule="exact"/>
              <w:rPr>
                <w:color w:val="000000"/>
                <w:szCs w:val="21"/>
              </w:rPr>
            </w:pPr>
          </w:p>
        </w:tc>
        <w:tc>
          <w:tcPr>
            <w:tcW w:w="1440" w:type="dxa"/>
            <w:noWrap w:val="0"/>
            <w:vAlign w:val="top"/>
          </w:tcPr>
          <w:p w14:paraId="1CFA94F6">
            <w:pPr>
              <w:spacing w:line="320" w:lineRule="exact"/>
              <w:rPr>
                <w:color w:val="000000"/>
                <w:szCs w:val="21"/>
              </w:rPr>
            </w:pPr>
            <w:r>
              <w:rPr>
                <w:color w:val="000000"/>
                <w:szCs w:val="21"/>
              </w:rPr>
              <w:t>配电室</w:t>
            </w:r>
          </w:p>
        </w:tc>
        <w:tc>
          <w:tcPr>
            <w:tcW w:w="935" w:type="dxa"/>
            <w:noWrap w:val="0"/>
            <w:vAlign w:val="top"/>
          </w:tcPr>
          <w:p w14:paraId="06DB90E3">
            <w:pPr>
              <w:spacing w:line="320" w:lineRule="exact"/>
              <w:rPr>
                <w:color w:val="000000"/>
                <w:szCs w:val="21"/>
              </w:rPr>
            </w:pPr>
            <w:r>
              <w:rPr>
                <w:color w:val="000000"/>
                <w:szCs w:val="21"/>
              </w:rPr>
              <w:t>55</w:t>
            </w:r>
          </w:p>
        </w:tc>
        <w:tc>
          <w:tcPr>
            <w:tcW w:w="1585" w:type="dxa"/>
            <w:noWrap w:val="0"/>
            <w:vAlign w:val="top"/>
          </w:tcPr>
          <w:p w14:paraId="4BEBD09C">
            <w:pPr>
              <w:spacing w:line="320" w:lineRule="exact"/>
              <w:rPr>
                <w:color w:val="000000"/>
                <w:szCs w:val="21"/>
              </w:rPr>
            </w:pPr>
            <w:r>
              <w:rPr>
                <w:color w:val="000000"/>
                <w:szCs w:val="21"/>
              </w:rPr>
              <w:t>23</w:t>
            </w:r>
          </w:p>
        </w:tc>
        <w:tc>
          <w:tcPr>
            <w:tcW w:w="1620" w:type="dxa"/>
            <w:noWrap w:val="0"/>
            <w:vAlign w:val="top"/>
          </w:tcPr>
          <w:p w14:paraId="2642BADB">
            <w:pPr>
              <w:spacing w:line="320" w:lineRule="exact"/>
              <w:rPr>
                <w:rFonts w:hint="eastAsia"/>
                <w:color w:val="000000"/>
                <w:szCs w:val="21"/>
              </w:rPr>
            </w:pPr>
            <w:r>
              <w:rPr>
                <w:rFonts w:hint="eastAsia"/>
                <w:color w:val="000000"/>
                <w:szCs w:val="21"/>
              </w:rPr>
              <w:t xml:space="preserve">27.76  </w:t>
            </w:r>
          </w:p>
        </w:tc>
        <w:tc>
          <w:tcPr>
            <w:tcW w:w="2061" w:type="dxa"/>
            <w:vMerge w:val="continue"/>
            <w:noWrap w:val="0"/>
            <w:vAlign w:val="top"/>
          </w:tcPr>
          <w:p w14:paraId="4D3BE51C">
            <w:pPr>
              <w:widowControl/>
              <w:spacing w:line="300" w:lineRule="exact"/>
              <w:rPr>
                <w:color w:val="000000"/>
                <w:szCs w:val="21"/>
              </w:rPr>
            </w:pPr>
          </w:p>
        </w:tc>
      </w:tr>
      <w:tr w14:paraId="418C166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58" w:hRule="atLeast"/>
          <w:jc w:val="center"/>
        </w:trPr>
        <w:tc>
          <w:tcPr>
            <w:tcW w:w="982" w:type="dxa"/>
            <w:vMerge w:val="continue"/>
            <w:noWrap w:val="0"/>
            <w:vAlign w:val="top"/>
          </w:tcPr>
          <w:p w14:paraId="724930E1">
            <w:pPr>
              <w:spacing w:line="320" w:lineRule="exact"/>
              <w:rPr>
                <w:color w:val="000000"/>
                <w:szCs w:val="21"/>
              </w:rPr>
            </w:pPr>
          </w:p>
        </w:tc>
        <w:tc>
          <w:tcPr>
            <w:tcW w:w="1440" w:type="dxa"/>
            <w:noWrap w:val="0"/>
            <w:vAlign w:val="top"/>
          </w:tcPr>
          <w:p w14:paraId="3D5098B2">
            <w:pPr>
              <w:spacing w:line="320" w:lineRule="exact"/>
              <w:rPr>
                <w:color w:val="000000"/>
                <w:szCs w:val="21"/>
              </w:rPr>
            </w:pPr>
            <w:r>
              <w:rPr>
                <w:color w:val="000000"/>
                <w:szCs w:val="21"/>
              </w:rPr>
              <w:t>污水处理站</w:t>
            </w:r>
          </w:p>
        </w:tc>
        <w:tc>
          <w:tcPr>
            <w:tcW w:w="935" w:type="dxa"/>
            <w:noWrap w:val="0"/>
            <w:vAlign w:val="top"/>
          </w:tcPr>
          <w:p w14:paraId="61DACD0E">
            <w:pPr>
              <w:spacing w:line="320" w:lineRule="exact"/>
              <w:rPr>
                <w:color w:val="000000"/>
                <w:szCs w:val="21"/>
              </w:rPr>
            </w:pPr>
            <w:r>
              <w:rPr>
                <w:color w:val="000000"/>
                <w:szCs w:val="21"/>
              </w:rPr>
              <w:t>70.27</w:t>
            </w:r>
          </w:p>
        </w:tc>
        <w:tc>
          <w:tcPr>
            <w:tcW w:w="1585" w:type="dxa"/>
            <w:noWrap w:val="0"/>
            <w:vAlign w:val="top"/>
          </w:tcPr>
          <w:p w14:paraId="7287D6AC">
            <w:pPr>
              <w:spacing w:line="320" w:lineRule="exact"/>
              <w:rPr>
                <w:rFonts w:hint="eastAsia"/>
                <w:color w:val="000000"/>
                <w:szCs w:val="21"/>
              </w:rPr>
            </w:pPr>
            <w:r>
              <w:rPr>
                <w:rFonts w:hint="eastAsia"/>
                <w:color w:val="000000"/>
                <w:szCs w:val="21"/>
              </w:rPr>
              <w:t>15</w:t>
            </w:r>
          </w:p>
        </w:tc>
        <w:tc>
          <w:tcPr>
            <w:tcW w:w="1620" w:type="dxa"/>
            <w:noWrap w:val="0"/>
            <w:vAlign w:val="top"/>
          </w:tcPr>
          <w:p w14:paraId="44B3D15C">
            <w:pPr>
              <w:spacing w:line="320" w:lineRule="exact"/>
              <w:rPr>
                <w:rFonts w:hint="eastAsia"/>
                <w:color w:val="000000"/>
                <w:szCs w:val="21"/>
              </w:rPr>
            </w:pPr>
            <w:r>
              <w:rPr>
                <w:rFonts w:hint="eastAsia"/>
                <w:color w:val="000000"/>
                <w:szCs w:val="21"/>
              </w:rPr>
              <w:t xml:space="preserve">46.74 </w:t>
            </w:r>
          </w:p>
        </w:tc>
        <w:tc>
          <w:tcPr>
            <w:tcW w:w="2061" w:type="dxa"/>
            <w:vMerge w:val="continue"/>
            <w:noWrap w:val="0"/>
            <w:vAlign w:val="top"/>
          </w:tcPr>
          <w:p w14:paraId="5FF275A4">
            <w:pPr>
              <w:widowControl/>
              <w:spacing w:line="300" w:lineRule="exact"/>
              <w:rPr>
                <w:color w:val="000000"/>
                <w:szCs w:val="21"/>
              </w:rPr>
            </w:pPr>
          </w:p>
        </w:tc>
      </w:tr>
      <w:tr w14:paraId="5AA86C0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58" w:hRule="atLeast"/>
          <w:jc w:val="center"/>
        </w:trPr>
        <w:tc>
          <w:tcPr>
            <w:tcW w:w="982" w:type="dxa"/>
            <w:vMerge w:val="continue"/>
            <w:noWrap w:val="0"/>
            <w:vAlign w:val="top"/>
          </w:tcPr>
          <w:p w14:paraId="2038527F">
            <w:pPr>
              <w:spacing w:line="320" w:lineRule="exact"/>
              <w:rPr>
                <w:color w:val="000000"/>
                <w:szCs w:val="21"/>
              </w:rPr>
            </w:pPr>
          </w:p>
        </w:tc>
        <w:tc>
          <w:tcPr>
            <w:tcW w:w="1440" w:type="dxa"/>
            <w:noWrap w:val="0"/>
            <w:vAlign w:val="top"/>
          </w:tcPr>
          <w:p w14:paraId="454DA4ED">
            <w:pPr>
              <w:spacing w:line="320" w:lineRule="exact"/>
              <w:rPr>
                <w:color w:val="000000"/>
                <w:szCs w:val="21"/>
              </w:rPr>
            </w:pPr>
            <w:r>
              <w:rPr>
                <w:color w:val="000000"/>
                <w:szCs w:val="21"/>
              </w:rPr>
              <w:t>水泵房</w:t>
            </w:r>
          </w:p>
        </w:tc>
        <w:tc>
          <w:tcPr>
            <w:tcW w:w="935" w:type="dxa"/>
            <w:noWrap w:val="0"/>
            <w:vAlign w:val="top"/>
          </w:tcPr>
          <w:p w14:paraId="7D7A1B36">
            <w:pPr>
              <w:spacing w:line="320" w:lineRule="exact"/>
              <w:rPr>
                <w:color w:val="000000"/>
                <w:szCs w:val="21"/>
              </w:rPr>
            </w:pPr>
            <w:r>
              <w:rPr>
                <w:color w:val="000000"/>
                <w:szCs w:val="21"/>
              </w:rPr>
              <w:t>58</w:t>
            </w:r>
          </w:p>
        </w:tc>
        <w:tc>
          <w:tcPr>
            <w:tcW w:w="1585" w:type="dxa"/>
            <w:noWrap w:val="0"/>
            <w:vAlign w:val="top"/>
          </w:tcPr>
          <w:p w14:paraId="1DD8C9FA">
            <w:pPr>
              <w:spacing w:line="320" w:lineRule="exact"/>
              <w:rPr>
                <w:rFonts w:hint="eastAsia"/>
                <w:color w:val="000000"/>
                <w:szCs w:val="21"/>
              </w:rPr>
            </w:pPr>
            <w:r>
              <w:rPr>
                <w:rFonts w:hint="eastAsia"/>
                <w:color w:val="000000"/>
                <w:szCs w:val="21"/>
              </w:rPr>
              <w:t>18</w:t>
            </w:r>
          </w:p>
        </w:tc>
        <w:tc>
          <w:tcPr>
            <w:tcW w:w="1620" w:type="dxa"/>
            <w:noWrap w:val="0"/>
            <w:vAlign w:val="top"/>
          </w:tcPr>
          <w:p w14:paraId="5C3A5E6E">
            <w:pPr>
              <w:spacing w:line="320" w:lineRule="exact"/>
              <w:rPr>
                <w:rFonts w:hint="eastAsia"/>
                <w:color w:val="000000"/>
                <w:szCs w:val="21"/>
              </w:rPr>
            </w:pPr>
            <w:r>
              <w:rPr>
                <w:color w:val="000000"/>
                <w:szCs w:val="21"/>
              </w:rPr>
              <w:t>3</w:t>
            </w:r>
            <w:r>
              <w:rPr>
                <w:rFonts w:hint="eastAsia"/>
                <w:color w:val="000000"/>
                <w:szCs w:val="21"/>
              </w:rPr>
              <w:t xml:space="preserve">2.89  </w:t>
            </w:r>
          </w:p>
        </w:tc>
        <w:tc>
          <w:tcPr>
            <w:tcW w:w="2061" w:type="dxa"/>
            <w:vMerge w:val="continue"/>
            <w:noWrap w:val="0"/>
            <w:vAlign w:val="top"/>
          </w:tcPr>
          <w:p w14:paraId="2429348E">
            <w:pPr>
              <w:widowControl/>
              <w:spacing w:line="300" w:lineRule="exact"/>
              <w:rPr>
                <w:color w:val="000000"/>
                <w:szCs w:val="21"/>
              </w:rPr>
            </w:pPr>
          </w:p>
        </w:tc>
      </w:tr>
      <w:tr w14:paraId="1DD61D2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57" w:hRule="atLeast"/>
          <w:jc w:val="center"/>
        </w:trPr>
        <w:tc>
          <w:tcPr>
            <w:tcW w:w="982" w:type="dxa"/>
            <w:vMerge w:val="continue"/>
            <w:noWrap w:val="0"/>
            <w:vAlign w:val="top"/>
          </w:tcPr>
          <w:p w14:paraId="31D19AA9">
            <w:pPr>
              <w:spacing w:line="320" w:lineRule="exact"/>
              <w:rPr>
                <w:color w:val="000000"/>
                <w:szCs w:val="21"/>
              </w:rPr>
            </w:pPr>
          </w:p>
        </w:tc>
        <w:tc>
          <w:tcPr>
            <w:tcW w:w="1440" w:type="dxa"/>
            <w:noWrap w:val="0"/>
            <w:vAlign w:val="top"/>
          </w:tcPr>
          <w:p w14:paraId="7547D524">
            <w:pPr>
              <w:spacing w:line="320" w:lineRule="exact"/>
              <w:rPr>
                <w:color w:val="000000"/>
                <w:szCs w:val="21"/>
              </w:rPr>
            </w:pPr>
            <w:r>
              <w:rPr>
                <w:color w:val="000000"/>
                <w:szCs w:val="21"/>
              </w:rPr>
              <w:t>电梯机房</w:t>
            </w:r>
          </w:p>
        </w:tc>
        <w:tc>
          <w:tcPr>
            <w:tcW w:w="935" w:type="dxa"/>
            <w:noWrap w:val="0"/>
            <w:vAlign w:val="top"/>
          </w:tcPr>
          <w:p w14:paraId="1E619D04">
            <w:pPr>
              <w:spacing w:line="320" w:lineRule="exact"/>
              <w:rPr>
                <w:color w:val="000000"/>
                <w:szCs w:val="21"/>
              </w:rPr>
            </w:pPr>
            <w:r>
              <w:rPr>
                <w:color w:val="000000"/>
                <w:szCs w:val="21"/>
              </w:rPr>
              <w:t>73.01</w:t>
            </w:r>
          </w:p>
        </w:tc>
        <w:tc>
          <w:tcPr>
            <w:tcW w:w="1585" w:type="dxa"/>
            <w:noWrap w:val="0"/>
            <w:vAlign w:val="top"/>
          </w:tcPr>
          <w:p w14:paraId="18500FD6">
            <w:pPr>
              <w:spacing w:line="320" w:lineRule="exact"/>
              <w:rPr>
                <w:rFonts w:hint="eastAsia"/>
                <w:color w:val="000000"/>
                <w:szCs w:val="21"/>
              </w:rPr>
            </w:pPr>
            <w:r>
              <w:rPr>
                <w:rFonts w:hint="eastAsia"/>
                <w:color w:val="000000"/>
                <w:szCs w:val="21"/>
              </w:rPr>
              <w:t>25</w:t>
            </w:r>
          </w:p>
        </w:tc>
        <w:tc>
          <w:tcPr>
            <w:tcW w:w="1620" w:type="dxa"/>
            <w:noWrap w:val="0"/>
            <w:vAlign w:val="top"/>
          </w:tcPr>
          <w:p w14:paraId="27D92453">
            <w:pPr>
              <w:spacing w:line="320" w:lineRule="exact"/>
              <w:rPr>
                <w:rFonts w:hint="eastAsia"/>
                <w:color w:val="000000"/>
                <w:szCs w:val="21"/>
              </w:rPr>
            </w:pPr>
            <w:r>
              <w:rPr>
                <w:rFonts w:hint="eastAsia"/>
                <w:color w:val="000000"/>
                <w:szCs w:val="21"/>
              </w:rPr>
              <w:t xml:space="preserve">45.05  </w:t>
            </w:r>
          </w:p>
        </w:tc>
        <w:tc>
          <w:tcPr>
            <w:tcW w:w="2061" w:type="dxa"/>
            <w:vMerge w:val="continue"/>
            <w:noWrap w:val="0"/>
            <w:vAlign w:val="top"/>
          </w:tcPr>
          <w:p w14:paraId="426C7FC3">
            <w:pPr>
              <w:widowControl/>
              <w:spacing w:line="300" w:lineRule="exact"/>
              <w:rPr>
                <w:color w:val="000000"/>
                <w:szCs w:val="21"/>
              </w:rPr>
            </w:pPr>
          </w:p>
        </w:tc>
      </w:tr>
      <w:tr w14:paraId="491D643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8" w:hRule="atLeast"/>
          <w:jc w:val="center"/>
        </w:trPr>
        <w:tc>
          <w:tcPr>
            <w:tcW w:w="982" w:type="dxa"/>
            <w:vMerge w:val="restart"/>
            <w:noWrap w:val="0"/>
            <w:vAlign w:val="top"/>
          </w:tcPr>
          <w:p w14:paraId="564617BA">
            <w:pPr>
              <w:spacing w:line="320" w:lineRule="exact"/>
              <w:rPr>
                <w:color w:val="000000"/>
                <w:szCs w:val="21"/>
              </w:rPr>
            </w:pPr>
            <w:r>
              <w:rPr>
                <w:color w:val="000000"/>
                <w:szCs w:val="21"/>
              </w:rPr>
              <w:t>住院</w:t>
            </w:r>
          </w:p>
          <w:p w14:paraId="65665CF6">
            <w:pPr>
              <w:spacing w:line="320" w:lineRule="exact"/>
              <w:rPr>
                <w:color w:val="000000"/>
              </w:rPr>
            </w:pPr>
            <w:r>
              <w:rPr>
                <w:color w:val="000000"/>
                <w:szCs w:val="21"/>
              </w:rPr>
              <w:t>楼病房</w:t>
            </w:r>
          </w:p>
        </w:tc>
        <w:tc>
          <w:tcPr>
            <w:tcW w:w="1440" w:type="dxa"/>
            <w:noWrap w:val="0"/>
            <w:vAlign w:val="top"/>
          </w:tcPr>
          <w:p w14:paraId="770CB69D">
            <w:pPr>
              <w:spacing w:line="320" w:lineRule="exact"/>
              <w:rPr>
                <w:color w:val="000000"/>
                <w:szCs w:val="21"/>
              </w:rPr>
            </w:pPr>
            <w:r>
              <w:rPr>
                <w:color w:val="000000"/>
                <w:szCs w:val="21"/>
              </w:rPr>
              <w:t>发电机房</w:t>
            </w:r>
          </w:p>
        </w:tc>
        <w:tc>
          <w:tcPr>
            <w:tcW w:w="935" w:type="dxa"/>
            <w:noWrap w:val="0"/>
            <w:vAlign w:val="top"/>
          </w:tcPr>
          <w:p w14:paraId="4C8F41C8">
            <w:pPr>
              <w:spacing w:line="320" w:lineRule="exact"/>
              <w:rPr>
                <w:color w:val="000000"/>
                <w:szCs w:val="21"/>
              </w:rPr>
            </w:pPr>
            <w:r>
              <w:rPr>
                <w:color w:val="000000"/>
                <w:szCs w:val="21"/>
              </w:rPr>
              <w:t>70</w:t>
            </w:r>
          </w:p>
        </w:tc>
        <w:tc>
          <w:tcPr>
            <w:tcW w:w="1585" w:type="dxa"/>
            <w:noWrap w:val="0"/>
            <w:vAlign w:val="top"/>
          </w:tcPr>
          <w:p w14:paraId="56A6E737">
            <w:pPr>
              <w:spacing w:line="320" w:lineRule="exact"/>
              <w:rPr>
                <w:color w:val="000000"/>
                <w:szCs w:val="21"/>
              </w:rPr>
            </w:pPr>
            <w:r>
              <w:rPr>
                <w:color w:val="000000"/>
                <w:szCs w:val="21"/>
              </w:rPr>
              <w:t>20</w:t>
            </w:r>
          </w:p>
        </w:tc>
        <w:tc>
          <w:tcPr>
            <w:tcW w:w="1620" w:type="dxa"/>
            <w:noWrap w:val="0"/>
            <w:vAlign w:val="top"/>
          </w:tcPr>
          <w:p w14:paraId="0D4A8826">
            <w:pPr>
              <w:spacing w:line="320" w:lineRule="exact"/>
              <w:rPr>
                <w:rFonts w:hint="eastAsia"/>
                <w:color w:val="000000"/>
                <w:szCs w:val="21"/>
              </w:rPr>
            </w:pPr>
            <w:r>
              <w:rPr>
                <w:color w:val="000000"/>
                <w:szCs w:val="21"/>
              </w:rPr>
              <w:t>4</w:t>
            </w:r>
            <w:r>
              <w:rPr>
                <w:rFonts w:hint="eastAsia"/>
                <w:color w:val="000000"/>
                <w:szCs w:val="21"/>
              </w:rPr>
              <w:t xml:space="preserve">3.97  </w:t>
            </w:r>
          </w:p>
        </w:tc>
        <w:tc>
          <w:tcPr>
            <w:tcW w:w="2061" w:type="dxa"/>
            <w:vMerge w:val="restart"/>
            <w:noWrap w:val="0"/>
            <w:vAlign w:val="top"/>
          </w:tcPr>
          <w:p w14:paraId="5B9D31AF">
            <w:pPr>
              <w:widowControl/>
              <w:spacing w:line="300" w:lineRule="exact"/>
              <w:rPr>
                <w:rFonts w:hint="eastAsia"/>
                <w:color w:val="000000"/>
                <w:szCs w:val="21"/>
              </w:rPr>
            </w:pPr>
          </w:p>
          <w:p w14:paraId="29D9106C">
            <w:pPr>
              <w:widowControl/>
              <w:spacing w:line="300" w:lineRule="exact"/>
              <w:rPr>
                <w:rFonts w:hint="eastAsia"/>
                <w:color w:val="000000"/>
                <w:szCs w:val="21"/>
              </w:rPr>
            </w:pPr>
          </w:p>
          <w:p w14:paraId="58BD2981">
            <w:pPr>
              <w:widowControl/>
              <w:spacing w:line="300" w:lineRule="exact"/>
              <w:rPr>
                <w:rFonts w:hint="eastAsia"/>
                <w:color w:val="000000"/>
                <w:szCs w:val="21"/>
              </w:rPr>
            </w:pPr>
            <w:r>
              <w:rPr>
                <w:color w:val="000000"/>
                <w:szCs w:val="21"/>
              </w:rPr>
              <w:t>4</w:t>
            </w:r>
            <w:r>
              <w:rPr>
                <w:rFonts w:hint="eastAsia"/>
                <w:color w:val="000000"/>
                <w:szCs w:val="21"/>
              </w:rPr>
              <w:t>9.5</w:t>
            </w:r>
          </w:p>
          <w:p w14:paraId="5D9F43AD">
            <w:pPr>
              <w:widowControl/>
              <w:spacing w:line="300" w:lineRule="exact"/>
              <w:rPr>
                <w:rFonts w:hint="eastAsia"/>
                <w:color w:val="000000"/>
                <w:szCs w:val="21"/>
              </w:rPr>
            </w:pPr>
          </w:p>
        </w:tc>
      </w:tr>
      <w:tr w14:paraId="4A8CABE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8" w:hRule="atLeast"/>
          <w:jc w:val="center"/>
        </w:trPr>
        <w:tc>
          <w:tcPr>
            <w:tcW w:w="982" w:type="dxa"/>
            <w:vMerge w:val="continue"/>
            <w:noWrap w:val="0"/>
            <w:vAlign w:val="top"/>
          </w:tcPr>
          <w:p w14:paraId="607F6786">
            <w:pPr>
              <w:spacing w:line="320" w:lineRule="exact"/>
              <w:rPr>
                <w:color w:val="000000"/>
                <w:szCs w:val="21"/>
              </w:rPr>
            </w:pPr>
          </w:p>
        </w:tc>
        <w:tc>
          <w:tcPr>
            <w:tcW w:w="1440" w:type="dxa"/>
            <w:noWrap w:val="0"/>
            <w:vAlign w:val="top"/>
          </w:tcPr>
          <w:p w14:paraId="24A71CD2">
            <w:pPr>
              <w:spacing w:line="320" w:lineRule="exact"/>
              <w:rPr>
                <w:color w:val="000000"/>
                <w:szCs w:val="21"/>
              </w:rPr>
            </w:pPr>
            <w:r>
              <w:rPr>
                <w:color w:val="000000"/>
                <w:szCs w:val="21"/>
              </w:rPr>
              <w:t>配电室</w:t>
            </w:r>
          </w:p>
        </w:tc>
        <w:tc>
          <w:tcPr>
            <w:tcW w:w="935" w:type="dxa"/>
            <w:noWrap w:val="0"/>
            <w:vAlign w:val="top"/>
          </w:tcPr>
          <w:p w14:paraId="769201A6">
            <w:pPr>
              <w:spacing w:line="320" w:lineRule="exact"/>
              <w:rPr>
                <w:color w:val="000000"/>
                <w:szCs w:val="21"/>
              </w:rPr>
            </w:pPr>
            <w:r>
              <w:rPr>
                <w:color w:val="000000"/>
                <w:szCs w:val="21"/>
              </w:rPr>
              <w:t>55</w:t>
            </w:r>
          </w:p>
        </w:tc>
        <w:tc>
          <w:tcPr>
            <w:tcW w:w="1585" w:type="dxa"/>
            <w:noWrap w:val="0"/>
            <w:vAlign w:val="top"/>
          </w:tcPr>
          <w:p w14:paraId="58985756">
            <w:pPr>
              <w:spacing w:line="320" w:lineRule="exact"/>
              <w:rPr>
                <w:color w:val="000000"/>
                <w:szCs w:val="21"/>
              </w:rPr>
            </w:pPr>
            <w:r>
              <w:rPr>
                <w:color w:val="000000"/>
                <w:szCs w:val="21"/>
              </w:rPr>
              <w:t>20</w:t>
            </w:r>
          </w:p>
        </w:tc>
        <w:tc>
          <w:tcPr>
            <w:tcW w:w="1620" w:type="dxa"/>
            <w:noWrap w:val="0"/>
            <w:vAlign w:val="top"/>
          </w:tcPr>
          <w:p w14:paraId="104CEDA0">
            <w:pPr>
              <w:spacing w:line="320" w:lineRule="exact"/>
              <w:rPr>
                <w:rFonts w:hint="eastAsia"/>
                <w:color w:val="000000"/>
                <w:szCs w:val="21"/>
              </w:rPr>
            </w:pPr>
            <w:r>
              <w:rPr>
                <w:rFonts w:hint="eastAsia"/>
                <w:color w:val="000000"/>
                <w:szCs w:val="21"/>
              </w:rPr>
              <w:t xml:space="preserve">28.97  </w:t>
            </w:r>
          </w:p>
        </w:tc>
        <w:tc>
          <w:tcPr>
            <w:tcW w:w="2061" w:type="dxa"/>
            <w:vMerge w:val="continue"/>
            <w:noWrap w:val="0"/>
            <w:vAlign w:val="top"/>
          </w:tcPr>
          <w:p w14:paraId="4570542C">
            <w:pPr>
              <w:spacing w:line="320" w:lineRule="exact"/>
              <w:jc w:val="left"/>
              <w:rPr>
                <w:color w:val="000000"/>
                <w:szCs w:val="21"/>
              </w:rPr>
            </w:pPr>
          </w:p>
        </w:tc>
      </w:tr>
      <w:tr w14:paraId="40F2B2C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58" w:hRule="atLeast"/>
          <w:jc w:val="center"/>
        </w:trPr>
        <w:tc>
          <w:tcPr>
            <w:tcW w:w="982" w:type="dxa"/>
            <w:vMerge w:val="continue"/>
            <w:noWrap w:val="0"/>
            <w:vAlign w:val="top"/>
          </w:tcPr>
          <w:p w14:paraId="5650E11E">
            <w:pPr>
              <w:spacing w:line="320" w:lineRule="exact"/>
              <w:rPr>
                <w:color w:val="000000"/>
                <w:szCs w:val="21"/>
              </w:rPr>
            </w:pPr>
          </w:p>
        </w:tc>
        <w:tc>
          <w:tcPr>
            <w:tcW w:w="1440" w:type="dxa"/>
            <w:noWrap w:val="0"/>
            <w:vAlign w:val="top"/>
          </w:tcPr>
          <w:p w14:paraId="7FC2D4B9">
            <w:pPr>
              <w:spacing w:line="320" w:lineRule="exact"/>
              <w:rPr>
                <w:color w:val="000000"/>
                <w:szCs w:val="21"/>
              </w:rPr>
            </w:pPr>
            <w:r>
              <w:rPr>
                <w:color w:val="000000"/>
                <w:szCs w:val="21"/>
              </w:rPr>
              <w:t>污水处理站</w:t>
            </w:r>
          </w:p>
        </w:tc>
        <w:tc>
          <w:tcPr>
            <w:tcW w:w="935" w:type="dxa"/>
            <w:noWrap w:val="0"/>
            <w:vAlign w:val="top"/>
          </w:tcPr>
          <w:p w14:paraId="0749B49A">
            <w:pPr>
              <w:spacing w:line="320" w:lineRule="exact"/>
              <w:rPr>
                <w:color w:val="000000"/>
                <w:szCs w:val="21"/>
              </w:rPr>
            </w:pPr>
            <w:r>
              <w:rPr>
                <w:color w:val="000000"/>
                <w:szCs w:val="21"/>
              </w:rPr>
              <w:t>70.27</w:t>
            </w:r>
          </w:p>
        </w:tc>
        <w:tc>
          <w:tcPr>
            <w:tcW w:w="1585" w:type="dxa"/>
            <w:noWrap w:val="0"/>
            <w:vAlign w:val="top"/>
          </w:tcPr>
          <w:p w14:paraId="400BF1A9">
            <w:pPr>
              <w:spacing w:line="320" w:lineRule="exact"/>
              <w:rPr>
                <w:rFonts w:hint="eastAsia"/>
                <w:color w:val="000000"/>
                <w:szCs w:val="21"/>
              </w:rPr>
            </w:pPr>
            <w:r>
              <w:rPr>
                <w:rFonts w:hint="eastAsia"/>
                <w:color w:val="000000"/>
                <w:szCs w:val="21"/>
              </w:rPr>
              <w:t>29</w:t>
            </w:r>
          </w:p>
        </w:tc>
        <w:tc>
          <w:tcPr>
            <w:tcW w:w="1620" w:type="dxa"/>
            <w:noWrap w:val="0"/>
            <w:vAlign w:val="top"/>
          </w:tcPr>
          <w:p w14:paraId="70BA0CC2">
            <w:pPr>
              <w:spacing w:line="320" w:lineRule="exact"/>
              <w:rPr>
                <w:rFonts w:hint="eastAsia"/>
                <w:color w:val="000000"/>
                <w:szCs w:val="21"/>
              </w:rPr>
            </w:pPr>
            <w:r>
              <w:rPr>
                <w:rFonts w:hint="eastAsia"/>
                <w:color w:val="000000"/>
                <w:szCs w:val="21"/>
              </w:rPr>
              <w:t xml:space="preserve">41.02  </w:t>
            </w:r>
          </w:p>
        </w:tc>
        <w:tc>
          <w:tcPr>
            <w:tcW w:w="2061" w:type="dxa"/>
            <w:vMerge w:val="continue"/>
            <w:noWrap w:val="0"/>
            <w:vAlign w:val="top"/>
          </w:tcPr>
          <w:p w14:paraId="0DE308F4">
            <w:pPr>
              <w:spacing w:line="320" w:lineRule="exact"/>
              <w:jc w:val="left"/>
              <w:rPr>
                <w:color w:val="000000"/>
                <w:szCs w:val="21"/>
              </w:rPr>
            </w:pPr>
          </w:p>
        </w:tc>
      </w:tr>
      <w:tr w14:paraId="5FC95A2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58" w:hRule="atLeast"/>
          <w:jc w:val="center"/>
        </w:trPr>
        <w:tc>
          <w:tcPr>
            <w:tcW w:w="982" w:type="dxa"/>
            <w:vMerge w:val="continue"/>
            <w:noWrap w:val="0"/>
            <w:vAlign w:val="top"/>
          </w:tcPr>
          <w:p w14:paraId="0915C8B9">
            <w:pPr>
              <w:spacing w:line="320" w:lineRule="exact"/>
              <w:rPr>
                <w:color w:val="000000"/>
                <w:szCs w:val="21"/>
              </w:rPr>
            </w:pPr>
          </w:p>
        </w:tc>
        <w:tc>
          <w:tcPr>
            <w:tcW w:w="1440" w:type="dxa"/>
            <w:noWrap w:val="0"/>
            <w:vAlign w:val="top"/>
          </w:tcPr>
          <w:p w14:paraId="6A82A584">
            <w:pPr>
              <w:spacing w:line="320" w:lineRule="exact"/>
              <w:rPr>
                <w:color w:val="000000"/>
                <w:szCs w:val="21"/>
              </w:rPr>
            </w:pPr>
            <w:r>
              <w:rPr>
                <w:color w:val="000000"/>
                <w:szCs w:val="21"/>
              </w:rPr>
              <w:t>水泵房</w:t>
            </w:r>
          </w:p>
        </w:tc>
        <w:tc>
          <w:tcPr>
            <w:tcW w:w="935" w:type="dxa"/>
            <w:noWrap w:val="0"/>
            <w:vAlign w:val="top"/>
          </w:tcPr>
          <w:p w14:paraId="4609B78F">
            <w:pPr>
              <w:spacing w:line="320" w:lineRule="exact"/>
              <w:rPr>
                <w:color w:val="000000"/>
                <w:szCs w:val="21"/>
              </w:rPr>
            </w:pPr>
            <w:r>
              <w:rPr>
                <w:color w:val="000000"/>
                <w:szCs w:val="21"/>
              </w:rPr>
              <w:t>58</w:t>
            </w:r>
          </w:p>
        </w:tc>
        <w:tc>
          <w:tcPr>
            <w:tcW w:w="1585" w:type="dxa"/>
            <w:noWrap w:val="0"/>
            <w:vAlign w:val="top"/>
          </w:tcPr>
          <w:p w14:paraId="38F4BC16">
            <w:pPr>
              <w:spacing w:line="320" w:lineRule="exact"/>
              <w:rPr>
                <w:rFonts w:hint="eastAsia"/>
                <w:color w:val="000000"/>
                <w:szCs w:val="21"/>
              </w:rPr>
            </w:pPr>
            <w:r>
              <w:rPr>
                <w:color w:val="000000"/>
                <w:szCs w:val="21"/>
              </w:rPr>
              <w:t>2</w:t>
            </w:r>
            <w:r>
              <w:rPr>
                <w:rFonts w:hint="eastAsia"/>
                <w:color w:val="000000"/>
                <w:szCs w:val="21"/>
              </w:rPr>
              <w:t>6</w:t>
            </w:r>
          </w:p>
        </w:tc>
        <w:tc>
          <w:tcPr>
            <w:tcW w:w="1620" w:type="dxa"/>
            <w:noWrap w:val="0"/>
            <w:vAlign w:val="top"/>
          </w:tcPr>
          <w:p w14:paraId="30CB44DC">
            <w:pPr>
              <w:spacing w:line="320" w:lineRule="exact"/>
              <w:rPr>
                <w:rFonts w:hint="eastAsia"/>
                <w:color w:val="000000"/>
                <w:szCs w:val="21"/>
              </w:rPr>
            </w:pPr>
            <w:r>
              <w:rPr>
                <w:rFonts w:hint="eastAsia"/>
                <w:color w:val="000000"/>
                <w:szCs w:val="21"/>
              </w:rPr>
              <w:t xml:space="preserve">29.70 </w:t>
            </w:r>
          </w:p>
        </w:tc>
        <w:tc>
          <w:tcPr>
            <w:tcW w:w="2061" w:type="dxa"/>
            <w:vMerge w:val="continue"/>
            <w:noWrap w:val="0"/>
            <w:vAlign w:val="top"/>
          </w:tcPr>
          <w:p w14:paraId="54B1FC3B">
            <w:pPr>
              <w:spacing w:line="320" w:lineRule="exact"/>
              <w:jc w:val="left"/>
              <w:rPr>
                <w:color w:val="000000"/>
                <w:szCs w:val="21"/>
              </w:rPr>
            </w:pPr>
          </w:p>
        </w:tc>
      </w:tr>
      <w:tr w14:paraId="3DA705D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57" w:hRule="atLeast"/>
          <w:jc w:val="center"/>
        </w:trPr>
        <w:tc>
          <w:tcPr>
            <w:tcW w:w="982" w:type="dxa"/>
            <w:vMerge w:val="continue"/>
            <w:noWrap w:val="0"/>
            <w:vAlign w:val="top"/>
          </w:tcPr>
          <w:p w14:paraId="0DD493EB">
            <w:pPr>
              <w:spacing w:line="320" w:lineRule="exact"/>
              <w:rPr>
                <w:color w:val="000000"/>
                <w:szCs w:val="21"/>
              </w:rPr>
            </w:pPr>
          </w:p>
        </w:tc>
        <w:tc>
          <w:tcPr>
            <w:tcW w:w="1440" w:type="dxa"/>
            <w:noWrap w:val="0"/>
            <w:vAlign w:val="top"/>
          </w:tcPr>
          <w:p w14:paraId="3C050796">
            <w:pPr>
              <w:spacing w:line="320" w:lineRule="exact"/>
              <w:rPr>
                <w:color w:val="000000"/>
                <w:szCs w:val="21"/>
              </w:rPr>
            </w:pPr>
            <w:r>
              <w:rPr>
                <w:color w:val="000000"/>
                <w:szCs w:val="21"/>
              </w:rPr>
              <w:t>电梯机房</w:t>
            </w:r>
          </w:p>
        </w:tc>
        <w:tc>
          <w:tcPr>
            <w:tcW w:w="935" w:type="dxa"/>
            <w:noWrap w:val="0"/>
            <w:vAlign w:val="top"/>
          </w:tcPr>
          <w:p w14:paraId="0734468E">
            <w:pPr>
              <w:spacing w:line="320" w:lineRule="exact"/>
              <w:rPr>
                <w:color w:val="000000"/>
                <w:szCs w:val="21"/>
              </w:rPr>
            </w:pPr>
            <w:r>
              <w:rPr>
                <w:color w:val="000000"/>
                <w:szCs w:val="21"/>
              </w:rPr>
              <w:t>73.01</w:t>
            </w:r>
          </w:p>
        </w:tc>
        <w:tc>
          <w:tcPr>
            <w:tcW w:w="1585" w:type="dxa"/>
            <w:noWrap w:val="0"/>
            <w:vAlign w:val="top"/>
          </w:tcPr>
          <w:p w14:paraId="013B9505">
            <w:pPr>
              <w:spacing w:line="320" w:lineRule="exact"/>
              <w:rPr>
                <w:color w:val="000000"/>
                <w:szCs w:val="21"/>
              </w:rPr>
            </w:pPr>
            <w:r>
              <w:rPr>
                <w:color w:val="000000"/>
                <w:szCs w:val="21"/>
              </w:rPr>
              <w:t>20</w:t>
            </w:r>
          </w:p>
        </w:tc>
        <w:tc>
          <w:tcPr>
            <w:tcW w:w="1620" w:type="dxa"/>
            <w:noWrap w:val="0"/>
            <w:vAlign w:val="top"/>
          </w:tcPr>
          <w:p w14:paraId="0D9E1972">
            <w:pPr>
              <w:spacing w:line="320" w:lineRule="exact"/>
              <w:rPr>
                <w:rFonts w:hint="eastAsia"/>
                <w:color w:val="000000"/>
                <w:szCs w:val="21"/>
              </w:rPr>
            </w:pPr>
            <w:r>
              <w:rPr>
                <w:color w:val="000000"/>
                <w:szCs w:val="21"/>
              </w:rPr>
              <w:t>4</w:t>
            </w:r>
            <w:r>
              <w:rPr>
                <w:rFonts w:hint="eastAsia"/>
                <w:color w:val="000000"/>
                <w:szCs w:val="21"/>
              </w:rPr>
              <w:t xml:space="preserve">6.98  </w:t>
            </w:r>
          </w:p>
        </w:tc>
        <w:tc>
          <w:tcPr>
            <w:tcW w:w="2061" w:type="dxa"/>
            <w:vMerge w:val="continue"/>
            <w:noWrap w:val="0"/>
            <w:vAlign w:val="top"/>
          </w:tcPr>
          <w:p w14:paraId="10A4C81B">
            <w:pPr>
              <w:spacing w:line="320" w:lineRule="exact"/>
              <w:jc w:val="left"/>
              <w:rPr>
                <w:color w:val="000000"/>
                <w:szCs w:val="21"/>
              </w:rPr>
            </w:pPr>
          </w:p>
        </w:tc>
      </w:tr>
      <w:tr w14:paraId="05B383A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92" w:hRule="atLeast"/>
          <w:jc w:val="center"/>
        </w:trPr>
        <w:tc>
          <w:tcPr>
            <w:tcW w:w="6562" w:type="dxa"/>
            <w:gridSpan w:val="5"/>
            <w:noWrap w:val="0"/>
            <w:vAlign w:val="top"/>
          </w:tcPr>
          <w:p w14:paraId="2A4D27F4">
            <w:pPr>
              <w:spacing w:line="320" w:lineRule="exact"/>
              <w:jc w:val="left"/>
              <w:rPr>
                <w:color w:val="000000"/>
                <w:szCs w:val="21"/>
              </w:rPr>
            </w:pPr>
            <w:r>
              <w:rPr>
                <w:color w:val="000000"/>
                <w:szCs w:val="21"/>
              </w:rPr>
              <w:t>《工业企业厂界环境噪声排放标准》（GB12348-2008）2类标准</w:t>
            </w:r>
          </w:p>
        </w:tc>
        <w:tc>
          <w:tcPr>
            <w:tcW w:w="2061" w:type="dxa"/>
            <w:noWrap w:val="0"/>
            <w:vAlign w:val="top"/>
          </w:tcPr>
          <w:p w14:paraId="239E9B98">
            <w:pPr>
              <w:spacing w:line="320" w:lineRule="exact"/>
              <w:rPr>
                <w:color w:val="000000"/>
                <w:szCs w:val="21"/>
              </w:rPr>
            </w:pPr>
            <w:r>
              <w:rPr>
                <w:color w:val="000000"/>
                <w:szCs w:val="21"/>
              </w:rPr>
              <w:t>昼间：60；夜间：50</w:t>
            </w:r>
          </w:p>
        </w:tc>
      </w:tr>
    </w:tbl>
    <w:p w14:paraId="56E37CD5">
      <w:pPr>
        <w:spacing w:line="420" w:lineRule="exact"/>
        <w:ind w:firstLine="210"/>
        <w:rPr>
          <w:rFonts w:hint="eastAsia"/>
          <w:color w:val="000000"/>
          <w:szCs w:val="21"/>
        </w:rPr>
      </w:pPr>
      <w:r>
        <w:rPr>
          <w:color w:val="000000"/>
          <w:szCs w:val="21"/>
        </w:rPr>
        <w:t>注：发电机房、电梯机房均位于住院楼负1层。</w:t>
      </w:r>
    </w:p>
    <w:p w14:paraId="48E19D09">
      <w:pPr>
        <w:spacing w:line="420" w:lineRule="exact"/>
        <w:jc w:val="center"/>
        <w:rPr>
          <w:color w:val="000000"/>
          <w:sz w:val="24"/>
        </w:rPr>
      </w:pPr>
      <w:r>
        <w:rPr>
          <w:b/>
          <w:color w:val="000000"/>
          <w:sz w:val="24"/>
        </w:rPr>
        <w:t>6.</w:t>
      </w:r>
      <w:r>
        <w:rPr>
          <w:rFonts w:hint="eastAsia"/>
          <w:b/>
          <w:color w:val="000000"/>
          <w:sz w:val="24"/>
        </w:rPr>
        <w:t>2</w:t>
      </w:r>
      <w:r>
        <w:rPr>
          <w:b/>
          <w:color w:val="000000"/>
          <w:sz w:val="24"/>
        </w:rPr>
        <w:t>-</w:t>
      </w:r>
      <w:r>
        <w:rPr>
          <w:rFonts w:hint="eastAsia"/>
          <w:b/>
          <w:color w:val="000000"/>
          <w:sz w:val="24"/>
        </w:rPr>
        <w:t>6</w:t>
      </w:r>
      <w:r>
        <w:rPr>
          <w:b/>
          <w:color w:val="000000"/>
          <w:sz w:val="24"/>
        </w:rPr>
        <w:t xml:space="preserve">  环境敏感点噪声值预测结果</w:t>
      </w:r>
      <w:r>
        <w:rPr>
          <w:color w:val="000000"/>
          <w:sz w:val="24"/>
        </w:rPr>
        <w:t xml:space="preserve">   单位：dB(A)</w:t>
      </w:r>
    </w:p>
    <w:tbl>
      <w:tblPr>
        <w:tblStyle w:val="27"/>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816"/>
        <w:gridCol w:w="2380"/>
        <w:gridCol w:w="870"/>
        <w:gridCol w:w="881"/>
        <w:gridCol w:w="849"/>
        <w:gridCol w:w="938"/>
        <w:gridCol w:w="876"/>
        <w:gridCol w:w="920"/>
      </w:tblGrid>
      <w:tr w14:paraId="6E0BA25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51" w:hRule="atLeast"/>
          <w:jc w:val="center"/>
        </w:trPr>
        <w:tc>
          <w:tcPr>
            <w:tcW w:w="816" w:type="dxa"/>
            <w:vMerge w:val="restart"/>
            <w:noWrap w:val="0"/>
            <w:vAlign w:val="top"/>
          </w:tcPr>
          <w:p w14:paraId="756A8938">
            <w:pPr>
              <w:spacing w:line="400" w:lineRule="exact"/>
              <w:jc w:val="center"/>
              <w:rPr>
                <w:rFonts w:ascii="宋体" w:hAnsi="宋体"/>
                <w:color w:val="000000"/>
                <w:szCs w:val="21"/>
              </w:rPr>
            </w:pPr>
            <w:r>
              <w:rPr>
                <w:rFonts w:ascii="宋体" w:hAnsi="宋体"/>
                <w:color w:val="000000"/>
                <w:szCs w:val="21"/>
              </w:rPr>
              <w:t>序号</w:t>
            </w:r>
          </w:p>
        </w:tc>
        <w:tc>
          <w:tcPr>
            <w:tcW w:w="2380" w:type="dxa"/>
            <w:vMerge w:val="restart"/>
            <w:noWrap w:val="0"/>
            <w:vAlign w:val="top"/>
          </w:tcPr>
          <w:p w14:paraId="11101732">
            <w:pPr>
              <w:spacing w:line="400" w:lineRule="exact"/>
              <w:jc w:val="center"/>
              <w:rPr>
                <w:rFonts w:ascii="宋体" w:hAnsi="宋体"/>
                <w:color w:val="000000"/>
                <w:szCs w:val="21"/>
              </w:rPr>
            </w:pPr>
            <w:r>
              <w:rPr>
                <w:rFonts w:ascii="宋体" w:hAnsi="宋体"/>
                <w:color w:val="000000"/>
                <w:szCs w:val="21"/>
              </w:rPr>
              <w:t>敏感点</w:t>
            </w:r>
          </w:p>
        </w:tc>
        <w:tc>
          <w:tcPr>
            <w:tcW w:w="2600" w:type="dxa"/>
            <w:gridSpan w:val="3"/>
            <w:noWrap w:val="0"/>
            <w:vAlign w:val="top"/>
          </w:tcPr>
          <w:p w14:paraId="056F20DB">
            <w:pPr>
              <w:spacing w:line="400" w:lineRule="exact"/>
              <w:jc w:val="center"/>
              <w:rPr>
                <w:rFonts w:ascii="宋体" w:hAnsi="宋体"/>
                <w:color w:val="000000"/>
                <w:szCs w:val="21"/>
              </w:rPr>
            </w:pPr>
            <w:r>
              <w:rPr>
                <w:rFonts w:ascii="宋体" w:hAnsi="宋体"/>
                <w:color w:val="000000"/>
                <w:szCs w:val="21"/>
              </w:rPr>
              <w:t>昼间</w:t>
            </w:r>
          </w:p>
        </w:tc>
        <w:tc>
          <w:tcPr>
            <w:tcW w:w="2734" w:type="dxa"/>
            <w:gridSpan w:val="3"/>
            <w:noWrap w:val="0"/>
            <w:vAlign w:val="top"/>
          </w:tcPr>
          <w:p w14:paraId="04C05CF3">
            <w:pPr>
              <w:spacing w:line="400" w:lineRule="exact"/>
              <w:jc w:val="center"/>
              <w:rPr>
                <w:rFonts w:ascii="宋体" w:hAnsi="宋体"/>
                <w:color w:val="000000"/>
                <w:szCs w:val="21"/>
              </w:rPr>
            </w:pPr>
            <w:r>
              <w:rPr>
                <w:rFonts w:ascii="宋体" w:hAnsi="宋体"/>
                <w:color w:val="000000"/>
                <w:szCs w:val="21"/>
              </w:rPr>
              <w:t>夜间</w:t>
            </w:r>
          </w:p>
        </w:tc>
      </w:tr>
      <w:tr w14:paraId="6AA7AFC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57" w:hRule="atLeast"/>
          <w:jc w:val="center"/>
        </w:trPr>
        <w:tc>
          <w:tcPr>
            <w:tcW w:w="816" w:type="dxa"/>
            <w:vMerge w:val="continue"/>
            <w:noWrap w:val="0"/>
            <w:vAlign w:val="top"/>
          </w:tcPr>
          <w:p w14:paraId="2865337C">
            <w:pPr>
              <w:spacing w:line="400" w:lineRule="exact"/>
              <w:jc w:val="center"/>
              <w:rPr>
                <w:rFonts w:ascii="宋体" w:hAnsi="宋体"/>
                <w:color w:val="000000"/>
                <w:szCs w:val="21"/>
              </w:rPr>
            </w:pPr>
          </w:p>
        </w:tc>
        <w:tc>
          <w:tcPr>
            <w:tcW w:w="2380" w:type="dxa"/>
            <w:vMerge w:val="continue"/>
            <w:noWrap w:val="0"/>
            <w:vAlign w:val="top"/>
          </w:tcPr>
          <w:p w14:paraId="09185E04">
            <w:pPr>
              <w:spacing w:line="400" w:lineRule="exact"/>
              <w:jc w:val="center"/>
              <w:rPr>
                <w:rFonts w:ascii="宋体" w:hAnsi="宋体"/>
                <w:color w:val="000000"/>
                <w:szCs w:val="21"/>
              </w:rPr>
            </w:pPr>
          </w:p>
        </w:tc>
        <w:tc>
          <w:tcPr>
            <w:tcW w:w="870" w:type="dxa"/>
            <w:noWrap w:val="0"/>
            <w:vAlign w:val="top"/>
          </w:tcPr>
          <w:p w14:paraId="520B896B">
            <w:pPr>
              <w:spacing w:line="400" w:lineRule="exact"/>
              <w:jc w:val="center"/>
              <w:rPr>
                <w:rFonts w:ascii="宋体" w:hAnsi="宋体"/>
                <w:color w:val="000000"/>
                <w:szCs w:val="21"/>
              </w:rPr>
            </w:pPr>
            <w:r>
              <w:rPr>
                <w:rFonts w:ascii="宋体" w:hAnsi="宋体"/>
                <w:color w:val="000000"/>
                <w:szCs w:val="21"/>
              </w:rPr>
              <w:t>贡献值</w:t>
            </w:r>
          </w:p>
        </w:tc>
        <w:tc>
          <w:tcPr>
            <w:tcW w:w="881" w:type="dxa"/>
            <w:noWrap w:val="0"/>
            <w:vAlign w:val="top"/>
          </w:tcPr>
          <w:p w14:paraId="65AC71AD">
            <w:pPr>
              <w:spacing w:line="400" w:lineRule="exact"/>
              <w:jc w:val="center"/>
              <w:rPr>
                <w:rFonts w:ascii="宋体" w:hAnsi="宋体"/>
                <w:color w:val="000000"/>
                <w:szCs w:val="21"/>
              </w:rPr>
            </w:pPr>
            <w:r>
              <w:rPr>
                <w:rFonts w:ascii="宋体" w:hAnsi="宋体"/>
                <w:color w:val="000000"/>
                <w:szCs w:val="21"/>
              </w:rPr>
              <w:t>背景值</w:t>
            </w:r>
          </w:p>
        </w:tc>
        <w:tc>
          <w:tcPr>
            <w:tcW w:w="849" w:type="dxa"/>
            <w:noWrap w:val="0"/>
            <w:vAlign w:val="top"/>
          </w:tcPr>
          <w:p w14:paraId="206146F8">
            <w:pPr>
              <w:spacing w:line="400" w:lineRule="exact"/>
              <w:jc w:val="center"/>
              <w:rPr>
                <w:rFonts w:ascii="宋体" w:hAnsi="宋体"/>
                <w:color w:val="000000"/>
                <w:szCs w:val="21"/>
              </w:rPr>
            </w:pPr>
            <w:r>
              <w:rPr>
                <w:rFonts w:ascii="宋体" w:hAnsi="宋体"/>
                <w:color w:val="000000"/>
                <w:szCs w:val="21"/>
              </w:rPr>
              <w:t>预测值</w:t>
            </w:r>
          </w:p>
        </w:tc>
        <w:tc>
          <w:tcPr>
            <w:tcW w:w="938" w:type="dxa"/>
            <w:noWrap w:val="0"/>
            <w:vAlign w:val="top"/>
          </w:tcPr>
          <w:p w14:paraId="10DB9533">
            <w:pPr>
              <w:spacing w:line="400" w:lineRule="exact"/>
              <w:jc w:val="center"/>
              <w:rPr>
                <w:rFonts w:ascii="宋体" w:hAnsi="宋体"/>
                <w:color w:val="000000"/>
                <w:szCs w:val="21"/>
              </w:rPr>
            </w:pPr>
            <w:r>
              <w:rPr>
                <w:rFonts w:ascii="宋体" w:hAnsi="宋体"/>
                <w:color w:val="000000"/>
                <w:szCs w:val="21"/>
              </w:rPr>
              <w:t>贡献值</w:t>
            </w:r>
          </w:p>
        </w:tc>
        <w:tc>
          <w:tcPr>
            <w:tcW w:w="876" w:type="dxa"/>
            <w:noWrap w:val="0"/>
            <w:vAlign w:val="top"/>
          </w:tcPr>
          <w:p w14:paraId="6EB47DEC">
            <w:pPr>
              <w:spacing w:line="400" w:lineRule="exact"/>
              <w:jc w:val="center"/>
              <w:rPr>
                <w:rFonts w:ascii="宋体" w:hAnsi="宋体"/>
                <w:color w:val="000000"/>
                <w:szCs w:val="21"/>
              </w:rPr>
            </w:pPr>
            <w:r>
              <w:rPr>
                <w:rFonts w:ascii="宋体" w:hAnsi="宋体"/>
                <w:color w:val="000000"/>
                <w:szCs w:val="21"/>
              </w:rPr>
              <w:t>背景值</w:t>
            </w:r>
          </w:p>
        </w:tc>
        <w:tc>
          <w:tcPr>
            <w:tcW w:w="920" w:type="dxa"/>
            <w:noWrap w:val="0"/>
            <w:vAlign w:val="top"/>
          </w:tcPr>
          <w:p w14:paraId="16B9FE6C">
            <w:pPr>
              <w:spacing w:line="400" w:lineRule="exact"/>
              <w:jc w:val="center"/>
              <w:rPr>
                <w:rFonts w:ascii="宋体" w:hAnsi="宋体"/>
                <w:color w:val="000000"/>
                <w:szCs w:val="21"/>
              </w:rPr>
            </w:pPr>
            <w:r>
              <w:rPr>
                <w:rFonts w:ascii="宋体" w:hAnsi="宋体"/>
                <w:color w:val="000000"/>
                <w:szCs w:val="21"/>
              </w:rPr>
              <w:t>预测值</w:t>
            </w:r>
          </w:p>
        </w:tc>
      </w:tr>
      <w:tr w14:paraId="0680E81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19" w:hRule="atLeast"/>
          <w:jc w:val="center"/>
        </w:trPr>
        <w:tc>
          <w:tcPr>
            <w:tcW w:w="816" w:type="dxa"/>
            <w:noWrap w:val="0"/>
            <w:vAlign w:val="top"/>
          </w:tcPr>
          <w:p w14:paraId="54A73A4A">
            <w:pPr>
              <w:pStyle w:val="201"/>
              <w:spacing w:line="400" w:lineRule="exact"/>
              <w:jc w:val="center"/>
              <w:rPr>
                <w:rFonts w:hint="eastAsia" w:ascii="宋体" w:hAnsi="宋体"/>
                <w:color w:val="000000"/>
                <w:sz w:val="21"/>
                <w:szCs w:val="21"/>
              </w:rPr>
            </w:pPr>
            <w:r>
              <w:rPr>
                <w:rFonts w:ascii="宋体" w:hAnsi="宋体"/>
                <w:color w:val="000000"/>
                <w:sz w:val="21"/>
                <w:szCs w:val="21"/>
              </w:rPr>
              <w:t>1</w:t>
            </w:r>
          </w:p>
        </w:tc>
        <w:tc>
          <w:tcPr>
            <w:tcW w:w="2380" w:type="dxa"/>
            <w:noWrap w:val="0"/>
            <w:vAlign w:val="top"/>
          </w:tcPr>
          <w:p w14:paraId="658A00CB">
            <w:pPr>
              <w:pStyle w:val="201"/>
              <w:spacing w:line="400" w:lineRule="exact"/>
              <w:jc w:val="center"/>
              <w:rPr>
                <w:rFonts w:ascii="宋体" w:hAnsi="宋体"/>
                <w:color w:val="000000"/>
                <w:sz w:val="21"/>
                <w:szCs w:val="21"/>
              </w:rPr>
            </w:pPr>
            <w:r>
              <w:rPr>
                <w:rFonts w:hint="eastAsia"/>
                <w:color w:val="000000"/>
                <w:sz w:val="21"/>
                <w:szCs w:val="21"/>
              </w:rPr>
              <w:t>泛亚壹城</w:t>
            </w:r>
          </w:p>
        </w:tc>
        <w:tc>
          <w:tcPr>
            <w:tcW w:w="870" w:type="dxa"/>
            <w:noWrap w:val="0"/>
            <w:vAlign w:val="top"/>
          </w:tcPr>
          <w:p w14:paraId="6ED282DB">
            <w:pPr>
              <w:pStyle w:val="201"/>
              <w:spacing w:line="400" w:lineRule="exact"/>
              <w:jc w:val="center"/>
              <w:rPr>
                <w:rFonts w:hint="eastAsia" w:ascii="宋体" w:hAnsi="宋体"/>
                <w:color w:val="000000"/>
                <w:sz w:val="21"/>
                <w:szCs w:val="21"/>
              </w:rPr>
            </w:pPr>
            <w:r>
              <w:rPr>
                <w:rFonts w:hint="eastAsia" w:ascii="宋体" w:hAnsi="宋体"/>
                <w:color w:val="000000"/>
                <w:sz w:val="21"/>
                <w:szCs w:val="21"/>
              </w:rPr>
              <w:t>9.90</w:t>
            </w:r>
          </w:p>
        </w:tc>
        <w:tc>
          <w:tcPr>
            <w:tcW w:w="881" w:type="dxa"/>
            <w:noWrap w:val="0"/>
            <w:vAlign w:val="top"/>
          </w:tcPr>
          <w:p w14:paraId="52F948BD">
            <w:pPr>
              <w:pStyle w:val="201"/>
              <w:spacing w:line="400" w:lineRule="exact"/>
              <w:jc w:val="center"/>
              <w:rPr>
                <w:rFonts w:hint="eastAsia" w:ascii="宋体" w:hAnsi="宋体"/>
                <w:color w:val="000000"/>
                <w:sz w:val="21"/>
                <w:szCs w:val="21"/>
              </w:rPr>
            </w:pPr>
            <w:r>
              <w:rPr>
                <w:rFonts w:hint="eastAsia" w:ascii="宋体" w:hAnsi="宋体"/>
                <w:color w:val="000000"/>
                <w:sz w:val="21"/>
                <w:szCs w:val="21"/>
              </w:rPr>
              <w:t>53.1</w:t>
            </w:r>
          </w:p>
        </w:tc>
        <w:tc>
          <w:tcPr>
            <w:tcW w:w="849" w:type="dxa"/>
            <w:noWrap w:val="0"/>
            <w:vAlign w:val="top"/>
          </w:tcPr>
          <w:p w14:paraId="7855B71B">
            <w:pPr>
              <w:pStyle w:val="201"/>
              <w:spacing w:line="400" w:lineRule="exact"/>
              <w:jc w:val="center"/>
              <w:rPr>
                <w:rFonts w:hint="eastAsia" w:ascii="宋体" w:hAnsi="宋体"/>
                <w:color w:val="000000"/>
                <w:sz w:val="21"/>
                <w:szCs w:val="21"/>
              </w:rPr>
            </w:pPr>
            <w:r>
              <w:rPr>
                <w:rFonts w:hint="eastAsia" w:ascii="宋体" w:hAnsi="宋体"/>
                <w:color w:val="000000"/>
                <w:sz w:val="21"/>
                <w:szCs w:val="21"/>
              </w:rPr>
              <w:t>53.1</w:t>
            </w:r>
          </w:p>
        </w:tc>
        <w:tc>
          <w:tcPr>
            <w:tcW w:w="938" w:type="dxa"/>
            <w:noWrap w:val="0"/>
            <w:vAlign w:val="top"/>
          </w:tcPr>
          <w:p w14:paraId="15A84970">
            <w:pPr>
              <w:pStyle w:val="201"/>
              <w:spacing w:line="400" w:lineRule="exact"/>
              <w:jc w:val="center"/>
              <w:rPr>
                <w:rFonts w:hint="eastAsia" w:ascii="宋体" w:hAnsi="宋体"/>
                <w:color w:val="000000"/>
                <w:sz w:val="21"/>
                <w:szCs w:val="21"/>
              </w:rPr>
            </w:pPr>
            <w:r>
              <w:rPr>
                <w:rFonts w:hint="eastAsia" w:ascii="宋体" w:hAnsi="宋体"/>
                <w:color w:val="000000"/>
                <w:sz w:val="21"/>
                <w:szCs w:val="21"/>
              </w:rPr>
              <w:t>9.90</w:t>
            </w:r>
          </w:p>
        </w:tc>
        <w:tc>
          <w:tcPr>
            <w:tcW w:w="876" w:type="dxa"/>
            <w:noWrap w:val="0"/>
            <w:vAlign w:val="top"/>
          </w:tcPr>
          <w:p w14:paraId="44D24942">
            <w:pPr>
              <w:pStyle w:val="201"/>
              <w:spacing w:line="400" w:lineRule="exact"/>
              <w:jc w:val="center"/>
              <w:rPr>
                <w:rFonts w:hint="eastAsia" w:ascii="宋体" w:hAnsi="宋体"/>
                <w:color w:val="000000"/>
                <w:sz w:val="21"/>
                <w:szCs w:val="21"/>
              </w:rPr>
            </w:pPr>
            <w:r>
              <w:rPr>
                <w:rFonts w:hint="eastAsia" w:ascii="宋体" w:hAnsi="宋体"/>
                <w:color w:val="000000"/>
                <w:sz w:val="21"/>
                <w:szCs w:val="21"/>
              </w:rPr>
              <w:t>48.8</w:t>
            </w:r>
          </w:p>
        </w:tc>
        <w:tc>
          <w:tcPr>
            <w:tcW w:w="920" w:type="dxa"/>
            <w:noWrap w:val="0"/>
            <w:vAlign w:val="top"/>
          </w:tcPr>
          <w:p w14:paraId="3432E7AE">
            <w:pPr>
              <w:pStyle w:val="201"/>
              <w:spacing w:line="400" w:lineRule="exact"/>
              <w:jc w:val="center"/>
              <w:rPr>
                <w:rFonts w:hint="eastAsia" w:ascii="宋体" w:hAnsi="宋体"/>
                <w:color w:val="000000"/>
                <w:sz w:val="21"/>
                <w:szCs w:val="21"/>
              </w:rPr>
            </w:pPr>
            <w:r>
              <w:rPr>
                <w:rFonts w:hint="eastAsia" w:ascii="宋体" w:hAnsi="宋体"/>
                <w:color w:val="000000"/>
                <w:sz w:val="21"/>
                <w:szCs w:val="21"/>
              </w:rPr>
              <w:t>48.8</w:t>
            </w:r>
          </w:p>
        </w:tc>
      </w:tr>
      <w:tr w14:paraId="0924BD2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53" w:hRule="atLeast"/>
          <w:jc w:val="center"/>
        </w:trPr>
        <w:tc>
          <w:tcPr>
            <w:tcW w:w="816" w:type="dxa"/>
            <w:noWrap w:val="0"/>
            <w:vAlign w:val="top"/>
          </w:tcPr>
          <w:p w14:paraId="76C98842">
            <w:pPr>
              <w:pStyle w:val="201"/>
              <w:spacing w:line="400" w:lineRule="exact"/>
              <w:jc w:val="center"/>
              <w:rPr>
                <w:rFonts w:hint="eastAsia" w:ascii="宋体" w:hAnsi="宋体"/>
                <w:color w:val="000000"/>
                <w:sz w:val="21"/>
                <w:szCs w:val="21"/>
              </w:rPr>
            </w:pPr>
            <w:r>
              <w:rPr>
                <w:rFonts w:ascii="宋体" w:hAnsi="宋体"/>
                <w:color w:val="000000"/>
                <w:sz w:val="21"/>
                <w:szCs w:val="21"/>
              </w:rPr>
              <w:t>2</w:t>
            </w:r>
          </w:p>
        </w:tc>
        <w:tc>
          <w:tcPr>
            <w:tcW w:w="2380" w:type="dxa"/>
            <w:noWrap w:val="0"/>
            <w:vAlign w:val="top"/>
          </w:tcPr>
          <w:p w14:paraId="219DBCD8">
            <w:pPr>
              <w:pStyle w:val="201"/>
              <w:spacing w:line="400" w:lineRule="exact"/>
              <w:jc w:val="center"/>
              <w:rPr>
                <w:rFonts w:ascii="宋体" w:hAnsi="宋体"/>
                <w:color w:val="000000"/>
                <w:sz w:val="21"/>
                <w:szCs w:val="21"/>
              </w:rPr>
            </w:pPr>
            <w:r>
              <w:rPr>
                <w:rFonts w:hint="eastAsia" w:ascii="宋体" w:hAnsi="宋体"/>
                <w:color w:val="000000"/>
                <w:sz w:val="21"/>
                <w:szCs w:val="21"/>
              </w:rPr>
              <w:t>芒核村</w:t>
            </w:r>
          </w:p>
        </w:tc>
        <w:tc>
          <w:tcPr>
            <w:tcW w:w="870" w:type="dxa"/>
            <w:noWrap w:val="0"/>
            <w:vAlign w:val="top"/>
          </w:tcPr>
          <w:p w14:paraId="6A381528">
            <w:pPr>
              <w:pStyle w:val="201"/>
              <w:spacing w:line="400" w:lineRule="exact"/>
              <w:jc w:val="center"/>
              <w:rPr>
                <w:rFonts w:hint="eastAsia" w:ascii="宋体" w:hAnsi="宋体"/>
                <w:color w:val="000000"/>
                <w:sz w:val="21"/>
                <w:szCs w:val="21"/>
              </w:rPr>
            </w:pPr>
            <w:r>
              <w:rPr>
                <w:rFonts w:hint="eastAsia" w:ascii="宋体" w:hAnsi="宋体"/>
                <w:color w:val="000000"/>
                <w:sz w:val="21"/>
                <w:szCs w:val="21"/>
              </w:rPr>
              <w:t>5.4</w:t>
            </w:r>
          </w:p>
        </w:tc>
        <w:tc>
          <w:tcPr>
            <w:tcW w:w="881" w:type="dxa"/>
            <w:noWrap w:val="0"/>
            <w:vAlign w:val="top"/>
          </w:tcPr>
          <w:p w14:paraId="0CCA900A">
            <w:pPr>
              <w:pStyle w:val="201"/>
              <w:spacing w:line="400" w:lineRule="exact"/>
              <w:jc w:val="center"/>
              <w:rPr>
                <w:rFonts w:hint="eastAsia" w:ascii="宋体" w:hAnsi="宋体"/>
                <w:color w:val="000000"/>
                <w:sz w:val="21"/>
                <w:szCs w:val="21"/>
              </w:rPr>
            </w:pPr>
            <w:r>
              <w:rPr>
                <w:rFonts w:hint="eastAsia" w:ascii="宋体" w:hAnsi="宋体"/>
                <w:color w:val="000000"/>
                <w:sz w:val="21"/>
                <w:szCs w:val="21"/>
              </w:rPr>
              <w:t>54.7</w:t>
            </w:r>
          </w:p>
        </w:tc>
        <w:tc>
          <w:tcPr>
            <w:tcW w:w="849" w:type="dxa"/>
            <w:noWrap w:val="0"/>
            <w:vAlign w:val="top"/>
          </w:tcPr>
          <w:p w14:paraId="6952468E">
            <w:pPr>
              <w:pStyle w:val="201"/>
              <w:spacing w:line="400" w:lineRule="exact"/>
              <w:jc w:val="center"/>
              <w:rPr>
                <w:rFonts w:hint="eastAsia" w:ascii="宋体" w:hAnsi="宋体"/>
                <w:color w:val="000000"/>
                <w:sz w:val="21"/>
                <w:szCs w:val="21"/>
              </w:rPr>
            </w:pPr>
            <w:r>
              <w:rPr>
                <w:rFonts w:hint="eastAsia" w:ascii="宋体" w:hAnsi="宋体"/>
                <w:color w:val="000000"/>
                <w:sz w:val="21"/>
                <w:szCs w:val="21"/>
              </w:rPr>
              <w:t>54.7</w:t>
            </w:r>
          </w:p>
        </w:tc>
        <w:tc>
          <w:tcPr>
            <w:tcW w:w="938" w:type="dxa"/>
            <w:noWrap w:val="0"/>
            <w:vAlign w:val="top"/>
          </w:tcPr>
          <w:p w14:paraId="56A94AA1">
            <w:pPr>
              <w:pStyle w:val="201"/>
              <w:spacing w:line="400" w:lineRule="exact"/>
              <w:jc w:val="center"/>
              <w:rPr>
                <w:rFonts w:hint="eastAsia" w:ascii="宋体" w:hAnsi="宋体"/>
                <w:color w:val="000000"/>
                <w:sz w:val="21"/>
                <w:szCs w:val="21"/>
              </w:rPr>
            </w:pPr>
            <w:r>
              <w:rPr>
                <w:rFonts w:hint="eastAsia" w:ascii="宋体" w:hAnsi="宋体"/>
                <w:color w:val="000000"/>
                <w:sz w:val="21"/>
                <w:szCs w:val="21"/>
              </w:rPr>
              <w:t>5.4</w:t>
            </w:r>
          </w:p>
        </w:tc>
        <w:tc>
          <w:tcPr>
            <w:tcW w:w="876" w:type="dxa"/>
            <w:noWrap w:val="0"/>
            <w:vAlign w:val="top"/>
          </w:tcPr>
          <w:p w14:paraId="489F9E3B">
            <w:pPr>
              <w:pStyle w:val="201"/>
              <w:spacing w:line="400" w:lineRule="exact"/>
              <w:jc w:val="center"/>
              <w:rPr>
                <w:rFonts w:hint="eastAsia" w:ascii="宋体" w:hAnsi="宋体"/>
                <w:color w:val="000000"/>
                <w:sz w:val="21"/>
                <w:szCs w:val="21"/>
              </w:rPr>
            </w:pPr>
            <w:r>
              <w:rPr>
                <w:rFonts w:hint="eastAsia" w:ascii="宋体" w:hAnsi="宋体"/>
                <w:color w:val="000000"/>
                <w:sz w:val="21"/>
                <w:szCs w:val="21"/>
              </w:rPr>
              <w:t>46.9</w:t>
            </w:r>
          </w:p>
        </w:tc>
        <w:tc>
          <w:tcPr>
            <w:tcW w:w="920" w:type="dxa"/>
            <w:noWrap w:val="0"/>
            <w:vAlign w:val="top"/>
          </w:tcPr>
          <w:p w14:paraId="5DEBC3DF">
            <w:pPr>
              <w:pStyle w:val="201"/>
              <w:spacing w:line="400" w:lineRule="exact"/>
              <w:jc w:val="center"/>
              <w:rPr>
                <w:rFonts w:hint="eastAsia" w:ascii="宋体" w:hAnsi="宋体"/>
                <w:color w:val="000000"/>
                <w:sz w:val="21"/>
                <w:szCs w:val="21"/>
              </w:rPr>
            </w:pPr>
            <w:r>
              <w:rPr>
                <w:rFonts w:hint="eastAsia" w:ascii="宋体" w:hAnsi="宋体"/>
                <w:color w:val="000000"/>
                <w:sz w:val="21"/>
                <w:szCs w:val="21"/>
              </w:rPr>
              <w:t>46.9</w:t>
            </w:r>
          </w:p>
        </w:tc>
      </w:tr>
      <w:tr w14:paraId="4758149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53" w:hRule="atLeast"/>
          <w:jc w:val="center"/>
        </w:trPr>
        <w:tc>
          <w:tcPr>
            <w:tcW w:w="816" w:type="dxa"/>
            <w:noWrap w:val="0"/>
            <w:vAlign w:val="top"/>
          </w:tcPr>
          <w:p w14:paraId="2FCB0038">
            <w:pPr>
              <w:pStyle w:val="201"/>
              <w:spacing w:line="400" w:lineRule="exact"/>
              <w:jc w:val="center"/>
              <w:rPr>
                <w:rFonts w:hint="eastAsia" w:ascii="宋体" w:hAnsi="宋体"/>
                <w:color w:val="000000"/>
                <w:sz w:val="21"/>
                <w:szCs w:val="21"/>
              </w:rPr>
            </w:pPr>
            <w:r>
              <w:rPr>
                <w:rFonts w:hint="eastAsia" w:ascii="宋体" w:hAnsi="宋体"/>
                <w:color w:val="000000"/>
                <w:sz w:val="21"/>
                <w:szCs w:val="21"/>
              </w:rPr>
              <w:t>3</w:t>
            </w:r>
          </w:p>
        </w:tc>
        <w:tc>
          <w:tcPr>
            <w:tcW w:w="2380" w:type="dxa"/>
            <w:noWrap w:val="0"/>
            <w:vAlign w:val="top"/>
          </w:tcPr>
          <w:p w14:paraId="21307C83">
            <w:pPr>
              <w:pStyle w:val="201"/>
              <w:spacing w:line="400" w:lineRule="exact"/>
              <w:jc w:val="center"/>
              <w:rPr>
                <w:rFonts w:hint="eastAsia" w:ascii="宋体" w:hAnsi="宋体"/>
                <w:color w:val="000000"/>
                <w:sz w:val="21"/>
                <w:szCs w:val="21"/>
              </w:rPr>
            </w:pPr>
            <w:r>
              <w:rPr>
                <w:rFonts w:hint="eastAsia" w:ascii="宋体" w:hAnsi="宋体"/>
                <w:color w:val="000000"/>
                <w:sz w:val="21"/>
                <w:szCs w:val="21"/>
              </w:rPr>
              <w:t>商住混合居民区</w:t>
            </w:r>
          </w:p>
        </w:tc>
        <w:tc>
          <w:tcPr>
            <w:tcW w:w="870" w:type="dxa"/>
            <w:noWrap w:val="0"/>
            <w:vAlign w:val="top"/>
          </w:tcPr>
          <w:p w14:paraId="6DAD5F52">
            <w:pPr>
              <w:pStyle w:val="201"/>
              <w:spacing w:line="400" w:lineRule="exact"/>
              <w:jc w:val="center"/>
              <w:rPr>
                <w:rFonts w:hint="eastAsia" w:ascii="宋体" w:hAnsi="宋体"/>
                <w:color w:val="000000"/>
                <w:sz w:val="21"/>
                <w:szCs w:val="21"/>
              </w:rPr>
            </w:pPr>
            <w:r>
              <w:rPr>
                <w:rFonts w:hint="eastAsia" w:ascii="宋体" w:hAnsi="宋体"/>
                <w:color w:val="000000"/>
                <w:sz w:val="21"/>
                <w:szCs w:val="21"/>
              </w:rPr>
              <w:t>18.86</w:t>
            </w:r>
          </w:p>
        </w:tc>
        <w:tc>
          <w:tcPr>
            <w:tcW w:w="881" w:type="dxa"/>
            <w:noWrap w:val="0"/>
            <w:vAlign w:val="top"/>
          </w:tcPr>
          <w:p w14:paraId="1BF8F72D">
            <w:pPr>
              <w:pStyle w:val="201"/>
              <w:spacing w:line="400" w:lineRule="exact"/>
              <w:jc w:val="center"/>
              <w:rPr>
                <w:rFonts w:hint="eastAsia" w:ascii="宋体" w:hAnsi="宋体"/>
                <w:color w:val="000000"/>
                <w:sz w:val="21"/>
                <w:szCs w:val="21"/>
              </w:rPr>
            </w:pPr>
            <w:r>
              <w:rPr>
                <w:rFonts w:hint="eastAsia" w:ascii="宋体" w:hAnsi="宋体"/>
                <w:color w:val="000000"/>
                <w:sz w:val="21"/>
                <w:szCs w:val="21"/>
              </w:rPr>
              <w:t>51.7</w:t>
            </w:r>
          </w:p>
        </w:tc>
        <w:tc>
          <w:tcPr>
            <w:tcW w:w="849" w:type="dxa"/>
            <w:noWrap w:val="0"/>
            <w:vAlign w:val="top"/>
          </w:tcPr>
          <w:p w14:paraId="4A2B46A1">
            <w:pPr>
              <w:pStyle w:val="201"/>
              <w:spacing w:line="400" w:lineRule="exact"/>
              <w:jc w:val="center"/>
              <w:rPr>
                <w:rFonts w:hint="eastAsia" w:ascii="宋体" w:hAnsi="宋体"/>
                <w:color w:val="000000"/>
                <w:sz w:val="21"/>
                <w:szCs w:val="21"/>
              </w:rPr>
            </w:pPr>
            <w:r>
              <w:rPr>
                <w:rFonts w:hint="eastAsia" w:ascii="宋体" w:hAnsi="宋体"/>
                <w:color w:val="000000"/>
                <w:sz w:val="21"/>
                <w:szCs w:val="21"/>
              </w:rPr>
              <w:t>51.7</w:t>
            </w:r>
          </w:p>
        </w:tc>
        <w:tc>
          <w:tcPr>
            <w:tcW w:w="938" w:type="dxa"/>
            <w:noWrap w:val="0"/>
            <w:vAlign w:val="top"/>
          </w:tcPr>
          <w:p w14:paraId="34BED99B">
            <w:pPr>
              <w:pStyle w:val="201"/>
              <w:spacing w:line="400" w:lineRule="exact"/>
              <w:jc w:val="center"/>
              <w:rPr>
                <w:rFonts w:hint="eastAsia" w:ascii="宋体" w:hAnsi="宋体"/>
                <w:color w:val="000000"/>
                <w:sz w:val="21"/>
                <w:szCs w:val="21"/>
              </w:rPr>
            </w:pPr>
            <w:r>
              <w:rPr>
                <w:rFonts w:hint="eastAsia" w:ascii="宋体" w:hAnsi="宋体"/>
                <w:color w:val="000000"/>
                <w:sz w:val="21"/>
                <w:szCs w:val="21"/>
              </w:rPr>
              <w:t>18.86</w:t>
            </w:r>
          </w:p>
        </w:tc>
        <w:tc>
          <w:tcPr>
            <w:tcW w:w="876" w:type="dxa"/>
            <w:noWrap w:val="0"/>
            <w:vAlign w:val="top"/>
          </w:tcPr>
          <w:p w14:paraId="5A51454A">
            <w:pPr>
              <w:pStyle w:val="201"/>
              <w:spacing w:line="400" w:lineRule="exact"/>
              <w:jc w:val="center"/>
              <w:rPr>
                <w:rFonts w:hint="eastAsia" w:ascii="宋体" w:hAnsi="宋体"/>
                <w:color w:val="000000"/>
                <w:sz w:val="21"/>
                <w:szCs w:val="21"/>
              </w:rPr>
            </w:pPr>
            <w:r>
              <w:rPr>
                <w:rFonts w:hint="eastAsia" w:ascii="宋体" w:hAnsi="宋体"/>
                <w:color w:val="000000"/>
                <w:sz w:val="21"/>
                <w:szCs w:val="21"/>
              </w:rPr>
              <w:t>46.8</w:t>
            </w:r>
          </w:p>
        </w:tc>
        <w:tc>
          <w:tcPr>
            <w:tcW w:w="920" w:type="dxa"/>
            <w:noWrap w:val="0"/>
            <w:vAlign w:val="top"/>
          </w:tcPr>
          <w:p w14:paraId="1059F43B">
            <w:pPr>
              <w:pStyle w:val="201"/>
              <w:spacing w:line="400" w:lineRule="exact"/>
              <w:jc w:val="center"/>
              <w:rPr>
                <w:rFonts w:hint="eastAsia" w:ascii="宋体" w:hAnsi="宋体"/>
                <w:color w:val="000000"/>
                <w:sz w:val="21"/>
                <w:szCs w:val="21"/>
              </w:rPr>
            </w:pPr>
            <w:r>
              <w:rPr>
                <w:rFonts w:hint="eastAsia" w:ascii="宋体" w:hAnsi="宋体"/>
                <w:color w:val="000000"/>
                <w:sz w:val="21"/>
                <w:szCs w:val="21"/>
              </w:rPr>
              <w:t>46.81</w:t>
            </w:r>
          </w:p>
        </w:tc>
      </w:tr>
      <w:tr w14:paraId="687AB38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81" w:hRule="atLeast"/>
          <w:jc w:val="center"/>
        </w:trPr>
        <w:tc>
          <w:tcPr>
            <w:tcW w:w="816" w:type="dxa"/>
            <w:noWrap w:val="0"/>
            <w:vAlign w:val="top"/>
          </w:tcPr>
          <w:p w14:paraId="5B8F84F6">
            <w:pPr>
              <w:pStyle w:val="201"/>
              <w:spacing w:line="400" w:lineRule="exact"/>
              <w:jc w:val="center"/>
              <w:rPr>
                <w:rFonts w:hint="eastAsia" w:ascii="宋体" w:hAnsi="宋体"/>
                <w:color w:val="000000"/>
                <w:sz w:val="21"/>
                <w:szCs w:val="21"/>
              </w:rPr>
            </w:pPr>
            <w:r>
              <w:rPr>
                <w:rFonts w:ascii="宋体" w:hAnsi="宋体"/>
                <w:color w:val="000000"/>
                <w:sz w:val="21"/>
                <w:szCs w:val="21"/>
              </w:rPr>
              <w:t>4</w:t>
            </w:r>
          </w:p>
        </w:tc>
        <w:tc>
          <w:tcPr>
            <w:tcW w:w="2380" w:type="dxa"/>
            <w:noWrap w:val="0"/>
            <w:vAlign w:val="top"/>
          </w:tcPr>
          <w:p w14:paraId="4C1139D9">
            <w:pPr>
              <w:pStyle w:val="201"/>
              <w:spacing w:line="400" w:lineRule="exact"/>
              <w:jc w:val="center"/>
              <w:rPr>
                <w:rFonts w:ascii="宋体" w:hAnsi="宋体"/>
                <w:color w:val="000000"/>
                <w:sz w:val="21"/>
                <w:szCs w:val="21"/>
              </w:rPr>
            </w:pPr>
            <w:r>
              <w:rPr>
                <w:rFonts w:hint="eastAsia" w:ascii="宋体" w:hAnsi="宋体"/>
                <w:color w:val="000000"/>
                <w:sz w:val="21"/>
                <w:szCs w:val="21"/>
              </w:rPr>
              <w:t>商住混合居民区</w:t>
            </w:r>
          </w:p>
        </w:tc>
        <w:tc>
          <w:tcPr>
            <w:tcW w:w="870" w:type="dxa"/>
            <w:noWrap w:val="0"/>
            <w:vAlign w:val="top"/>
          </w:tcPr>
          <w:p w14:paraId="415D25C8">
            <w:pPr>
              <w:pStyle w:val="201"/>
              <w:spacing w:line="400" w:lineRule="exact"/>
              <w:jc w:val="center"/>
              <w:rPr>
                <w:rFonts w:hint="eastAsia" w:ascii="宋体" w:hAnsi="宋体"/>
                <w:color w:val="000000"/>
                <w:sz w:val="21"/>
                <w:szCs w:val="21"/>
              </w:rPr>
            </w:pPr>
            <w:r>
              <w:rPr>
                <w:rFonts w:hint="eastAsia" w:ascii="宋体" w:hAnsi="宋体"/>
                <w:color w:val="000000"/>
                <w:sz w:val="21"/>
                <w:szCs w:val="21"/>
              </w:rPr>
              <w:t>26.23</w:t>
            </w:r>
          </w:p>
        </w:tc>
        <w:tc>
          <w:tcPr>
            <w:tcW w:w="881" w:type="dxa"/>
            <w:noWrap w:val="0"/>
            <w:vAlign w:val="top"/>
          </w:tcPr>
          <w:p w14:paraId="3C3CD25E">
            <w:pPr>
              <w:pStyle w:val="201"/>
              <w:spacing w:line="400" w:lineRule="exact"/>
              <w:jc w:val="center"/>
              <w:rPr>
                <w:rFonts w:hint="eastAsia" w:ascii="宋体" w:hAnsi="宋体"/>
                <w:color w:val="000000"/>
                <w:sz w:val="21"/>
                <w:szCs w:val="21"/>
              </w:rPr>
            </w:pPr>
            <w:r>
              <w:rPr>
                <w:rFonts w:hint="eastAsia" w:ascii="宋体" w:hAnsi="宋体"/>
                <w:color w:val="000000"/>
                <w:sz w:val="21"/>
                <w:szCs w:val="21"/>
              </w:rPr>
              <w:t>54.7</w:t>
            </w:r>
          </w:p>
        </w:tc>
        <w:tc>
          <w:tcPr>
            <w:tcW w:w="849" w:type="dxa"/>
            <w:noWrap w:val="0"/>
            <w:vAlign w:val="top"/>
          </w:tcPr>
          <w:p w14:paraId="778BCDAA">
            <w:pPr>
              <w:pStyle w:val="201"/>
              <w:spacing w:line="400" w:lineRule="exact"/>
              <w:jc w:val="center"/>
              <w:rPr>
                <w:rFonts w:hint="eastAsia" w:ascii="宋体" w:hAnsi="宋体"/>
                <w:color w:val="000000"/>
                <w:sz w:val="21"/>
                <w:szCs w:val="21"/>
              </w:rPr>
            </w:pPr>
            <w:r>
              <w:rPr>
                <w:rFonts w:hint="eastAsia" w:ascii="宋体" w:hAnsi="宋体"/>
                <w:color w:val="000000"/>
                <w:sz w:val="21"/>
                <w:szCs w:val="21"/>
              </w:rPr>
              <w:t>54.71</w:t>
            </w:r>
          </w:p>
        </w:tc>
        <w:tc>
          <w:tcPr>
            <w:tcW w:w="938" w:type="dxa"/>
            <w:noWrap w:val="0"/>
            <w:vAlign w:val="top"/>
          </w:tcPr>
          <w:p w14:paraId="7C5E0528">
            <w:pPr>
              <w:pStyle w:val="201"/>
              <w:spacing w:line="400" w:lineRule="exact"/>
              <w:jc w:val="center"/>
              <w:rPr>
                <w:rFonts w:hint="eastAsia" w:ascii="宋体" w:hAnsi="宋体"/>
                <w:color w:val="000000"/>
                <w:sz w:val="21"/>
                <w:szCs w:val="21"/>
              </w:rPr>
            </w:pPr>
            <w:r>
              <w:rPr>
                <w:rFonts w:hint="eastAsia" w:ascii="宋体" w:hAnsi="宋体"/>
                <w:color w:val="000000"/>
                <w:sz w:val="21"/>
                <w:szCs w:val="21"/>
              </w:rPr>
              <w:t>26.23</w:t>
            </w:r>
          </w:p>
        </w:tc>
        <w:tc>
          <w:tcPr>
            <w:tcW w:w="876" w:type="dxa"/>
            <w:noWrap w:val="0"/>
            <w:vAlign w:val="top"/>
          </w:tcPr>
          <w:p w14:paraId="2009E803">
            <w:pPr>
              <w:pStyle w:val="201"/>
              <w:spacing w:line="400" w:lineRule="exact"/>
              <w:jc w:val="center"/>
              <w:rPr>
                <w:rFonts w:hint="eastAsia" w:ascii="宋体" w:hAnsi="宋体"/>
                <w:color w:val="000000"/>
                <w:sz w:val="21"/>
                <w:szCs w:val="21"/>
              </w:rPr>
            </w:pPr>
            <w:r>
              <w:rPr>
                <w:rFonts w:hint="eastAsia" w:ascii="宋体" w:hAnsi="宋体"/>
                <w:color w:val="000000"/>
                <w:sz w:val="21"/>
                <w:szCs w:val="21"/>
              </w:rPr>
              <w:t>46.9</w:t>
            </w:r>
          </w:p>
        </w:tc>
        <w:tc>
          <w:tcPr>
            <w:tcW w:w="920" w:type="dxa"/>
            <w:noWrap w:val="0"/>
            <w:vAlign w:val="top"/>
          </w:tcPr>
          <w:p w14:paraId="4F2D92E1">
            <w:pPr>
              <w:pStyle w:val="201"/>
              <w:spacing w:line="400" w:lineRule="exact"/>
              <w:jc w:val="center"/>
              <w:rPr>
                <w:rFonts w:hint="eastAsia" w:ascii="宋体" w:hAnsi="宋体"/>
                <w:color w:val="000000"/>
                <w:sz w:val="21"/>
                <w:szCs w:val="21"/>
              </w:rPr>
            </w:pPr>
            <w:r>
              <w:rPr>
                <w:rFonts w:hint="eastAsia" w:ascii="宋体" w:hAnsi="宋体"/>
                <w:color w:val="000000"/>
                <w:sz w:val="21"/>
                <w:szCs w:val="21"/>
              </w:rPr>
              <w:t>46.94</w:t>
            </w:r>
          </w:p>
        </w:tc>
      </w:tr>
      <w:tr w14:paraId="5C8A355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80" w:hRule="atLeast"/>
          <w:jc w:val="center"/>
        </w:trPr>
        <w:tc>
          <w:tcPr>
            <w:tcW w:w="816" w:type="dxa"/>
            <w:noWrap w:val="0"/>
            <w:vAlign w:val="top"/>
          </w:tcPr>
          <w:p w14:paraId="7EA86C1C">
            <w:pPr>
              <w:pStyle w:val="201"/>
              <w:spacing w:line="400" w:lineRule="exact"/>
              <w:jc w:val="center"/>
              <w:rPr>
                <w:rFonts w:hint="eastAsia" w:ascii="宋体" w:hAnsi="宋体"/>
                <w:color w:val="000000"/>
                <w:sz w:val="21"/>
                <w:szCs w:val="21"/>
              </w:rPr>
            </w:pPr>
            <w:r>
              <w:rPr>
                <w:rFonts w:hint="eastAsia" w:ascii="宋体" w:hAnsi="宋体"/>
                <w:color w:val="000000"/>
                <w:sz w:val="21"/>
                <w:szCs w:val="21"/>
              </w:rPr>
              <w:t>5</w:t>
            </w:r>
          </w:p>
        </w:tc>
        <w:tc>
          <w:tcPr>
            <w:tcW w:w="2380" w:type="dxa"/>
            <w:noWrap w:val="0"/>
            <w:vAlign w:val="top"/>
          </w:tcPr>
          <w:p w14:paraId="55CF77F4">
            <w:pPr>
              <w:pStyle w:val="201"/>
              <w:spacing w:line="400" w:lineRule="exact"/>
              <w:jc w:val="center"/>
              <w:rPr>
                <w:rFonts w:ascii="宋体" w:hAnsi="宋体"/>
                <w:color w:val="000000"/>
                <w:sz w:val="21"/>
                <w:szCs w:val="21"/>
              </w:rPr>
            </w:pPr>
            <w:r>
              <w:rPr>
                <w:rFonts w:ascii="宋体" w:hAnsi="宋体"/>
                <w:color w:val="000000"/>
                <w:sz w:val="21"/>
                <w:szCs w:val="21"/>
              </w:rPr>
              <w:t>医院内住院楼病房</w:t>
            </w:r>
          </w:p>
        </w:tc>
        <w:tc>
          <w:tcPr>
            <w:tcW w:w="870" w:type="dxa"/>
            <w:noWrap w:val="0"/>
            <w:vAlign w:val="top"/>
          </w:tcPr>
          <w:p w14:paraId="45340EBB">
            <w:pPr>
              <w:pStyle w:val="201"/>
              <w:spacing w:line="400" w:lineRule="exact"/>
              <w:jc w:val="center"/>
              <w:rPr>
                <w:rFonts w:hint="eastAsia" w:ascii="宋体" w:hAnsi="宋体"/>
                <w:color w:val="000000"/>
                <w:sz w:val="21"/>
                <w:szCs w:val="21"/>
              </w:rPr>
            </w:pPr>
            <w:r>
              <w:rPr>
                <w:rFonts w:hint="eastAsia" w:ascii="宋体" w:hAnsi="宋体"/>
                <w:color w:val="000000"/>
                <w:sz w:val="21"/>
                <w:szCs w:val="21"/>
              </w:rPr>
              <w:t>23.47</w:t>
            </w:r>
          </w:p>
        </w:tc>
        <w:tc>
          <w:tcPr>
            <w:tcW w:w="881" w:type="dxa"/>
            <w:noWrap w:val="0"/>
            <w:vAlign w:val="top"/>
          </w:tcPr>
          <w:p w14:paraId="2ADDC713">
            <w:pPr>
              <w:pStyle w:val="201"/>
              <w:spacing w:line="400" w:lineRule="exact"/>
              <w:jc w:val="center"/>
              <w:rPr>
                <w:rFonts w:hint="eastAsia" w:ascii="宋体" w:hAnsi="宋体"/>
                <w:color w:val="000000"/>
                <w:sz w:val="21"/>
                <w:szCs w:val="21"/>
              </w:rPr>
            </w:pPr>
            <w:r>
              <w:rPr>
                <w:rFonts w:hint="eastAsia" w:ascii="宋体" w:hAnsi="宋体"/>
                <w:color w:val="000000"/>
                <w:sz w:val="21"/>
                <w:szCs w:val="21"/>
              </w:rPr>
              <w:t>50.2</w:t>
            </w:r>
          </w:p>
        </w:tc>
        <w:tc>
          <w:tcPr>
            <w:tcW w:w="849" w:type="dxa"/>
            <w:noWrap w:val="0"/>
            <w:vAlign w:val="top"/>
          </w:tcPr>
          <w:p w14:paraId="5639F962">
            <w:pPr>
              <w:pStyle w:val="201"/>
              <w:spacing w:line="400" w:lineRule="exact"/>
              <w:jc w:val="center"/>
              <w:rPr>
                <w:rFonts w:hint="eastAsia" w:ascii="宋体" w:hAnsi="宋体"/>
                <w:color w:val="000000"/>
                <w:sz w:val="21"/>
                <w:szCs w:val="21"/>
              </w:rPr>
            </w:pPr>
            <w:r>
              <w:rPr>
                <w:rFonts w:hint="eastAsia" w:ascii="宋体" w:hAnsi="宋体"/>
                <w:color w:val="000000"/>
                <w:sz w:val="21"/>
                <w:szCs w:val="21"/>
              </w:rPr>
              <w:t>50.21</w:t>
            </w:r>
          </w:p>
        </w:tc>
        <w:tc>
          <w:tcPr>
            <w:tcW w:w="938" w:type="dxa"/>
            <w:noWrap w:val="0"/>
            <w:vAlign w:val="top"/>
          </w:tcPr>
          <w:p w14:paraId="460E3B61">
            <w:pPr>
              <w:pStyle w:val="201"/>
              <w:spacing w:line="400" w:lineRule="exact"/>
              <w:jc w:val="center"/>
              <w:rPr>
                <w:rFonts w:hint="eastAsia" w:ascii="宋体" w:hAnsi="宋体"/>
                <w:color w:val="000000"/>
                <w:sz w:val="21"/>
                <w:szCs w:val="21"/>
              </w:rPr>
            </w:pPr>
            <w:r>
              <w:rPr>
                <w:rFonts w:hint="eastAsia" w:ascii="宋体" w:hAnsi="宋体"/>
                <w:color w:val="000000"/>
                <w:sz w:val="21"/>
                <w:szCs w:val="21"/>
              </w:rPr>
              <w:t>23.47</w:t>
            </w:r>
          </w:p>
        </w:tc>
        <w:tc>
          <w:tcPr>
            <w:tcW w:w="876" w:type="dxa"/>
            <w:noWrap w:val="0"/>
            <w:vAlign w:val="top"/>
          </w:tcPr>
          <w:p w14:paraId="077B8E4B">
            <w:pPr>
              <w:pStyle w:val="201"/>
              <w:spacing w:line="400" w:lineRule="exact"/>
              <w:jc w:val="center"/>
              <w:rPr>
                <w:rFonts w:hint="eastAsia" w:ascii="宋体" w:hAnsi="宋体"/>
                <w:color w:val="000000"/>
                <w:sz w:val="21"/>
                <w:szCs w:val="21"/>
              </w:rPr>
            </w:pPr>
            <w:r>
              <w:rPr>
                <w:rFonts w:hint="eastAsia" w:ascii="宋体" w:hAnsi="宋体"/>
                <w:color w:val="000000"/>
                <w:sz w:val="21"/>
                <w:szCs w:val="21"/>
              </w:rPr>
              <w:t>46.7</w:t>
            </w:r>
          </w:p>
        </w:tc>
        <w:tc>
          <w:tcPr>
            <w:tcW w:w="920" w:type="dxa"/>
            <w:noWrap w:val="0"/>
            <w:vAlign w:val="top"/>
          </w:tcPr>
          <w:p w14:paraId="141B9AA0">
            <w:pPr>
              <w:pStyle w:val="201"/>
              <w:spacing w:line="400" w:lineRule="exact"/>
              <w:jc w:val="center"/>
              <w:rPr>
                <w:rFonts w:hint="eastAsia" w:ascii="宋体" w:hAnsi="宋体"/>
                <w:color w:val="000000"/>
                <w:sz w:val="21"/>
                <w:szCs w:val="21"/>
              </w:rPr>
            </w:pPr>
            <w:r>
              <w:rPr>
                <w:rFonts w:hint="eastAsia" w:ascii="宋体" w:hAnsi="宋体"/>
                <w:color w:val="000000"/>
                <w:sz w:val="21"/>
                <w:szCs w:val="21"/>
              </w:rPr>
              <w:t>46.72</w:t>
            </w:r>
          </w:p>
        </w:tc>
      </w:tr>
    </w:tbl>
    <w:p w14:paraId="3E5109E5">
      <w:pPr>
        <w:spacing w:line="360" w:lineRule="auto"/>
        <w:ind w:firstLine="420"/>
        <w:rPr>
          <w:rFonts w:hint="eastAsia" w:ascii="宋体" w:hAnsi="宋体"/>
          <w:color w:val="000000"/>
          <w:szCs w:val="21"/>
        </w:rPr>
      </w:pPr>
      <w:r>
        <w:rPr>
          <w:rFonts w:ascii="宋体" w:hAnsi="宋体"/>
          <w:color w:val="000000"/>
          <w:szCs w:val="21"/>
        </w:rPr>
        <w:t>注：噪声背景值选取监测结果</w:t>
      </w:r>
      <w:r>
        <w:rPr>
          <w:rFonts w:hint="eastAsia" w:ascii="宋体" w:hAnsi="宋体"/>
          <w:color w:val="000000"/>
          <w:szCs w:val="21"/>
        </w:rPr>
        <w:t>最大值。</w:t>
      </w:r>
    </w:p>
    <w:p w14:paraId="13E3A1B9">
      <w:pPr>
        <w:spacing w:line="360" w:lineRule="auto"/>
        <w:ind w:firstLine="480"/>
        <w:rPr>
          <w:color w:val="000000"/>
          <w:sz w:val="24"/>
        </w:rPr>
      </w:pPr>
      <w:r>
        <w:rPr>
          <w:rFonts w:hint="eastAsia"/>
          <w:color w:val="000000"/>
          <w:sz w:val="24"/>
        </w:rPr>
        <w:t>（5）</w:t>
      </w:r>
      <w:r>
        <w:rPr>
          <w:color w:val="000000"/>
          <w:sz w:val="24"/>
        </w:rPr>
        <w:t>预测结果分析</w:t>
      </w:r>
    </w:p>
    <w:p w14:paraId="6D2476FE">
      <w:pPr>
        <w:pStyle w:val="268"/>
        <w:ind w:firstLine="480"/>
        <w:rPr>
          <w:rFonts w:ascii="宋体" w:hAnsi="宋体"/>
          <w:color w:val="000000"/>
        </w:rPr>
      </w:pPr>
      <w:r>
        <w:rPr>
          <w:rFonts w:hint="eastAsia" w:ascii="宋体" w:hAnsi="宋体"/>
          <w:color w:val="000000"/>
        </w:rPr>
        <w:t>①</w:t>
      </w:r>
      <w:r>
        <w:rPr>
          <w:rFonts w:ascii="宋体" w:hAnsi="宋体"/>
          <w:color w:val="000000"/>
        </w:rPr>
        <w:t>场界达标分析</w:t>
      </w:r>
    </w:p>
    <w:p w14:paraId="18901C42">
      <w:pPr>
        <w:pStyle w:val="268"/>
        <w:ind w:firstLine="480"/>
        <w:rPr>
          <w:rFonts w:ascii="宋体" w:hAnsi="宋体"/>
          <w:color w:val="000000"/>
        </w:rPr>
      </w:pPr>
      <w:r>
        <w:rPr>
          <w:rFonts w:ascii="宋体" w:hAnsi="宋体"/>
          <w:color w:val="000000"/>
        </w:rPr>
        <w:t>由表</w:t>
      </w:r>
      <w:r>
        <w:rPr>
          <w:rFonts w:hint="eastAsia" w:ascii="宋体" w:hAnsi="宋体"/>
          <w:color w:val="000000"/>
        </w:rPr>
        <w:t>6</w:t>
      </w:r>
      <w:r>
        <w:rPr>
          <w:rFonts w:ascii="宋体" w:hAnsi="宋体"/>
          <w:color w:val="000000"/>
        </w:rPr>
        <w:t>.</w:t>
      </w:r>
      <w:r>
        <w:rPr>
          <w:rFonts w:hint="eastAsia" w:ascii="宋体" w:hAnsi="宋体"/>
          <w:color w:val="000000"/>
        </w:rPr>
        <w:t>2</w:t>
      </w:r>
      <w:r>
        <w:rPr>
          <w:rFonts w:ascii="宋体" w:hAnsi="宋体"/>
          <w:color w:val="000000"/>
        </w:rPr>
        <w:t>-</w:t>
      </w:r>
      <w:r>
        <w:rPr>
          <w:rFonts w:hint="eastAsia" w:ascii="宋体" w:hAnsi="宋体"/>
          <w:color w:val="000000"/>
        </w:rPr>
        <w:t>5</w:t>
      </w:r>
      <w:r>
        <w:rPr>
          <w:rFonts w:ascii="宋体" w:hAnsi="宋体"/>
          <w:color w:val="000000"/>
        </w:rPr>
        <w:t>预测结果可见，项目</w:t>
      </w:r>
      <w:r>
        <w:rPr>
          <w:rFonts w:hint="eastAsia" w:ascii="宋体" w:hAnsi="宋体"/>
          <w:color w:val="000000"/>
        </w:rPr>
        <w:t>各</w:t>
      </w:r>
      <w:r>
        <w:rPr>
          <w:rFonts w:ascii="宋体" w:hAnsi="宋体"/>
          <w:color w:val="000000"/>
        </w:rPr>
        <w:t>设备噪声对拟建地块各侧场界的贡献值较小，</w:t>
      </w:r>
      <w:r>
        <w:rPr>
          <w:rFonts w:hint="eastAsia" w:ascii="宋体" w:hAnsi="宋体"/>
          <w:color w:val="000000"/>
        </w:rPr>
        <w:t>能</w:t>
      </w:r>
      <w:r>
        <w:rPr>
          <w:rFonts w:ascii="宋体" w:hAnsi="宋体"/>
          <w:color w:val="000000"/>
        </w:rPr>
        <w:t>达到《工业企业厂界环境噪声排放标准》(GB12348-2008)2类标准，达标排放。</w:t>
      </w:r>
    </w:p>
    <w:p w14:paraId="0BF86953">
      <w:pPr>
        <w:pStyle w:val="268"/>
        <w:ind w:firstLine="480"/>
        <w:rPr>
          <w:rFonts w:ascii="宋体" w:hAnsi="宋体"/>
          <w:color w:val="000000"/>
        </w:rPr>
      </w:pPr>
      <w:r>
        <w:rPr>
          <w:rFonts w:hint="eastAsia" w:ascii="宋体" w:hAnsi="宋体"/>
          <w:color w:val="000000"/>
        </w:rPr>
        <w:t>②</w:t>
      </w:r>
      <w:r>
        <w:rPr>
          <w:rFonts w:ascii="宋体" w:hAnsi="宋体"/>
          <w:color w:val="000000"/>
        </w:rPr>
        <w:t>敏感点影响分析</w:t>
      </w:r>
    </w:p>
    <w:p w14:paraId="6A8AA290">
      <w:pPr>
        <w:pStyle w:val="268"/>
        <w:ind w:firstLine="480"/>
        <w:rPr>
          <w:rFonts w:hint="eastAsia" w:ascii="宋体" w:hAnsi="宋体"/>
          <w:color w:val="000000"/>
        </w:rPr>
      </w:pPr>
      <w:r>
        <w:rPr>
          <w:color w:val="000000"/>
        </w:rPr>
        <w:t>由表</w:t>
      </w:r>
      <w:r>
        <w:rPr>
          <w:rFonts w:hint="eastAsia"/>
          <w:color w:val="000000"/>
        </w:rPr>
        <w:t>6</w:t>
      </w:r>
      <w:r>
        <w:rPr>
          <w:color w:val="000000"/>
        </w:rPr>
        <w:t>.</w:t>
      </w:r>
      <w:r>
        <w:rPr>
          <w:rFonts w:hint="eastAsia"/>
          <w:color w:val="000000"/>
        </w:rPr>
        <w:t>2</w:t>
      </w:r>
      <w:r>
        <w:rPr>
          <w:color w:val="000000"/>
        </w:rPr>
        <w:t>-</w:t>
      </w:r>
      <w:r>
        <w:rPr>
          <w:rFonts w:hint="eastAsia"/>
          <w:color w:val="000000"/>
        </w:rPr>
        <w:t>6</w:t>
      </w:r>
      <w:r>
        <w:rPr>
          <w:color w:val="000000"/>
        </w:rPr>
        <w:t>预测结果可见，本项目</w:t>
      </w:r>
      <w:r>
        <w:rPr>
          <w:rFonts w:hint="eastAsia"/>
          <w:color w:val="000000"/>
        </w:rPr>
        <w:t>各</w:t>
      </w:r>
      <w:r>
        <w:rPr>
          <w:color w:val="000000"/>
        </w:rPr>
        <w:t>设备噪声对各敏感点的贡献值较小，</w:t>
      </w:r>
      <w:r>
        <w:rPr>
          <w:rFonts w:hint="eastAsia"/>
          <w:color w:val="000000"/>
        </w:rPr>
        <w:t>但背景值噪声较大，</w:t>
      </w:r>
      <w:r>
        <w:rPr>
          <w:color w:val="000000"/>
        </w:rPr>
        <w:t>叠加背景值</w:t>
      </w:r>
      <w:r>
        <w:rPr>
          <w:rFonts w:hint="eastAsia"/>
          <w:color w:val="000000"/>
        </w:rPr>
        <w:t>后各敏感点处声环境能够达到</w:t>
      </w:r>
      <w:r>
        <w:rPr>
          <w:color w:val="000000"/>
        </w:rPr>
        <w:t>《声环境质量标准》(GB3096-2008)中2类声环境功能区的标准限值要求。</w:t>
      </w:r>
    </w:p>
    <w:p w14:paraId="4F7B8AC0">
      <w:pPr>
        <w:pStyle w:val="221"/>
        <w:spacing w:before="120" w:after="0" w:line="360" w:lineRule="auto"/>
        <w:ind w:left="0" w:firstLine="482"/>
        <w:rPr>
          <w:rFonts w:ascii="宋体" w:hAnsi="宋体"/>
          <w:b/>
          <w:color w:val="000000"/>
          <w:sz w:val="24"/>
        </w:rPr>
      </w:pPr>
      <w:r>
        <w:rPr>
          <w:rFonts w:hint="eastAsia" w:ascii="宋体" w:hAnsi="宋体"/>
          <w:b/>
          <w:color w:val="000000"/>
          <w:sz w:val="24"/>
        </w:rPr>
        <w:t>3、</w:t>
      </w:r>
      <w:r>
        <w:rPr>
          <w:rFonts w:ascii="宋体" w:hAnsi="宋体"/>
          <w:b/>
          <w:color w:val="000000"/>
          <w:sz w:val="24"/>
        </w:rPr>
        <w:t>人群活动噪声</w:t>
      </w:r>
    </w:p>
    <w:p w14:paraId="2E742737">
      <w:pPr>
        <w:spacing w:line="360" w:lineRule="auto"/>
        <w:ind w:firstLine="480"/>
        <w:rPr>
          <w:rFonts w:hint="eastAsia" w:ascii="宋体" w:hAnsi="宋体"/>
          <w:color w:val="000000"/>
          <w:sz w:val="24"/>
        </w:rPr>
      </w:pPr>
      <w:r>
        <w:rPr>
          <w:rFonts w:hint="eastAsia" w:ascii="宋体" w:hAnsi="宋体"/>
          <w:color w:val="000000"/>
          <w:sz w:val="24"/>
        </w:rPr>
        <w:t>门诊部就诊人员的嘈杂声一般为65 dB(A)，门诊部噪声预测采用面源预测模式。即面声源为长方形，两边长分别为a、b（b≥a）。离开声源中心的距离为r，其声级的距离衰减量按下述三种情况进行预测：</w:t>
      </w:r>
    </w:p>
    <w:p w14:paraId="6307A8B4">
      <w:pPr>
        <w:spacing w:line="360" w:lineRule="auto"/>
        <w:ind w:firstLine="616"/>
        <w:rPr>
          <w:rFonts w:hint="eastAsia" w:ascii="宋体" w:hAnsi="宋体"/>
          <w:color w:val="000000"/>
          <w:sz w:val="24"/>
        </w:rPr>
      </w:pPr>
      <w:r>
        <w:rPr>
          <w:rFonts w:hint="eastAsia" w:ascii="宋体" w:hAnsi="宋体"/>
          <w:color w:val="000000"/>
          <w:sz w:val="24"/>
        </w:rPr>
        <w:t>（1）、当r≤a/π时，声源近似辐射平面波，声波的强度不随距离发生变化，距离衰减量为0，即ΔL=0。</w:t>
      </w:r>
    </w:p>
    <w:p w14:paraId="6091499E">
      <w:pPr>
        <w:spacing w:line="360" w:lineRule="auto"/>
        <w:ind w:firstLine="616"/>
        <w:rPr>
          <w:rFonts w:hint="eastAsia" w:ascii="宋体" w:hAnsi="宋体"/>
          <w:color w:val="000000"/>
          <w:sz w:val="24"/>
        </w:rPr>
      </w:pPr>
      <w:r>
        <w:rPr>
          <w:rFonts w:hint="eastAsia" w:ascii="宋体" w:hAnsi="宋体"/>
          <w:color w:val="000000"/>
          <w:sz w:val="24"/>
        </w:rPr>
        <w:t>（2）、当a/π≤r≤b /π时，声源相对测点，可视为线源，其距离衰减量按下式计算：</w:t>
      </w:r>
    </w:p>
    <w:p w14:paraId="0B49170A">
      <w:pPr>
        <w:spacing w:line="360" w:lineRule="auto"/>
        <w:ind w:firstLine="616"/>
        <w:rPr>
          <w:rFonts w:hint="eastAsia" w:ascii="仿宋_GB2312" w:eastAsia="仿宋_GB2312"/>
          <w:color w:val="000000"/>
          <w:sz w:val="24"/>
        </w:rPr>
      </w:pPr>
      <w:r>
        <w:rPr>
          <w:rFonts w:hint="eastAsia" w:ascii="仿宋_GB2312" w:eastAsia="仿宋_GB2312"/>
          <w:color w:val="000000"/>
          <w:position w:val="-30"/>
          <w:sz w:val="24"/>
        </w:rPr>
        <w:object>
          <v:shape id="_x0000_i1037" o:spt="75" type="#_x0000_t75" style="height:43.65pt;width:80.85pt;" o:ole="t" filled="f" o:preferrelative="t" stroked="f" coordsize="21600,21600">
            <v:path/>
            <v:fill on="f" focussize="0,0"/>
            <v:stroke on="f" joinstyle="miter"/>
            <v:imagedata r:id="rId50" o:title=""/>
            <o:lock v:ext="edit" rotation="t" aspectratio="t"/>
            <w10:wrap type="none"/>
            <w10:anchorlock/>
          </v:shape>
          <o:OLEObject Type="Embed" ProgID="Equation.3" ShapeID="_x0000_i1037" DrawAspect="Content" ObjectID="_1468075737" r:id="rId49">
            <o:LockedField>false</o:LockedField>
          </o:OLEObject>
        </w:object>
      </w:r>
    </w:p>
    <w:p w14:paraId="53012BDF">
      <w:pPr>
        <w:spacing w:line="360" w:lineRule="auto"/>
        <w:ind w:firstLine="616"/>
        <w:rPr>
          <w:rFonts w:hint="eastAsia" w:ascii="宋体" w:hAnsi="宋体"/>
          <w:color w:val="000000"/>
          <w:sz w:val="24"/>
        </w:rPr>
      </w:pPr>
      <w:r>
        <w:rPr>
          <w:rFonts w:hint="eastAsia" w:ascii="宋体" w:hAnsi="宋体"/>
          <w:color w:val="000000"/>
          <w:sz w:val="24"/>
        </w:rPr>
        <w:t>（3）、当r＞b /π时，声源相对测点处距离甚远，可视为点声源，其距离衰减量按下式计算：</w:t>
      </w:r>
    </w:p>
    <w:p w14:paraId="5E98AF7E">
      <w:pPr>
        <w:spacing w:line="360" w:lineRule="auto"/>
        <w:ind w:firstLine="616"/>
        <w:rPr>
          <w:rFonts w:hint="eastAsia" w:ascii="仿宋_GB2312" w:eastAsia="仿宋_GB2312"/>
          <w:color w:val="000000"/>
          <w:sz w:val="24"/>
        </w:rPr>
      </w:pPr>
      <w:r>
        <w:rPr>
          <w:rFonts w:hint="eastAsia" w:ascii="仿宋_GB2312" w:eastAsia="仿宋_GB2312"/>
          <w:color w:val="000000"/>
          <w:position w:val="-30"/>
          <w:sz w:val="24"/>
        </w:rPr>
        <w:object>
          <v:shape id="_x0000_i1038" o:spt="75" type="#_x0000_t75" style="height:42.4pt;width:82.05pt;" o:ole="t" filled="f" o:preferrelative="t" stroked="f" coordsize="21600,21600">
            <v:path/>
            <v:fill on="f" focussize="0,0"/>
            <v:stroke on="f" joinstyle="miter"/>
            <v:imagedata r:id="rId52" o:title=""/>
            <o:lock v:ext="edit" rotation="t" aspectratio="t"/>
            <w10:wrap type="none"/>
            <w10:anchorlock/>
          </v:shape>
          <o:OLEObject Type="Embed" ProgID="Equation.3" ShapeID="_x0000_i1038" DrawAspect="Content" ObjectID="_1468075738" r:id="rId51">
            <o:LockedField>false</o:LockedField>
          </o:OLEObject>
        </w:object>
      </w:r>
    </w:p>
    <w:p w14:paraId="34A602DB">
      <w:pPr>
        <w:spacing w:line="360" w:lineRule="auto"/>
        <w:ind w:firstLine="480"/>
        <w:rPr>
          <w:rFonts w:hint="eastAsia"/>
          <w:color w:val="000000"/>
          <w:sz w:val="24"/>
        </w:rPr>
      </w:pPr>
      <w:r>
        <w:rPr>
          <w:rFonts w:hint="eastAsia"/>
          <w:color w:val="000000"/>
          <w:sz w:val="24"/>
        </w:rPr>
        <w:t>采用上述预测模式对门诊部噪声的距离衰减量进行预测，距离声源50m以外的（门诊楼距离围墙距离50 m以上）居民区，社会生活噪声的贡献值为较小，社会噪声对项目声环境质量影响较小，</w:t>
      </w:r>
      <w:r>
        <w:rPr>
          <w:color w:val="000000"/>
          <w:sz w:val="24"/>
        </w:rPr>
        <w:t>噪声强度未超出《工业企业厂界环境噪声排放标准》2类标准要求</w:t>
      </w:r>
      <w:r>
        <w:rPr>
          <w:rFonts w:hint="eastAsia"/>
          <w:color w:val="000000"/>
          <w:sz w:val="24"/>
        </w:rPr>
        <w:t>，故项目营运期间不会给周围声环境质量造成显著影响。</w:t>
      </w:r>
    </w:p>
    <w:p w14:paraId="21A4113E">
      <w:pPr>
        <w:pStyle w:val="221"/>
        <w:spacing w:after="0" w:line="360" w:lineRule="auto"/>
        <w:ind w:left="0" w:firstLine="482"/>
        <w:rPr>
          <w:rFonts w:ascii="宋体" w:hAnsi="宋体"/>
          <w:b/>
          <w:color w:val="000000"/>
          <w:sz w:val="24"/>
        </w:rPr>
      </w:pPr>
      <w:r>
        <w:rPr>
          <w:rFonts w:hint="eastAsia" w:ascii="宋体" w:hAnsi="宋体"/>
          <w:b/>
          <w:color w:val="000000"/>
          <w:sz w:val="24"/>
        </w:rPr>
        <w:t>4、</w:t>
      </w:r>
      <w:r>
        <w:rPr>
          <w:rFonts w:ascii="宋体" w:hAnsi="宋体"/>
          <w:b/>
          <w:color w:val="000000"/>
          <w:sz w:val="24"/>
        </w:rPr>
        <w:t>区内汽车噪声</w:t>
      </w:r>
    </w:p>
    <w:p w14:paraId="3403DB04">
      <w:pPr>
        <w:spacing w:line="360" w:lineRule="auto"/>
        <w:ind w:firstLine="480"/>
        <w:rPr>
          <w:color w:val="000000"/>
          <w:sz w:val="24"/>
        </w:rPr>
      </w:pPr>
      <w:r>
        <w:rPr>
          <w:color w:val="000000"/>
          <w:sz w:val="24"/>
        </w:rPr>
        <w:t>项目区内一般只有小型车辆，且数量不大，运行也不集中在某一时段。根据类比，小型机动车在时速小于</w:t>
      </w:r>
      <w:r>
        <w:rPr>
          <w:rFonts w:hint="eastAsia"/>
          <w:color w:val="000000"/>
          <w:sz w:val="24"/>
        </w:rPr>
        <w:t>5</w:t>
      </w:r>
      <w:r>
        <w:rPr>
          <w:color w:val="000000"/>
          <w:sz w:val="24"/>
        </w:rPr>
        <w:t>km/h时，产生的噪声约为</w:t>
      </w:r>
      <w:r>
        <w:rPr>
          <w:rFonts w:hint="eastAsia"/>
          <w:color w:val="000000"/>
          <w:sz w:val="24"/>
        </w:rPr>
        <w:t>4</w:t>
      </w:r>
      <w:r>
        <w:rPr>
          <w:color w:val="000000"/>
          <w:sz w:val="24"/>
        </w:rPr>
        <w:t>5</w:t>
      </w:r>
      <w:r>
        <w:rPr>
          <w:color w:val="000000"/>
        </w:rPr>
        <w:t xml:space="preserve"> </w:t>
      </w:r>
      <w:r>
        <w:rPr>
          <w:color w:val="000000"/>
          <w:sz w:val="24"/>
        </w:rPr>
        <w:t>~</w:t>
      </w:r>
      <w:r>
        <w:rPr>
          <w:rFonts w:hint="eastAsia"/>
          <w:color w:val="000000"/>
          <w:sz w:val="24"/>
        </w:rPr>
        <w:t>5</w:t>
      </w:r>
      <w:r>
        <w:rPr>
          <w:color w:val="000000"/>
          <w:sz w:val="24"/>
        </w:rPr>
        <w:t>5dB(A)，超过《声环境质量标准》的2类标准，如在中午及夜间等休息时间会对靠近道路的区域有一定的影响。但根据项目的规划，区内道路两边均栽种有乔、灌结合的绿化带，而且交通量不大，运行时间不集中，车辆噪声经过绿化带的阻隔降噪后，可做到场界达标排放，对周围环境的影响不大。</w:t>
      </w:r>
    </w:p>
    <w:p w14:paraId="52CA8C40">
      <w:pPr>
        <w:spacing w:line="360" w:lineRule="auto"/>
        <w:ind w:firstLine="480"/>
        <w:rPr>
          <w:color w:val="000000"/>
          <w:sz w:val="24"/>
        </w:rPr>
      </w:pPr>
      <w:r>
        <w:rPr>
          <w:color w:val="000000"/>
          <w:sz w:val="24"/>
        </w:rPr>
        <w:t>综上所述，项目在运行期产生的噪声，只要采取环评报告提出的对策措施后，均可</w:t>
      </w:r>
      <w:r>
        <w:rPr>
          <w:rFonts w:hint="eastAsia"/>
          <w:color w:val="000000"/>
          <w:sz w:val="24"/>
        </w:rPr>
        <w:t>做</w:t>
      </w:r>
      <w:r>
        <w:rPr>
          <w:color w:val="000000"/>
          <w:sz w:val="24"/>
        </w:rPr>
        <w:t>到场界达标排放，因此，对周围环境的影响不大。</w:t>
      </w:r>
    </w:p>
    <w:p w14:paraId="56762E9D">
      <w:pPr>
        <w:pStyle w:val="221"/>
        <w:spacing w:after="0" w:line="360" w:lineRule="auto"/>
        <w:ind w:left="0" w:firstLine="482"/>
        <w:rPr>
          <w:rFonts w:ascii="宋体" w:hAnsi="宋体"/>
          <w:b/>
          <w:color w:val="000000"/>
          <w:sz w:val="24"/>
        </w:rPr>
      </w:pPr>
      <w:bookmarkStart w:id="463" w:name="_Toc240180215"/>
      <w:bookmarkStart w:id="464" w:name="_Toc241905005"/>
      <w:r>
        <w:rPr>
          <w:rFonts w:hint="eastAsia" w:ascii="宋体" w:hAnsi="宋体"/>
          <w:b/>
          <w:color w:val="000000"/>
          <w:sz w:val="24"/>
        </w:rPr>
        <w:t>5、</w:t>
      </w:r>
      <w:r>
        <w:rPr>
          <w:rFonts w:ascii="宋体" w:hAnsi="宋体"/>
          <w:b/>
          <w:color w:val="000000"/>
          <w:sz w:val="24"/>
        </w:rPr>
        <w:t>外环境对项目的影响预测分析</w:t>
      </w:r>
      <w:bookmarkEnd w:id="463"/>
      <w:bookmarkEnd w:id="464"/>
    </w:p>
    <w:p w14:paraId="7C0076E0">
      <w:pPr>
        <w:spacing w:line="360" w:lineRule="auto"/>
        <w:ind w:firstLine="480"/>
        <w:rPr>
          <w:rFonts w:hint="eastAsia"/>
          <w:color w:val="000000"/>
          <w:sz w:val="24"/>
        </w:rPr>
      </w:pPr>
      <w:r>
        <w:rPr>
          <w:color w:val="000000"/>
          <w:sz w:val="24"/>
        </w:rPr>
        <w:t>本项目周边与居住区相邻，声环境状况良好</w:t>
      </w:r>
      <w:r>
        <w:rPr>
          <w:rFonts w:hint="eastAsia"/>
          <w:color w:val="000000"/>
          <w:sz w:val="24"/>
        </w:rPr>
        <w:t>，项目北</w:t>
      </w:r>
      <w:r>
        <w:rPr>
          <w:color w:val="000000"/>
          <w:sz w:val="24"/>
        </w:rPr>
        <w:t>面</w:t>
      </w:r>
      <w:r>
        <w:rPr>
          <w:rFonts w:hint="eastAsia"/>
          <w:color w:val="000000"/>
          <w:sz w:val="24"/>
        </w:rPr>
        <w:t>为机场大道环岛，南面为30m规划道路，东面为剑锋路，</w:t>
      </w:r>
      <w:r>
        <w:rPr>
          <w:color w:val="000000"/>
          <w:sz w:val="24"/>
        </w:rPr>
        <w:t>因此在设计时须考虑交通噪声对项目的影响。</w:t>
      </w:r>
    </w:p>
    <w:p w14:paraId="3CFAD24A">
      <w:pPr>
        <w:spacing w:line="360" w:lineRule="auto"/>
        <w:ind w:firstLine="480"/>
        <w:rPr>
          <w:color w:val="000000"/>
          <w:sz w:val="24"/>
        </w:rPr>
      </w:pPr>
      <w:r>
        <w:rPr>
          <w:rFonts w:hint="eastAsia"/>
          <w:color w:val="000000"/>
          <w:sz w:val="24"/>
        </w:rPr>
        <w:t>道路</w:t>
      </w:r>
      <w:r>
        <w:rPr>
          <w:color w:val="000000"/>
          <w:sz w:val="24"/>
        </w:rPr>
        <w:t>对本项目的影响</w:t>
      </w:r>
    </w:p>
    <w:p w14:paraId="3CEBC0B0">
      <w:pPr>
        <w:spacing w:line="360" w:lineRule="auto"/>
        <w:ind w:firstLine="480"/>
        <w:rPr>
          <w:rFonts w:hint="eastAsia"/>
          <w:color w:val="000000"/>
          <w:sz w:val="24"/>
        </w:rPr>
      </w:pPr>
      <w:r>
        <w:rPr>
          <w:rFonts w:hint="eastAsia"/>
          <w:color w:val="000000"/>
          <w:sz w:val="24"/>
        </w:rPr>
        <w:t>项目在规划设计时已考虑了周边道路交通噪声带来的影响，所以本项目周边的机场大道，30m规划道路和剑锋路距离本项目设有一定的退让距离，且中间有部分安置用地与绿化带相隔，道路产生的交通噪声经过距离衰减、建筑物与绿化带阻隔后，</w:t>
      </w:r>
      <w:r>
        <w:rPr>
          <w:color w:val="000000"/>
          <w:sz w:val="24"/>
        </w:rPr>
        <w:t>噪声值</w:t>
      </w:r>
      <w:r>
        <w:rPr>
          <w:rFonts w:hint="eastAsia"/>
          <w:color w:val="000000"/>
          <w:sz w:val="24"/>
        </w:rPr>
        <w:t>预计</w:t>
      </w:r>
      <w:r>
        <w:rPr>
          <w:color w:val="000000"/>
          <w:sz w:val="24"/>
        </w:rPr>
        <w:t>可满足GB3096-2008《声环境质量标准》</w:t>
      </w:r>
      <w:r>
        <w:rPr>
          <w:rFonts w:hint="eastAsia"/>
          <w:color w:val="000000"/>
          <w:sz w:val="24"/>
        </w:rPr>
        <w:t>2</w:t>
      </w:r>
      <w:r>
        <w:rPr>
          <w:color w:val="000000"/>
          <w:sz w:val="24"/>
        </w:rPr>
        <w:t>类</w:t>
      </w:r>
      <w:r>
        <w:rPr>
          <w:rFonts w:hint="eastAsia"/>
          <w:color w:val="000000"/>
          <w:sz w:val="24"/>
        </w:rPr>
        <w:t>标准</w:t>
      </w:r>
      <w:r>
        <w:rPr>
          <w:color w:val="000000"/>
          <w:sz w:val="24"/>
        </w:rPr>
        <w:t>。</w:t>
      </w:r>
    </w:p>
    <w:p w14:paraId="7EEC8CE2">
      <w:pPr>
        <w:pStyle w:val="183"/>
        <w:rPr>
          <w:rFonts w:hint="eastAsia" w:ascii="仿宋_GB2312" w:eastAsia="仿宋_GB2312"/>
          <w:color w:val="000000"/>
          <w:sz w:val="24"/>
          <w:szCs w:val="24"/>
        </w:rPr>
      </w:pPr>
      <w:bookmarkStart w:id="465" w:name="_Toc425954288"/>
      <w:bookmarkStart w:id="466" w:name="_Toc495500107"/>
      <w:r>
        <w:rPr>
          <w:rFonts w:hint="eastAsia" w:ascii="仿宋_GB2312" w:eastAsia="仿宋_GB2312"/>
          <w:color w:val="000000"/>
          <w:sz w:val="24"/>
          <w:szCs w:val="24"/>
        </w:rPr>
        <w:t>6.2.5固体废物环境影响评价</w:t>
      </w:r>
      <w:bookmarkEnd w:id="465"/>
      <w:bookmarkEnd w:id="466"/>
    </w:p>
    <w:p w14:paraId="394C40E8">
      <w:pPr>
        <w:spacing w:line="360" w:lineRule="auto"/>
        <w:ind w:firstLine="480"/>
        <w:rPr>
          <w:rFonts w:hint="eastAsia"/>
          <w:color w:val="000000"/>
          <w:sz w:val="24"/>
        </w:rPr>
      </w:pPr>
      <w:r>
        <w:rPr>
          <w:rFonts w:hint="eastAsia"/>
          <w:color w:val="000000"/>
          <w:sz w:val="24"/>
        </w:rPr>
        <w:t>项目在建成后，产生的固体废弃物主要为医疗废物、污水处理系统的污泥以及生活垃圾，另外还有部分的含放射性的废弃医用材料（需应另行环评）。</w:t>
      </w:r>
    </w:p>
    <w:p w14:paraId="0EA812A3">
      <w:pPr>
        <w:spacing w:line="360" w:lineRule="auto"/>
        <w:ind w:firstLine="480"/>
        <w:rPr>
          <w:rFonts w:hint="eastAsia"/>
          <w:color w:val="000000"/>
          <w:sz w:val="24"/>
        </w:rPr>
      </w:pPr>
      <w:bookmarkStart w:id="467" w:name="_Toc240180217"/>
      <w:bookmarkStart w:id="468" w:name="_Toc241905007"/>
      <w:r>
        <w:rPr>
          <w:rFonts w:hint="eastAsia"/>
          <w:color w:val="000000"/>
          <w:sz w:val="24"/>
        </w:rPr>
        <w:t>（1）生活垃圾</w:t>
      </w:r>
      <w:bookmarkEnd w:id="467"/>
      <w:bookmarkEnd w:id="468"/>
    </w:p>
    <w:p w14:paraId="34428DA2">
      <w:pPr>
        <w:spacing w:line="360" w:lineRule="auto"/>
        <w:ind w:firstLine="480"/>
        <w:rPr>
          <w:rFonts w:hint="eastAsia" w:ascii="宋体" w:hAnsi="宋体"/>
          <w:color w:val="000000"/>
          <w:sz w:val="24"/>
        </w:rPr>
      </w:pPr>
      <w:r>
        <w:rPr>
          <w:rFonts w:hint="eastAsia" w:ascii="宋体" w:hAnsi="宋体"/>
          <w:color w:val="000000"/>
          <w:sz w:val="24"/>
        </w:rPr>
        <w:t>生活垃圾主要有渣土类（如清扫院落的渣土等）、普通生活垃圾，废纸废塑料及其它废物、包装材料，瓶、罐、盒类等遗弃物等，此类废物属于一般固体废弃物。此类固废如不及时收集清理、外运处理，随地分散堆放将影响医院内的清洁卫生。堆积长久，将发酵腐败，特别是高气温，高湿度季节挥发释放出有毒有害气体和散发出恶臭，并滋生蚊蝇，传播细菌、疾病，危害身体健康，影响大气环境质量。</w:t>
      </w:r>
    </w:p>
    <w:p w14:paraId="680790A9">
      <w:pPr>
        <w:spacing w:line="360" w:lineRule="auto"/>
        <w:ind w:firstLine="480"/>
        <w:rPr>
          <w:rFonts w:hint="eastAsia" w:ascii="宋体" w:hAnsi="宋体"/>
          <w:color w:val="000000"/>
          <w:szCs w:val="28"/>
        </w:rPr>
      </w:pPr>
      <w:r>
        <w:rPr>
          <w:rFonts w:hint="eastAsia" w:ascii="宋体" w:hAnsi="宋体"/>
          <w:color w:val="000000"/>
          <w:sz w:val="24"/>
        </w:rPr>
        <w:t>因此，要求院方在医院内设置固定的收集点，生活垃圾由环卫部门清运处理。并与当地环卫部门协调，及时收集，及时清运，则此类固废对环境的影响不大。</w:t>
      </w:r>
    </w:p>
    <w:p w14:paraId="340741A2">
      <w:pPr>
        <w:spacing w:line="360" w:lineRule="auto"/>
        <w:ind w:firstLine="480"/>
        <w:rPr>
          <w:rFonts w:hint="eastAsia"/>
          <w:color w:val="000000"/>
          <w:sz w:val="24"/>
        </w:rPr>
      </w:pPr>
      <w:r>
        <w:rPr>
          <w:rFonts w:hint="eastAsia"/>
          <w:color w:val="000000"/>
          <w:sz w:val="24"/>
        </w:rPr>
        <w:t>（2）食堂垃圾</w:t>
      </w:r>
    </w:p>
    <w:p w14:paraId="4345A1FC">
      <w:pPr>
        <w:spacing w:line="360" w:lineRule="auto"/>
        <w:ind w:firstLine="480"/>
        <w:rPr>
          <w:rFonts w:hint="eastAsia" w:ascii="宋体" w:hAnsi="宋体"/>
          <w:color w:val="000000"/>
          <w:sz w:val="24"/>
        </w:rPr>
      </w:pPr>
      <w:r>
        <w:rPr>
          <w:rFonts w:hint="eastAsia"/>
          <w:color w:val="000000"/>
          <w:sz w:val="24"/>
        </w:rPr>
        <w:t>食堂的固废主要为厨房、顾客等产生的生活垃圾，产生的生活垃圾</w:t>
      </w:r>
      <w:r>
        <w:rPr>
          <w:rFonts w:hint="eastAsia" w:ascii="宋体" w:hAnsi="宋体"/>
          <w:color w:val="000000"/>
          <w:sz w:val="24"/>
        </w:rPr>
        <w:t>投放至垃圾桶内，由清洁人员清运至医院生活垃圾收集房，再委托环卫部门清运处置。</w:t>
      </w:r>
    </w:p>
    <w:p w14:paraId="2EC0B50D">
      <w:pPr>
        <w:spacing w:line="360" w:lineRule="auto"/>
        <w:ind w:firstLine="480"/>
        <w:rPr>
          <w:rFonts w:hint="eastAsia"/>
          <w:color w:val="000000"/>
          <w:sz w:val="24"/>
        </w:rPr>
      </w:pPr>
      <w:bookmarkStart w:id="469" w:name="_Toc241905008"/>
      <w:bookmarkStart w:id="470" w:name="_Toc240180218"/>
      <w:r>
        <w:rPr>
          <w:rFonts w:hint="eastAsia"/>
          <w:color w:val="000000"/>
          <w:sz w:val="24"/>
        </w:rPr>
        <w:t>（3）医疗废物</w:t>
      </w:r>
      <w:bookmarkEnd w:id="469"/>
      <w:bookmarkEnd w:id="470"/>
    </w:p>
    <w:p w14:paraId="53B136E9">
      <w:pPr>
        <w:pStyle w:val="198"/>
        <w:spacing w:before="0" w:line="360" w:lineRule="auto"/>
        <w:ind w:left="0" w:right="0" w:firstLine="472"/>
        <w:rPr>
          <w:rFonts w:hint="eastAsia" w:ascii="宋体" w:hAnsi="宋体" w:eastAsia="宋体" w:cs="Arial"/>
          <w:color w:val="000000"/>
          <w:sz w:val="24"/>
          <w:szCs w:val="24"/>
        </w:rPr>
      </w:pPr>
      <w:r>
        <w:rPr>
          <w:rFonts w:hint="eastAsia" w:ascii="宋体" w:hAnsi="宋体" w:eastAsia="宋体" w:cs="Arial"/>
          <w:color w:val="000000"/>
          <w:sz w:val="24"/>
          <w:szCs w:val="24"/>
        </w:rPr>
        <w:t>医疗废物主要来源于病房。</w:t>
      </w:r>
      <w:r>
        <w:rPr>
          <w:rFonts w:hint="eastAsia" w:ascii="宋体" w:hAnsi="宋体" w:eastAsia="宋体"/>
          <w:color w:val="000000"/>
          <w:sz w:val="24"/>
          <w:szCs w:val="24"/>
        </w:rPr>
        <w:t>病房垃圾产生量按1kg/床·天计，病房产生医疗垃圾量为230kg/d，年产生医疗垃圾83.95</w:t>
      </w:r>
      <w:r>
        <w:rPr>
          <w:rFonts w:hint="eastAsia" w:ascii="宋体" w:hAnsi="宋体" w:eastAsia="宋体" w:cs="Arial"/>
          <w:color w:val="000000"/>
          <w:sz w:val="24"/>
          <w:szCs w:val="24"/>
        </w:rPr>
        <w:t>t。门诊部产生的医疗垃圾量按医疗废物排放统计变量的排放系数确定，二级医院的门诊部每人每天产生的医疗固废为0.12</w:t>
      </w:r>
      <w:r>
        <w:rPr>
          <w:rFonts w:hint="eastAsia" w:ascii="宋体" w:hAnsi="宋体" w:eastAsia="宋体"/>
          <w:color w:val="000000"/>
          <w:sz w:val="24"/>
          <w:szCs w:val="24"/>
        </w:rPr>
        <w:t xml:space="preserve"> kg，根据设计资料本项目建成投入运营平均每天的门诊人数为493人次，则本项目每年产生的门诊医疗垃圾为21.59</w:t>
      </w:r>
      <w:r>
        <w:rPr>
          <w:rFonts w:hint="eastAsia" w:ascii="宋体" w:hAnsi="宋体" w:eastAsia="宋体" w:cs="Arial"/>
          <w:color w:val="000000"/>
          <w:sz w:val="24"/>
          <w:szCs w:val="24"/>
        </w:rPr>
        <w:t>t，项目每年总产生的医疗固废为105.54t。</w:t>
      </w:r>
      <w:r>
        <w:rPr>
          <w:rFonts w:hint="eastAsia" w:ascii="宋体" w:hAnsi="宋体" w:eastAsia="宋体"/>
          <w:color w:val="000000"/>
          <w:sz w:val="24"/>
          <w:szCs w:val="24"/>
        </w:rPr>
        <w:t>主要包括：</w:t>
      </w:r>
    </w:p>
    <w:p w14:paraId="33232DC3">
      <w:pPr>
        <w:pStyle w:val="300"/>
        <w:spacing w:line="360" w:lineRule="auto"/>
        <w:ind w:firstLine="480"/>
        <w:rPr>
          <w:rFonts w:hint="eastAsia" w:ascii="宋体" w:hAnsi="宋体" w:cs="Arial"/>
          <w:color w:val="000000"/>
          <w:szCs w:val="24"/>
        </w:rPr>
      </w:pPr>
      <w:r>
        <w:rPr>
          <w:rFonts w:hint="eastAsia" w:ascii="宋体" w:hAnsi="宋体" w:cs="Arial"/>
          <w:color w:val="000000"/>
          <w:szCs w:val="24"/>
        </w:rPr>
        <w:t>感染性废物——携带病原微生物，具有引发感染性疾病传播危险的医疗废物；损伤性废物——能够刺伤或者割伤人体的废弃的医用锐器；药物性废物——过期、淘汰、变质或者被污染的废弃的药品；化学性废物——具有毒性、腐蚀性、易燃易爆性的废弃的化学物品；医院废水处理产生处理产生的污泥；过期的药物性和化学性废物。</w:t>
      </w:r>
    </w:p>
    <w:p w14:paraId="0492E4B5">
      <w:pPr>
        <w:spacing w:line="360" w:lineRule="auto"/>
        <w:ind w:firstLine="573"/>
        <w:rPr>
          <w:rFonts w:hint="eastAsia" w:ascii="宋体" w:hAnsi="宋体" w:cs="宋体"/>
          <w:color w:val="000000"/>
          <w:sz w:val="24"/>
        </w:rPr>
      </w:pPr>
      <w:r>
        <w:rPr>
          <w:rFonts w:hint="eastAsia" w:ascii="宋体" w:hAnsi="宋体" w:cs="宋体"/>
          <w:color w:val="000000"/>
          <w:sz w:val="24"/>
        </w:rPr>
        <w:t>医疗废物的危害表现在它所含的病菌是普通生活垃圾的几十倍甚至上千倍，最显而易见的危害性就是它的传染性。医疗废物的物理化学性能数据分别见表6.2-7和表6.2-8。</w:t>
      </w:r>
    </w:p>
    <w:p w14:paraId="7EAF4E34">
      <w:pPr>
        <w:spacing w:line="360" w:lineRule="auto"/>
        <w:jc w:val="center"/>
        <w:rPr>
          <w:rFonts w:hint="eastAsia" w:ascii="宋体" w:hAnsi="宋体" w:cs="宋体"/>
          <w:color w:val="000000"/>
          <w:sz w:val="24"/>
        </w:rPr>
      </w:pPr>
      <w:r>
        <w:rPr>
          <w:rFonts w:hint="eastAsia" w:ascii="宋体" w:hAnsi="宋体"/>
          <w:b/>
          <w:color w:val="000000"/>
          <w:sz w:val="24"/>
        </w:rPr>
        <w:t>表6.2-7  医疗废物物理组成</w:t>
      </w:r>
    </w:p>
    <w:tbl>
      <w:tblPr>
        <w:tblStyle w:val="27"/>
        <w:tblW w:w="0" w:type="auto"/>
        <w:tblInd w:w="-108"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108" w:type="dxa"/>
          <w:bottom w:w="0" w:type="dxa"/>
          <w:right w:w="108" w:type="dxa"/>
        </w:tblCellMar>
      </w:tblPr>
      <w:tblGrid>
        <w:gridCol w:w="2132"/>
        <w:gridCol w:w="1220"/>
        <w:gridCol w:w="3044"/>
        <w:gridCol w:w="2132"/>
      </w:tblGrid>
      <w:tr w14:paraId="7CA57CE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87" w:hRule="atLeast"/>
        </w:trPr>
        <w:tc>
          <w:tcPr>
            <w:tcW w:w="2132" w:type="dxa"/>
            <w:noWrap w:val="0"/>
            <w:vAlign w:val="center"/>
          </w:tcPr>
          <w:p w14:paraId="0E9C0814">
            <w:pPr>
              <w:jc w:val="center"/>
              <w:rPr>
                <w:rFonts w:hint="eastAsia" w:ascii="宋体" w:hAnsi="宋体"/>
                <w:color w:val="000000"/>
                <w:szCs w:val="21"/>
              </w:rPr>
            </w:pPr>
            <w:r>
              <w:rPr>
                <w:rFonts w:hint="eastAsia" w:ascii="宋体" w:hAnsi="宋体"/>
                <w:color w:val="000000"/>
                <w:szCs w:val="21"/>
              </w:rPr>
              <w:t>物理组成</w:t>
            </w:r>
          </w:p>
        </w:tc>
        <w:tc>
          <w:tcPr>
            <w:tcW w:w="1220" w:type="dxa"/>
            <w:noWrap w:val="0"/>
            <w:vAlign w:val="center"/>
          </w:tcPr>
          <w:p w14:paraId="044A0813">
            <w:pPr>
              <w:jc w:val="center"/>
              <w:rPr>
                <w:rFonts w:hint="eastAsia" w:ascii="宋体" w:hAnsi="宋体"/>
                <w:color w:val="000000"/>
                <w:szCs w:val="21"/>
              </w:rPr>
            </w:pPr>
            <w:r>
              <w:rPr>
                <w:rFonts w:hint="eastAsia" w:ascii="宋体" w:hAnsi="宋体"/>
                <w:color w:val="000000"/>
                <w:szCs w:val="21"/>
              </w:rPr>
              <w:t>序号</w:t>
            </w:r>
          </w:p>
        </w:tc>
        <w:tc>
          <w:tcPr>
            <w:tcW w:w="3044" w:type="dxa"/>
            <w:noWrap w:val="0"/>
            <w:vAlign w:val="center"/>
          </w:tcPr>
          <w:p w14:paraId="36E6A534">
            <w:pPr>
              <w:jc w:val="center"/>
              <w:rPr>
                <w:rFonts w:hint="eastAsia" w:ascii="宋体" w:hAnsi="宋体"/>
                <w:color w:val="000000"/>
                <w:szCs w:val="21"/>
              </w:rPr>
            </w:pPr>
            <w:r>
              <w:rPr>
                <w:rFonts w:hint="eastAsia" w:ascii="宋体" w:hAnsi="宋体"/>
                <w:color w:val="000000"/>
                <w:szCs w:val="21"/>
              </w:rPr>
              <w:t>废物种类</w:t>
            </w:r>
          </w:p>
        </w:tc>
        <w:tc>
          <w:tcPr>
            <w:tcW w:w="2132" w:type="dxa"/>
            <w:noWrap w:val="0"/>
            <w:vAlign w:val="center"/>
          </w:tcPr>
          <w:p w14:paraId="47A30EBA">
            <w:pPr>
              <w:jc w:val="center"/>
              <w:rPr>
                <w:rFonts w:hint="eastAsia" w:ascii="宋体" w:hAnsi="宋体"/>
                <w:color w:val="000000"/>
                <w:szCs w:val="21"/>
              </w:rPr>
            </w:pPr>
            <w:r>
              <w:rPr>
                <w:rFonts w:hint="eastAsia" w:ascii="宋体" w:hAnsi="宋体"/>
                <w:color w:val="000000"/>
                <w:szCs w:val="21"/>
              </w:rPr>
              <w:t>比例（％）</w:t>
            </w:r>
          </w:p>
        </w:tc>
      </w:tr>
      <w:tr w14:paraId="4F37704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402" w:hRule="atLeast"/>
        </w:trPr>
        <w:tc>
          <w:tcPr>
            <w:tcW w:w="2132" w:type="dxa"/>
            <w:vMerge w:val="restart"/>
            <w:noWrap w:val="0"/>
            <w:vAlign w:val="center"/>
          </w:tcPr>
          <w:p w14:paraId="07AAA1D8">
            <w:pPr>
              <w:jc w:val="center"/>
              <w:rPr>
                <w:rFonts w:hint="eastAsia" w:ascii="宋体" w:hAnsi="宋体"/>
                <w:color w:val="000000"/>
                <w:szCs w:val="21"/>
              </w:rPr>
            </w:pPr>
            <w:r>
              <w:rPr>
                <w:rFonts w:hint="eastAsia" w:ascii="宋体" w:hAnsi="宋体"/>
                <w:color w:val="000000"/>
                <w:szCs w:val="21"/>
              </w:rPr>
              <w:t>可燃物</w:t>
            </w:r>
          </w:p>
        </w:tc>
        <w:tc>
          <w:tcPr>
            <w:tcW w:w="1220" w:type="dxa"/>
            <w:noWrap w:val="0"/>
            <w:vAlign w:val="center"/>
          </w:tcPr>
          <w:p w14:paraId="5A0F5A0C">
            <w:pPr>
              <w:jc w:val="center"/>
              <w:rPr>
                <w:rFonts w:hint="eastAsia" w:ascii="宋体" w:hAnsi="宋体"/>
                <w:color w:val="000000"/>
                <w:szCs w:val="21"/>
              </w:rPr>
            </w:pPr>
            <w:r>
              <w:rPr>
                <w:rFonts w:hint="eastAsia" w:ascii="宋体" w:hAnsi="宋体"/>
                <w:color w:val="000000"/>
                <w:szCs w:val="21"/>
              </w:rPr>
              <w:t>1</w:t>
            </w:r>
          </w:p>
        </w:tc>
        <w:tc>
          <w:tcPr>
            <w:tcW w:w="3044" w:type="dxa"/>
            <w:noWrap w:val="0"/>
            <w:vAlign w:val="center"/>
          </w:tcPr>
          <w:p w14:paraId="39EE67A8">
            <w:pPr>
              <w:jc w:val="center"/>
              <w:rPr>
                <w:rFonts w:hint="eastAsia" w:ascii="宋体" w:hAnsi="宋体"/>
                <w:color w:val="000000"/>
                <w:szCs w:val="21"/>
              </w:rPr>
            </w:pPr>
            <w:r>
              <w:rPr>
                <w:rFonts w:hint="eastAsia" w:ascii="宋体" w:hAnsi="宋体"/>
                <w:color w:val="000000"/>
                <w:szCs w:val="21"/>
              </w:rPr>
              <w:t>纸类</w:t>
            </w:r>
          </w:p>
        </w:tc>
        <w:tc>
          <w:tcPr>
            <w:tcW w:w="2132" w:type="dxa"/>
            <w:noWrap w:val="0"/>
            <w:vAlign w:val="center"/>
          </w:tcPr>
          <w:p w14:paraId="2B4F8903">
            <w:pPr>
              <w:jc w:val="center"/>
              <w:rPr>
                <w:rFonts w:hint="eastAsia" w:ascii="宋体" w:hAnsi="宋体"/>
                <w:color w:val="000000"/>
                <w:szCs w:val="21"/>
              </w:rPr>
            </w:pPr>
            <w:r>
              <w:rPr>
                <w:rFonts w:hint="eastAsia" w:ascii="宋体" w:hAnsi="宋体"/>
                <w:color w:val="000000"/>
                <w:szCs w:val="21"/>
              </w:rPr>
              <w:t>14.22</w:t>
            </w:r>
          </w:p>
        </w:tc>
      </w:tr>
      <w:tr w14:paraId="7730F96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143" w:hRule="atLeast"/>
        </w:trPr>
        <w:tc>
          <w:tcPr>
            <w:tcW w:w="2132" w:type="dxa"/>
            <w:vMerge w:val="continue"/>
            <w:noWrap w:val="0"/>
            <w:vAlign w:val="center"/>
          </w:tcPr>
          <w:p w14:paraId="56E50259">
            <w:pPr>
              <w:jc w:val="center"/>
              <w:rPr>
                <w:rFonts w:hint="eastAsia" w:ascii="宋体" w:hAnsi="宋体"/>
                <w:color w:val="000000"/>
                <w:szCs w:val="21"/>
              </w:rPr>
            </w:pPr>
          </w:p>
        </w:tc>
        <w:tc>
          <w:tcPr>
            <w:tcW w:w="1220" w:type="dxa"/>
            <w:noWrap w:val="0"/>
            <w:vAlign w:val="center"/>
          </w:tcPr>
          <w:p w14:paraId="2A63F505">
            <w:pPr>
              <w:jc w:val="center"/>
              <w:rPr>
                <w:rFonts w:hint="eastAsia" w:ascii="宋体" w:hAnsi="宋体"/>
                <w:color w:val="000000"/>
                <w:szCs w:val="21"/>
              </w:rPr>
            </w:pPr>
            <w:r>
              <w:rPr>
                <w:rFonts w:hint="eastAsia" w:ascii="宋体" w:hAnsi="宋体"/>
                <w:color w:val="000000"/>
                <w:szCs w:val="21"/>
              </w:rPr>
              <w:t>2</w:t>
            </w:r>
          </w:p>
        </w:tc>
        <w:tc>
          <w:tcPr>
            <w:tcW w:w="3044" w:type="dxa"/>
            <w:noWrap w:val="0"/>
            <w:vAlign w:val="center"/>
          </w:tcPr>
          <w:p w14:paraId="6E3AC5AF">
            <w:pPr>
              <w:jc w:val="center"/>
              <w:rPr>
                <w:rFonts w:hint="eastAsia" w:ascii="宋体" w:hAnsi="宋体"/>
                <w:color w:val="000000"/>
                <w:szCs w:val="21"/>
              </w:rPr>
            </w:pPr>
            <w:r>
              <w:rPr>
                <w:rFonts w:hint="eastAsia" w:ascii="宋体" w:hAnsi="宋体"/>
                <w:color w:val="000000"/>
                <w:szCs w:val="21"/>
              </w:rPr>
              <w:t>纤维布类</w:t>
            </w:r>
          </w:p>
        </w:tc>
        <w:tc>
          <w:tcPr>
            <w:tcW w:w="2132" w:type="dxa"/>
            <w:noWrap w:val="0"/>
            <w:vAlign w:val="center"/>
          </w:tcPr>
          <w:p w14:paraId="62E5B2CA">
            <w:pPr>
              <w:jc w:val="center"/>
              <w:rPr>
                <w:rFonts w:hint="eastAsia" w:ascii="宋体" w:hAnsi="宋体"/>
                <w:color w:val="000000"/>
                <w:szCs w:val="21"/>
              </w:rPr>
            </w:pPr>
            <w:r>
              <w:rPr>
                <w:rFonts w:hint="eastAsia" w:ascii="宋体" w:hAnsi="宋体"/>
                <w:color w:val="000000"/>
                <w:szCs w:val="21"/>
              </w:rPr>
              <w:t>14.18</w:t>
            </w:r>
          </w:p>
        </w:tc>
      </w:tr>
      <w:tr w14:paraId="7703185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143" w:hRule="atLeast"/>
        </w:trPr>
        <w:tc>
          <w:tcPr>
            <w:tcW w:w="2132" w:type="dxa"/>
            <w:vMerge w:val="continue"/>
            <w:noWrap w:val="0"/>
            <w:vAlign w:val="center"/>
          </w:tcPr>
          <w:p w14:paraId="413B8CAF">
            <w:pPr>
              <w:jc w:val="center"/>
              <w:rPr>
                <w:rFonts w:hint="eastAsia" w:ascii="宋体" w:hAnsi="宋体"/>
                <w:color w:val="000000"/>
                <w:szCs w:val="21"/>
              </w:rPr>
            </w:pPr>
          </w:p>
        </w:tc>
        <w:tc>
          <w:tcPr>
            <w:tcW w:w="1220" w:type="dxa"/>
            <w:noWrap w:val="0"/>
            <w:vAlign w:val="center"/>
          </w:tcPr>
          <w:p w14:paraId="003F94FD">
            <w:pPr>
              <w:jc w:val="center"/>
              <w:rPr>
                <w:rFonts w:hint="eastAsia" w:ascii="宋体" w:hAnsi="宋体"/>
                <w:color w:val="000000"/>
                <w:szCs w:val="21"/>
              </w:rPr>
            </w:pPr>
            <w:r>
              <w:rPr>
                <w:rFonts w:hint="eastAsia" w:ascii="宋体" w:hAnsi="宋体"/>
                <w:color w:val="000000"/>
                <w:szCs w:val="21"/>
              </w:rPr>
              <w:t>3</w:t>
            </w:r>
          </w:p>
        </w:tc>
        <w:tc>
          <w:tcPr>
            <w:tcW w:w="3044" w:type="dxa"/>
            <w:noWrap w:val="0"/>
            <w:vAlign w:val="center"/>
          </w:tcPr>
          <w:p w14:paraId="6B1C59FC">
            <w:pPr>
              <w:jc w:val="center"/>
              <w:rPr>
                <w:rFonts w:hint="eastAsia" w:ascii="宋体" w:hAnsi="宋体"/>
                <w:color w:val="000000"/>
                <w:szCs w:val="21"/>
              </w:rPr>
            </w:pPr>
            <w:r>
              <w:rPr>
                <w:rFonts w:hint="eastAsia" w:ascii="宋体" w:hAnsi="宋体"/>
                <w:color w:val="000000"/>
                <w:szCs w:val="21"/>
              </w:rPr>
              <w:t>木竹、稻草、落叶类</w:t>
            </w:r>
          </w:p>
        </w:tc>
        <w:tc>
          <w:tcPr>
            <w:tcW w:w="2132" w:type="dxa"/>
            <w:noWrap w:val="0"/>
            <w:vAlign w:val="center"/>
          </w:tcPr>
          <w:p w14:paraId="109C1818">
            <w:pPr>
              <w:jc w:val="center"/>
              <w:rPr>
                <w:rFonts w:hint="eastAsia" w:ascii="宋体" w:hAnsi="宋体"/>
                <w:color w:val="000000"/>
                <w:szCs w:val="21"/>
              </w:rPr>
            </w:pPr>
            <w:r>
              <w:rPr>
                <w:rFonts w:hint="eastAsia" w:ascii="宋体" w:hAnsi="宋体"/>
                <w:color w:val="000000"/>
                <w:szCs w:val="21"/>
              </w:rPr>
              <w:t>1.03</w:t>
            </w:r>
          </w:p>
        </w:tc>
      </w:tr>
      <w:tr w14:paraId="28857FF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143" w:hRule="atLeast"/>
        </w:trPr>
        <w:tc>
          <w:tcPr>
            <w:tcW w:w="2132" w:type="dxa"/>
            <w:vMerge w:val="continue"/>
            <w:noWrap w:val="0"/>
            <w:vAlign w:val="center"/>
          </w:tcPr>
          <w:p w14:paraId="3550F788">
            <w:pPr>
              <w:jc w:val="center"/>
              <w:rPr>
                <w:rFonts w:hint="eastAsia" w:ascii="宋体" w:hAnsi="宋体"/>
                <w:color w:val="000000"/>
                <w:szCs w:val="21"/>
              </w:rPr>
            </w:pPr>
          </w:p>
        </w:tc>
        <w:tc>
          <w:tcPr>
            <w:tcW w:w="1220" w:type="dxa"/>
            <w:noWrap w:val="0"/>
            <w:vAlign w:val="center"/>
          </w:tcPr>
          <w:p w14:paraId="4E85AE80">
            <w:pPr>
              <w:jc w:val="center"/>
              <w:rPr>
                <w:rFonts w:hint="eastAsia" w:ascii="宋体" w:hAnsi="宋体"/>
                <w:color w:val="000000"/>
                <w:szCs w:val="21"/>
              </w:rPr>
            </w:pPr>
            <w:r>
              <w:rPr>
                <w:rFonts w:hint="eastAsia" w:ascii="宋体" w:hAnsi="宋体"/>
                <w:color w:val="000000"/>
                <w:szCs w:val="21"/>
              </w:rPr>
              <w:t>4</w:t>
            </w:r>
          </w:p>
        </w:tc>
        <w:tc>
          <w:tcPr>
            <w:tcW w:w="3044" w:type="dxa"/>
            <w:noWrap w:val="0"/>
            <w:vAlign w:val="center"/>
          </w:tcPr>
          <w:p w14:paraId="6D7BC34C">
            <w:pPr>
              <w:jc w:val="center"/>
              <w:rPr>
                <w:rFonts w:hint="eastAsia" w:ascii="宋体" w:hAnsi="宋体"/>
                <w:color w:val="000000"/>
                <w:szCs w:val="21"/>
              </w:rPr>
            </w:pPr>
            <w:r>
              <w:rPr>
                <w:rFonts w:hint="eastAsia" w:ascii="宋体" w:hAnsi="宋体"/>
                <w:color w:val="000000"/>
                <w:szCs w:val="21"/>
              </w:rPr>
              <w:t>厨余类</w:t>
            </w:r>
          </w:p>
        </w:tc>
        <w:tc>
          <w:tcPr>
            <w:tcW w:w="2132" w:type="dxa"/>
            <w:noWrap w:val="0"/>
            <w:vAlign w:val="center"/>
          </w:tcPr>
          <w:p w14:paraId="67D8F1B1">
            <w:pPr>
              <w:jc w:val="center"/>
              <w:rPr>
                <w:rFonts w:hint="eastAsia" w:ascii="宋体" w:hAnsi="宋体"/>
                <w:color w:val="000000"/>
                <w:szCs w:val="21"/>
              </w:rPr>
            </w:pPr>
            <w:r>
              <w:rPr>
                <w:rFonts w:hint="eastAsia" w:ascii="宋体" w:hAnsi="宋体"/>
                <w:color w:val="000000"/>
                <w:szCs w:val="21"/>
              </w:rPr>
              <w:t>14.61</w:t>
            </w:r>
          </w:p>
        </w:tc>
      </w:tr>
      <w:tr w14:paraId="4FD8615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143" w:hRule="atLeast"/>
        </w:trPr>
        <w:tc>
          <w:tcPr>
            <w:tcW w:w="2132" w:type="dxa"/>
            <w:vMerge w:val="continue"/>
            <w:noWrap w:val="0"/>
            <w:vAlign w:val="center"/>
          </w:tcPr>
          <w:p w14:paraId="65C1B85E">
            <w:pPr>
              <w:jc w:val="center"/>
              <w:rPr>
                <w:rFonts w:hint="eastAsia" w:ascii="宋体" w:hAnsi="宋体"/>
                <w:color w:val="000000"/>
                <w:szCs w:val="21"/>
              </w:rPr>
            </w:pPr>
          </w:p>
        </w:tc>
        <w:tc>
          <w:tcPr>
            <w:tcW w:w="1220" w:type="dxa"/>
            <w:noWrap w:val="0"/>
            <w:vAlign w:val="center"/>
          </w:tcPr>
          <w:p w14:paraId="699D3E79">
            <w:pPr>
              <w:jc w:val="center"/>
              <w:rPr>
                <w:rFonts w:hint="eastAsia" w:ascii="宋体" w:hAnsi="宋体"/>
                <w:color w:val="000000"/>
                <w:szCs w:val="21"/>
              </w:rPr>
            </w:pPr>
            <w:r>
              <w:rPr>
                <w:rFonts w:hint="eastAsia" w:ascii="宋体" w:hAnsi="宋体"/>
                <w:color w:val="000000"/>
                <w:szCs w:val="21"/>
              </w:rPr>
              <w:t>5</w:t>
            </w:r>
          </w:p>
        </w:tc>
        <w:tc>
          <w:tcPr>
            <w:tcW w:w="3044" w:type="dxa"/>
            <w:noWrap w:val="0"/>
            <w:vAlign w:val="center"/>
          </w:tcPr>
          <w:p w14:paraId="51421DBB">
            <w:pPr>
              <w:jc w:val="center"/>
              <w:rPr>
                <w:rFonts w:hint="eastAsia" w:ascii="宋体" w:hAnsi="宋体"/>
                <w:color w:val="000000"/>
                <w:szCs w:val="21"/>
              </w:rPr>
            </w:pPr>
            <w:r>
              <w:rPr>
                <w:rFonts w:hint="eastAsia" w:ascii="宋体" w:hAnsi="宋体"/>
                <w:color w:val="000000"/>
                <w:szCs w:val="21"/>
              </w:rPr>
              <w:t>塑料类</w:t>
            </w:r>
          </w:p>
        </w:tc>
        <w:tc>
          <w:tcPr>
            <w:tcW w:w="2132" w:type="dxa"/>
            <w:noWrap w:val="0"/>
            <w:vAlign w:val="center"/>
          </w:tcPr>
          <w:p w14:paraId="67822D60">
            <w:pPr>
              <w:jc w:val="center"/>
              <w:rPr>
                <w:rFonts w:hint="eastAsia" w:ascii="宋体" w:hAnsi="宋体"/>
                <w:color w:val="000000"/>
                <w:szCs w:val="21"/>
              </w:rPr>
            </w:pPr>
            <w:r>
              <w:rPr>
                <w:rFonts w:hint="eastAsia" w:ascii="宋体" w:hAnsi="宋体"/>
                <w:color w:val="000000"/>
                <w:szCs w:val="21"/>
              </w:rPr>
              <w:t>20.78</w:t>
            </w:r>
          </w:p>
        </w:tc>
      </w:tr>
      <w:tr w14:paraId="2C7A89A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143" w:hRule="atLeast"/>
        </w:trPr>
        <w:tc>
          <w:tcPr>
            <w:tcW w:w="2132" w:type="dxa"/>
            <w:vMerge w:val="continue"/>
            <w:noWrap w:val="0"/>
            <w:vAlign w:val="center"/>
          </w:tcPr>
          <w:p w14:paraId="579BE877">
            <w:pPr>
              <w:jc w:val="center"/>
              <w:rPr>
                <w:rFonts w:hint="eastAsia" w:ascii="宋体" w:hAnsi="宋体"/>
                <w:color w:val="000000"/>
                <w:szCs w:val="21"/>
              </w:rPr>
            </w:pPr>
          </w:p>
        </w:tc>
        <w:tc>
          <w:tcPr>
            <w:tcW w:w="1220" w:type="dxa"/>
            <w:noWrap w:val="0"/>
            <w:vAlign w:val="center"/>
          </w:tcPr>
          <w:p w14:paraId="0B7AA8A9">
            <w:pPr>
              <w:jc w:val="center"/>
              <w:rPr>
                <w:rFonts w:hint="eastAsia" w:ascii="宋体" w:hAnsi="宋体"/>
                <w:color w:val="000000"/>
                <w:szCs w:val="21"/>
              </w:rPr>
            </w:pPr>
            <w:r>
              <w:rPr>
                <w:rFonts w:hint="eastAsia" w:ascii="宋体" w:hAnsi="宋体"/>
                <w:color w:val="000000"/>
                <w:szCs w:val="21"/>
              </w:rPr>
              <w:t>6</w:t>
            </w:r>
          </w:p>
        </w:tc>
        <w:tc>
          <w:tcPr>
            <w:tcW w:w="3044" w:type="dxa"/>
            <w:noWrap w:val="0"/>
            <w:vAlign w:val="center"/>
          </w:tcPr>
          <w:p w14:paraId="50E23829">
            <w:pPr>
              <w:jc w:val="center"/>
              <w:rPr>
                <w:rFonts w:hint="eastAsia" w:ascii="宋体" w:hAnsi="宋体"/>
                <w:color w:val="000000"/>
                <w:szCs w:val="21"/>
              </w:rPr>
            </w:pPr>
            <w:r>
              <w:rPr>
                <w:rFonts w:hint="eastAsia" w:ascii="宋体" w:hAnsi="宋体"/>
                <w:color w:val="000000"/>
                <w:szCs w:val="21"/>
              </w:rPr>
              <w:t>皮革、橡胶类</w:t>
            </w:r>
          </w:p>
        </w:tc>
        <w:tc>
          <w:tcPr>
            <w:tcW w:w="2132" w:type="dxa"/>
            <w:noWrap w:val="0"/>
            <w:vAlign w:val="center"/>
          </w:tcPr>
          <w:p w14:paraId="173C45CB">
            <w:pPr>
              <w:jc w:val="center"/>
              <w:rPr>
                <w:rFonts w:hint="eastAsia" w:ascii="宋体" w:hAnsi="宋体"/>
                <w:color w:val="000000"/>
                <w:szCs w:val="21"/>
              </w:rPr>
            </w:pPr>
            <w:r>
              <w:rPr>
                <w:rFonts w:hint="eastAsia" w:ascii="宋体" w:hAnsi="宋体"/>
                <w:color w:val="000000"/>
                <w:szCs w:val="21"/>
              </w:rPr>
              <w:t>18.00</w:t>
            </w:r>
          </w:p>
        </w:tc>
      </w:tr>
      <w:tr w14:paraId="39F4F5B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143" w:hRule="atLeast"/>
        </w:trPr>
        <w:tc>
          <w:tcPr>
            <w:tcW w:w="2132" w:type="dxa"/>
            <w:vMerge w:val="continue"/>
            <w:noWrap w:val="0"/>
            <w:vAlign w:val="center"/>
          </w:tcPr>
          <w:p w14:paraId="616AE0BB">
            <w:pPr>
              <w:jc w:val="center"/>
              <w:rPr>
                <w:rFonts w:hint="eastAsia" w:ascii="宋体" w:hAnsi="宋体"/>
                <w:color w:val="000000"/>
                <w:szCs w:val="21"/>
              </w:rPr>
            </w:pPr>
          </w:p>
        </w:tc>
        <w:tc>
          <w:tcPr>
            <w:tcW w:w="1220" w:type="dxa"/>
            <w:noWrap w:val="0"/>
            <w:vAlign w:val="center"/>
          </w:tcPr>
          <w:p w14:paraId="473D7A6A">
            <w:pPr>
              <w:jc w:val="center"/>
              <w:rPr>
                <w:rFonts w:hint="eastAsia" w:ascii="宋体" w:hAnsi="宋体"/>
                <w:color w:val="000000"/>
                <w:szCs w:val="21"/>
              </w:rPr>
            </w:pPr>
            <w:r>
              <w:rPr>
                <w:rFonts w:hint="eastAsia" w:ascii="宋体" w:hAnsi="宋体"/>
                <w:color w:val="000000"/>
                <w:szCs w:val="21"/>
              </w:rPr>
              <w:t>7</w:t>
            </w:r>
          </w:p>
        </w:tc>
        <w:tc>
          <w:tcPr>
            <w:tcW w:w="3044" w:type="dxa"/>
            <w:noWrap w:val="0"/>
            <w:vAlign w:val="center"/>
          </w:tcPr>
          <w:p w14:paraId="232F7B55">
            <w:pPr>
              <w:jc w:val="center"/>
              <w:rPr>
                <w:rFonts w:hint="eastAsia" w:ascii="宋体" w:hAnsi="宋体"/>
                <w:color w:val="000000"/>
                <w:szCs w:val="21"/>
              </w:rPr>
            </w:pPr>
            <w:r>
              <w:rPr>
                <w:rFonts w:hint="eastAsia" w:ascii="宋体" w:hAnsi="宋体"/>
                <w:color w:val="000000"/>
                <w:szCs w:val="21"/>
              </w:rPr>
              <w:t>其它</w:t>
            </w:r>
          </w:p>
        </w:tc>
        <w:tc>
          <w:tcPr>
            <w:tcW w:w="2132" w:type="dxa"/>
            <w:noWrap w:val="0"/>
            <w:vAlign w:val="center"/>
          </w:tcPr>
          <w:p w14:paraId="44726A8B">
            <w:pPr>
              <w:jc w:val="center"/>
              <w:rPr>
                <w:rFonts w:hint="eastAsia" w:ascii="宋体" w:hAnsi="宋体"/>
                <w:color w:val="000000"/>
                <w:szCs w:val="21"/>
              </w:rPr>
            </w:pPr>
            <w:r>
              <w:rPr>
                <w:rFonts w:hint="eastAsia" w:ascii="宋体" w:hAnsi="宋体"/>
                <w:color w:val="000000"/>
                <w:szCs w:val="21"/>
              </w:rPr>
              <w:t>0.94</w:t>
            </w:r>
          </w:p>
        </w:tc>
      </w:tr>
      <w:tr w14:paraId="19F9BF9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143" w:hRule="atLeast"/>
        </w:trPr>
        <w:tc>
          <w:tcPr>
            <w:tcW w:w="2132" w:type="dxa"/>
            <w:vMerge w:val="continue"/>
            <w:noWrap w:val="0"/>
            <w:vAlign w:val="center"/>
          </w:tcPr>
          <w:p w14:paraId="230B7CB1">
            <w:pPr>
              <w:jc w:val="center"/>
              <w:rPr>
                <w:rFonts w:hint="eastAsia" w:ascii="宋体" w:hAnsi="宋体"/>
                <w:color w:val="000000"/>
                <w:szCs w:val="21"/>
              </w:rPr>
            </w:pPr>
          </w:p>
        </w:tc>
        <w:tc>
          <w:tcPr>
            <w:tcW w:w="1220" w:type="dxa"/>
            <w:noWrap w:val="0"/>
            <w:vAlign w:val="center"/>
          </w:tcPr>
          <w:p w14:paraId="6D6C1809">
            <w:pPr>
              <w:jc w:val="center"/>
              <w:rPr>
                <w:rFonts w:hint="eastAsia" w:ascii="宋体" w:hAnsi="宋体"/>
                <w:color w:val="000000"/>
                <w:szCs w:val="21"/>
              </w:rPr>
            </w:pPr>
          </w:p>
        </w:tc>
        <w:tc>
          <w:tcPr>
            <w:tcW w:w="3044" w:type="dxa"/>
            <w:noWrap w:val="0"/>
            <w:vAlign w:val="center"/>
          </w:tcPr>
          <w:p w14:paraId="15A9DF55">
            <w:pPr>
              <w:jc w:val="center"/>
              <w:rPr>
                <w:rFonts w:hint="eastAsia" w:ascii="宋体" w:hAnsi="宋体"/>
                <w:color w:val="000000"/>
                <w:szCs w:val="21"/>
              </w:rPr>
            </w:pPr>
            <w:r>
              <w:rPr>
                <w:rFonts w:hint="eastAsia" w:ascii="宋体" w:hAnsi="宋体"/>
                <w:color w:val="000000"/>
                <w:szCs w:val="21"/>
              </w:rPr>
              <w:t>合计</w:t>
            </w:r>
          </w:p>
        </w:tc>
        <w:tc>
          <w:tcPr>
            <w:tcW w:w="2132" w:type="dxa"/>
            <w:noWrap w:val="0"/>
            <w:vAlign w:val="center"/>
          </w:tcPr>
          <w:p w14:paraId="5CF34842">
            <w:pPr>
              <w:jc w:val="center"/>
              <w:rPr>
                <w:rFonts w:hint="eastAsia" w:ascii="宋体" w:hAnsi="宋体"/>
                <w:color w:val="000000"/>
                <w:szCs w:val="21"/>
              </w:rPr>
            </w:pPr>
            <w:r>
              <w:rPr>
                <w:rFonts w:hint="eastAsia" w:ascii="宋体" w:hAnsi="宋体"/>
                <w:color w:val="000000"/>
                <w:szCs w:val="21"/>
              </w:rPr>
              <w:t>83.76</w:t>
            </w:r>
          </w:p>
        </w:tc>
      </w:tr>
      <w:tr w14:paraId="744FF8C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387" w:hRule="atLeast"/>
        </w:trPr>
        <w:tc>
          <w:tcPr>
            <w:tcW w:w="2132" w:type="dxa"/>
            <w:vMerge w:val="restart"/>
            <w:noWrap w:val="0"/>
            <w:vAlign w:val="center"/>
          </w:tcPr>
          <w:p w14:paraId="37BC531F">
            <w:pPr>
              <w:jc w:val="center"/>
              <w:rPr>
                <w:rFonts w:hint="eastAsia" w:ascii="宋体" w:hAnsi="宋体"/>
                <w:color w:val="000000"/>
                <w:szCs w:val="21"/>
              </w:rPr>
            </w:pPr>
            <w:r>
              <w:rPr>
                <w:rFonts w:hint="eastAsia" w:ascii="宋体" w:hAnsi="宋体"/>
                <w:color w:val="000000"/>
                <w:szCs w:val="21"/>
              </w:rPr>
              <w:t>不可燃物</w:t>
            </w:r>
          </w:p>
        </w:tc>
        <w:tc>
          <w:tcPr>
            <w:tcW w:w="1220" w:type="dxa"/>
            <w:noWrap w:val="0"/>
            <w:vAlign w:val="center"/>
          </w:tcPr>
          <w:p w14:paraId="5FD1EF23">
            <w:pPr>
              <w:jc w:val="center"/>
              <w:rPr>
                <w:rFonts w:hint="eastAsia" w:ascii="宋体" w:hAnsi="宋体"/>
                <w:color w:val="000000"/>
                <w:szCs w:val="21"/>
              </w:rPr>
            </w:pPr>
            <w:r>
              <w:rPr>
                <w:rFonts w:hint="eastAsia" w:ascii="宋体" w:hAnsi="宋体"/>
                <w:color w:val="000000"/>
                <w:szCs w:val="21"/>
              </w:rPr>
              <w:t>1</w:t>
            </w:r>
          </w:p>
        </w:tc>
        <w:tc>
          <w:tcPr>
            <w:tcW w:w="3044" w:type="dxa"/>
            <w:noWrap w:val="0"/>
            <w:vAlign w:val="center"/>
          </w:tcPr>
          <w:p w14:paraId="6FD8293F">
            <w:pPr>
              <w:jc w:val="center"/>
              <w:rPr>
                <w:rFonts w:hint="eastAsia" w:ascii="宋体" w:hAnsi="宋体"/>
                <w:color w:val="000000"/>
                <w:szCs w:val="21"/>
              </w:rPr>
            </w:pPr>
            <w:r>
              <w:rPr>
                <w:rFonts w:hint="eastAsia" w:ascii="宋体" w:hAnsi="宋体"/>
                <w:color w:val="000000"/>
                <w:szCs w:val="21"/>
              </w:rPr>
              <w:t>金属类</w:t>
            </w:r>
          </w:p>
        </w:tc>
        <w:tc>
          <w:tcPr>
            <w:tcW w:w="2132" w:type="dxa"/>
            <w:noWrap w:val="0"/>
            <w:vAlign w:val="center"/>
          </w:tcPr>
          <w:p w14:paraId="2F78354B">
            <w:pPr>
              <w:jc w:val="center"/>
              <w:rPr>
                <w:rFonts w:hint="eastAsia" w:ascii="宋体" w:hAnsi="宋体"/>
                <w:color w:val="000000"/>
                <w:szCs w:val="21"/>
              </w:rPr>
            </w:pPr>
            <w:r>
              <w:rPr>
                <w:rFonts w:hint="eastAsia" w:ascii="宋体" w:hAnsi="宋体"/>
                <w:color w:val="000000"/>
                <w:szCs w:val="21"/>
              </w:rPr>
              <w:t>1.36</w:t>
            </w:r>
          </w:p>
        </w:tc>
      </w:tr>
      <w:tr w14:paraId="04E24EF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143" w:hRule="atLeast"/>
        </w:trPr>
        <w:tc>
          <w:tcPr>
            <w:tcW w:w="2132" w:type="dxa"/>
            <w:vMerge w:val="continue"/>
            <w:noWrap w:val="0"/>
            <w:vAlign w:val="center"/>
          </w:tcPr>
          <w:p w14:paraId="75D9FE40">
            <w:pPr>
              <w:jc w:val="center"/>
              <w:rPr>
                <w:rFonts w:hint="eastAsia" w:ascii="宋体" w:hAnsi="宋体"/>
                <w:color w:val="000000"/>
                <w:szCs w:val="21"/>
              </w:rPr>
            </w:pPr>
          </w:p>
        </w:tc>
        <w:tc>
          <w:tcPr>
            <w:tcW w:w="1220" w:type="dxa"/>
            <w:noWrap w:val="0"/>
            <w:vAlign w:val="center"/>
          </w:tcPr>
          <w:p w14:paraId="6B2B5176">
            <w:pPr>
              <w:jc w:val="center"/>
              <w:rPr>
                <w:rFonts w:hint="eastAsia" w:ascii="宋体" w:hAnsi="宋体"/>
                <w:color w:val="000000"/>
                <w:szCs w:val="21"/>
              </w:rPr>
            </w:pPr>
            <w:r>
              <w:rPr>
                <w:rFonts w:hint="eastAsia" w:ascii="宋体" w:hAnsi="宋体"/>
                <w:color w:val="000000"/>
                <w:szCs w:val="21"/>
              </w:rPr>
              <w:t>2</w:t>
            </w:r>
          </w:p>
        </w:tc>
        <w:tc>
          <w:tcPr>
            <w:tcW w:w="3044" w:type="dxa"/>
            <w:noWrap w:val="0"/>
            <w:vAlign w:val="center"/>
          </w:tcPr>
          <w:p w14:paraId="38C0861E">
            <w:pPr>
              <w:jc w:val="center"/>
              <w:rPr>
                <w:rFonts w:hint="eastAsia" w:ascii="宋体" w:hAnsi="宋体"/>
                <w:color w:val="000000"/>
                <w:szCs w:val="21"/>
              </w:rPr>
            </w:pPr>
            <w:r>
              <w:rPr>
                <w:rFonts w:hint="eastAsia" w:ascii="宋体" w:hAnsi="宋体"/>
                <w:color w:val="000000"/>
                <w:szCs w:val="21"/>
              </w:rPr>
              <w:t>玻璃类</w:t>
            </w:r>
          </w:p>
        </w:tc>
        <w:tc>
          <w:tcPr>
            <w:tcW w:w="2132" w:type="dxa"/>
            <w:noWrap w:val="0"/>
            <w:vAlign w:val="center"/>
          </w:tcPr>
          <w:p w14:paraId="40AA74DE">
            <w:pPr>
              <w:jc w:val="center"/>
              <w:rPr>
                <w:rFonts w:hint="eastAsia" w:ascii="宋体" w:hAnsi="宋体"/>
                <w:color w:val="000000"/>
                <w:szCs w:val="21"/>
              </w:rPr>
            </w:pPr>
            <w:r>
              <w:rPr>
                <w:rFonts w:hint="eastAsia" w:ascii="宋体" w:hAnsi="宋体"/>
                <w:color w:val="000000"/>
                <w:szCs w:val="21"/>
              </w:rPr>
              <w:t>14.88</w:t>
            </w:r>
          </w:p>
        </w:tc>
      </w:tr>
      <w:tr w14:paraId="2378A2C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143" w:hRule="atLeast"/>
        </w:trPr>
        <w:tc>
          <w:tcPr>
            <w:tcW w:w="2132" w:type="dxa"/>
            <w:vMerge w:val="continue"/>
            <w:noWrap w:val="0"/>
            <w:vAlign w:val="center"/>
          </w:tcPr>
          <w:p w14:paraId="222F0D67">
            <w:pPr>
              <w:jc w:val="center"/>
              <w:rPr>
                <w:rFonts w:hint="eastAsia" w:ascii="宋体" w:hAnsi="宋体"/>
                <w:color w:val="000000"/>
                <w:szCs w:val="21"/>
              </w:rPr>
            </w:pPr>
          </w:p>
        </w:tc>
        <w:tc>
          <w:tcPr>
            <w:tcW w:w="1220" w:type="dxa"/>
            <w:noWrap w:val="0"/>
            <w:vAlign w:val="center"/>
          </w:tcPr>
          <w:p w14:paraId="0D1C5955">
            <w:pPr>
              <w:jc w:val="center"/>
              <w:rPr>
                <w:rFonts w:hint="eastAsia" w:ascii="宋体" w:hAnsi="宋体"/>
                <w:color w:val="000000"/>
                <w:szCs w:val="21"/>
              </w:rPr>
            </w:pPr>
          </w:p>
        </w:tc>
        <w:tc>
          <w:tcPr>
            <w:tcW w:w="3044" w:type="dxa"/>
            <w:noWrap w:val="0"/>
            <w:vAlign w:val="center"/>
          </w:tcPr>
          <w:p w14:paraId="4252762C">
            <w:pPr>
              <w:jc w:val="center"/>
              <w:rPr>
                <w:rFonts w:hint="eastAsia" w:ascii="宋体" w:hAnsi="宋体"/>
                <w:color w:val="000000"/>
                <w:szCs w:val="21"/>
              </w:rPr>
            </w:pPr>
            <w:r>
              <w:rPr>
                <w:rFonts w:hint="eastAsia" w:ascii="宋体" w:hAnsi="宋体"/>
                <w:color w:val="000000"/>
                <w:szCs w:val="21"/>
              </w:rPr>
              <w:t>合计</w:t>
            </w:r>
          </w:p>
        </w:tc>
        <w:tc>
          <w:tcPr>
            <w:tcW w:w="2132" w:type="dxa"/>
            <w:noWrap w:val="0"/>
            <w:vAlign w:val="center"/>
          </w:tcPr>
          <w:p w14:paraId="6B654462">
            <w:pPr>
              <w:jc w:val="center"/>
              <w:rPr>
                <w:rFonts w:hint="eastAsia" w:ascii="宋体" w:hAnsi="宋体"/>
                <w:color w:val="000000"/>
                <w:szCs w:val="21"/>
              </w:rPr>
            </w:pPr>
            <w:r>
              <w:rPr>
                <w:rFonts w:hint="eastAsia" w:ascii="宋体" w:hAnsi="宋体"/>
                <w:color w:val="000000"/>
                <w:szCs w:val="21"/>
              </w:rPr>
              <w:t>16.24</w:t>
            </w:r>
          </w:p>
        </w:tc>
      </w:tr>
    </w:tbl>
    <w:p w14:paraId="78698A4E">
      <w:pPr>
        <w:spacing w:before="240" w:line="360" w:lineRule="auto"/>
        <w:jc w:val="center"/>
        <w:rPr>
          <w:rFonts w:hint="eastAsia" w:ascii="宋体" w:hAnsi="宋体"/>
          <w:b/>
          <w:color w:val="000000"/>
          <w:sz w:val="24"/>
        </w:rPr>
      </w:pPr>
      <w:r>
        <w:rPr>
          <w:rFonts w:hint="eastAsia" w:ascii="宋体" w:hAnsi="宋体"/>
          <w:b/>
          <w:color w:val="000000"/>
          <w:sz w:val="24"/>
        </w:rPr>
        <w:t>表6.2-8    医疗废物化学组成（湿）</w:t>
      </w:r>
    </w:p>
    <w:tbl>
      <w:tblPr>
        <w:tblStyle w:val="27"/>
        <w:tblW w:w="0" w:type="auto"/>
        <w:tblInd w:w="-108"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108" w:type="dxa"/>
          <w:bottom w:w="0" w:type="dxa"/>
          <w:right w:w="108" w:type="dxa"/>
        </w:tblCellMar>
      </w:tblPr>
      <w:tblGrid>
        <w:gridCol w:w="2132"/>
        <w:gridCol w:w="1039"/>
        <w:gridCol w:w="2161"/>
        <w:gridCol w:w="3196"/>
      </w:tblGrid>
      <w:tr w14:paraId="70939ED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89" w:hRule="atLeast"/>
        </w:trPr>
        <w:tc>
          <w:tcPr>
            <w:tcW w:w="2132" w:type="dxa"/>
            <w:noWrap w:val="0"/>
            <w:vAlign w:val="center"/>
          </w:tcPr>
          <w:p w14:paraId="5C4FBFA6">
            <w:pPr>
              <w:jc w:val="center"/>
              <w:rPr>
                <w:rFonts w:hint="eastAsia" w:ascii="宋体" w:hAnsi="宋体"/>
                <w:color w:val="000000"/>
                <w:szCs w:val="21"/>
              </w:rPr>
            </w:pPr>
            <w:r>
              <w:rPr>
                <w:rFonts w:hint="eastAsia" w:ascii="宋体" w:hAnsi="宋体"/>
                <w:color w:val="000000"/>
                <w:szCs w:val="21"/>
              </w:rPr>
              <w:t>化学组成</w:t>
            </w:r>
          </w:p>
        </w:tc>
        <w:tc>
          <w:tcPr>
            <w:tcW w:w="1039" w:type="dxa"/>
            <w:noWrap w:val="0"/>
            <w:vAlign w:val="center"/>
          </w:tcPr>
          <w:p w14:paraId="7ACC2C96">
            <w:pPr>
              <w:jc w:val="center"/>
              <w:rPr>
                <w:rFonts w:hint="eastAsia" w:ascii="宋体" w:hAnsi="宋体"/>
                <w:color w:val="000000"/>
                <w:szCs w:val="21"/>
              </w:rPr>
            </w:pPr>
            <w:r>
              <w:rPr>
                <w:rFonts w:hint="eastAsia" w:ascii="宋体" w:hAnsi="宋体"/>
                <w:color w:val="000000"/>
                <w:szCs w:val="21"/>
              </w:rPr>
              <w:t>序号</w:t>
            </w:r>
          </w:p>
        </w:tc>
        <w:tc>
          <w:tcPr>
            <w:tcW w:w="2161" w:type="dxa"/>
            <w:noWrap w:val="0"/>
            <w:vAlign w:val="center"/>
          </w:tcPr>
          <w:p w14:paraId="297E4A85">
            <w:pPr>
              <w:jc w:val="center"/>
              <w:rPr>
                <w:rFonts w:hint="eastAsia" w:ascii="宋体" w:hAnsi="宋体"/>
                <w:color w:val="000000"/>
                <w:szCs w:val="21"/>
              </w:rPr>
            </w:pPr>
            <w:r>
              <w:rPr>
                <w:rFonts w:hint="eastAsia" w:ascii="宋体" w:hAnsi="宋体"/>
                <w:color w:val="000000"/>
                <w:szCs w:val="21"/>
              </w:rPr>
              <w:t>废物种类</w:t>
            </w:r>
          </w:p>
        </w:tc>
        <w:tc>
          <w:tcPr>
            <w:tcW w:w="3196" w:type="dxa"/>
            <w:noWrap w:val="0"/>
            <w:vAlign w:val="center"/>
          </w:tcPr>
          <w:p w14:paraId="313D17E1">
            <w:pPr>
              <w:jc w:val="center"/>
              <w:rPr>
                <w:rFonts w:hint="eastAsia" w:ascii="宋体" w:hAnsi="宋体"/>
                <w:color w:val="000000"/>
                <w:szCs w:val="21"/>
              </w:rPr>
            </w:pPr>
            <w:r>
              <w:rPr>
                <w:rFonts w:hint="eastAsia" w:ascii="宋体" w:hAnsi="宋体"/>
                <w:color w:val="000000"/>
                <w:szCs w:val="21"/>
              </w:rPr>
              <w:t>比例（％）</w:t>
            </w:r>
          </w:p>
        </w:tc>
      </w:tr>
      <w:tr w14:paraId="5499B10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404" w:hRule="atLeast"/>
        </w:trPr>
        <w:tc>
          <w:tcPr>
            <w:tcW w:w="2132" w:type="dxa"/>
            <w:vMerge w:val="restart"/>
            <w:noWrap w:val="0"/>
            <w:vAlign w:val="center"/>
          </w:tcPr>
          <w:p w14:paraId="04F89973">
            <w:pPr>
              <w:jc w:val="center"/>
              <w:rPr>
                <w:rFonts w:hint="eastAsia" w:ascii="宋体" w:hAnsi="宋体"/>
                <w:color w:val="000000"/>
                <w:szCs w:val="21"/>
              </w:rPr>
            </w:pPr>
            <w:r>
              <w:rPr>
                <w:rFonts w:hint="eastAsia" w:ascii="宋体" w:hAnsi="宋体"/>
                <w:color w:val="000000"/>
                <w:szCs w:val="21"/>
              </w:rPr>
              <w:t>不燃物</w:t>
            </w:r>
          </w:p>
        </w:tc>
        <w:tc>
          <w:tcPr>
            <w:tcW w:w="1039" w:type="dxa"/>
            <w:noWrap w:val="0"/>
            <w:vAlign w:val="center"/>
          </w:tcPr>
          <w:p w14:paraId="60988715">
            <w:pPr>
              <w:jc w:val="center"/>
              <w:rPr>
                <w:rFonts w:hint="eastAsia" w:ascii="宋体" w:hAnsi="宋体"/>
                <w:color w:val="000000"/>
                <w:szCs w:val="21"/>
              </w:rPr>
            </w:pPr>
            <w:r>
              <w:rPr>
                <w:rFonts w:hint="eastAsia" w:ascii="宋体" w:hAnsi="宋体"/>
                <w:color w:val="000000"/>
                <w:szCs w:val="21"/>
              </w:rPr>
              <w:t>1</w:t>
            </w:r>
          </w:p>
        </w:tc>
        <w:tc>
          <w:tcPr>
            <w:tcW w:w="2161" w:type="dxa"/>
            <w:noWrap w:val="0"/>
            <w:vAlign w:val="center"/>
          </w:tcPr>
          <w:p w14:paraId="46E7AD73">
            <w:pPr>
              <w:jc w:val="center"/>
              <w:rPr>
                <w:rFonts w:hint="eastAsia" w:ascii="宋体" w:hAnsi="宋体"/>
                <w:color w:val="000000"/>
                <w:szCs w:val="21"/>
              </w:rPr>
            </w:pPr>
            <w:r>
              <w:rPr>
                <w:rFonts w:hint="eastAsia" w:ascii="宋体" w:hAnsi="宋体"/>
                <w:color w:val="000000"/>
                <w:szCs w:val="21"/>
              </w:rPr>
              <w:t>水分</w:t>
            </w:r>
          </w:p>
        </w:tc>
        <w:tc>
          <w:tcPr>
            <w:tcW w:w="3196" w:type="dxa"/>
            <w:noWrap w:val="0"/>
            <w:vAlign w:val="center"/>
          </w:tcPr>
          <w:p w14:paraId="6837B98F">
            <w:pPr>
              <w:jc w:val="center"/>
              <w:rPr>
                <w:rFonts w:hint="eastAsia" w:ascii="宋体" w:hAnsi="宋体"/>
                <w:color w:val="000000"/>
                <w:szCs w:val="21"/>
              </w:rPr>
            </w:pPr>
            <w:r>
              <w:rPr>
                <w:rFonts w:hint="eastAsia" w:ascii="宋体" w:hAnsi="宋体"/>
                <w:color w:val="000000"/>
                <w:szCs w:val="21"/>
              </w:rPr>
              <w:t>36.31</w:t>
            </w:r>
          </w:p>
        </w:tc>
      </w:tr>
      <w:tr w14:paraId="2CECDA1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144" w:hRule="atLeast"/>
        </w:trPr>
        <w:tc>
          <w:tcPr>
            <w:tcW w:w="2132" w:type="dxa"/>
            <w:vMerge w:val="continue"/>
            <w:noWrap w:val="0"/>
            <w:vAlign w:val="center"/>
          </w:tcPr>
          <w:p w14:paraId="24E25AC3">
            <w:pPr>
              <w:jc w:val="center"/>
              <w:rPr>
                <w:rFonts w:hint="eastAsia" w:ascii="宋体" w:hAnsi="宋体"/>
                <w:color w:val="000000"/>
                <w:szCs w:val="21"/>
              </w:rPr>
            </w:pPr>
          </w:p>
        </w:tc>
        <w:tc>
          <w:tcPr>
            <w:tcW w:w="1039" w:type="dxa"/>
            <w:noWrap w:val="0"/>
            <w:vAlign w:val="center"/>
          </w:tcPr>
          <w:p w14:paraId="602965CD">
            <w:pPr>
              <w:jc w:val="center"/>
              <w:rPr>
                <w:rFonts w:hint="eastAsia" w:ascii="宋体" w:hAnsi="宋体"/>
                <w:color w:val="000000"/>
                <w:szCs w:val="21"/>
              </w:rPr>
            </w:pPr>
            <w:r>
              <w:rPr>
                <w:rFonts w:hint="eastAsia" w:ascii="宋体" w:hAnsi="宋体"/>
                <w:color w:val="000000"/>
                <w:szCs w:val="21"/>
              </w:rPr>
              <w:t>2</w:t>
            </w:r>
          </w:p>
        </w:tc>
        <w:tc>
          <w:tcPr>
            <w:tcW w:w="2161" w:type="dxa"/>
            <w:noWrap w:val="0"/>
            <w:vAlign w:val="center"/>
          </w:tcPr>
          <w:p w14:paraId="0C308F2F">
            <w:pPr>
              <w:jc w:val="center"/>
              <w:rPr>
                <w:rFonts w:hint="eastAsia" w:ascii="宋体" w:hAnsi="宋体"/>
                <w:color w:val="000000"/>
                <w:szCs w:val="21"/>
              </w:rPr>
            </w:pPr>
            <w:r>
              <w:rPr>
                <w:rFonts w:hint="eastAsia" w:ascii="宋体" w:hAnsi="宋体"/>
                <w:color w:val="000000"/>
                <w:szCs w:val="21"/>
              </w:rPr>
              <w:t>灰分</w:t>
            </w:r>
          </w:p>
        </w:tc>
        <w:tc>
          <w:tcPr>
            <w:tcW w:w="3196" w:type="dxa"/>
            <w:noWrap w:val="0"/>
            <w:vAlign w:val="center"/>
          </w:tcPr>
          <w:p w14:paraId="356E12DC">
            <w:pPr>
              <w:jc w:val="center"/>
              <w:rPr>
                <w:rFonts w:hint="eastAsia" w:ascii="宋体" w:hAnsi="宋体"/>
                <w:color w:val="000000"/>
                <w:szCs w:val="21"/>
              </w:rPr>
            </w:pPr>
            <w:r>
              <w:rPr>
                <w:rFonts w:hint="eastAsia" w:ascii="宋体" w:hAnsi="宋体"/>
                <w:color w:val="000000"/>
                <w:szCs w:val="21"/>
              </w:rPr>
              <w:t>5.00</w:t>
            </w:r>
          </w:p>
        </w:tc>
      </w:tr>
      <w:tr w14:paraId="72DF6D6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144" w:hRule="atLeast"/>
        </w:trPr>
        <w:tc>
          <w:tcPr>
            <w:tcW w:w="2132" w:type="dxa"/>
            <w:vMerge w:val="continue"/>
            <w:noWrap w:val="0"/>
            <w:vAlign w:val="center"/>
          </w:tcPr>
          <w:p w14:paraId="0B9C1FBF">
            <w:pPr>
              <w:jc w:val="center"/>
              <w:rPr>
                <w:rFonts w:hint="eastAsia" w:ascii="宋体" w:hAnsi="宋体"/>
                <w:color w:val="000000"/>
                <w:szCs w:val="21"/>
              </w:rPr>
            </w:pPr>
          </w:p>
        </w:tc>
        <w:tc>
          <w:tcPr>
            <w:tcW w:w="1039" w:type="dxa"/>
            <w:noWrap w:val="0"/>
            <w:vAlign w:val="center"/>
          </w:tcPr>
          <w:p w14:paraId="02741E2F">
            <w:pPr>
              <w:jc w:val="center"/>
              <w:rPr>
                <w:rFonts w:hint="eastAsia" w:ascii="宋体" w:hAnsi="宋体"/>
                <w:color w:val="000000"/>
                <w:szCs w:val="21"/>
              </w:rPr>
            </w:pPr>
            <w:r>
              <w:rPr>
                <w:rFonts w:hint="eastAsia" w:ascii="宋体" w:hAnsi="宋体"/>
                <w:color w:val="000000"/>
                <w:szCs w:val="21"/>
              </w:rPr>
              <w:t>3</w:t>
            </w:r>
          </w:p>
        </w:tc>
        <w:tc>
          <w:tcPr>
            <w:tcW w:w="2161" w:type="dxa"/>
            <w:noWrap w:val="0"/>
            <w:vAlign w:val="center"/>
          </w:tcPr>
          <w:p w14:paraId="664FA56C">
            <w:pPr>
              <w:jc w:val="center"/>
              <w:rPr>
                <w:rFonts w:hint="eastAsia" w:ascii="宋体" w:hAnsi="宋体"/>
                <w:color w:val="000000"/>
                <w:szCs w:val="21"/>
              </w:rPr>
            </w:pPr>
            <w:r>
              <w:rPr>
                <w:rFonts w:hint="eastAsia" w:ascii="宋体" w:hAnsi="宋体"/>
                <w:color w:val="000000"/>
                <w:szCs w:val="21"/>
              </w:rPr>
              <w:t>合计</w:t>
            </w:r>
          </w:p>
        </w:tc>
        <w:tc>
          <w:tcPr>
            <w:tcW w:w="3196" w:type="dxa"/>
            <w:noWrap w:val="0"/>
            <w:vAlign w:val="center"/>
          </w:tcPr>
          <w:p w14:paraId="71D6828B">
            <w:pPr>
              <w:jc w:val="center"/>
              <w:rPr>
                <w:rFonts w:hint="eastAsia" w:ascii="宋体" w:hAnsi="宋体"/>
                <w:color w:val="000000"/>
                <w:szCs w:val="21"/>
              </w:rPr>
            </w:pPr>
            <w:r>
              <w:rPr>
                <w:rFonts w:hint="eastAsia" w:ascii="宋体" w:hAnsi="宋体"/>
                <w:color w:val="000000"/>
                <w:szCs w:val="21"/>
              </w:rPr>
              <w:t>41.31</w:t>
            </w:r>
          </w:p>
        </w:tc>
      </w:tr>
      <w:tr w14:paraId="7E8F5D6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404" w:hRule="atLeast"/>
        </w:trPr>
        <w:tc>
          <w:tcPr>
            <w:tcW w:w="2132" w:type="dxa"/>
            <w:vMerge w:val="restart"/>
            <w:noWrap w:val="0"/>
            <w:vAlign w:val="center"/>
          </w:tcPr>
          <w:p w14:paraId="42831833">
            <w:pPr>
              <w:jc w:val="center"/>
              <w:rPr>
                <w:rFonts w:hint="eastAsia" w:ascii="宋体" w:hAnsi="宋体"/>
                <w:color w:val="000000"/>
                <w:szCs w:val="21"/>
              </w:rPr>
            </w:pPr>
            <w:r>
              <w:rPr>
                <w:rFonts w:hint="eastAsia" w:ascii="宋体" w:hAnsi="宋体"/>
                <w:color w:val="000000"/>
                <w:szCs w:val="21"/>
              </w:rPr>
              <w:t>可燃物</w:t>
            </w:r>
          </w:p>
        </w:tc>
        <w:tc>
          <w:tcPr>
            <w:tcW w:w="1039" w:type="dxa"/>
            <w:noWrap w:val="0"/>
            <w:vAlign w:val="center"/>
          </w:tcPr>
          <w:p w14:paraId="45E8ACB0">
            <w:pPr>
              <w:jc w:val="center"/>
              <w:rPr>
                <w:rFonts w:hint="eastAsia" w:ascii="宋体" w:hAnsi="宋体"/>
                <w:color w:val="000000"/>
                <w:szCs w:val="21"/>
              </w:rPr>
            </w:pPr>
            <w:r>
              <w:rPr>
                <w:rFonts w:hint="eastAsia" w:ascii="宋体" w:hAnsi="宋体"/>
                <w:color w:val="000000"/>
                <w:szCs w:val="21"/>
              </w:rPr>
              <w:t>1</w:t>
            </w:r>
          </w:p>
        </w:tc>
        <w:tc>
          <w:tcPr>
            <w:tcW w:w="2161" w:type="dxa"/>
            <w:noWrap w:val="0"/>
            <w:vAlign w:val="center"/>
          </w:tcPr>
          <w:p w14:paraId="467D4564">
            <w:pPr>
              <w:jc w:val="center"/>
              <w:rPr>
                <w:rFonts w:hint="eastAsia" w:ascii="宋体" w:hAnsi="宋体"/>
                <w:color w:val="000000"/>
                <w:szCs w:val="21"/>
              </w:rPr>
            </w:pPr>
            <w:r>
              <w:rPr>
                <w:rFonts w:hint="eastAsia" w:ascii="宋体" w:hAnsi="宋体"/>
                <w:color w:val="000000"/>
                <w:szCs w:val="21"/>
              </w:rPr>
              <w:t>碳</w:t>
            </w:r>
          </w:p>
        </w:tc>
        <w:tc>
          <w:tcPr>
            <w:tcW w:w="3196" w:type="dxa"/>
            <w:noWrap w:val="0"/>
            <w:vAlign w:val="center"/>
          </w:tcPr>
          <w:p w14:paraId="5BE33C90">
            <w:pPr>
              <w:jc w:val="center"/>
              <w:rPr>
                <w:rFonts w:hint="eastAsia" w:ascii="宋体" w:hAnsi="宋体"/>
                <w:color w:val="000000"/>
                <w:szCs w:val="21"/>
              </w:rPr>
            </w:pPr>
            <w:r>
              <w:rPr>
                <w:rFonts w:hint="eastAsia" w:ascii="宋体" w:hAnsi="宋体"/>
                <w:color w:val="000000"/>
                <w:szCs w:val="21"/>
              </w:rPr>
              <w:t>34.15</w:t>
            </w:r>
          </w:p>
        </w:tc>
      </w:tr>
      <w:tr w14:paraId="0520638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144" w:hRule="atLeast"/>
        </w:trPr>
        <w:tc>
          <w:tcPr>
            <w:tcW w:w="2132" w:type="dxa"/>
            <w:vMerge w:val="continue"/>
            <w:noWrap w:val="0"/>
            <w:vAlign w:val="center"/>
          </w:tcPr>
          <w:p w14:paraId="38A11AA0">
            <w:pPr>
              <w:jc w:val="center"/>
              <w:rPr>
                <w:rFonts w:hint="eastAsia" w:ascii="宋体" w:hAnsi="宋体"/>
                <w:color w:val="000000"/>
                <w:szCs w:val="21"/>
              </w:rPr>
            </w:pPr>
          </w:p>
        </w:tc>
        <w:tc>
          <w:tcPr>
            <w:tcW w:w="1039" w:type="dxa"/>
            <w:noWrap w:val="0"/>
            <w:vAlign w:val="center"/>
          </w:tcPr>
          <w:p w14:paraId="0BBB5518">
            <w:pPr>
              <w:jc w:val="center"/>
              <w:rPr>
                <w:rFonts w:hint="eastAsia" w:ascii="宋体" w:hAnsi="宋体"/>
                <w:color w:val="000000"/>
                <w:szCs w:val="21"/>
              </w:rPr>
            </w:pPr>
            <w:r>
              <w:rPr>
                <w:rFonts w:hint="eastAsia" w:ascii="宋体" w:hAnsi="宋体"/>
                <w:color w:val="000000"/>
                <w:szCs w:val="21"/>
              </w:rPr>
              <w:t>2</w:t>
            </w:r>
          </w:p>
        </w:tc>
        <w:tc>
          <w:tcPr>
            <w:tcW w:w="2161" w:type="dxa"/>
            <w:noWrap w:val="0"/>
            <w:vAlign w:val="center"/>
          </w:tcPr>
          <w:p w14:paraId="71A56DDA">
            <w:pPr>
              <w:jc w:val="center"/>
              <w:rPr>
                <w:rFonts w:hint="eastAsia" w:ascii="宋体" w:hAnsi="宋体"/>
                <w:color w:val="000000"/>
                <w:szCs w:val="21"/>
              </w:rPr>
            </w:pPr>
            <w:r>
              <w:rPr>
                <w:rFonts w:hint="eastAsia" w:ascii="宋体" w:hAnsi="宋体"/>
                <w:color w:val="000000"/>
                <w:szCs w:val="21"/>
              </w:rPr>
              <w:t>氢</w:t>
            </w:r>
          </w:p>
        </w:tc>
        <w:tc>
          <w:tcPr>
            <w:tcW w:w="3196" w:type="dxa"/>
            <w:noWrap w:val="0"/>
            <w:vAlign w:val="center"/>
          </w:tcPr>
          <w:p w14:paraId="3551CB5C">
            <w:pPr>
              <w:jc w:val="center"/>
              <w:rPr>
                <w:rFonts w:hint="eastAsia" w:ascii="宋体" w:hAnsi="宋体"/>
                <w:color w:val="000000"/>
                <w:szCs w:val="21"/>
              </w:rPr>
            </w:pPr>
            <w:r>
              <w:rPr>
                <w:rFonts w:hint="eastAsia" w:ascii="宋体" w:hAnsi="宋体"/>
                <w:color w:val="000000"/>
                <w:szCs w:val="21"/>
              </w:rPr>
              <w:t>5.85</w:t>
            </w:r>
          </w:p>
        </w:tc>
      </w:tr>
      <w:tr w14:paraId="4773C2E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144" w:hRule="atLeast"/>
        </w:trPr>
        <w:tc>
          <w:tcPr>
            <w:tcW w:w="2132" w:type="dxa"/>
            <w:vMerge w:val="continue"/>
            <w:noWrap w:val="0"/>
            <w:vAlign w:val="center"/>
          </w:tcPr>
          <w:p w14:paraId="1987C898">
            <w:pPr>
              <w:jc w:val="center"/>
              <w:rPr>
                <w:rFonts w:hint="eastAsia" w:ascii="宋体" w:hAnsi="宋体"/>
                <w:color w:val="000000"/>
                <w:szCs w:val="21"/>
              </w:rPr>
            </w:pPr>
          </w:p>
        </w:tc>
        <w:tc>
          <w:tcPr>
            <w:tcW w:w="1039" w:type="dxa"/>
            <w:noWrap w:val="0"/>
            <w:vAlign w:val="center"/>
          </w:tcPr>
          <w:p w14:paraId="4A929873">
            <w:pPr>
              <w:jc w:val="center"/>
              <w:rPr>
                <w:rFonts w:hint="eastAsia" w:ascii="宋体" w:hAnsi="宋体"/>
                <w:color w:val="000000"/>
                <w:szCs w:val="21"/>
              </w:rPr>
            </w:pPr>
            <w:r>
              <w:rPr>
                <w:rFonts w:hint="eastAsia" w:ascii="宋体" w:hAnsi="宋体"/>
                <w:color w:val="000000"/>
                <w:szCs w:val="21"/>
              </w:rPr>
              <w:t>3</w:t>
            </w:r>
          </w:p>
        </w:tc>
        <w:tc>
          <w:tcPr>
            <w:tcW w:w="2161" w:type="dxa"/>
            <w:noWrap w:val="0"/>
            <w:vAlign w:val="center"/>
          </w:tcPr>
          <w:p w14:paraId="6ACAE4DF">
            <w:pPr>
              <w:jc w:val="center"/>
              <w:rPr>
                <w:rFonts w:hint="eastAsia" w:ascii="宋体" w:hAnsi="宋体"/>
                <w:color w:val="000000"/>
                <w:szCs w:val="21"/>
              </w:rPr>
            </w:pPr>
            <w:r>
              <w:rPr>
                <w:rFonts w:hint="eastAsia" w:ascii="宋体" w:hAnsi="宋体"/>
                <w:color w:val="000000"/>
                <w:szCs w:val="21"/>
              </w:rPr>
              <w:t>氧</w:t>
            </w:r>
          </w:p>
        </w:tc>
        <w:tc>
          <w:tcPr>
            <w:tcW w:w="3196" w:type="dxa"/>
            <w:noWrap w:val="0"/>
            <w:vAlign w:val="center"/>
          </w:tcPr>
          <w:p w14:paraId="0929A10E">
            <w:pPr>
              <w:jc w:val="center"/>
              <w:rPr>
                <w:rFonts w:hint="eastAsia" w:ascii="宋体" w:hAnsi="宋体"/>
                <w:color w:val="000000"/>
                <w:szCs w:val="21"/>
              </w:rPr>
            </w:pPr>
            <w:r>
              <w:rPr>
                <w:rFonts w:hint="eastAsia" w:ascii="宋体" w:hAnsi="宋体"/>
                <w:color w:val="000000"/>
                <w:szCs w:val="21"/>
              </w:rPr>
              <w:t>6.29</w:t>
            </w:r>
          </w:p>
        </w:tc>
      </w:tr>
      <w:tr w14:paraId="111E710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144" w:hRule="atLeast"/>
        </w:trPr>
        <w:tc>
          <w:tcPr>
            <w:tcW w:w="2132" w:type="dxa"/>
            <w:vMerge w:val="continue"/>
            <w:noWrap w:val="0"/>
            <w:vAlign w:val="center"/>
          </w:tcPr>
          <w:p w14:paraId="79676B2C">
            <w:pPr>
              <w:jc w:val="center"/>
              <w:rPr>
                <w:rFonts w:hint="eastAsia" w:ascii="宋体" w:hAnsi="宋体"/>
                <w:color w:val="000000"/>
                <w:szCs w:val="21"/>
              </w:rPr>
            </w:pPr>
          </w:p>
        </w:tc>
        <w:tc>
          <w:tcPr>
            <w:tcW w:w="1039" w:type="dxa"/>
            <w:noWrap w:val="0"/>
            <w:vAlign w:val="center"/>
          </w:tcPr>
          <w:p w14:paraId="4ADF1DE5">
            <w:pPr>
              <w:jc w:val="center"/>
              <w:rPr>
                <w:rFonts w:hint="eastAsia" w:ascii="宋体" w:hAnsi="宋体"/>
                <w:color w:val="000000"/>
                <w:szCs w:val="21"/>
              </w:rPr>
            </w:pPr>
            <w:r>
              <w:rPr>
                <w:rFonts w:hint="eastAsia" w:ascii="宋体" w:hAnsi="宋体"/>
                <w:color w:val="000000"/>
                <w:szCs w:val="21"/>
              </w:rPr>
              <w:t>4</w:t>
            </w:r>
          </w:p>
        </w:tc>
        <w:tc>
          <w:tcPr>
            <w:tcW w:w="2161" w:type="dxa"/>
            <w:noWrap w:val="0"/>
            <w:vAlign w:val="center"/>
          </w:tcPr>
          <w:p w14:paraId="238ED871">
            <w:pPr>
              <w:jc w:val="center"/>
              <w:rPr>
                <w:rFonts w:hint="eastAsia" w:ascii="宋体" w:hAnsi="宋体"/>
                <w:color w:val="000000"/>
                <w:szCs w:val="21"/>
              </w:rPr>
            </w:pPr>
            <w:r>
              <w:rPr>
                <w:rFonts w:hint="eastAsia" w:ascii="宋体" w:hAnsi="宋体"/>
                <w:color w:val="000000"/>
                <w:szCs w:val="21"/>
              </w:rPr>
              <w:t>氮</w:t>
            </w:r>
          </w:p>
        </w:tc>
        <w:tc>
          <w:tcPr>
            <w:tcW w:w="3196" w:type="dxa"/>
            <w:noWrap w:val="0"/>
            <w:vAlign w:val="center"/>
          </w:tcPr>
          <w:p w14:paraId="240E5491">
            <w:pPr>
              <w:jc w:val="center"/>
              <w:rPr>
                <w:rFonts w:hint="eastAsia" w:ascii="宋体" w:hAnsi="宋体"/>
                <w:color w:val="000000"/>
                <w:szCs w:val="21"/>
              </w:rPr>
            </w:pPr>
            <w:r>
              <w:rPr>
                <w:rFonts w:hint="eastAsia" w:ascii="宋体" w:hAnsi="宋体"/>
                <w:color w:val="000000"/>
                <w:szCs w:val="21"/>
              </w:rPr>
              <w:t>6.16</w:t>
            </w:r>
          </w:p>
        </w:tc>
      </w:tr>
      <w:tr w14:paraId="7E8510B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144" w:hRule="atLeast"/>
        </w:trPr>
        <w:tc>
          <w:tcPr>
            <w:tcW w:w="2132" w:type="dxa"/>
            <w:vMerge w:val="continue"/>
            <w:noWrap w:val="0"/>
            <w:vAlign w:val="center"/>
          </w:tcPr>
          <w:p w14:paraId="214CC9E8">
            <w:pPr>
              <w:jc w:val="center"/>
              <w:rPr>
                <w:rFonts w:hint="eastAsia" w:ascii="宋体" w:hAnsi="宋体"/>
                <w:color w:val="000000"/>
                <w:szCs w:val="21"/>
              </w:rPr>
            </w:pPr>
          </w:p>
        </w:tc>
        <w:tc>
          <w:tcPr>
            <w:tcW w:w="1039" w:type="dxa"/>
            <w:noWrap w:val="0"/>
            <w:vAlign w:val="center"/>
          </w:tcPr>
          <w:p w14:paraId="41A4A1A2">
            <w:pPr>
              <w:jc w:val="center"/>
              <w:rPr>
                <w:rFonts w:hint="eastAsia" w:ascii="宋体" w:hAnsi="宋体"/>
                <w:color w:val="000000"/>
                <w:szCs w:val="21"/>
              </w:rPr>
            </w:pPr>
            <w:r>
              <w:rPr>
                <w:rFonts w:hint="eastAsia" w:ascii="宋体" w:hAnsi="宋体"/>
                <w:color w:val="000000"/>
                <w:szCs w:val="21"/>
              </w:rPr>
              <w:t>5</w:t>
            </w:r>
          </w:p>
        </w:tc>
        <w:tc>
          <w:tcPr>
            <w:tcW w:w="2161" w:type="dxa"/>
            <w:noWrap w:val="0"/>
            <w:vAlign w:val="center"/>
          </w:tcPr>
          <w:p w14:paraId="77ED7B83">
            <w:pPr>
              <w:jc w:val="center"/>
              <w:rPr>
                <w:rFonts w:hint="eastAsia" w:ascii="宋体" w:hAnsi="宋体"/>
                <w:color w:val="000000"/>
                <w:szCs w:val="21"/>
              </w:rPr>
            </w:pPr>
            <w:r>
              <w:rPr>
                <w:rFonts w:hint="eastAsia" w:ascii="宋体" w:hAnsi="宋体"/>
                <w:color w:val="000000"/>
                <w:szCs w:val="21"/>
              </w:rPr>
              <w:t>硫</w:t>
            </w:r>
          </w:p>
        </w:tc>
        <w:tc>
          <w:tcPr>
            <w:tcW w:w="3196" w:type="dxa"/>
            <w:noWrap w:val="0"/>
            <w:vAlign w:val="center"/>
          </w:tcPr>
          <w:p w14:paraId="47F03AF1">
            <w:pPr>
              <w:jc w:val="center"/>
              <w:rPr>
                <w:rFonts w:hint="eastAsia" w:ascii="宋体" w:hAnsi="宋体"/>
                <w:color w:val="000000"/>
                <w:szCs w:val="21"/>
              </w:rPr>
            </w:pPr>
            <w:r>
              <w:rPr>
                <w:rFonts w:hint="eastAsia" w:ascii="宋体" w:hAnsi="宋体"/>
                <w:color w:val="000000"/>
                <w:szCs w:val="21"/>
              </w:rPr>
              <w:t>0.94</w:t>
            </w:r>
          </w:p>
        </w:tc>
      </w:tr>
      <w:tr w14:paraId="4488997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144" w:hRule="atLeast"/>
        </w:trPr>
        <w:tc>
          <w:tcPr>
            <w:tcW w:w="2132" w:type="dxa"/>
            <w:vMerge w:val="continue"/>
            <w:noWrap w:val="0"/>
            <w:vAlign w:val="center"/>
          </w:tcPr>
          <w:p w14:paraId="4CC396C1">
            <w:pPr>
              <w:jc w:val="center"/>
              <w:rPr>
                <w:rFonts w:hint="eastAsia" w:ascii="宋体" w:hAnsi="宋体"/>
                <w:color w:val="000000"/>
                <w:szCs w:val="21"/>
              </w:rPr>
            </w:pPr>
          </w:p>
        </w:tc>
        <w:tc>
          <w:tcPr>
            <w:tcW w:w="1039" w:type="dxa"/>
            <w:noWrap w:val="0"/>
            <w:vAlign w:val="center"/>
          </w:tcPr>
          <w:p w14:paraId="1F1BCEBF">
            <w:pPr>
              <w:jc w:val="center"/>
              <w:rPr>
                <w:rFonts w:hint="eastAsia" w:ascii="宋体" w:hAnsi="宋体"/>
                <w:color w:val="000000"/>
                <w:szCs w:val="21"/>
              </w:rPr>
            </w:pPr>
            <w:r>
              <w:rPr>
                <w:rFonts w:hint="eastAsia" w:ascii="宋体" w:hAnsi="宋体"/>
                <w:color w:val="000000"/>
                <w:szCs w:val="21"/>
              </w:rPr>
              <w:t>6</w:t>
            </w:r>
          </w:p>
        </w:tc>
        <w:tc>
          <w:tcPr>
            <w:tcW w:w="2161" w:type="dxa"/>
            <w:noWrap w:val="0"/>
            <w:vAlign w:val="center"/>
          </w:tcPr>
          <w:p w14:paraId="16598E20">
            <w:pPr>
              <w:jc w:val="center"/>
              <w:rPr>
                <w:rFonts w:hint="eastAsia" w:ascii="宋体" w:hAnsi="宋体"/>
                <w:color w:val="000000"/>
                <w:szCs w:val="21"/>
              </w:rPr>
            </w:pPr>
            <w:r>
              <w:rPr>
                <w:rFonts w:hint="eastAsia" w:ascii="宋体" w:hAnsi="宋体"/>
                <w:color w:val="000000"/>
                <w:szCs w:val="21"/>
              </w:rPr>
              <w:t>氯</w:t>
            </w:r>
          </w:p>
        </w:tc>
        <w:tc>
          <w:tcPr>
            <w:tcW w:w="3196" w:type="dxa"/>
            <w:noWrap w:val="0"/>
            <w:vAlign w:val="center"/>
          </w:tcPr>
          <w:p w14:paraId="66D1DA94">
            <w:pPr>
              <w:jc w:val="center"/>
              <w:rPr>
                <w:rFonts w:hint="eastAsia" w:ascii="宋体" w:hAnsi="宋体"/>
                <w:color w:val="000000"/>
                <w:szCs w:val="21"/>
              </w:rPr>
            </w:pPr>
            <w:r>
              <w:rPr>
                <w:rFonts w:hint="eastAsia" w:ascii="宋体" w:hAnsi="宋体"/>
                <w:color w:val="000000"/>
                <w:szCs w:val="21"/>
              </w:rPr>
              <w:t>5.30</w:t>
            </w:r>
          </w:p>
        </w:tc>
      </w:tr>
      <w:tr w14:paraId="73CF381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144" w:hRule="atLeast"/>
        </w:trPr>
        <w:tc>
          <w:tcPr>
            <w:tcW w:w="2132" w:type="dxa"/>
            <w:vMerge w:val="continue"/>
            <w:noWrap w:val="0"/>
            <w:vAlign w:val="center"/>
          </w:tcPr>
          <w:p w14:paraId="03CC5BEF">
            <w:pPr>
              <w:jc w:val="center"/>
              <w:rPr>
                <w:rFonts w:hint="eastAsia" w:ascii="宋体" w:hAnsi="宋体"/>
                <w:color w:val="000000"/>
                <w:szCs w:val="21"/>
              </w:rPr>
            </w:pPr>
          </w:p>
        </w:tc>
        <w:tc>
          <w:tcPr>
            <w:tcW w:w="1039" w:type="dxa"/>
            <w:noWrap w:val="0"/>
            <w:vAlign w:val="center"/>
          </w:tcPr>
          <w:p w14:paraId="65F4C01D">
            <w:pPr>
              <w:jc w:val="center"/>
              <w:rPr>
                <w:rFonts w:hint="eastAsia" w:ascii="宋体" w:hAnsi="宋体"/>
                <w:color w:val="000000"/>
                <w:szCs w:val="21"/>
              </w:rPr>
            </w:pPr>
          </w:p>
        </w:tc>
        <w:tc>
          <w:tcPr>
            <w:tcW w:w="2161" w:type="dxa"/>
            <w:noWrap w:val="0"/>
            <w:vAlign w:val="center"/>
          </w:tcPr>
          <w:p w14:paraId="07A862DE">
            <w:pPr>
              <w:jc w:val="center"/>
              <w:rPr>
                <w:rFonts w:hint="eastAsia" w:ascii="宋体" w:hAnsi="宋体"/>
                <w:color w:val="000000"/>
                <w:szCs w:val="21"/>
              </w:rPr>
            </w:pPr>
            <w:r>
              <w:rPr>
                <w:rFonts w:hint="eastAsia" w:ascii="宋体" w:hAnsi="宋体"/>
                <w:color w:val="000000"/>
                <w:szCs w:val="21"/>
              </w:rPr>
              <w:t>合计</w:t>
            </w:r>
          </w:p>
        </w:tc>
        <w:tc>
          <w:tcPr>
            <w:tcW w:w="3196" w:type="dxa"/>
            <w:noWrap w:val="0"/>
            <w:vAlign w:val="center"/>
          </w:tcPr>
          <w:p w14:paraId="2AD3E4E4">
            <w:pPr>
              <w:jc w:val="center"/>
              <w:rPr>
                <w:rFonts w:hint="eastAsia" w:ascii="宋体" w:hAnsi="宋体"/>
                <w:color w:val="000000"/>
                <w:szCs w:val="21"/>
              </w:rPr>
            </w:pPr>
            <w:r>
              <w:rPr>
                <w:rFonts w:hint="eastAsia" w:ascii="宋体" w:hAnsi="宋体"/>
                <w:color w:val="000000"/>
                <w:szCs w:val="21"/>
              </w:rPr>
              <w:t>58.69</w:t>
            </w:r>
          </w:p>
        </w:tc>
      </w:tr>
      <w:tr w14:paraId="4F30D08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144" w:hRule="atLeast"/>
        </w:trPr>
        <w:tc>
          <w:tcPr>
            <w:tcW w:w="2132" w:type="dxa"/>
            <w:vMerge w:val="continue"/>
            <w:noWrap w:val="0"/>
            <w:vAlign w:val="center"/>
          </w:tcPr>
          <w:p w14:paraId="66303D5C">
            <w:pPr>
              <w:jc w:val="center"/>
              <w:rPr>
                <w:rFonts w:hint="eastAsia" w:ascii="宋体" w:hAnsi="宋体"/>
                <w:color w:val="000000"/>
                <w:szCs w:val="21"/>
              </w:rPr>
            </w:pPr>
          </w:p>
        </w:tc>
        <w:tc>
          <w:tcPr>
            <w:tcW w:w="1039" w:type="dxa"/>
            <w:noWrap w:val="0"/>
            <w:vAlign w:val="center"/>
          </w:tcPr>
          <w:p w14:paraId="617ED530">
            <w:pPr>
              <w:jc w:val="center"/>
              <w:rPr>
                <w:rFonts w:hint="eastAsia" w:ascii="宋体" w:hAnsi="宋体"/>
                <w:color w:val="000000"/>
                <w:szCs w:val="21"/>
              </w:rPr>
            </w:pPr>
          </w:p>
        </w:tc>
        <w:tc>
          <w:tcPr>
            <w:tcW w:w="2161" w:type="dxa"/>
            <w:noWrap w:val="0"/>
            <w:vAlign w:val="center"/>
          </w:tcPr>
          <w:p w14:paraId="119670FE">
            <w:pPr>
              <w:jc w:val="center"/>
              <w:rPr>
                <w:rFonts w:hint="eastAsia" w:ascii="宋体" w:hAnsi="宋体"/>
                <w:color w:val="000000"/>
                <w:szCs w:val="21"/>
              </w:rPr>
            </w:pPr>
            <w:r>
              <w:rPr>
                <w:rFonts w:hint="eastAsia" w:ascii="宋体" w:hAnsi="宋体"/>
                <w:color w:val="000000"/>
                <w:szCs w:val="21"/>
              </w:rPr>
              <w:t>总热值</w:t>
            </w:r>
          </w:p>
        </w:tc>
        <w:tc>
          <w:tcPr>
            <w:tcW w:w="3196" w:type="dxa"/>
            <w:noWrap w:val="0"/>
            <w:vAlign w:val="center"/>
          </w:tcPr>
          <w:p w14:paraId="132DEE29">
            <w:pPr>
              <w:jc w:val="center"/>
              <w:rPr>
                <w:rFonts w:hint="eastAsia" w:ascii="宋体" w:hAnsi="宋体"/>
                <w:color w:val="000000"/>
                <w:szCs w:val="21"/>
              </w:rPr>
            </w:pPr>
            <w:r>
              <w:rPr>
                <w:rFonts w:hint="eastAsia" w:ascii="宋体" w:hAnsi="宋体"/>
                <w:color w:val="000000"/>
                <w:szCs w:val="21"/>
              </w:rPr>
              <w:t>3500～4000（Kcal/kg）</w:t>
            </w:r>
          </w:p>
        </w:tc>
      </w:tr>
    </w:tbl>
    <w:p w14:paraId="24AC580C">
      <w:pPr>
        <w:spacing w:before="120" w:line="360" w:lineRule="auto"/>
        <w:ind w:firstLine="482"/>
        <w:rPr>
          <w:rFonts w:hint="eastAsia" w:ascii="宋体" w:hAnsi="宋体"/>
          <w:color w:val="000000"/>
          <w:sz w:val="24"/>
        </w:rPr>
      </w:pPr>
      <w:r>
        <w:rPr>
          <w:rFonts w:hint="eastAsia" w:ascii="宋体" w:hAnsi="宋体"/>
          <w:color w:val="000000"/>
          <w:sz w:val="24"/>
        </w:rPr>
        <w:t>根据国务院第380号文《医疗废物管理条例》第二条，医疗废物是医疗卫生机构在医疗、预防、保健以及其他相关活动中产生的具有直接或者间接感染性、毒性以及其他危害性的废物，是污染程度及危害程度最广泛、最严重的一类危险废物。医疗废物作为一种危害性极大的危险废物，关系着广大人民群众的健康安全，其治理已受到国家相关部门的关注。2003年6月，国务院出台了《医疗废物管理条例》，对医疗废物储存、运输及处理做出了严格的规定。</w:t>
      </w:r>
    </w:p>
    <w:p w14:paraId="65C60391">
      <w:pPr>
        <w:spacing w:line="360" w:lineRule="auto"/>
        <w:ind w:firstLine="482"/>
        <w:rPr>
          <w:rFonts w:hint="eastAsia" w:ascii="宋体" w:hAnsi="宋体"/>
          <w:color w:val="000000"/>
          <w:sz w:val="24"/>
        </w:rPr>
      </w:pPr>
      <w:r>
        <w:rPr>
          <w:rFonts w:hint="eastAsia" w:ascii="宋体" w:hAnsi="宋体"/>
          <w:color w:val="000000"/>
          <w:sz w:val="24"/>
        </w:rPr>
        <w:t>按照《医疗废物管理条例》及《医疗卫生机构医疗废物管理办法》（卫生部第36号），规定了卫生机构对医疗废物的管理、分类收集、运送与暂时贮存、人员培训和职业安全防护负有的职责及责任。本项目医疗废物的处置、管理、分类收集、运送与暂时存贮、人员培训和职业安全防护必须严格按照《医疗废物管理条例》和《医疗卫生机构医疗废物管理办法》执行。</w:t>
      </w:r>
    </w:p>
    <w:p w14:paraId="225D8518">
      <w:pPr>
        <w:spacing w:line="360" w:lineRule="auto"/>
        <w:ind w:firstLine="482"/>
        <w:rPr>
          <w:rFonts w:ascii="宋体" w:hAnsi="宋体"/>
          <w:color w:val="000000"/>
          <w:sz w:val="24"/>
        </w:rPr>
      </w:pPr>
      <w:r>
        <w:rPr>
          <w:rFonts w:hint="eastAsia" w:ascii="宋体" w:hAnsi="宋体"/>
          <w:color w:val="000000"/>
          <w:sz w:val="24"/>
        </w:rPr>
        <w:t>目前对医疗废物处置最普遍采用的是焚烧法，因为它能够做到废弃物的减量化、稳定化、无害化。在所有可行的医疗垃圾处理技术中，焚烧法已被证明是破坏传染性和有毒性物质、减少体积和重量的最有效方法。从医学微生物学来讲，细菌属于原核细胞型微生物、真菌属于真核细胞型微生物、病毒属于非细胞型微生物，加上寄生虫，它们都有一个生长繁殖的适宜温度，一般为37℃。低温一般可使其新陈代谢缓慢，生长繁殖受到抑制，但仍可维持其生命；只有高温才能杀灭所有细菌、病毒（包括细菌芽孢），破坏病毒的抗原性。</w:t>
      </w:r>
    </w:p>
    <w:p w14:paraId="288F41F2">
      <w:pPr>
        <w:spacing w:line="360" w:lineRule="auto"/>
        <w:ind w:firstLine="482"/>
        <w:rPr>
          <w:rFonts w:hint="eastAsia" w:ascii="宋体" w:hAnsi="宋体"/>
          <w:color w:val="000000"/>
          <w:sz w:val="24"/>
        </w:rPr>
      </w:pPr>
      <w:r>
        <w:rPr>
          <w:rFonts w:hint="eastAsia" w:ascii="宋体" w:hAnsi="宋体"/>
          <w:color w:val="000000"/>
          <w:sz w:val="24"/>
        </w:rPr>
        <w:t>根据</w:t>
      </w:r>
      <w:r>
        <w:rPr>
          <w:rFonts w:ascii="宋体" w:hAnsi="宋体"/>
          <w:color w:val="000000"/>
          <w:sz w:val="24"/>
        </w:rPr>
        <w:t>云南省卫生厅关于印发《2006年云南省医疗废物行政执法检查实施方案》的通知</w:t>
      </w:r>
      <w:r>
        <w:rPr>
          <w:rFonts w:hint="eastAsia" w:ascii="宋体" w:hAnsi="宋体"/>
          <w:color w:val="000000"/>
          <w:sz w:val="24"/>
        </w:rPr>
        <w:t>，</w:t>
      </w:r>
      <w:r>
        <w:rPr>
          <w:rFonts w:ascii="宋体" w:hAnsi="宋体"/>
          <w:color w:val="000000"/>
          <w:sz w:val="24"/>
        </w:rPr>
        <w:t>《云南省卫生厅云南省环保局关于进一步加强医疗废物管理的通知》(云卫发(2005)742号)文件精神，</w:t>
      </w:r>
      <w:r>
        <w:rPr>
          <w:rFonts w:hint="eastAsia" w:ascii="宋体" w:hAnsi="宋体"/>
          <w:color w:val="000000"/>
          <w:sz w:val="24"/>
        </w:rPr>
        <w:t>医疗废物的收集、处置。并签订医疗废物收集、处理服务协议，按收费标准交纳医疗废物过渡处置费。医疗废物首先由各医疗机构自备自备专用贮存箱、包装袋或利器盒将本单位产生的医疗废物收集后暂存；</w:t>
      </w:r>
      <w:r>
        <w:rPr>
          <w:color w:val="000000"/>
          <w:sz w:val="24"/>
        </w:rPr>
        <w:t>有资质的</w:t>
      </w:r>
      <w:r>
        <w:rPr>
          <w:rFonts w:hint="eastAsia"/>
          <w:color w:val="000000"/>
          <w:sz w:val="24"/>
        </w:rPr>
        <w:t>相关</w:t>
      </w:r>
      <w:r>
        <w:rPr>
          <w:color w:val="000000"/>
          <w:sz w:val="24"/>
        </w:rPr>
        <w:t>单位</w:t>
      </w:r>
      <w:r>
        <w:rPr>
          <w:rFonts w:hint="eastAsia" w:ascii="宋体" w:hAnsi="宋体"/>
          <w:color w:val="000000"/>
          <w:sz w:val="24"/>
        </w:rPr>
        <w:t>自备收集车辆，采取定时、定点方式，按确定的时间、路线到给医疗机构收集。</w:t>
      </w:r>
    </w:p>
    <w:p w14:paraId="56D1751E">
      <w:pPr>
        <w:spacing w:line="360" w:lineRule="auto"/>
        <w:ind w:firstLine="482"/>
        <w:rPr>
          <w:rFonts w:hint="eastAsia" w:ascii="宋体" w:hAnsi="宋体"/>
          <w:color w:val="000000"/>
          <w:sz w:val="24"/>
        </w:rPr>
      </w:pPr>
      <w:r>
        <w:rPr>
          <w:rFonts w:hint="eastAsia" w:ascii="宋体" w:hAnsi="宋体"/>
          <w:color w:val="000000"/>
          <w:sz w:val="24"/>
        </w:rPr>
        <w:t>医疗废物中病原体的培养基、标本和菌种、毒种保存液等高危险废物，在交医疗废物集中处置单位处置前就地消毒。</w:t>
      </w:r>
    </w:p>
    <w:p w14:paraId="4923272F">
      <w:pPr>
        <w:spacing w:line="360" w:lineRule="auto"/>
        <w:ind w:firstLine="482"/>
        <w:rPr>
          <w:rFonts w:hint="eastAsia" w:ascii="宋体" w:hAnsi="宋体"/>
          <w:color w:val="000000"/>
          <w:sz w:val="24"/>
        </w:rPr>
      </w:pPr>
      <w:r>
        <w:rPr>
          <w:rFonts w:hint="eastAsia" w:ascii="宋体" w:hAnsi="宋体"/>
          <w:color w:val="000000"/>
          <w:sz w:val="24"/>
        </w:rPr>
        <w:t>另外，院内医疗废物的产生、收集、暂存与管理是医疗废物妥善处理处置的重要环节，必须高度重视。对本项目来说，项目产生的医疗废物将严格按照《医疗废物管理条例》的规定进行分类包装、标识；包装必须使用专用的容器进行包装。医院对医疗废物的管理须严格执行《医疗废物管理条例》，及时收集本单位产生的医疗废物，并按照类别分置于防渗漏、防锐器穿透的专用包装物或者密闭的容器内。医疗废物专用包装物、容器，应当有明显的警示标识和警示说明。</w:t>
      </w:r>
    </w:p>
    <w:p w14:paraId="4178185E">
      <w:pPr>
        <w:spacing w:line="360" w:lineRule="auto"/>
        <w:ind w:firstLine="482"/>
        <w:rPr>
          <w:rFonts w:hint="eastAsia" w:ascii="宋体" w:hAnsi="宋体"/>
          <w:color w:val="000000"/>
          <w:sz w:val="24"/>
        </w:rPr>
      </w:pPr>
      <w:r>
        <w:rPr>
          <w:rFonts w:hint="eastAsia" w:ascii="宋体" w:hAnsi="宋体"/>
          <w:color w:val="000000"/>
          <w:sz w:val="24"/>
        </w:rPr>
        <w:t>医疗废物暂时贮存时间不得</w:t>
      </w:r>
      <w:r>
        <w:rPr>
          <w:rFonts w:ascii="宋体" w:hAnsi="宋体"/>
          <w:color w:val="000000"/>
          <w:sz w:val="24"/>
        </w:rPr>
        <w:t>超过</w:t>
      </w:r>
      <w:r>
        <w:rPr>
          <w:rFonts w:hint="eastAsia" w:ascii="宋体" w:hAnsi="宋体"/>
          <w:color w:val="000000"/>
          <w:sz w:val="24"/>
        </w:rPr>
        <w:t>2</w:t>
      </w:r>
      <w:r>
        <w:rPr>
          <w:rFonts w:ascii="宋体" w:hAnsi="宋体"/>
          <w:color w:val="000000"/>
          <w:sz w:val="24"/>
        </w:rPr>
        <w:t>天。</w:t>
      </w:r>
      <w:r>
        <w:rPr>
          <w:rFonts w:hint="eastAsia" w:ascii="宋体" w:hAnsi="宋体"/>
          <w:color w:val="000000"/>
          <w:sz w:val="24"/>
        </w:rPr>
        <w:t>医疗废物的暂时贮存设施、设备，应当远离医疗区、食品加工区和人员活动区以及生活垃圾存放场所，并设置明显的警示标识和防渗漏、防鼠、防蚊蝇、防蟑螂、防盗以及预防儿童接触等安全措施。医疗废物的暂时贮存设施、设备应当定期消毒和清洁，必须满足《危险废物贮存污染控制标准》（GB18597-2001）。</w:t>
      </w:r>
    </w:p>
    <w:p w14:paraId="37DBC91D">
      <w:pPr>
        <w:spacing w:line="360" w:lineRule="auto"/>
        <w:ind w:firstLine="480"/>
        <w:rPr>
          <w:rFonts w:hint="eastAsia"/>
          <w:color w:val="000000"/>
          <w:sz w:val="24"/>
        </w:rPr>
      </w:pPr>
      <w:bookmarkStart w:id="471" w:name="_Toc240180219"/>
      <w:bookmarkStart w:id="472" w:name="_Toc241905009"/>
      <w:r>
        <w:rPr>
          <w:rFonts w:hint="eastAsia"/>
          <w:color w:val="000000"/>
          <w:sz w:val="24"/>
        </w:rPr>
        <w:t>（4）污泥处理</w:t>
      </w:r>
      <w:bookmarkEnd w:id="471"/>
      <w:bookmarkEnd w:id="472"/>
    </w:p>
    <w:p w14:paraId="506139C9">
      <w:pPr>
        <w:spacing w:line="360" w:lineRule="auto"/>
        <w:ind w:firstLine="482"/>
        <w:rPr>
          <w:rFonts w:hint="eastAsia" w:ascii="宋体" w:hAnsi="宋体"/>
          <w:color w:val="000000"/>
          <w:sz w:val="24"/>
        </w:rPr>
      </w:pPr>
      <w:r>
        <w:rPr>
          <w:rFonts w:hint="eastAsia" w:ascii="宋体" w:hAnsi="宋体"/>
          <w:color w:val="000000"/>
          <w:sz w:val="24"/>
        </w:rPr>
        <w:t>项目产生的污泥有污水处理站污泥、化粪池污泥。</w:t>
      </w:r>
    </w:p>
    <w:p w14:paraId="75E8BB87">
      <w:pPr>
        <w:spacing w:line="360" w:lineRule="auto"/>
        <w:ind w:firstLine="482"/>
        <w:rPr>
          <w:rFonts w:hint="eastAsia" w:ascii="宋体" w:hAnsi="宋体"/>
          <w:color w:val="000000"/>
          <w:sz w:val="24"/>
        </w:rPr>
      </w:pPr>
      <w:r>
        <w:rPr>
          <w:rFonts w:hint="eastAsia" w:ascii="宋体" w:hAnsi="宋体"/>
          <w:color w:val="000000"/>
          <w:sz w:val="24"/>
        </w:rPr>
        <w:t>按照国家环保总局《国家危险废物名录》，医院污水处理站污泥属于危险废物，应交由</w:t>
      </w:r>
      <w:r>
        <w:rPr>
          <w:color w:val="000000"/>
          <w:sz w:val="24"/>
        </w:rPr>
        <w:t>有资质的</w:t>
      </w:r>
      <w:r>
        <w:rPr>
          <w:rFonts w:hint="eastAsia"/>
          <w:color w:val="000000"/>
          <w:sz w:val="24"/>
        </w:rPr>
        <w:t>相关</w:t>
      </w:r>
      <w:r>
        <w:rPr>
          <w:color w:val="000000"/>
          <w:sz w:val="24"/>
        </w:rPr>
        <w:t>单位</w:t>
      </w:r>
      <w:r>
        <w:rPr>
          <w:rFonts w:hint="eastAsia" w:ascii="宋体" w:hAnsi="宋体"/>
          <w:color w:val="000000"/>
          <w:sz w:val="24"/>
        </w:rPr>
        <w:t>处置。</w:t>
      </w:r>
    </w:p>
    <w:p w14:paraId="3121BC8F">
      <w:pPr>
        <w:spacing w:line="360" w:lineRule="auto"/>
        <w:ind w:firstLine="482"/>
        <w:rPr>
          <w:rFonts w:hint="eastAsia" w:ascii="宋体" w:hAnsi="宋体"/>
          <w:color w:val="000000"/>
          <w:sz w:val="24"/>
        </w:rPr>
      </w:pPr>
      <w:r>
        <w:rPr>
          <w:rFonts w:hint="eastAsia" w:ascii="宋体" w:hAnsi="宋体"/>
          <w:color w:val="000000"/>
          <w:sz w:val="24"/>
        </w:rPr>
        <w:t xml:space="preserve"> 医院医疗区和病区的化粪池产生的污泥含有致病菌，因此，应采取一定的处理措施。可在其厕所按每10床位每日投放含有效氯25%的漂白粉1克，分3-4次投入。最佳投放时间可选择在使用厕所高峰期末，投放的漂白粉随流水冲入化粪池内，对减少废水及污泥中的病菌的影响有较好的作用。经消毒预处理后清掏前，须进行细菌学指标的检测，达到相关指标后，方可清掏、处置。</w:t>
      </w:r>
    </w:p>
    <w:p w14:paraId="395C7519">
      <w:pPr>
        <w:spacing w:line="360" w:lineRule="auto"/>
        <w:ind w:firstLine="482"/>
        <w:rPr>
          <w:rFonts w:hint="eastAsia" w:ascii="宋体" w:hAnsi="宋体"/>
          <w:color w:val="000000"/>
          <w:sz w:val="24"/>
        </w:rPr>
      </w:pPr>
      <w:r>
        <w:rPr>
          <w:rFonts w:hint="eastAsia" w:ascii="宋体" w:hAnsi="宋体"/>
          <w:color w:val="000000"/>
          <w:sz w:val="24"/>
        </w:rPr>
        <w:t>活性炭使用后统一由厂家回收再利用。</w:t>
      </w:r>
    </w:p>
    <w:p w14:paraId="78857D48">
      <w:pPr>
        <w:spacing w:line="360" w:lineRule="auto"/>
        <w:ind w:firstLine="482"/>
        <w:rPr>
          <w:rFonts w:hint="eastAsia" w:ascii="宋体" w:hAnsi="宋体"/>
          <w:color w:val="000000"/>
          <w:sz w:val="24"/>
        </w:rPr>
      </w:pPr>
      <w:r>
        <w:rPr>
          <w:rFonts w:hint="eastAsia" w:ascii="宋体" w:hAnsi="宋体"/>
          <w:color w:val="000000"/>
          <w:sz w:val="24"/>
        </w:rPr>
        <w:t>通过上述分析，只要按照有关的法律、法规、规范进行操作，建设项目产生的固体废物均能得到妥善处理处置，对周围环境影响很小。</w:t>
      </w:r>
    </w:p>
    <w:p w14:paraId="3D373593">
      <w:pPr>
        <w:pStyle w:val="183"/>
        <w:ind w:firstLine="472"/>
        <w:rPr>
          <w:rFonts w:hint="eastAsia" w:ascii="仿宋_GB2312" w:eastAsia="仿宋_GB2312"/>
          <w:color w:val="000000"/>
          <w:sz w:val="24"/>
          <w:szCs w:val="24"/>
        </w:rPr>
      </w:pPr>
      <w:bookmarkStart w:id="473" w:name="_Toc495500108"/>
      <w:bookmarkStart w:id="474" w:name="_Toc217711366"/>
      <w:bookmarkStart w:id="475" w:name="_Toc425954289"/>
      <w:r>
        <w:rPr>
          <w:rFonts w:hint="eastAsia" w:ascii="仿宋_GB2312" w:eastAsia="仿宋_GB2312"/>
          <w:color w:val="000000"/>
          <w:sz w:val="24"/>
          <w:szCs w:val="24"/>
        </w:rPr>
        <w:t>6.2.6辐射源污染影响分析</w:t>
      </w:r>
      <w:bookmarkEnd w:id="473"/>
      <w:bookmarkEnd w:id="474"/>
      <w:bookmarkEnd w:id="475"/>
    </w:p>
    <w:p w14:paraId="245E5270">
      <w:pPr>
        <w:spacing w:line="360" w:lineRule="auto"/>
        <w:ind w:firstLine="480"/>
        <w:rPr>
          <w:rFonts w:hint="eastAsia" w:ascii="宋体" w:hAnsi="宋体"/>
          <w:color w:val="000000"/>
          <w:sz w:val="24"/>
        </w:rPr>
      </w:pPr>
      <w:r>
        <w:rPr>
          <w:rFonts w:hint="eastAsia" w:ascii="宋体" w:hAnsi="宋体"/>
          <w:color w:val="000000"/>
          <w:sz w:val="24"/>
        </w:rPr>
        <w:t>项目内辐射物质的影响应另委托有资质的单位进行评价。本评价不包括此部分内容。</w:t>
      </w:r>
    </w:p>
    <w:p w14:paraId="7D9C3231">
      <w:pPr>
        <w:pStyle w:val="181"/>
        <w:rPr>
          <w:rFonts w:eastAsia="仿宋_GB2312"/>
          <w:color w:val="000000"/>
          <w:sz w:val="30"/>
          <w:szCs w:val="30"/>
        </w:rPr>
      </w:pPr>
      <w:bookmarkStart w:id="476" w:name="_Toc217800846"/>
      <w:bookmarkEnd w:id="476"/>
      <w:r>
        <w:rPr>
          <w:rFonts w:hint="eastAsia" w:eastAsia="仿宋_GB2312"/>
          <w:color w:val="000000"/>
          <w:sz w:val="30"/>
          <w:szCs w:val="30"/>
        </w:rPr>
        <w:br w:type="page" w:clear="all"/>
      </w:r>
      <w:bookmarkStart w:id="477" w:name="_Toc495500109"/>
      <w:r>
        <w:rPr>
          <w:rFonts w:eastAsia="仿宋_GB2312"/>
          <w:color w:val="000000"/>
          <w:sz w:val="30"/>
          <w:szCs w:val="30"/>
        </w:rPr>
        <w:t>7、环境风险影响评价专题</w:t>
      </w:r>
      <w:bookmarkEnd w:id="477"/>
    </w:p>
    <w:p w14:paraId="484F034B">
      <w:pPr>
        <w:pStyle w:val="182"/>
        <w:ind w:firstLine="275"/>
        <w:rPr>
          <w:rFonts w:hint="eastAsia" w:ascii="仿宋_GB2312" w:eastAsia="仿宋_GB2312"/>
          <w:color w:val="000000"/>
          <w:sz w:val="28"/>
          <w:szCs w:val="28"/>
        </w:rPr>
      </w:pPr>
      <w:bookmarkStart w:id="478" w:name="_Toc425954291"/>
      <w:bookmarkStart w:id="479" w:name="_Toc495500110"/>
      <w:r>
        <w:rPr>
          <w:rFonts w:hint="eastAsia" w:ascii="仿宋_GB2312" w:eastAsia="仿宋_GB2312"/>
          <w:color w:val="000000"/>
          <w:sz w:val="28"/>
          <w:szCs w:val="28"/>
        </w:rPr>
        <w:t>7.1风险分析</w:t>
      </w:r>
      <w:bookmarkEnd w:id="478"/>
      <w:bookmarkEnd w:id="479"/>
    </w:p>
    <w:p w14:paraId="5B39E4F2">
      <w:pPr>
        <w:pStyle w:val="197"/>
        <w:spacing w:after="0" w:line="360" w:lineRule="auto"/>
        <w:ind w:left="0" w:firstLine="600"/>
        <w:rPr>
          <w:rFonts w:hint="eastAsia"/>
          <w:color w:val="000000"/>
          <w:sz w:val="24"/>
        </w:rPr>
      </w:pPr>
      <w:r>
        <w:rPr>
          <w:rFonts w:hint="eastAsia"/>
          <w:color w:val="000000"/>
          <w:sz w:val="24"/>
        </w:rPr>
        <w:t>根据前面工程分析，项目属于综合性医院。其风险主要包括：管理疏漏，造成药品或实验用品的外泄，对保健院内及人群健康将造成影响；院内的医疗废物管理不善，出现与一般固体废弃物混装或散落污染院内环境，或在运输过程中滴漏、挥发和散落等，对所涉及区域的空气、地表水、土壤及人群健康将造成影响；为空调过滤置换系统出现故障，停止运行，可能会导致病区的空气得不到及时的更换，使病区的含病菌气体对病人及医护人员造成影响，也可能造成一些呼吸类传染病的交叉传播。液氧储罐大量氧气泄漏可能引起的爆炸的危险、氧气管线破裂。污水处理站故障造成污水事故性排放。</w:t>
      </w:r>
    </w:p>
    <w:p w14:paraId="251B7A63">
      <w:pPr>
        <w:pStyle w:val="182"/>
        <w:ind w:firstLine="275"/>
        <w:rPr>
          <w:rFonts w:hint="eastAsia" w:ascii="仿宋_GB2312" w:eastAsia="仿宋_GB2312"/>
          <w:color w:val="000000"/>
          <w:sz w:val="28"/>
          <w:szCs w:val="28"/>
        </w:rPr>
      </w:pPr>
      <w:bookmarkStart w:id="480" w:name="_Toc425954292"/>
      <w:bookmarkStart w:id="481" w:name="_Toc495500111"/>
      <w:r>
        <w:rPr>
          <w:rFonts w:hint="eastAsia" w:ascii="仿宋_GB2312" w:eastAsia="仿宋_GB2312"/>
          <w:color w:val="000000"/>
          <w:sz w:val="28"/>
          <w:szCs w:val="28"/>
        </w:rPr>
        <w:t>7.2环境风险源及防范措施</w:t>
      </w:r>
      <w:bookmarkEnd w:id="480"/>
      <w:bookmarkEnd w:id="481"/>
    </w:p>
    <w:p w14:paraId="72248150">
      <w:pPr>
        <w:pStyle w:val="221"/>
        <w:spacing w:after="0" w:line="360" w:lineRule="auto"/>
        <w:ind w:left="0" w:firstLine="480"/>
        <w:rPr>
          <w:rFonts w:hint="eastAsia" w:ascii="宋体" w:hAnsi="宋体"/>
          <w:color w:val="000000"/>
          <w:sz w:val="24"/>
        </w:rPr>
      </w:pPr>
      <w:r>
        <w:rPr>
          <w:rFonts w:hint="eastAsia" w:ascii="宋体" w:hAnsi="宋体"/>
          <w:color w:val="000000"/>
          <w:sz w:val="24"/>
        </w:rPr>
        <w:t>为了降低风险或让风险降低到可接受的范围内，需对医院在整个营运过程的风险产生和防治有明确的认识，避免和减轻其产生的风险影响措施主要有：</w:t>
      </w:r>
    </w:p>
    <w:p w14:paraId="38ACF46C">
      <w:pPr>
        <w:pStyle w:val="183"/>
        <w:ind w:firstLine="472"/>
        <w:rPr>
          <w:rFonts w:hint="eastAsia" w:ascii="仿宋_GB2312" w:eastAsia="仿宋_GB2312"/>
          <w:color w:val="000000"/>
          <w:sz w:val="24"/>
          <w:szCs w:val="24"/>
        </w:rPr>
      </w:pPr>
      <w:bookmarkStart w:id="482" w:name="_Toc425954293"/>
      <w:bookmarkStart w:id="483" w:name="_Toc495500112"/>
      <w:r>
        <w:rPr>
          <w:rFonts w:hint="eastAsia" w:ascii="仿宋_GB2312" w:eastAsia="仿宋_GB2312"/>
          <w:color w:val="000000"/>
          <w:sz w:val="24"/>
          <w:szCs w:val="24"/>
        </w:rPr>
        <w:t>7.2.1管理疏漏，防止药品或实验用品的外泄</w:t>
      </w:r>
      <w:bookmarkEnd w:id="482"/>
      <w:bookmarkEnd w:id="483"/>
    </w:p>
    <w:p w14:paraId="189F0A0D">
      <w:pPr>
        <w:pStyle w:val="221"/>
        <w:spacing w:after="0" w:line="360" w:lineRule="auto"/>
        <w:ind w:left="0" w:firstLine="480"/>
        <w:rPr>
          <w:rFonts w:hint="eastAsia" w:ascii="宋体" w:hAnsi="宋体"/>
          <w:color w:val="000000"/>
          <w:sz w:val="24"/>
        </w:rPr>
      </w:pPr>
      <w:r>
        <w:rPr>
          <w:rFonts w:hint="eastAsia" w:ascii="宋体" w:hAnsi="宋体"/>
          <w:color w:val="000000"/>
          <w:sz w:val="24"/>
        </w:rPr>
        <w:t>在日常管理中发生疏漏，则可能造成一些有毒、有害、腐蚀性的药品或实验用品发生外泄，将会对空气、地表水、土壤及人体造成伤害。因此主要是加强对实验室药品的管理，签订责任书，定期进行药物种类及贮存情况的核查，明确药品的数量及现状，并将过期的药品及时送至相关处置部门，严禁乱堆乱倒。</w:t>
      </w:r>
    </w:p>
    <w:p w14:paraId="5805255E">
      <w:pPr>
        <w:pStyle w:val="183"/>
        <w:ind w:firstLine="472"/>
        <w:rPr>
          <w:rFonts w:hint="eastAsia" w:ascii="仿宋_GB2312" w:eastAsia="仿宋_GB2312"/>
          <w:color w:val="000000"/>
          <w:sz w:val="24"/>
          <w:szCs w:val="24"/>
        </w:rPr>
      </w:pPr>
      <w:bookmarkStart w:id="484" w:name="_Toc425954294"/>
      <w:bookmarkStart w:id="485" w:name="_Toc495500113"/>
      <w:r>
        <w:rPr>
          <w:rFonts w:hint="eastAsia" w:ascii="仿宋_GB2312" w:eastAsia="仿宋_GB2312"/>
          <w:color w:val="000000"/>
          <w:sz w:val="24"/>
          <w:szCs w:val="24"/>
        </w:rPr>
        <w:t>7.2.2医疗废物管理不当</w:t>
      </w:r>
      <w:bookmarkEnd w:id="484"/>
      <w:bookmarkEnd w:id="485"/>
    </w:p>
    <w:p w14:paraId="1A6C0648">
      <w:pPr>
        <w:pStyle w:val="221"/>
        <w:spacing w:after="0" w:line="360" w:lineRule="auto"/>
        <w:ind w:left="0" w:firstLine="480"/>
        <w:rPr>
          <w:rFonts w:hint="eastAsia" w:ascii="宋体" w:hAnsi="宋体"/>
          <w:color w:val="000000"/>
          <w:sz w:val="24"/>
        </w:rPr>
      </w:pPr>
      <w:r>
        <w:rPr>
          <w:rFonts w:hint="eastAsia" w:ascii="宋体" w:hAnsi="宋体"/>
          <w:color w:val="000000"/>
          <w:sz w:val="24"/>
        </w:rPr>
        <w:t>医疗废物的管理主要包括二个方面，一为收集、毁形和消毒，二为院内安全堆存及清运。</w:t>
      </w:r>
    </w:p>
    <w:p w14:paraId="2FEE10A8">
      <w:pPr>
        <w:pStyle w:val="221"/>
        <w:spacing w:after="0" w:line="360" w:lineRule="auto"/>
        <w:ind w:left="0" w:firstLine="480"/>
        <w:rPr>
          <w:rFonts w:hint="eastAsia" w:ascii="宋体" w:hAnsi="宋体"/>
          <w:color w:val="000000"/>
          <w:sz w:val="24"/>
        </w:rPr>
      </w:pPr>
      <w:r>
        <w:rPr>
          <w:rFonts w:hint="eastAsia" w:ascii="宋体" w:hAnsi="宋体"/>
          <w:color w:val="000000"/>
          <w:sz w:val="24"/>
        </w:rPr>
        <w:t>（1）医院内的医疗废物需由各科室进行收集，并对部分需进行毁形和消毒，与一般生活垃圾区分收集，由专人定时收集送至院内的医疗废物存放点，对于收集的废物需按不同形态采用不同容积收集，并保证其密封性；在医院内堆存医疗废物时，需设置单独的收集贮存间，同时需做到防雨、防渗漏。项目的医疗废物的处置、收集、暂存与管理必须严格按照《医疗废物管理条例》、《医疗卫生机构医疗废物管理办法》和《危险废物转移联单管理办法》的要求执行，并建立医疗废物收集和转运制度，实行医疗废物转移联单管理，确保医疗废物在医院内的完全收集及清运。</w:t>
      </w:r>
    </w:p>
    <w:p w14:paraId="2151E767">
      <w:pPr>
        <w:pStyle w:val="221"/>
        <w:spacing w:after="0" w:line="360" w:lineRule="auto"/>
        <w:ind w:left="0" w:firstLine="480"/>
        <w:rPr>
          <w:rFonts w:hint="eastAsia" w:ascii="宋体" w:hAnsi="宋体"/>
          <w:color w:val="000000"/>
          <w:sz w:val="24"/>
        </w:rPr>
      </w:pPr>
      <w:r>
        <w:rPr>
          <w:rFonts w:hint="eastAsia" w:ascii="宋体" w:hAnsi="宋体"/>
          <w:color w:val="000000"/>
          <w:sz w:val="24"/>
        </w:rPr>
        <w:t>（2）病房、门诊、检验、医技、实验等环节产生的医疗废物，带有传染病原体，应按规定先进行消毒处理，处理后按照类别置于防渗漏、防锐器穿透的专用包装物或密闭容器中，送入设置的封闭式污物间临时暂存。</w:t>
      </w:r>
    </w:p>
    <w:p w14:paraId="476F0503">
      <w:pPr>
        <w:pStyle w:val="221"/>
        <w:spacing w:after="0" w:line="360" w:lineRule="auto"/>
        <w:ind w:left="0" w:firstLine="480"/>
        <w:rPr>
          <w:rFonts w:hint="eastAsia" w:ascii="宋体" w:hAnsi="宋体"/>
          <w:color w:val="000000"/>
          <w:sz w:val="24"/>
        </w:rPr>
      </w:pPr>
      <w:r>
        <w:rPr>
          <w:rFonts w:hint="eastAsia" w:ascii="宋体" w:hAnsi="宋体"/>
          <w:color w:val="000000"/>
          <w:sz w:val="24"/>
        </w:rPr>
        <w:t>（3）病区生活垃圾可能带有传染病病原体，应按医疗废物进行收集、管理和处置，病区生活垃圾收集筒标记医疗废物标记，由专人用防渗漏、防锐器穿透的专用包装物包装后送暂存库贮存，并对垃圾桶定期消毒。</w:t>
      </w:r>
    </w:p>
    <w:p w14:paraId="622EA5B1">
      <w:pPr>
        <w:pStyle w:val="221"/>
        <w:spacing w:after="0" w:line="360" w:lineRule="auto"/>
        <w:ind w:left="0" w:firstLine="480"/>
        <w:rPr>
          <w:rFonts w:hint="eastAsia" w:ascii="宋体" w:hAnsi="宋体"/>
          <w:color w:val="000000"/>
          <w:sz w:val="24"/>
        </w:rPr>
      </w:pPr>
      <w:r>
        <w:rPr>
          <w:rFonts w:hint="eastAsia" w:ascii="宋体" w:hAnsi="宋体"/>
          <w:color w:val="000000"/>
          <w:sz w:val="24"/>
        </w:rPr>
        <w:t>（4）配套建设的医疗废物外送暂存库，库址选择应远离医疗区、餐厅和人员活动区，按防渗规范进行防渗处理，设置警示标志和防鼠、防蚊蝇、防盗以及预防儿童接触等安全措施，定期消毒清洁，有专人负责管理。</w:t>
      </w:r>
    </w:p>
    <w:p w14:paraId="43B94966">
      <w:pPr>
        <w:pStyle w:val="221"/>
        <w:spacing w:after="0" w:line="360" w:lineRule="auto"/>
        <w:ind w:left="0" w:firstLine="480"/>
        <w:rPr>
          <w:rFonts w:hint="eastAsia" w:ascii="宋体" w:hAnsi="宋体"/>
          <w:color w:val="000000"/>
          <w:sz w:val="24"/>
        </w:rPr>
      </w:pPr>
      <w:r>
        <w:rPr>
          <w:rFonts w:hint="eastAsia" w:ascii="宋体" w:hAnsi="宋体"/>
          <w:color w:val="000000"/>
          <w:sz w:val="24"/>
        </w:rPr>
        <w:t>（5）污物间应按规范消毒，消毒产生的废水必须收集后经管道送处理含病菌污水的污水处理系统，污物间必须按规定设置标志，有专人负责管理。</w:t>
      </w:r>
    </w:p>
    <w:p w14:paraId="066201F8">
      <w:pPr>
        <w:pStyle w:val="221"/>
        <w:spacing w:after="0" w:line="360" w:lineRule="auto"/>
        <w:ind w:left="0" w:firstLine="480"/>
        <w:rPr>
          <w:rFonts w:hint="eastAsia" w:ascii="宋体" w:hAnsi="宋体"/>
          <w:color w:val="000000"/>
          <w:sz w:val="24"/>
        </w:rPr>
      </w:pPr>
      <w:r>
        <w:rPr>
          <w:rFonts w:hint="eastAsia" w:ascii="宋体" w:hAnsi="宋体"/>
          <w:color w:val="000000"/>
          <w:sz w:val="24"/>
        </w:rPr>
        <w:t>（6）本项目的含病菌废水的污水处理污泥为间断产生，成分复杂，按医疗废物处置，设计应配置三防暂存池，三防为防渗、防雨、防流失，设置警示标志和防鼠、防蚊蝇以及预防儿童接触等安全措施，定期消毒清洁，产生的废水返回污水处理站处理，有专人负责管理。</w:t>
      </w:r>
    </w:p>
    <w:p w14:paraId="75742E25">
      <w:pPr>
        <w:pStyle w:val="221"/>
        <w:spacing w:after="0" w:line="360" w:lineRule="auto"/>
        <w:ind w:left="0" w:firstLine="480"/>
        <w:rPr>
          <w:rFonts w:hint="eastAsia" w:ascii="宋体" w:hAnsi="宋体"/>
          <w:color w:val="000000"/>
          <w:sz w:val="24"/>
        </w:rPr>
      </w:pPr>
      <w:r>
        <w:rPr>
          <w:rFonts w:hint="eastAsia" w:ascii="宋体" w:hAnsi="宋体"/>
          <w:color w:val="000000"/>
          <w:sz w:val="24"/>
        </w:rPr>
        <w:t>（7）设置专门机构或人员负责本项目医疗废物的收集、运送、贮存、消毒及管理，上岗人员必须按要求进行培训，并定期进行检查。</w:t>
      </w:r>
    </w:p>
    <w:p w14:paraId="7FB7C706">
      <w:pPr>
        <w:pStyle w:val="221"/>
        <w:spacing w:after="0" w:line="360" w:lineRule="auto"/>
        <w:ind w:left="0" w:firstLine="480"/>
        <w:rPr>
          <w:rFonts w:hint="eastAsia" w:ascii="宋体" w:hAnsi="宋体"/>
          <w:color w:val="000000"/>
          <w:sz w:val="24"/>
        </w:rPr>
      </w:pPr>
      <w:r>
        <w:rPr>
          <w:rFonts w:hint="eastAsia" w:ascii="宋体" w:hAnsi="宋体"/>
          <w:color w:val="000000"/>
          <w:sz w:val="24"/>
        </w:rPr>
        <w:t>目前德宏州危废处置中心已建成，并投入运行。因此项目运行前须与该中心联系，并签订医疗废物的清运、处理合同，确保产生的医疗废物全部得到合理的处置。这样，项目产生的医疗废物产生的风险较小。</w:t>
      </w:r>
    </w:p>
    <w:p w14:paraId="70F547AB">
      <w:pPr>
        <w:pStyle w:val="183"/>
        <w:ind w:firstLine="472"/>
        <w:rPr>
          <w:rFonts w:hint="eastAsia" w:ascii="宋体" w:hAnsi="宋体"/>
          <w:color w:val="000000"/>
          <w:sz w:val="24"/>
        </w:rPr>
      </w:pPr>
      <w:bookmarkStart w:id="486" w:name="_Toc425954295"/>
      <w:bookmarkStart w:id="487" w:name="_Toc495500114"/>
      <w:r>
        <w:rPr>
          <w:rFonts w:hint="eastAsia" w:ascii="仿宋_GB2312" w:eastAsia="仿宋_GB2312"/>
          <w:color w:val="000000"/>
          <w:sz w:val="24"/>
          <w:szCs w:val="24"/>
        </w:rPr>
        <w:t>7.2.3空调系统出现故障</w:t>
      </w:r>
      <w:bookmarkEnd w:id="486"/>
      <w:bookmarkEnd w:id="487"/>
    </w:p>
    <w:p w14:paraId="02E2BA19">
      <w:pPr>
        <w:pStyle w:val="221"/>
        <w:spacing w:after="0" w:line="360" w:lineRule="auto"/>
        <w:ind w:left="0" w:firstLine="480"/>
        <w:rPr>
          <w:rFonts w:hint="eastAsia" w:ascii="宋体" w:hAnsi="宋体"/>
          <w:color w:val="000000"/>
          <w:sz w:val="24"/>
        </w:rPr>
      </w:pPr>
      <w:r>
        <w:rPr>
          <w:rFonts w:hint="eastAsia" w:ascii="宋体" w:hAnsi="宋体"/>
          <w:color w:val="000000"/>
          <w:sz w:val="24"/>
        </w:rPr>
        <w:t>对于空调系统出现的故障事故，主要是采取措施，降低事故的发生及影响。医院的空调系统过滤装置必须定期消毒，防止出现交叉感染。同时加强对空调系统的日常维护与维修。</w:t>
      </w:r>
    </w:p>
    <w:p w14:paraId="548F320A">
      <w:pPr>
        <w:pStyle w:val="183"/>
        <w:ind w:firstLine="472"/>
        <w:rPr>
          <w:rFonts w:hint="eastAsia" w:ascii="仿宋_GB2312" w:eastAsia="仿宋_GB2312"/>
          <w:color w:val="000000"/>
          <w:sz w:val="24"/>
          <w:szCs w:val="24"/>
        </w:rPr>
      </w:pPr>
      <w:bookmarkStart w:id="488" w:name="_Toc425954296"/>
      <w:bookmarkStart w:id="489" w:name="_Toc495500115"/>
      <w:r>
        <w:rPr>
          <w:rFonts w:hint="eastAsia" w:ascii="仿宋_GB2312" w:eastAsia="仿宋_GB2312"/>
          <w:color w:val="000000"/>
          <w:sz w:val="24"/>
          <w:szCs w:val="24"/>
        </w:rPr>
        <w:t>7.2.4供氧系统的风险</w:t>
      </w:r>
      <w:bookmarkEnd w:id="488"/>
      <w:bookmarkEnd w:id="489"/>
    </w:p>
    <w:p w14:paraId="782055AB">
      <w:pPr>
        <w:pStyle w:val="221"/>
        <w:spacing w:after="0" w:line="360" w:lineRule="auto"/>
        <w:ind w:left="0" w:firstLine="480"/>
        <w:rPr>
          <w:rFonts w:ascii="宋体" w:hAnsi="宋体"/>
          <w:color w:val="000000"/>
          <w:sz w:val="24"/>
        </w:rPr>
      </w:pPr>
      <w:r>
        <w:rPr>
          <w:rFonts w:hint="eastAsia" w:ascii="宋体" w:hAnsi="宋体"/>
          <w:color w:val="000000"/>
          <w:sz w:val="24"/>
        </w:rPr>
        <w:t>氧的化学性质非常活泼，是强烈的氧化剂和助燃剂，本身并不具备可燃性。氧经压缩后，在输送的过程中，如有油脂、氧化铁屑或小粒燃烧物（煤粉、炭粒或有机纤维）存在，随着气流运动与管壁或机体发生磨擦、撞击，会产生大量磨擦热，导致管道、机器燃烧。或者由于管道中阀门急骤打开，阀后气体产生接近于绝热压缩的温度，使管道或阀门燃烧。被氧气饱和的衣服及其它有机纺织品与火种接触，会立即着火。被液态氧浸渍的多孔有机物，当引火或给以一定力量的撞击时，则会发生爆炸事故。液态氧经过长期弱的放电，变成深蓝色的液态臭氧，臭氧容易爆炸。可见，供氧站存在环境风险较小，主要是高浓度的氧作为氧化剂导致其他物品的燃烧，从而引起爆炸，但只要加强通风，氧气很快就会稀释扩散，氧气本身并不存在环境风险。</w:t>
      </w:r>
    </w:p>
    <w:p w14:paraId="16AEB16C">
      <w:pPr>
        <w:pStyle w:val="221"/>
        <w:spacing w:after="0" w:line="360" w:lineRule="auto"/>
        <w:ind w:left="0" w:firstLine="480"/>
        <w:rPr>
          <w:rFonts w:hint="eastAsia" w:ascii="宋体" w:hAnsi="宋体"/>
          <w:color w:val="000000"/>
          <w:sz w:val="24"/>
        </w:rPr>
      </w:pPr>
      <w:r>
        <w:rPr>
          <w:rFonts w:hint="eastAsia" w:ascii="宋体" w:hAnsi="宋体"/>
          <w:color w:val="000000"/>
          <w:sz w:val="24"/>
        </w:rPr>
        <w:t>防范措施：设置明显的警示牌，</w:t>
      </w:r>
      <w:r>
        <w:rPr>
          <w:rFonts w:ascii="宋体" w:hAnsi="宋体"/>
          <w:color w:val="000000"/>
          <w:sz w:val="24"/>
        </w:rPr>
        <w:t>非工作人员不准进入室内</w:t>
      </w:r>
      <w:r>
        <w:rPr>
          <w:rFonts w:hint="eastAsia" w:ascii="宋体" w:hAnsi="宋体"/>
          <w:color w:val="000000"/>
          <w:sz w:val="24"/>
        </w:rPr>
        <w:t>；</w:t>
      </w:r>
      <w:r>
        <w:rPr>
          <w:rFonts w:ascii="宋体" w:hAnsi="宋体"/>
          <w:color w:val="000000"/>
          <w:sz w:val="24"/>
        </w:rPr>
        <w:t>室内禁止使用家用电器如电加热器，电扇等电器</w:t>
      </w:r>
      <w:r>
        <w:rPr>
          <w:rFonts w:hint="eastAsia" w:ascii="宋体" w:hAnsi="宋体"/>
          <w:color w:val="000000"/>
          <w:sz w:val="24"/>
        </w:rPr>
        <w:t>；</w:t>
      </w:r>
      <w:r>
        <w:rPr>
          <w:rFonts w:ascii="宋体" w:hAnsi="宋体"/>
          <w:color w:val="000000"/>
          <w:sz w:val="24"/>
        </w:rPr>
        <w:t>室内严禁烟火，严禁将火柴、打火机、易爆物品带入室内</w:t>
      </w:r>
      <w:r>
        <w:rPr>
          <w:rFonts w:hint="eastAsia" w:ascii="宋体" w:hAnsi="宋体"/>
          <w:color w:val="000000"/>
          <w:sz w:val="24"/>
        </w:rPr>
        <w:t>；</w:t>
      </w:r>
      <w:r>
        <w:rPr>
          <w:rFonts w:ascii="宋体" w:hAnsi="宋体"/>
          <w:color w:val="000000"/>
          <w:sz w:val="24"/>
        </w:rPr>
        <w:t>严禁在室内存放乙醚，汽油和一切带油的物质</w:t>
      </w:r>
      <w:r>
        <w:rPr>
          <w:rFonts w:hint="eastAsia" w:ascii="宋体" w:hAnsi="宋体"/>
          <w:color w:val="000000"/>
          <w:sz w:val="24"/>
        </w:rPr>
        <w:t>；</w:t>
      </w:r>
      <w:r>
        <w:rPr>
          <w:rFonts w:ascii="宋体" w:hAnsi="宋体"/>
          <w:color w:val="000000"/>
          <w:sz w:val="24"/>
        </w:rPr>
        <w:t>定期检查并调节室内的氧浓度。（氧的浓度不得超过25％）</w:t>
      </w:r>
      <w:r>
        <w:rPr>
          <w:rFonts w:hint="eastAsia" w:ascii="宋体" w:hAnsi="宋体"/>
          <w:color w:val="000000"/>
          <w:sz w:val="24"/>
        </w:rPr>
        <w:t>；</w:t>
      </w:r>
      <w:r>
        <w:rPr>
          <w:rFonts w:ascii="宋体" w:hAnsi="宋体"/>
          <w:color w:val="000000"/>
          <w:sz w:val="24"/>
        </w:rPr>
        <w:t>定期检查并调节室内的湿度。（相对湿度宜在30％-35％范围内）</w:t>
      </w:r>
      <w:r>
        <w:rPr>
          <w:rFonts w:hint="eastAsia" w:ascii="宋体" w:hAnsi="宋体"/>
          <w:color w:val="000000"/>
          <w:sz w:val="24"/>
        </w:rPr>
        <w:t>；与氧气接触的</w:t>
      </w:r>
      <w:r>
        <w:rPr>
          <w:rFonts w:ascii="宋体" w:hAnsi="宋体"/>
          <w:color w:val="000000"/>
          <w:sz w:val="24"/>
        </w:rPr>
        <w:t>工作人员不得穿腈纶、化纤服装，头发长的应当加湿</w:t>
      </w:r>
      <w:r>
        <w:rPr>
          <w:rFonts w:hint="eastAsia" w:ascii="宋体" w:hAnsi="宋体"/>
          <w:color w:val="000000"/>
          <w:sz w:val="24"/>
        </w:rPr>
        <w:t>。</w:t>
      </w:r>
    </w:p>
    <w:p w14:paraId="1DD21B02">
      <w:pPr>
        <w:pStyle w:val="183"/>
        <w:ind w:firstLine="472"/>
        <w:rPr>
          <w:rFonts w:hint="eastAsia" w:ascii="仿宋_GB2312" w:eastAsia="仿宋_GB2312"/>
          <w:color w:val="000000"/>
          <w:sz w:val="24"/>
          <w:szCs w:val="24"/>
        </w:rPr>
      </w:pPr>
      <w:bookmarkStart w:id="490" w:name="_Toc495500116"/>
      <w:bookmarkStart w:id="491" w:name="_Toc425954297"/>
      <w:r>
        <w:rPr>
          <w:rFonts w:hint="eastAsia" w:ascii="仿宋_GB2312" w:eastAsia="仿宋_GB2312"/>
          <w:color w:val="000000"/>
          <w:sz w:val="24"/>
          <w:szCs w:val="24"/>
        </w:rPr>
        <w:t>7.2.5二氧化氯</w:t>
      </w:r>
      <w:bookmarkEnd w:id="490"/>
      <w:bookmarkEnd w:id="491"/>
    </w:p>
    <w:p w14:paraId="741DB3D5">
      <w:pPr>
        <w:pStyle w:val="221"/>
        <w:spacing w:after="0" w:line="360" w:lineRule="auto"/>
        <w:ind w:left="0" w:firstLine="480"/>
        <w:rPr>
          <w:rFonts w:hint="eastAsia" w:ascii="宋体" w:hAnsi="宋体"/>
          <w:color w:val="000000"/>
          <w:sz w:val="24"/>
        </w:rPr>
      </w:pPr>
      <w:r>
        <w:rPr>
          <w:rFonts w:hint="eastAsia" w:ascii="宋体" w:hAnsi="宋体"/>
          <w:color w:val="000000"/>
          <w:sz w:val="24"/>
        </w:rPr>
        <w:t>（1）二氧化氯的理化性质</w:t>
      </w:r>
    </w:p>
    <w:p w14:paraId="2E8DB6FB">
      <w:pPr>
        <w:pStyle w:val="221"/>
        <w:spacing w:after="0" w:line="360" w:lineRule="auto"/>
        <w:ind w:left="0" w:firstLine="480"/>
        <w:rPr>
          <w:rFonts w:ascii="宋体" w:hAnsi="宋体"/>
          <w:color w:val="000000"/>
          <w:sz w:val="24"/>
        </w:rPr>
      </w:pPr>
      <w:r>
        <w:rPr>
          <w:rFonts w:ascii="宋体" w:hAnsi="宋体"/>
          <w:color w:val="000000"/>
          <w:sz w:val="24"/>
        </w:rPr>
        <w:t>本项目污水处理设施选择二氧化氯消毒工艺对医院废水进行消毒，二氧化氯具有高效氧化剂、消毒剂以及漂白剂的功能。作为强化氧化剂，它所氧化的产物中无有机氯化物；作为消毒剂，它具有广谱性的消毒效果。其二氧化氯理化性质及危险特性见表7.</w:t>
      </w:r>
      <w:r>
        <w:rPr>
          <w:rFonts w:hint="eastAsia" w:ascii="宋体" w:hAnsi="宋体"/>
          <w:color w:val="000000"/>
          <w:sz w:val="24"/>
        </w:rPr>
        <w:t>2-1</w:t>
      </w:r>
      <w:r>
        <w:rPr>
          <w:rFonts w:ascii="宋体" w:hAnsi="宋体"/>
          <w:color w:val="000000"/>
          <w:sz w:val="24"/>
        </w:rPr>
        <w:t>。</w:t>
      </w:r>
    </w:p>
    <w:p w14:paraId="555D4342">
      <w:pPr>
        <w:pStyle w:val="307"/>
        <w:rPr>
          <w:color w:val="000000"/>
        </w:rPr>
      </w:pPr>
      <w:r>
        <w:rPr>
          <w:color w:val="000000"/>
        </w:rPr>
        <w:t>表7.</w:t>
      </w:r>
      <w:r>
        <w:rPr>
          <w:rFonts w:hint="eastAsia"/>
          <w:color w:val="000000"/>
        </w:rPr>
        <w:t>2-1</w:t>
      </w:r>
      <w:r>
        <w:rPr>
          <w:color w:val="000000"/>
        </w:rPr>
        <w:t xml:space="preserve">  二氧化氯理化性质</w:t>
      </w:r>
    </w:p>
    <w:tbl>
      <w:tblPr>
        <w:tblStyle w:val="27"/>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188"/>
        <w:gridCol w:w="2658"/>
        <w:gridCol w:w="1233"/>
        <w:gridCol w:w="3336"/>
      </w:tblGrid>
      <w:tr w14:paraId="7C5055F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188" w:type="dxa"/>
            <w:noWrap w:val="0"/>
            <w:vAlign w:val="center"/>
          </w:tcPr>
          <w:p w14:paraId="5A1D11EE">
            <w:pPr>
              <w:spacing w:line="400" w:lineRule="exact"/>
              <w:jc w:val="center"/>
              <w:rPr>
                <w:color w:val="000000"/>
                <w:szCs w:val="21"/>
              </w:rPr>
            </w:pPr>
            <w:r>
              <w:rPr>
                <w:rFonts w:hAnsi="宋体"/>
                <w:color w:val="000000"/>
                <w:szCs w:val="21"/>
              </w:rPr>
              <w:t>中文名称</w:t>
            </w:r>
          </w:p>
        </w:tc>
        <w:tc>
          <w:tcPr>
            <w:tcW w:w="2658" w:type="dxa"/>
            <w:noWrap w:val="0"/>
            <w:vAlign w:val="center"/>
          </w:tcPr>
          <w:p w14:paraId="1195E41A">
            <w:pPr>
              <w:spacing w:line="400" w:lineRule="exact"/>
              <w:jc w:val="center"/>
              <w:rPr>
                <w:color w:val="000000"/>
                <w:szCs w:val="21"/>
              </w:rPr>
            </w:pPr>
            <w:r>
              <w:rPr>
                <w:rFonts w:hAnsi="宋体"/>
                <w:color w:val="000000"/>
                <w:szCs w:val="21"/>
              </w:rPr>
              <w:t>二氧化氯</w:t>
            </w:r>
          </w:p>
        </w:tc>
        <w:tc>
          <w:tcPr>
            <w:tcW w:w="1233" w:type="dxa"/>
            <w:noWrap w:val="0"/>
            <w:vAlign w:val="center"/>
          </w:tcPr>
          <w:p w14:paraId="4D241A53">
            <w:pPr>
              <w:spacing w:line="400" w:lineRule="exact"/>
              <w:jc w:val="center"/>
              <w:rPr>
                <w:color w:val="000000"/>
                <w:szCs w:val="21"/>
              </w:rPr>
            </w:pPr>
            <w:r>
              <w:rPr>
                <w:rFonts w:hAnsi="宋体"/>
                <w:color w:val="000000"/>
                <w:szCs w:val="21"/>
              </w:rPr>
              <w:t>英文名称</w:t>
            </w:r>
          </w:p>
        </w:tc>
        <w:tc>
          <w:tcPr>
            <w:tcW w:w="3336" w:type="dxa"/>
            <w:noWrap w:val="0"/>
            <w:vAlign w:val="center"/>
          </w:tcPr>
          <w:p w14:paraId="508F73D3">
            <w:pPr>
              <w:spacing w:line="400" w:lineRule="exact"/>
              <w:rPr>
                <w:color w:val="000000"/>
                <w:spacing w:val="-12"/>
                <w:szCs w:val="21"/>
              </w:rPr>
            </w:pPr>
            <w:r>
              <w:rPr>
                <w:color w:val="000000"/>
                <w:spacing w:val="-12"/>
                <w:szCs w:val="21"/>
              </w:rPr>
              <w:t>Cholrine dioxide/Chlorine oxide</w:t>
            </w:r>
          </w:p>
        </w:tc>
      </w:tr>
      <w:tr w14:paraId="6880AB5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188" w:type="dxa"/>
            <w:noWrap w:val="0"/>
            <w:vAlign w:val="center"/>
          </w:tcPr>
          <w:p w14:paraId="4AC786B5">
            <w:pPr>
              <w:spacing w:line="400" w:lineRule="exact"/>
              <w:jc w:val="center"/>
              <w:rPr>
                <w:color w:val="000000"/>
                <w:szCs w:val="21"/>
              </w:rPr>
            </w:pPr>
            <w:r>
              <w:rPr>
                <w:rFonts w:hAnsi="宋体"/>
                <w:color w:val="000000"/>
                <w:szCs w:val="21"/>
              </w:rPr>
              <w:t>别名</w:t>
            </w:r>
          </w:p>
        </w:tc>
        <w:tc>
          <w:tcPr>
            <w:tcW w:w="2658" w:type="dxa"/>
            <w:noWrap w:val="0"/>
            <w:vAlign w:val="center"/>
          </w:tcPr>
          <w:p w14:paraId="618D9EA9">
            <w:pPr>
              <w:spacing w:line="400" w:lineRule="exact"/>
              <w:jc w:val="center"/>
              <w:rPr>
                <w:color w:val="000000"/>
                <w:szCs w:val="21"/>
              </w:rPr>
            </w:pPr>
            <w:r>
              <w:rPr>
                <w:color w:val="000000"/>
                <w:szCs w:val="21"/>
              </w:rPr>
              <w:t>——</w:t>
            </w:r>
          </w:p>
        </w:tc>
        <w:tc>
          <w:tcPr>
            <w:tcW w:w="1233" w:type="dxa"/>
            <w:noWrap w:val="0"/>
            <w:vAlign w:val="center"/>
          </w:tcPr>
          <w:p w14:paraId="03D76FC8">
            <w:pPr>
              <w:spacing w:line="400" w:lineRule="exact"/>
              <w:jc w:val="center"/>
              <w:rPr>
                <w:color w:val="000000"/>
                <w:szCs w:val="21"/>
              </w:rPr>
            </w:pPr>
            <w:r>
              <w:rPr>
                <w:rFonts w:hAnsi="宋体"/>
                <w:color w:val="000000"/>
                <w:szCs w:val="21"/>
              </w:rPr>
              <w:t>国标编号</w:t>
            </w:r>
          </w:p>
        </w:tc>
        <w:tc>
          <w:tcPr>
            <w:tcW w:w="3336" w:type="dxa"/>
            <w:noWrap w:val="0"/>
            <w:vAlign w:val="center"/>
          </w:tcPr>
          <w:p w14:paraId="72EC9C9A">
            <w:pPr>
              <w:spacing w:line="400" w:lineRule="exact"/>
              <w:jc w:val="center"/>
              <w:rPr>
                <w:color w:val="000000"/>
                <w:szCs w:val="21"/>
              </w:rPr>
            </w:pPr>
            <w:r>
              <w:rPr>
                <w:color w:val="000000"/>
                <w:szCs w:val="21"/>
              </w:rPr>
              <w:t>——</w:t>
            </w:r>
          </w:p>
        </w:tc>
      </w:tr>
      <w:tr w14:paraId="14D9DAE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188" w:type="dxa"/>
            <w:noWrap w:val="0"/>
            <w:vAlign w:val="center"/>
          </w:tcPr>
          <w:p w14:paraId="5B42CC8B">
            <w:pPr>
              <w:spacing w:line="400" w:lineRule="exact"/>
              <w:jc w:val="center"/>
              <w:rPr>
                <w:color w:val="000000"/>
                <w:szCs w:val="21"/>
              </w:rPr>
            </w:pPr>
            <w:r>
              <w:rPr>
                <w:rFonts w:hAnsi="宋体"/>
                <w:color w:val="000000"/>
                <w:szCs w:val="21"/>
              </w:rPr>
              <w:t>分子式</w:t>
            </w:r>
          </w:p>
        </w:tc>
        <w:tc>
          <w:tcPr>
            <w:tcW w:w="2658" w:type="dxa"/>
            <w:noWrap w:val="0"/>
            <w:vAlign w:val="center"/>
          </w:tcPr>
          <w:p w14:paraId="3FDD68FE">
            <w:pPr>
              <w:spacing w:line="400" w:lineRule="exact"/>
              <w:jc w:val="center"/>
              <w:rPr>
                <w:color w:val="000000"/>
                <w:szCs w:val="21"/>
              </w:rPr>
            </w:pPr>
            <w:r>
              <w:rPr>
                <w:color w:val="000000"/>
                <w:szCs w:val="21"/>
              </w:rPr>
              <w:t>ClO</w:t>
            </w:r>
            <w:r>
              <w:rPr>
                <w:color w:val="000000"/>
                <w:szCs w:val="21"/>
                <w:vertAlign w:val="subscript"/>
              </w:rPr>
              <w:t>2</w:t>
            </w:r>
          </w:p>
        </w:tc>
        <w:tc>
          <w:tcPr>
            <w:tcW w:w="1233" w:type="dxa"/>
            <w:noWrap w:val="0"/>
            <w:vAlign w:val="center"/>
          </w:tcPr>
          <w:p w14:paraId="09B46874">
            <w:pPr>
              <w:spacing w:line="400" w:lineRule="exact"/>
              <w:jc w:val="center"/>
              <w:rPr>
                <w:color w:val="000000"/>
                <w:szCs w:val="21"/>
              </w:rPr>
            </w:pPr>
            <w:r>
              <w:rPr>
                <w:rFonts w:hAnsi="宋体"/>
                <w:color w:val="000000"/>
                <w:szCs w:val="21"/>
              </w:rPr>
              <w:t>外观与性状</w:t>
            </w:r>
          </w:p>
        </w:tc>
        <w:tc>
          <w:tcPr>
            <w:tcW w:w="3336" w:type="dxa"/>
            <w:noWrap w:val="0"/>
            <w:vAlign w:val="center"/>
          </w:tcPr>
          <w:p w14:paraId="1D2F8137">
            <w:pPr>
              <w:spacing w:line="400" w:lineRule="exact"/>
              <w:jc w:val="center"/>
              <w:rPr>
                <w:color w:val="000000"/>
                <w:szCs w:val="21"/>
              </w:rPr>
            </w:pPr>
            <w:r>
              <w:rPr>
                <w:rFonts w:hAnsi="宋体"/>
                <w:color w:val="000000"/>
                <w:szCs w:val="21"/>
              </w:rPr>
              <w:t>黄绿色或黄红色气体，有刺激性气味，能沿地面扩散，一般稀释为</w:t>
            </w:r>
            <w:r>
              <w:rPr>
                <w:color w:val="000000"/>
                <w:szCs w:val="21"/>
              </w:rPr>
              <w:t>10%</w:t>
            </w:r>
            <w:r>
              <w:rPr>
                <w:rFonts w:hAnsi="宋体"/>
                <w:color w:val="000000"/>
                <w:szCs w:val="21"/>
              </w:rPr>
              <w:t>以下的溶液使用、贮存</w:t>
            </w:r>
          </w:p>
        </w:tc>
      </w:tr>
      <w:tr w14:paraId="3925FF0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188" w:type="dxa"/>
            <w:noWrap w:val="0"/>
            <w:vAlign w:val="center"/>
          </w:tcPr>
          <w:p w14:paraId="0EF8AA21">
            <w:pPr>
              <w:spacing w:line="400" w:lineRule="exact"/>
              <w:jc w:val="center"/>
              <w:rPr>
                <w:color w:val="000000"/>
                <w:szCs w:val="21"/>
              </w:rPr>
            </w:pPr>
            <w:r>
              <w:rPr>
                <w:rFonts w:hAnsi="宋体"/>
                <w:color w:val="000000"/>
                <w:szCs w:val="21"/>
              </w:rPr>
              <w:t>分子量</w:t>
            </w:r>
          </w:p>
        </w:tc>
        <w:tc>
          <w:tcPr>
            <w:tcW w:w="2658" w:type="dxa"/>
            <w:noWrap w:val="0"/>
            <w:vAlign w:val="center"/>
          </w:tcPr>
          <w:p w14:paraId="1A05019A">
            <w:pPr>
              <w:spacing w:line="400" w:lineRule="exact"/>
              <w:jc w:val="center"/>
              <w:rPr>
                <w:color w:val="000000"/>
                <w:szCs w:val="21"/>
              </w:rPr>
            </w:pPr>
            <w:r>
              <w:rPr>
                <w:color w:val="000000"/>
                <w:szCs w:val="21"/>
              </w:rPr>
              <w:t>67.45</w:t>
            </w:r>
          </w:p>
        </w:tc>
        <w:tc>
          <w:tcPr>
            <w:tcW w:w="1233" w:type="dxa"/>
            <w:noWrap w:val="0"/>
            <w:vAlign w:val="center"/>
          </w:tcPr>
          <w:p w14:paraId="63421741">
            <w:pPr>
              <w:spacing w:line="400" w:lineRule="exact"/>
              <w:jc w:val="center"/>
              <w:rPr>
                <w:color w:val="000000"/>
                <w:szCs w:val="21"/>
              </w:rPr>
            </w:pPr>
            <w:r>
              <w:rPr>
                <w:rFonts w:hAnsi="宋体"/>
                <w:color w:val="000000"/>
                <w:szCs w:val="21"/>
              </w:rPr>
              <w:t>沸</w:t>
            </w:r>
            <w:r>
              <w:rPr>
                <w:color w:val="000000"/>
                <w:szCs w:val="21"/>
              </w:rPr>
              <w:t xml:space="preserve">  </w:t>
            </w:r>
            <w:r>
              <w:rPr>
                <w:rFonts w:hAnsi="宋体"/>
                <w:color w:val="000000"/>
                <w:szCs w:val="21"/>
              </w:rPr>
              <w:t>点</w:t>
            </w:r>
          </w:p>
        </w:tc>
        <w:tc>
          <w:tcPr>
            <w:tcW w:w="3336" w:type="dxa"/>
            <w:noWrap w:val="0"/>
            <w:vAlign w:val="center"/>
          </w:tcPr>
          <w:p w14:paraId="1A30AF6C">
            <w:pPr>
              <w:spacing w:line="400" w:lineRule="exact"/>
              <w:jc w:val="center"/>
              <w:rPr>
                <w:color w:val="000000"/>
                <w:szCs w:val="21"/>
              </w:rPr>
            </w:pPr>
            <w:r>
              <w:rPr>
                <w:color w:val="000000"/>
                <w:szCs w:val="21"/>
              </w:rPr>
              <w:t>9.9</w:t>
            </w:r>
            <w:r>
              <w:rPr>
                <w:rFonts w:hAnsi="宋体"/>
                <w:color w:val="000000"/>
                <w:szCs w:val="21"/>
              </w:rPr>
              <w:t>℃</w:t>
            </w:r>
            <w:r>
              <w:rPr>
                <w:color w:val="000000"/>
                <w:szCs w:val="21"/>
              </w:rPr>
              <w:t>/97.2kPa(</w:t>
            </w:r>
            <w:r>
              <w:rPr>
                <w:rFonts w:hAnsi="宋体"/>
                <w:color w:val="000000"/>
                <w:szCs w:val="21"/>
              </w:rPr>
              <w:t>爆炸</w:t>
            </w:r>
            <w:r>
              <w:rPr>
                <w:color w:val="000000"/>
                <w:szCs w:val="21"/>
              </w:rPr>
              <w:t>)</w:t>
            </w:r>
          </w:p>
        </w:tc>
      </w:tr>
      <w:tr w14:paraId="76B18D1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188" w:type="dxa"/>
            <w:noWrap w:val="0"/>
            <w:vAlign w:val="center"/>
          </w:tcPr>
          <w:p w14:paraId="257C572F">
            <w:pPr>
              <w:spacing w:line="400" w:lineRule="exact"/>
              <w:jc w:val="center"/>
              <w:rPr>
                <w:color w:val="000000"/>
                <w:szCs w:val="21"/>
              </w:rPr>
            </w:pPr>
            <w:r>
              <w:rPr>
                <w:rFonts w:hAnsi="宋体"/>
                <w:color w:val="000000"/>
                <w:szCs w:val="21"/>
              </w:rPr>
              <w:t>熔点</w:t>
            </w:r>
          </w:p>
        </w:tc>
        <w:tc>
          <w:tcPr>
            <w:tcW w:w="2658" w:type="dxa"/>
            <w:noWrap w:val="0"/>
            <w:vAlign w:val="center"/>
          </w:tcPr>
          <w:p w14:paraId="372EDB8C">
            <w:pPr>
              <w:spacing w:line="400" w:lineRule="exact"/>
              <w:jc w:val="center"/>
              <w:rPr>
                <w:color w:val="000000"/>
                <w:szCs w:val="21"/>
              </w:rPr>
            </w:pPr>
            <w:r>
              <w:rPr>
                <w:color w:val="000000"/>
                <w:szCs w:val="21"/>
              </w:rPr>
              <w:t>-59</w:t>
            </w:r>
            <w:r>
              <w:rPr>
                <w:rFonts w:hAnsi="宋体"/>
                <w:color w:val="000000"/>
                <w:szCs w:val="21"/>
              </w:rPr>
              <w:t>℃</w:t>
            </w:r>
            <w:r>
              <w:rPr>
                <w:color w:val="000000"/>
                <w:szCs w:val="21"/>
              </w:rPr>
              <w:t xml:space="preserve"> </w:t>
            </w:r>
          </w:p>
        </w:tc>
        <w:tc>
          <w:tcPr>
            <w:tcW w:w="1233" w:type="dxa"/>
            <w:noWrap w:val="0"/>
            <w:vAlign w:val="center"/>
          </w:tcPr>
          <w:p w14:paraId="55CF7274">
            <w:pPr>
              <w:spacing w:line="400" w:lineRule="exact"/>
              <w:jc w:val="center"/>
              <w:rPr>
                <w:color w:val="000000"/>
                <w:szCs w:val="21"/>
              </w:rPr>
            </w:pPr>
            <w:r>
              <w:rPr>
                <w:rFonts w:hAnsi="宋体"/>
                <w:color w:val="000000"/>
                <w:szCs w:val="21"/>
              </w:rPr>
              <w:t>溶解性</w:t>
            </w:r>
          </w:p>
        </w:tc>
        <w:tc>
          <w:tcPr>
            <w:tcW w:w="3336" w:type="dxa"/>
            <w:noWrap w:val="0"/>
            <w:vAlign w:val="center"/>
          </w:tcPr>
          <w:p w14:paraId="7D0ED5D0">
            <w:pPr>
              <w:spacing w:line="400" w:lineRule="exact"/>
              <w:jc w:val="center"/>
              <w:rPr>
                <w:color w:val="000000"/>
                <w:szCs w:val="21"/>
              </w:rPr>
            </w:pPr>
            <w:r>
              <w:rPr>
                <w:rFonts w:hAnsi="宋体"/>
                <w:color w:val="000000"/>
                <w:szCs w:val="21"/>
              </w:rPr>
              <w:t>不溶于水</w:t>
            </w:r>
          </w:p>
        </w:tc>
      </w:tr>
      <w:tr w14:paraId="4069D6A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188" w:type="dxa"/>
            <w:noWrap w:val="0"/>
            <w:vAlign w:val="center"/>
          </w:tcPr>
          <w:p w14:paraId="6CBFB702">
            <w:pPr>
              <w:spacing w:line="400" w:lineRule="exact"/>
              <w:jc w:val="center"/>
              <w:rPr>
                <w:color w:val="000000"/>
                <w:szCs w:val="21"/>
              </w:rPr>
            </w:pPr>
            <w:r>
              <w:rPr>
                <w:rFonts w:hAnsi="宋体"/>
                <w:color w:val="000000"/>
                <w:szCs w:val="21"/>
              </w:rPr>
              <w:t>密度</w:t>
            </w:r>
          </w:p>
        </w:tc>
        <w:tc>
          <w:tcPr>
            <w:tcW w:w="2658" w:type="dxa"/>
            <w:noWrap w:val="0"/>
            <w:vAlign w:val="center"/>
          </w:tcPr>
          <w:p w14:paraId="08E9F82D">
            <w:pPr>
              <w:spacing w:line="400" w:lineRule="exact"/>
              <w:jc w:val="center"/>
              <w:rPr>
                <w:color w:val="000000"/>
                <w:szCs w:val="21"/>
              </w:rPr>
            </w:pPr>
            <w:r>
              <w:rPr>
                <w:rFonts w:hAnsi="宋体"/>
                <w:color w:val="000000"/>
                <w:szCs w:val="21"/>
              </w:rPr>
              <w:t>相对密度</w:t>
            </w:r>
            <w:r>
              <w:rPr>
                <w:color w:val="000000"/>
                <w:szCs w:val="21"/>
              </w:rPr>
              <w:t>(</w:t>
            </w:r>
            <w:r>
              <w:rPr>
                <w:rFonts w:hAnsi="宋体"/>
                <w:color w:val="000000"/>
                <w:szCs w:val="21"/>
              </w:rPr>
              <w:t>水</w:t>
            </w:r>
            <w:r>
              <w:rPr>
                <w:color w:val="000000"/>
                <w:szCs w:val="21"/>
              </w:rPr>
              <w:t>=1)3.09(11</w:t>
            </w:r>
            <w:r>
              <w:rPr>
                <w:rFonts w:hAnsi="宋体"/>
                <w:color w:val="000000"/>
                <w:szCs w:val="21"/>
              </w:rPr>
              <w:t>℃</w:t>
            </w:r>
            <w:r>
              <w:rPr>
                <w:color w:val="000000"/>
                <w:szCs w:val="21"/>
              </w:rPr>
              <w:t>)</w:t>
            </w:r>
            <w:r>
              <w:rPr>
                <w:rFonts w:hAnsi="宋体"/>
                <w:color w:val="000000"/>
                <w:szCs w:val="21"/>
              </w:rPr>
              <w:t>；相对密度</w:t>
            </w:r>
            <w:r>
              <w:rPr>
                <w:color w:val="000000"/>
                <w:szCs w:val="21"/>
              </w:rPr>
              <w:t>(</w:t>
            </w:r>
            <w:r>
              <w:rPr>
                <w:rFonts w:hAnsi="宋体"/>
                <w:color w:val="000000"/>
                <w:szCs w:val="21"/>
              </w:rPr>
              <w:t>空气</w:t>
            </w:r>
            <w:r>
              <w:rPr>
                <w:color w:val="000000"/>
                <w:szCs w:val="21"/>
              </w:rPr>
              <w:t>=1)2.3</w:t>
            </w:r>
          </w:p>
        </w:tc>
        <w:tc>
          <w:tcPr>
            <w:tcW w:w="1233" w:type="dxa"/>
            <w:noWrap w:val="0"/>
            <w:vAlign w:val="center"/>
          </w:tcPr>
          <w:p w14:paraId="78AA19D2">
            <w:pPr>
              <w:spacing w:line="400" w:lineRule="exact"/>
              <w:jc w:val="center"/>
              <w:rPr>
                <w:color w:val="000000"/>
                <w:szCs w:val="21"/>
              </w:rPr>
            </w:pPr>
            <w:r>
              <w:rPr>
                <w:rFonts w:hAnsi="宋体"/>
                <w:color w:val="000000"/>
                <w:szCs w:val="21"/>
              </w:rPr>
              <w:t>稳定性</w:t>
            </w:r>
          </w:p>
        </w:tc>
        <w:tc>
          <w:tcPr>
            <w:tcW w:w="3336" w:type="dxa"/>
            <w:noWrap w:val="0"/>
            <w:vAlign w:val="center"/>
          </w:tcPr>
          <w:p w14:paraId="149766C3">
            <w:pPr>
              <w:spacing w:line="400" w:lineRule="exact"/>
              <w:jc w:val="center"/>
              <w:rPr>
                <w:color w:val="000000"/>
                <w:szCs w:val="21"/>
              </w:rPr>
            </w:pPr>
            <w:r>
              <w:rPr>
                <w:rFonts w:hAnsi="宋体"/>
                <w:color w:val="000000"/>
                <w:szCs w:val="21"/>
              </w:rPr>
              <w:t>不稳定</w:t>
            </w:r>
          </w:p>
        </w:tc>
      </w:tr>
      <w:tr w14:paraId="4E9C73B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188" w:type="dxa"/>
            <w:noWrap w:val="0"/>
            <w:vAlign w:val="center"/>
          </w:tcPr>
          <w:p w14:paraId="3CC669DB">
            <w:pPr>
              <w:spacing w:line="400" w:lineRule="exact"/>
              <w:jc w:val="center"/>
              <w:rPr>
                <w:color w:val="000000"/>
                <w:szCs w:val="21"/>
              </w:rPr>
            </w:pPr>
            <w:r>
              <w:rPr>
                <w:rFonts w:hAnsi="宋体"/>
                <w:color w:val="000000"/>
                <w:szCs w:val="21"/>
              </w:rPr>
              <w:t>危险标记</w:t>
            </w:r>
          </w:p>
        </w:tc>
        <w:tc>
          <w:tcPr>
            <w:tcW w:w="2658" w:type="dxa"/>
            <w:noWrap w:val="0"/>
            <w:vAlign w:val="center"/>
          </w:tcPr>
          <w:p w14:paraId="69937E2F">
            <w:pPr>
              <w:spacing w:line="400" w:lineRule="exact"/>
              <w:jc w:val="center"/>
              <w:rPr>
                <w:color w:val="000000"/>
                <w:szCs w:val="21"/>
              </w:rPr>
            </w:pPr>
            <w:r>
              <w:rPr>
                <w:color w:val="000000"/>
                <w:szCs w:val="21"/>
              </w:rPr>
              <w:t>——</w:t>
            </w:r>
          </w:p>
        </w:tc>
        <w:tc>
          <w:tcPr>
            <w:tcW w:w="1233" w:type="dxa"/>
            <w:noWrap w:val="0"/>
            <w:vAlign w:val="center"/>
          </w:tcPr>
          <w:p w14:paraId="277AC74B">
            <w:pPr>
              <w:spacing w:line="400" w:lineRule="exact"/>
              <w:jc w:val="center"/>
              <w:rPr>
                <w:color w:val="000000"/>
                <w:szCs w:val="21"/>
              </w:rPr>
            </w:pPr>
            <w:r>
              <w:rPr>
                <w:rFonts w:hAnsi="宋体"/>
                <w:color w:val="000000"/>
                <w:szCs w:val="21"/>
              </w:rPr>
              <w:t>主要用途</w:t>
            </w:r>
          </w:p>
        </w:tc>
        <w:tc>
          <w:tcPr>
            <w:tcW w:w="3336" w:type="dxa"/>
            <w:noWrap w:val="0"/>
            <w:vAlign w:val="center"/>
          </w:tcPr>
          <w:p w14:paraId="550E369D">
            <w:pPr>
              <w:spacing w:line="400" w:lineRule="exact"/>
              <w:jc w:val="center"/>
              <w:rPr>
                <w:color w:val="000000"/>
                <w:szCs w:val="21"/>
              </w:rPr>
            </w:pPr>
            <w:r>
              <w:rPr>
                <w:rFonts w:hAnsi="宋体"/>
                <w:color w:val="000000"/>
                <w:szCs w:val="21"/>
              </w:rPr>
              <w:t>用作漂白剂、除臭剂、氧化剂等</w:t>
            </w:r>
          </w:p>
        </w:tc>
      </w:tr>
    </w:tbl>
    <w:p w14:paraId="29781561">
      <w:pPr>
        <w:pStyle w:val="221"/>
        <w:spacing w:after="0" w:line="360" w:lineRule="auto"/>
        <w:ind w:left="0" w:firstLine="480"/>
        <w:rPr>
          <w:rFonts w:hint="eastAsia" w:ascii="宋体" w:hAnsi="宋体"/>
          <w:color w:val="000000"/>
          <w:sz w:val="24"/>
        </w:rPr>
      </w:pPr>
      <w:r>
        <w:rPr>
          <w:rFonts w:ascii="宋体" w:hAnsi="宋体"/>
          <w:color w:val="000000"/>
          <w:sz w:val="24"/>
        </w:rPr>
        <w:t>稳定性二氧化氯溶液将二氧化氯气体溶解于含有碳酸钠、过碳酸钠、硼酸钠、过硼酸钠等稳定剂中，通常浓度在10%以内的一种无色无味透明水溶液，不易燃，不挥发，稳定性二氧化氯不具有杀菌能力，只有通过活化（酸化）反应使溶液中的二氧化氯重新释放出来才具有强烈杀菌能力，经活化后的2%水溶液pH值呈酸性，比重1.03 -1.04 （20°C），水溶液呈浅黄色，活化后溶液不稳定，存放一天含量即可下降80%[16]，因此宜现配现用。</w:t>
      </w:r>
    </w:p>
    <w:p w14:paraId="619CA90A">
      <w:pPr>
        <w:pStyle w:val="221"/>
        <w:spacing w:after="0" w:line="360" w:lineRule="auto"/>
        <w:ind w:left="0" w:firstLine="480"/>
        <w:rPr>
          <w:rFonts w:ascii="宋体" w:hAnsi="宋体"/>
          <w:color w:val="000000"/>
          <w:sz w:val="24"/>
        </w:rPr>
      </w:pPr>
      <w:r>
        <w:rPr>
          <w:rFonts w:hint="eastAsia" w:ascii="宋体" w:hAnsi="宋体"/>
          <w:color w:val="000000"/>
          <w:sz w:val="24"/>
        </w:rPr>
        <w:t>（2）</w:t>
      </w:r>
      <w:r>
        <w:rPr>
          <w:rFonts w:ascii="宋体" w:hAnsi="宋体"/>
          <w:color w:val="000000"/>
          <w:sz w:val="24"/>
        </w:rPr>
        <w:t>对环境的影响</w:t>
      </w:r>
    </w:p>
    <w:p w14:paraId="076B586F">
      <w:pPr>
        <w:pStyle w:val="221"/>
        <w:spacing w:after="0" w:line="360" w:lineRule="auto"/>
        <w:ind w:left="0" w:firstLine="480"/>
        <w:rPr>
          <w:rFonts w:ascii="宋体" w:hAnsi="宋体"/>
          <w:color w:val="000000"/>
          <w:sz w:val="24"/>
        </w:rPr>
      </w:pPr>
      <w:r>
        <w:rPr>
          <w:rFonts w:hint="eastAsia" w:ascii="宋体" w:hAnsi="宋体"/>
          <w:color w:val="000000"/>
          <w:sz w:val="24"/>
        </w:rPr>
        <w:t>①</w:t>
      </w:r>
      <w:r>
        <w:rPr>
          <w:rFonts w:ascii="宋体" w:hAnsi="宋体"/>
          <w:color w:val="000000"/>
          <w:sz w:val="24"/>
        </w:rPr>
        <w:t>健康危害</w:t>
      </w:r>
    </w:p>
    <w:p w14:paraId="17D64E0E">
      <w:pPr>
        <w:pStyle w:val="221"/>
        <w:spacing w:after="0" w:line="360" w:lineRule="auto"/>
        <w:ind w:left="0" w:firstLine="480"/>
        <w:rPr>
          <w:rFonts w:ascii="宋体" w:hAnsi="宋体"/>
          <w:color w:val="000000"/>
          <w:sz w:val="24"/>
        </w:rPr>
      </w:pPr>
      <w:r>
        <w:rPr>
          <w:rFonts w:ascii="宋体" w:hAnsi="宋体"/>
          <w:color w:val="000000"/>
          <w:sz w:val="24"/>
        </w:rPr>
        <w:t>侵入途径：吸入、食入。</w:t>
      </w:r>
    </w:p>
    <w:p w14:paraId="2FF5CDF4">
      <w:pPr>
        <w:pStyle w:val="221"/>
        <w:spacing w:after="0" w:line="360" w:lineRule="auto"/>
        <w:ind w:left="0" w:firstLine="480"/>
        <w:rPr>
          <w:rFonts w:ascii="宋体" w:hAnsi="宋体"/>
          <w:color w:val="000000"/>
          <w:sz w:val="24"/>
        </w:rPr>
      </w:pPr>
      <w:r>
        <w:rPr>
          <w:rFonts w:ascii="宋体" w:hAnsi="宋体"/>
          <w:color w:val="000000"/>
          <w:sz w:val="24"/>
        </w:rPr>
        <w:t>健康危害：本品具有强烈刺激性。接触后主要引起眼和呼吸道刺激。吸入高浓度可发生肺水肿。能致死。对呼吸道产生严重损伤浓度的本品气体，可能对皮肤有刺激性。皮肤接触或摄入本品的高浓度溶液，可能引起强烈刺激和腐蚀。长期接触可导致慢性支气管炎。</w:t>
      </w:r>
    </w:p>
    <w:p w14:paraId="35318902">
      <w:pPr>
        <w:pStyle w:val="221"/>
        <w:spacing w:after="0" w:line="360" w:lineRule="auto"/>
        <w:ind w:left="0" w:firstLine="480"/>
        <w:rPr>
          <w:rFonts w:ascii="宋体" w:hAnsi="宋体"/>
          <w:color w:val="000000"/>
          <w:sz w:val="24"/>
        </w:rPr>
      </w:pPr>
      <w:r>
        <w:rPr>
          <w:rFonts w:hint="eastAsia" w:ascii="宋体" w:hAnsi="宋体"/>
          <w:color w:val="000000"/>
          <w:sz w:val="24"/>
        </w:rPr>
        <w:t>②</w:t>
      </w:r>
      <w:r>
        <w:rPr>
          <w:rFonts w:ascii="宋体" w:hAnsi="宋体"/>
          <w:color w:val="000000"/>
          <w:sz w:val="24"/>
        </w:rPr>
        <w:t>毒理学资料及环境行为</w:t>
      </w:r>
    </w:p>
    <w:p w14:paraId="6FC67604">
      <w:pPr>
        <w:pStyle w:val="221"/>
        <w:spacing w:after="0" w:line="360" w:lineRule="auto"/>
        <w:ind w:left="0" w:firstLine="480"/>
        <w:rPr>
          <w:rFonts w:hint="eastAsia" w:ascii="宋体" w:hAnsi="宋体"/>
          <w:color w:val="000000"/>
          <w:sz w:val="24"/>
        </w:rPr>
      </w:pPr>
      <w:r>
        <w:rPr>
          <w:rFonts w:ascii="宋体" w:hAnsi="宋体"/>
          <w:color w:val="000000"/>
          <w:sz w:val="24"/>
        </w:rPr>
        <w:t>危险特性：具有强氧化性。能与许多化学物质发生爆炸性反应。受热、震动、撞击、摩擦，相当敏感，极易分解发生爆炸</w:t>
      </w:r>
      <w:r>
        <w:rPr>
          <w:rFonts w:hint="eastAsia" w:ascii="宋体" w:hAnsi="宋体"/>
          <w:color w:val="000000"/>
          <w:sz w:val="24"/>
        </w:rPr>
        <w:t>。</w:t>
      </w:r>
    </w:p>
    <w:p w14:paraId="2BF5900E">
      <w:pPr>
        <w:pStyle w:val="221"/>
        <w:spacing w:after="0" w:line="360" w:lineRule="auto"/>
        <w:ind w:left="0" w:firstLine="480"/>
        <w:rPr>
          <w:rFonts w:hint="eastAsia" w:ascii="宋体" w:hAnsi="宋体"/>
          <w:color w:val="000000"/>
          <w:sz w:val="24"/>
        </w:rPr>
      </w:pPr>
      <w:r>
        <w:rPr>
          <w:rFonts w:ascii="宋体" w:hAnsi="宋体"/>
          <w:color w:val="000000"/>
          <w:sz w:val="24"/>
        </w:rPr>
        <w:t>燃烧(分解)产物：氯化氢。</w:t>
      </w:r>
    </w:p>
    <w:p w14:paraId="67952371">
      <w:pPr>
        <w:pStyle w:val="221"/>
        <w:spacing w:after="0" w:line="360" w:lineRule="auto"/>
        <w:ind w:left="0" w:firstLine="480"/>
        <w:rPr>
          <w:rFonts w:hint="eastAsia" w:ascii="宋体" w:hAnsi="宋体"/>
          <w:color w:val="000000"/>
          <w:sz w:val="24"/>
        </w:rPr>
      </w:pPr>
      <w:r>
        <w:rPr>
          <w:rFonts w:hint="eastAsia" w:ascii="宋体" w:hAnsi="宋体"/>
          <w:color w:val="000000"/>
          <w:sz w:val="24"/>
        </w:rPr>
        <w:t>③二氧化氯制备过程中泄露</w:t>
      </w:r>
    </w:p>
    <w:p w14:paraId="163C6D70">
      <w:pPr>
        <w:pStyle w:val="221"/>
        <w:spacing w:after="0" w:line="360" w:lineRule="auto"/>
        <w:ind w:left="0" w:firstLine="480"/>
        <w:rPr>
          <w:rFonts w:ascii="宋体" w:hAnsi="宋体"/>
          <w:color w:val="000000"/>
          <w:sz w:val="24"/>
        </w:rPr>
      </w:pPr>
      <w:r>
        <w:rPr>
          <w:rFonts w:ascii="宋体" w:hAnsi="宋体"/>
          <w:color w:val="000000"/>
          <w:sz w:val="24"/>
        </w:rPr>
        <w:t>二氧化氯为强氧化性和强烈刺激性，制备过程泄露后会带来一定的环境危害。</w:t>
      </w:r>
    </w:p>
    <w:p w14:paraId="1FAD6F55">
      <w:pPr>
        <w:pStyle w:val="221"/>
        <w:spacing w:after="0" w:line="360" w:lineRule="auto"/>
        <w:ind w:left="0" w:firstLine="480"/>
        <w:rPr>
          <w:rFonts w:ascii="宋体" w:hAnsi="宋体"/>
          <w:color w:val="000000"/>
          <w:sz w:val="24"/>
        </w:rPr>
      </w:pPr>
      <w:r>
        <w:rPr>
          <w:rFonts w:ascii="宋体" w:hAnsi="宋体"/>
          <w:color w:val="000000"/>
          <w:sz w:val="24"/>
        </w:rPr>
        <w:t>强氧化性：能与许多化学物质发生爆炸性反应，对受热、震动、撞击、摩擦相当敏感，极易分解发生爆炸。空气中的体积浓度超过10％便有爆炸性。</w:t>
      </w:r>
    </w:p>
    <w:p w14:paraId="00D4710C">
      <w:pPr>
        <w:pStyle w:val="221"/>
        <w:spacing w:after="0" w:line="360" w:lineRule="auto"/>
        <w:ind w:left="0" w:firstLine="480"/>
        <w:rPr>
          <w:rFonts w:ascii="宋体" w:hAnsi="宋体"/>
          <w:color w:val="000000"/>
          <w:sz w:val="24"/>
        </w:rPr>
      </w:pPr>
      <w:r>
        <w:rPr>
          <w:rFonts w:ascii="宋体" w:hAnsi="宋体"/>
          <w:color w:val="000000"/>
          <w:sz w:val="24"/>
        </w:rPr>
        <w:t>强烈刺激性：接触后主要引起眼和呼吸道刺激，吸入高浓度可发生肺水肿，能致死，对呼吸道产生严重损伤，高浓度的本品气体，可能对皮肤有刺激性。皮肤接触或摄入本品的高浓度溶液，可能引起强烈刺激和腐蚀，长期接触可导致慢性支气管炎。</w:t>
      </w:r>
    </w:p>
    <w:p w14:paraId="4244D64F">
      <w:pPr>
        <w:pStyle w:val="221"/>
        <w:spacing w:after="0" w:line="360" w:lineRule="auto"/>
        <w:ind w:left="0" w:firstLine="480"/>
        <w:rPr>
          <w:rFonts w:ascii="宋体" w:hAnsi="宋体"/>
          <w:color w:val="000000"/>
          <w:sz w:val="24"/>
        </w:rPr>
      </w:pPr>
      <w:r>
        <w:rPr>
          <w:rFonts w:hint="eastAsia" w:ascii="宋体" w:hAnsi="宋体"/>
          <w:color w:val="000000"/>
          <w:sz w:val="24"/>
        </w:rPr>
        <w:t>（3）</w:t>
      </w:r>
      <w:r>
        <w:rPr>
          <w:rFonts w:ascii="宋体" w:hAnsi="宋体"/>
          <w:color w:val="000000"/>
          <w:sz w:val="24"/>
        </w:rPr>
        <w:t>应急处理措施</w:t>
      </w:r>
    </w:p>
    <w:p w14:paraId="61D2A210">
      <w:pPr>
        <w:pStyle w:val="221"/>
        <w:spacing w:after="0" w:line="360" w:lineRule="auto"/>
        <w:ind w:left="0" w:firstLine="480"/>
        <w:rPr>
          <w:rFonts w:ascii="宋体" w:hAnsi="宋体"/>
          <w:color w:val="000000"/>
          <w:sz w:val="24"/>
        </w:rPr>
      </w:pPr>
      <w:r>
        <w:rPr>
          <w:rFonts w:hint="eastAsia" w:ascii="宋体" w:hAnsi="宋体"/>
          <w:color w:val="000000"/>
          <w:sz w:val="24"/>
        </w:rPr>
        <w:t>①</w:t>
      </w:r>
      <w:r>
        <w:rPr>
          <w:rFonts w:ascii="宋体" w:hAnsi="宋体"/>
          <w:color w:val="000000"/>
          <w:sz w:val="24"/>
        </w:rPr>
        <w:t>泄漏应急处理：疏散泄露区人员至上风处，并隔离直至气体散尽。应急处理人员戴正压自给式呼吸器，穿化学防护服。切断火源。勿使泄漏物与可燃物物质（木材、纸、油等）接触，切断气源，喷洒雾状水稀释，抽排（室内）或强力通风(室外)。漏气容器不能再用，且要经过技术处理以清除可能剩下的气体。</w:t>
      </w:r>
    </w:p>
    <w:p w14:paraId="69485458">
      <w:pPr>
        <w:pStyle w:val="221"/>
        <w:spacing w:after="0" w:line="360" w:lineRule="auto"/>
        <w:ind w:left="0" w:firstLine="480"/>
        <w:rPr>
          <w:rFonts w:ascii="宋体" w:hAnsi="宋体"/>
          <w:color w:val="000000"/>
          <w:sz w:val="24"/>
        </w:rPr>
      </w:pPr>
      <w:r>
        <w:rPr>
          <w:rFonts w:hint="eastAsia" w:ascii="宋体" w:hAnsi="宋体"/>
          <w:color w:val="000000"/>
          <w:sz w:val="24"/>
        </w:rPr>
        <w:t>②</w:t>
      </w:r>
      <w:r>
        <w:rPr>
          <w:rFonts w:ascii="宋体" w:hAnsi="宋体"/>
          <w:color w:val="000000"/>
          <w:sz w:val="24"/>
        </w:rPr>
        <w:t>防护措施：建议应急处理人员戴防尘面具（全面罩），穿防毒服。不要直接接触泄漏物；工作场所严禁吸烟，工作后沐浴更衣，保持良好的卫生习惯。</w:t>
      </w:r>
    </w:p>
    <w:p w14:paraId="401C8C68">
      <w:pPr>
        <w:pStyle w:val="221"/>
        <w:spacing w:after="0" w:line="360" w:lineRule="auto"/>
        <w:ind w:left="0" w:firstLine="480"/>
        <w:rPr>
          <w:rFonts w:ascii="宋体" w:hAnsi="宋体"/>
          <w:color w:val="000000"/>
          <w:sz w:val="24"/>
        </w:rPr>
      </w:pPr>
      <w:r>
        <w:rPr>
          <w:rFonts w:hint="eastAsia" w:ascii="宋体" w:hAnsi="宋体"/>
          <w:color w:val="000000"/>
          <w:sz w:val="24"/>
        </w:rPr>
        <w:t>③</w:t>
      </w:r>
      <w:r>
        <w:rPr>
          <w:rFonts w:ascii="宋体" w:hAnsi="宋体"/>
          <w:color w:val="000000"/>
          <w:sz w:val="24"/>
        </w:rPr>
        <w:t>急救措施：皮肤接触——脱去污染的衣着，立即用大量流动清水彻底冲洗15分钟后就医；眼睛接触——立即翻开上下眼睑，用流动清水或生理盐水冲洗至少15分钟后就医；吸入——迅速脱离现场至空气新鲜处，保持呼吸道通畅，呼吸困难时输氧，停止呼吸的立即进行人工呼吸，就医；灭火方法——切断气源，喷水冷却容器，可能的话将容器从火场移至空旷处。</w:t>
      </w:r>
    </w:p>
    <w:p w14:paraId="6257436A">
      <w:pPr>
        <w:pStyle w:val="221"/>
        <w:spacing w:after="0" w:line="360" w:lineRule="auto"/>
        <w:ind w:left="0" w:firstLine="480"/>
        <w:rPr>
          <w:rFonts w:ascii="宋体" w:hAnsi="宋体"/>
          <w:color w:val="000000"/>
          <w:sz w:val="24"/>
        </w:rPr>
      </w:pPr>
      <w:r>
        <w:rPr>
          <w:rFonts w:hint="eastAsia" w:ascii="宋体" w:hAnsi="宋体"/>
          <w:color w:val="000000"/>
          <w:sz w:val="24"/>
        </w:rPr>
        <w:t>④</w:t>
      </w:r>
      <w:r>
        <w:rPr>
          <w:rFonts w:ascii="宋体" w:hAnsi="宋体"/>
          <w:color w:val="000000"/>
          <w:sz w:val="24"/>
        </w:rPr>
        <w:t>制备方法：采用现场制备，现用现制取的方法。</w:t>
      </w:r>
    </w:p>
    <w:p w14:paraId="4C62FD38">
      <w:pPr>
        <w:pStyle w:val="221"/>
        <w:spacing w:after="0" w:line="360" w:lineRule="auto"/>
        <w:ind w:left="0" w:firstLine="480"/>
        <w:rPr>
          <w:rFonts w:ascii="宋体" w:hAnsi="宋体"/>
          <w:color w:val="000000"/>
          <w:sz w:val="24"/>
        </w:rPr>
      </w:pPr>
      <w:r>
        <w:rPr>
          <w:rFonts w:hint="eastAsia" w:ascii="宋体" w:hAnsi="宋体"/>
          <w:color w:val="000000"/>
          <w:sz w:val="24"/>
        </w:rPr>
        <w:t>（4）</w:t>
      </w:r>
      <w:r>
        <w:rPr>
          <w:rFonts w:ascii="宋体" w:hAnsi="宋体"/>
          <w:color w:val="000000"/>
          <w:sz w:val="24"/>
        </w:rPr>
        <w:t>泄露风险防范措施</w:t>
      </w:r>
    </w:p>
    <w:p w14:paraId="49AE094A">
      <w:pPr>
        <w:pStyle w:val="221"/>
        <w:spacing w:after="0" w:line="360" w:lineRule="auto"/>
        <w:ind w:left="0" w:firstLine="480"/>
        <w:rPr>
          <w:rFonts w:ascii="宋体" w:hAnsi="宋体"/>
          <w:color w:val="000000"/>
          <w:sz w:val="24"/>
        </w:rPr>
      </w:pPr>
      <w:r>
        <w:rPr>
          <w:rFonts w:hint="eastAsia" w:ascii="宋体" w:hAnsi="宋体"/>
          <w:color w:val="000000"/>
          <w:sz w:val="24"/>
        </w:rPr>
        <w:t>①</w:t>
      </w:r>
      <w:r>
        <w:rPr>
          <w:rFonts w:ascii="宋体" w:hAnsi="宋体"/>
          <w:color w:val="000000"/>
          <w:sz w:val="24"/>
        </w:rPr>
        <w:t>在使用和贮存过程严格按照危险化学品贮存相关规范，单独储存于阴凉、通风的化学品库房内。</w:t>
      </w:r>
    </w:p>
    <w:p w14:paraId="0D281E01">
      <w:pPr>
        <w:pStyle w:val="221"/>
        <w:spacing w:after="0" w:line="360" w:lineRule="auto"/>
        <w:ind w:left="0" w:firstLine="480"/>
        <w:rPr>
          <w:rFonts w:ascii="宋体" w:hAnsi="宋体"/>
          <w:color w:val="000000"/>
          <w:sz w:val="24"/>
        </w:rPr>
      </w:pPr>
      <w:r>
        <w:rPr>
          <w:rFonts w:hint="eastAsia" w:ascii="宋体" w:hAnsi="宋体"/>
          <w:color w:val="000000"/>
          <w:sz w:val="24"/>
        </w:rPr>
        <w:t>②</w:t>
      </w:r>
      <w:r>
        <w:rPr>
          <w:rFonts w:ascii="宋体" w:hAnsi="宋体"/>
          <w:color w:val="000000"/>
          <w:sz w:val="24"/>
        </w:rPr>
        <w:t>建议采购性能可靠、安全先进的全自动控制二氧化氯发生装置，可以最大限度地降低事故的发生率，设备自带泄漏检测和报警系统装置，保证了消毒操作过程的安全性。</w:t>
      </w:r>
    </w:p>
    <w:p w14:paraId="771B1EB1">
      <w:pPr>
        <w:pStyle w:val="221"/>
        <w:spacing w:after="0" w:line="360" w:lineRule="auto"/>
        <w:ind w:left="0" w:firstLine="480"/>
        <w:rPr>
          <w:rFonts w:ascii="宋体" w:hAnsi="宋体"/>
          <w:color w:val="000000"/>
          <w:sz w:val="24"/>
        </w:rPr>
      </w:pPr>
      <w:r>
        <w:rPr>
          <w:rFonts w:hint="eastAsia" w:ascii="宋体" w:hAnsi="宋体"/>
          <w:color w:val="000000"/>
          <w:sz w:val="24"/>
        </w:rPr>
        <w:t>③</w:t>
      </w:r>
      <w:r>
        <w:rPr>
          <w:rFonts w:ascii="宋体" w:hAnsi="宋体"/>
          <w:color w:val="000000"/>
          <w:sz w:val="24"/>
        </w:rPr>
        <w:t>二氧化氯发生器置于地下，方便泄漏时进行处理。</w:t>
      </w:r>
    </w:p>
    <w:p w14:paraId="7214B95A">
      <w:pPr>
        <w:pStyle w:val="221"/>
        <w:spacing w:after="0" w:line="360" w:lineRule="auto"/>
        <w:ind w:left="0" w:firstLine="480"/>
        <w:rPr>
          <w:rFonts w:ascii="宋体" w:hAnsi="宋体"/>
          <w:color w:val="000000"/>
          <w:sz w:val="24"/>
        </w:rPr>
      </w:pPr>
      <w:r>
        <w:rPr>
          <w:rFonts w:hint="eastAsia" w:ascii="宋体" w:hAnsi="宋体"/>
          <w:color w:val="000000"/>
          <w:sz w:val="24"/>
        </w:rPr>
        <w:t>④</w:t>
      </w:r>
      <w:r>
        <w:rPr>
          <w:rFonts w:ascii="宋体" w:hAnsi="宋体"/>
          <w:color w:val="000000"/>
          <w:sz w:val="24"/>
        </w:rPr>
        <w:t>二氧化氯发生器泄漏后，需要采用稀碱水（可考虑用石灰水）进行覆盖稀释中和。项目废水处理</w:t>
      </w:r>
      <w:r>
        <w:rPr>
          <w:rFonts w:hint="eastAsia" w:ascii="宋体" w:hAnsi="宋体"/>
          <w:color w:val="000000"/>
          <w:sz w:val="24"/>
        </w:rPr>
        <w:t>量</w:t>
      </w:r>
      <w:r>
        <w:rPr>
          <w:rFonts w:ascii="宋体" w:hAnsi="宋体"/>
          <w:color w:val="000000"/>
          <w:sz w:val="24"/>
        </w:rPr>
        <w:t>为</w:t>
      </w:r>
      <w:r>
        <w:rPr>
          <w:rFonts w:hint="eastAsia" w:ascii="宋体" w:hAnsi="宋体"/>
          <w:color w:val="000000"/>
          <w:sz w:val="24"/>
        </w:rPr>
        <w:t>102.553</w:t>
      </w:r>
      <w:r>
        <w:rPr>
          <w:rFonts w:ascii="宋体" w:hAnsi="宋体"/>
          <w:color w:val="000000"/>
          <w:sz w:val="24"/>
        </w:rPr>
        <w:t>m</w:t>
      </w:r>
      <w:r>
        <w:rPr>
          <w:rFonts w:ascii="宋体" w:hAnsi="宋体"/>
          <w:color w:val="000000"/>
          <w:sz w:val="24"/>
          <w:vertAlign w:val="superscript"/>
        </w:rPr>
        <w:t>3</w:t>
      </w:r>
      <w:r>
        <w:rPr>
          <w:rFonts w:ascii="宋体" w:hAnsi="宋体"/>
          <w:color w:val="000000"/>
          <w:sz w:val="24"/>
        </w:rPr>
        <w:t>/d，二氧化氯小时使用量约为</w:t>
      </w:r>
      <w:r>
        <w:rPr>
          <w:rFonts w:hint="eastAsia" w:ascii="宋体" w:hAnsi="宋体"/>
          <w:color w:val="000000"/>
          <w:sz w:val="24"/>
        </w:rPr>
        <w:t>3.46</w:t>
      </w:r>
      <w:r>
        <w:rPr>
          <w:rFonts w:ascii="宋体" w:hAnsi="宋体"/>
          <w:color w:val="000000"/>
          <w:sz w:val="24"/>
        </w:rPr>
        <w:t>g</w:t>
      </w:r>
      <w:r>
        <w:rPr>
          <w:rFonts w:hint="eastAsia" w:ascii="宋体" w:hAnsi="宋体"/>
          <w:color w:val="000000"/>
          <w:sz w:val="24"/>
        </w:rPr>
        <w:t>（30.31kg/a）</w:t>
      </w:r>
      <w:r>
        <w:rPr>
          <w:rFonts w:ascii="宋体" w:hAnsi="宋体"/>
          <w:color w:val="000000"/>
          <w:sz w:val="24"/>
        </w:rPr>
        <w:t>，按两小时泄露量计算，则预计泄漏后的处理残液约为</w:t>
      </w:r>
      <w:r>
        <w:rPr>
          <w:rFonts w:hint="eastAsia" w:ascii="宋体" w:hAnsi="宋体"/>
          <w:color w:val="000000"/>
          <w:sz w:val="24"/>
        </w:rPr>
        <w:t>1.0</w:t>
      </w:r>
      <w:r>
        <w:rPr>
          <w:rFonts w:ascii="宋体" w:hAnsi="宋体"/>
          <w:color w:val="000000"/>
          <w:sz w:val="24"/>
        </w:rPr>
        <w:t>m</w:t>
      </w:r>
      <w:r>
        <w:rPr>
          <w:rFonts w:ascii="宋体" w:hAnsi="宋体"/>
          <w:color w:val="000000"/>
          <w:sz w:val="24"/>
          <w:vertAlign w:val="superscript"/>
        </w:rPr>
        <w:t>3</w:t>
      </w:r>
      <w:r>
        <w:rPr>
          <w:rFonts w:ascii="宋体" w:hAnsi="宋体"/>
          <w:color w:val="000000"/>
          <w:sz w:val="24"/>
        </w:rPr>
        <w:t>。</w:t>
      </w:r>
    </w:p>
    <w:p w14:paraId="41386A90">
      <w:pPr>
        <w:pStyle w:val="221"/>
        <w:spacing w:after="0" w:line="360" w:lineRule="auto"/>
        <w:ind w:left="0" w:firstLine="480"/>
        <w:rPr>
          <w:rFonts w:ascii="宋体" w:hAnsi="宋体"/>
          <w:color w:val="000000"/>
          <w:sz w:val="24"/>
        </w:rPr>
      </w:pPr>
      <w:r>
        <w:rPr>
          <w:rFonts w:hint="eastAsia" w:ascii="宋体" w:hAnsi="宋体"/>
          <w:color w:val="000000"/>
          <w:sz w:val="24"/>
        </w:rPr>
        <w:t>⑤</w:t>
      </w:r>
      <w:r>
        <w:rPr>
          <w:rFonts w:ascii="宋体" w:hAnsi="宋体"/>
          <w:color w:val="000000"/>
          <w:sz w:val="24"/>
        </w:rPr>
        <w:t>操作人员上岗前应进行相应的技术培训。</w:t>
      </w:r>
    </w:p>
    <w:p w14:paraId="27EE779F">
      <w:pPr>
        <w:pStyle w:val="221"/>
        <w:spacing w:after="0" w:line="360" w:lineRule="auto"/>
        <w:ind w:left="0" w:firstLine="480"/>
        <w:rPr>
          <w:rFonts w:ascii="宋体" w:hAnsi="宋体"/>
          <w:color w:val="000000"/>
          <w:sz w:val="24"/>
        </w:rPr>
      </w:pPr>
      <w:r>
        <w:rPr>
          <w:rFonts w:ascii="宋体" w:hAnsi="宋体"/>
          <w:color w:val="000000"/>
          <w:sz w:val="24"/>
        </w:rPr>
        <w:t>总体看来：目前小型水厂及医院等使用二氧化氯发生器的单位发生氯泄漏的案例极少，即使发生事故其影响范围也局限于制备区内。因此，只要按照相关规定建立规范的操作运行制度，制定风险应急预案，二氧化氯泄露对环境的风险在可接受的范围以内。</w:t>
      </w:r>
    </w:p>
    <w:p w14:paraId="1FFC46C9">
      <w:pPr>
        <w:pStyle w:val="221"/>
        <w:spacing w:after="0" w:line="360" w:lineRule="auto"/>
        <w:ind w:left="0" w:firstLine="480"/>
        <w:rPr>
          <w:rFonts w:ascii="宋体" w:hAnsi="宋体"/>
          <w:color w:val="000000"/>
          <w:sz w:val="24"/>
        </w:rPr>
      </w:pPr>
      <w:r>
        <w:rPr>
          <w:rFonts w:ascii="宋体" w:hAnsi="宋体"/>
          <w:color w:val="000000"/>
          <w:sz w:val="24"/>
        </w:rPr>
        <w:t>本环评要求二氧化氯发生器周围均必须设置收集管沟并接通废水应急事故池，</w:t>
      </w:r>
      <w:r>
        <w:rPr>
          <w:rFonts w:hint="eastAsia" w:ascii="宋体" w:hAnsi="宋体"/>
          <w:color w:val="000000"/>
          <w:sz w:val="24"/>
          <w:lang w:eastAsia="zh-CN"/>
        </w:rPr>
        <w:t>一旦</w:t>
      </w:r>
      <w:r>
        <w:rPr>
          <w:rFonts w:ascii="宋体" w:hAnsi="宋体"/>
          <w:color w:val="000000"/>
          <w:sz w:val="24"/>
        </w:rPr>
        <w:t>二氧化氯泄露，泄漏后的处理废水即可进入废水应急事故池。</w:t>
      </w:r>
    </w:p>
    <w:p w14:paraId="7367E9EE">
      <w:pPr>
        <w:pStyle w:val="183"/>
        <w:ind w:firstLine="472"/>
        <w:rPr>
          <w:rFonts w:ascii="仿宋_GB2312" w:eastAsia="仿宋_GB2312"/>
          <w:color w:val="000000"/>
          <w:sz w:val="24"/>
          <w:szCs w:val="24"/>
        </w:rPr>
      </w:pPr>
      <w:bookmarkStart w:id="492" w:name="_Toc425954298"/>
      <w:bookmarkStart w:id="493" w:name="_Toc495500117"/>
      <w:r>
        <w:rPr>
          <w:rFonts w:ascii="仿宋_GB2312" w:eastAsia="仿宋_GB2312"/>
          <w:color w:val="000000"/>
          <w:sz w:val="24"/>
          <w:szCs w:val="24"/>
        </w:rPr>
        <w:t>7.</w:t>
      </w:r>
      <w:r>
        <w:rPr>
          <w:rFonts w:hint="eastAsia" w:ascii="仿宋_GB2312" w:eastAsia="仿宋_GB2312"/>
          <w:color w:val="000000"/>
          <w:sz w:val="24"/>
          <w:szCs w:val="24"/>
        </w:rPr>
        <w:t>2.6</w:t>
      </w:r>
      <w:r>
        <w:rPr>
          <w:rFonts w:ascii="仿宋_GB2312" w:eastAsia="仿宋_GB2312"/>
          <w:color w:val="000000"/>
          <w:sz w:val="24"/>
          <w:szCs w:val="24"/>
        </w:rPr>
        <w:t xml:space="preserve"> 污水处理系统控制措施</w:t>
      </w:r>
      <w:bookmarkEnd w:id="492"/>
      <w:bookmarkEnd w:id="493"/>
    </w:p>
    <w:p w14:paraId="5E57CA15">
      <w:pPr>
        <w:pStyle w:val="221"/>
        <w:spacing w:after="0" w:line="360" w:lineRule="auto"/>
        <w:ind w:left="0" w:firstLine="480"/>
        <w:rPr>
          <w:rFonts w:ascii="宋体" w:hAnsi="宋体"/>
          <w:color w:val="000000"/>
          <w:sz w:val="24"/>
        </w:rPr>
      </w:pPr>
      <w:r>
        <w:rPr>
          <w:rFonts w:hint="eastAsia" w:ascii="宋体" w:hAnsi="宋体"/>
          <w:color w:val="000000"/>
          <w:sz w:val="24"/>
        </w:rPr>
        <w:t>（</w:t>
      </w:r>
      <w:r>
        <w:rPr>
          <w:rFonts w:ascii="宋体" w:hAnsi="宋体"/>
          <w:color w:val="000000"/>
          <w:sz w:val="24"/>
        </w:rPr>
        <w:t>1</w:t>
      </w:r>
      <w:r>
        <w:rPr>
          <w:rFonts w:hint="eastAsia" w:ascii="宋体" w:hAnsi="宋体"/>
          <w:color w:val="000000"/>
          <w:sz w:val="24"/>
        </w:rPr>
        <w:t>）</w:t>
      </w:r>
      <w:r>
        <w:rPr>
          <w:rFonts w:ascii="宋体" w:hAnsi="宋体"/>
          <w:color w:val="000000"/>
          <w:sz w:val="24"/>
        </w:rPr>
        <w:t>本项目废水处理系统主要设备和关键设备都配备了备用设备，一旦设备出现故障或出水水质不稳定立即更换处理设备。电源配备双电源，以及应急发电机，应急发电机能在断电后20秒内启动，确保设备不断电。</w:t>
      </w:r>
    </w:p>
    <w:p w14:paraId="51B83B52">
      <w:pPr>
        <w:pStyle w:val="221"/>
        <w:spacing w:after="0" w:line="360" w:lineRule="auto"/>
        <w:ind w:left="0" w:firstLine="480"/>
        <w:rPr>
          <w:rFonts w:ascii="宋体" w:hAnsi="宋体"/>
          <w:color w:val="000000"/>
          <w:sz w:val="24"/>
        </w:rPr>
      </w:pPr>
      <w:r>
        <w:rPr>
          <w:rFonts w:hint="eastAsia" w:ascii="宋体" w:hAnsi="宋体"/>
          <w:color w:val="000000"/>
          <w:sz w:val="24"/>
        </w:rPr>
        <w:t>（</w:t>
      </w:r>
      <w:r>
        <w:rPr>
          <w:rFonts w:ascii="宋体" w:hAnsi="宋体"/>
          <w:color w:val="000000"/>
          <w:sz w:val="24"/>
        </w:rPr>
        <w:t>2</w:t>
      </w:r>
      <w:r>
        <w:rPr>
          <w:rFonts w:hint="eastAsia" w:ascii="宋体" w:hAnsi="宋体"/>
          <w:color w:val="000000"/>
          <w:sz w:val="24"/>
        </w:rPr>
        <w:t>）</w:t>
      </w:r>
      <w:r>
        <w:rPr>
          <w:rFonts w:ascii="宋体" w:hAnsi="宋体"/>
          <w:color w:val="000000"/>
          <w:sz w:val="24"/>
        </w:rPr>
        <w:t>为确保安全，本项目废水处理系统中设有1个事故应急池（位于消毒池旁），合计有效容积不小于</w:t>
      </w:r>
      <w:r>
        <w:rPr>
          <w:rFonts w:hint="eastAsia" w:ascii="宋体" w:hAnsi="宋体"/>
          <w:color w:val="000000"/>
          <w:sz w:val="24"/>
        </w:rPr>
        <w:t>110</w:t>
      </w:r>
      <w:r>
        <w:rPr>
          <w:rFonts w:ascii="宋体" w:hAnsi="宋体"/>
          <w:color w:val="000000"/>
          <w:sz w:val="24"/>
        </w:rPr>
        <w:t>m</w:t>
      </w:r>
      <w:r>
        <w:rPr>
          <w:rFonts w:ascii="宋体" w:hAnsi="宋体"/>
          <w:color w:val="000000"/>
          <w:sz w:val="24"/>
          <w:vertAlign w:val="superscript"/>
        </w:rPr>
        <w:t>3</w:t>
      </w:r>
      <w:r>
        <w:rPr>
          <w:rFonts w:ascii="宋体" w:hAnsi="宋体"/>
          <w:color w:val="000000"/>
          <w:sz w:val="24"/>
        </w:rPr>
        <w:t>，该事故应急池应该配备消防废水收集管道及泵。</w:t>
      </w:r>
    </w:p>
    <w:p w14:paraId="65BCB5D7">
      <w:pPr>
        <w:pStyle w:val="221"/>
        <w:spacing w:after="0" w:line="360" w:lineRule="auto"/>
        <w:ind w:left="0" w:firstLine="480"/>
        <w:rPr>
          <w:rFonts w:hint="eastAsia" w:ascii="宋体" w:hAnsi="宋体"/>
          <w:color w:val="000000"/>
          <w:sz w:val="24"/>
        </w:rPr>
      </w:pPr>
      <w:r>
        <w:rPr>
          <w:rFonts w:hint="eastAsia" w:ascii="宋体" w:hAnsi="宋体"/>
          <w:color w:val="000000"/>
          <w:sz w:val="24"/>
        </w:rPr>
        <w:t>（</w:t>
      </w:r>
      <w:r>
        <w:rPr>
          <w:rFonts w:ascii="宋体" w:hAnsi="宋体"/>
          <w:color w:val="000000"/>
          <w:sz w:val="24"/>
        </w:rPr>
        <w:t>3</w:t>
      </w:r>
      <w:r>
        <w:rPr>
          <w:rFonts w:hint="eastAsia" w:ascii="宋体" w:hAnsi="宋体"/>
          <w:color w:val="000000"/>
          <w:sz w:val="24"/>
        </w:rPr>
        <w:t>）</w:t>
      </w:r>
      <w:r>
        <w:rPr>
          <w:rFonts w:ascii="宋体" w:hAnsi="宋体"/>
          <w:color w:val="000000"/>
          <w:sz w:val="24"/>
        </w:rPr>
        <w:t>废水处理站内的处理工艺、加药系统和流量控制系统均安装在线自动化检测仪器，发生故障时，可及时报警并停止向外排放废水。</w:t>
      </w:r>
    </w:p>
    <w:p w14:paraId="20BD8901">
      <w:pPr>
        <w:pStyle w:val="183"/>
        <w:ind w:firstLine="472"/>
        <w:rPr>
          <w:rFonts w:hint="eastAsia" w:ascii="仿宋_GB2312" w:eastAsia="仿宋_GB2312"/>
          <w:color w:val="000000"/>
          <w:sz w:val="24"/>
          <w:szCs w:val="24"/>
        </w:rPr>
      </w:pPr>
      <w:bookmarkStart w:id="494" w:name="_Toc425954299"/>
      <w:bookmarkStart w:id="495" w:name="_Toc495500118"/>
      <w:r>
        <w:rPr>
          <w:rFonts w:hint="eastAsia" w:ascii="仿宋_GB2312" w:eastAsia="仿宋_GB2312"/>
          <w:color w:val="000000"/>
          <w:sz w:val="24"/>
          <w:szCs w:val="24"/>
        </w:rPr>
        <w:t>7.2.7其它风险</w:t>
      </w:r>
      <w:bookmarkEnd w:id="494"/>
      <w:bookmarkEnd w:id="495"/>
    </w:p>
    <w:p w14:paraId="585C8CDA">
      <w:pPr>
        <w:pStyle w:val="221"/>
        <w:spacing w:after="0" w:line="360" w:lineRule="auto"/>
        <w:ind w:left="0" w:firstLine="480"/>
        <w:rPr>
          <w:rFonts w:hint="eastAsia" w:ascii="宋体" w:hAnsi="宋体"/>
          <w:color w:val="000000"/>
          <w:sz w:val="24"/>
        </w:rPr>
      </w:pPr>
      <w:r>
        <w:rPr>
          <w:rFonts w:hint="eastAsia" w:ascii="宋体" w:hAnsi="宋体"/>
          <w:color w:val="000000"/>
          <w:sz w:val="24"/>
        </w:rPr>
        <w:t>其它风险如火灾、地震等也需要考虑其突发性的危害，由其他专业机构针对其风险事故提出专项的突发事故防范措施。</w:t>
      </w:r>
    </w:p>
    <w:p w14:paraId="196EA129">
      <w:pPr>
        <w:pStyle w:val="221"/>
        <w:spacing w:after="0" w:line="360" w:lineRule="auto"/>
        <w:ind w:left="0" w:firstLine="480"/>
        <w:rPr>
          <w:rFonts w:hint="eastAsia" w:ascii="宋体" w:hAnsi="宋体"/>
          <w:color w:val="000000"/>
          <w:sz w:val="24"/>
        </w:rPr>
      </w:pPr>
      <w:r>
        <w:rPr>
          <w:rFonts w:hint="eastAsia" w:ascii="宋体" w:hAnsi="宋体"/>
          <w:color w:val="000000"/>
          <w:sz w:val="24"/>
        </w:rPr>
        <w:t>事故防范措施主要从管理制度、设计规范、操作规程、防护措施、监督检查、岗位培训和演习、警示标志、记录备案等方面提出要求。</w:t>
      </w:r>
    </w:p>
    <w:p w14:paraId="66596AE7">
      <w:pPr>
        <w:pStyle w:val="221"/>
        <w:spacing w:after="0" w:line="360" w:lineRule="auto"/>
        <w:ind w:left="0" w:firstLine="480"/>
        <w:rPr>
          <w:rFonts w:hint="eastAsia" w:ascii="宋体" w:hAnsi="宋体"/>
          <w:color w:val="000000"/>
          <w:sz w:val="24"/>
        </w:rPr>
      </w:pPr>
      <w:r>
        <w:rPr>
          <w:rFonts w:hint="eastAsia" w:ascii="宋体" w:hAnsi="宋体"/>
          <w:color w:val="000000"/>
          <w:sz w:val="24"/>
        </w:rPr>
        <w:t>事故应急预案从事故预想，组织程序，报告制度，通讯联络方式，应急措施及装备，区域应急援助网络与信息发布，环境恢复与补偿等方面提出要求和建议。</w:t>
      </w:r>
    </w:p>
    <w:p w14:paraId="009945CE">
      <w:pPr>
        <w:pStyle w:val="182"/>
        <w:ind w:firstLine="275"/>
        <w:rPr>
          <w:rFonts w:hint="eastAsia" w:ascii="仿宋_GB2312" w:eastAsia="仿宋_GB2312"/>
          <w:color w:val="000000"/>
          <w:sz w:val="28"/>
          <w:szCs w:val="28"/>
        </w:rPr>
      </w:pPr>
      <w:bookmarkStart w:id="496" w:name="_Toc495500119"/>
      <w:bookmarkStart w:id="497" w:name="_Toc425954300"/>
      <w:r>
        <w:rPr>
          <w:rFonts w:hint="eastAsia" w:ascii="仿宋_GB2312" w:eastAsia="仿宋_GB2312"/>
          <w:color w:val="000000"/>
          <w:sz w:val="28"/>
          <w:szCs w:val="28"/>
        </w:rPr>
        <w:t>7.3应急预案</w:t>
      </w:r>
      <w:bookmarkEnd w:id="496"/>
      <w:bookmarkEnd w:id="497"/>
    </w:p>
    <w:p w14:paraId="7B2E62CA">
      <w:pPr>
        <w:pStyle w:val="221"/>
        <w:spacing w:after="0" w:line="360" w:lineRule="auto"/>
        <w:ind w:left="0" w:firstLine="480"/>
        <w:rPr>
          <w:rFonts w:hint="eastAsia" w:ascii="宋体" w:hAnsi="宋体"/>
          <w:color w:val="000000"/>
          <w:sz w:val="24"/>
        </w:rPr>
      </w:pPr>
      <w:r>
        <w:rPr>
          <w:rFonts w:hint="eastAsia" w:ascii="宋体" w:hAnsi="宋体"/>
          <w:color w:val="000000"/>
          <w:sz w:val="24"/>
        </w:rPr>
        <w:t>本项目建成后必须制定</w:t>
      </w:r>
      <w:r>
        <w:rPr>
          <w:rFonts w:hint="eastAsia" w:ascii="宋体" w:hAnsi="宋体"/>
          <w:color w:val="000000"/>
          <w:sz w:val="24"/>
          <w:lang w:eastAsia="zh-CN"/>
        </w:rPr>
        <w:t>突发公共卫生事件</w:t>
      </w:r>
      <w:r>
        <w:rPr>
          <w:rFonts w:hint="eastAsia" w:ascii="宋体" w:hAnsi="宋体"/>
          <w:color w:val="000000"/>
          <w:sz w:val="24"/>
        </w:rPr>
        <w:t>应急预案。</w:t>
      </w:r>
      <w:r>
        <w:rPr>
          <w:rFonts w:hint="eastAsia" w:ascii="宋体" w:hAnsi="宋体"/>
          <w:color w:val="000000"/>
          <w:sz w:val="24"/>
          <w:lang w:eastAsia="zh-CN"/>
        </w:rPr>
        <w:t>突发公共卫生事件</w:t>
      </w:r>
      <w:r>
        <w:rPr>
          <w:rFonts w:hint="eastAsia" w:ascii="宋体" w:hAnsi="宋体"/>
          <w:color w:val="000000"/>
          <w:sz w:val="24"/>
        </w:rPr>
        <w:t>的内容应包括两个部分，一是在区域爆发</w:t>
      </w:r>
      <w:r>
        <w:rPr>
          <w:rFonts w:hint="eastAsia" w:ascii="宋体" w:hAnsi="宋体"/>
          <w:color w:val="000000"/>
          <w:sz w:val="24"/>
          <w:lang w:eastAsia="zh-CN"/>
        </w:rPr>
        <w:t>突发公共卫生事件</w:t>
      </w:r>
      <w:r>
        <w:rPr>
          <w:rFonts w:hint="eastAsia" w:ascii="宋体" w:hAnsi="宋体"/>
          <w:color w:val="000000"/>
          <w:sz w:val="24"/>
        </w:rPr>
        <w:t>条件下，本项目启动收治、研究、预防职能时，项目所在地区的应急预案；二是项目潜在风险因素爆发，以项目为中心需要采取的应急预案。</w:t>
      </w:r>
    </w:p>
    <w:p w14:paraId="62921B07">
      <w:pPr>
        <w:pStyle w:val="221"/>
        <w:spacing w:after="0" w:line="360" w:lineRule="auto"/>
        <w:ind w:left="0" w:firstLine="480"/>
        <w:rPr>
          <w:rFonts w:hint="eastAsia" w:ascii="宋体" w:hAnsi="宋体"/>
          <w:color w:val="000000"/>
          <w:sz w:val="24"/>
        </w:rPr>
      </w:pPr>
      <w:r>
        <w:rPr>
          <w:rFonts w:hint="eastAsia" w:ascii="宋体" w:hAnsi="宋体"/>
          <w:color w:val="000000"/>
          <w:sz w:val="24"/>
        </w:rPr>
        <w:t xml:space="preserve">按照我国相关医院建设的规定，应急预案中的相关内容将涉及区域封锁、停课、停工、紧急求援、求援等国内、国际合作等重大内容，要由国家或各级疾病预防控制中心牵头组织制定，通过后再执行。 </w:t>
      </w:r>
    </w:p>
    <w:p w14:paraId="43620DE1">
      <w:pPr>
        <w:pStyle w:val="221"/>
        <w:spacing w:after="0" w:line="360" w:lineRule="auto"/>
        <w:ind w:left="0" w:firstLine="480"/>
        <w:rPr>
          <w:rFonts w:hint="eastAsia" w:ascii="宋体" w:hAnsi="宋体"/>
          <w:color w:val="000000"/>
          <w:sz w:val="24"/>
        </w:rPr>
      </w:pPr>
      <w:r>
        <w:rPr>
          <w:rFonts w:hint="eastAsia" w:ascii="宋体" w:hAnsi="宋体"/>
          <w:color w:val="000000"/>
          <w:sz w:val="24"/>
        </w:rPr>
        <w:t>本报告所列出的一些应急预案主要是针对环保方面可能产生的风险来制定，同时结合保健院现有的应急措施，将事故风险降低到最小。表7.3-1为本报告建议保健院应制定的突发事故应急预案。</w:t>
      </w:r>
    </w:p>
    <w:p w14:paraId="6283DD6C">
      <w:pPr>
        <w:pStyle w:val="307"/>
        <w:rPr>
          <w:rFonts w:hint="eastAsia"/>
          <w:color w:val="000000"/>
        </w:rPr>
      </w:pPr>
      <w:r>
        <w:rPr>
          <w:rFonts w:hint="eastAsia"/>
          <w:color w:val="000000"/>
        </w:rPr>
        <w:t>表7.3-1   突发事故应急预案</w:t>
      </w:r>
    </w:p>
    <w:tbl>
      <w:tblPr>
        <w:tblStyle w:val="27"/>
        <w:tblW w:w="0" w:type="auto"/>
        <w:tblInd w:w="-108"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380"/>
        <w:gridCol w:w="1467"/>
        <w:gridCol w:w="6681"/>
      </w:tblGrid>
      <w:tr w14:paraId="16A12A3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80" w:type="dxa"/>
            <w:noWrap w:val="0"/>
            <w:vAlign w:val="center"/>
          </w:tcPr>
          <w:p w14:paraId="192E035F">
            <w:pPr>
              <w:pStyle w:val="278"/>
              <w:rPr>
                <w:rFonts w:hint="eastAsia"/>
                <w:color w:val="000000"/>
              </w:rPr>
            </w:pPr>
            <w:r>
              <w:rPr>
                <w:rFonts w:hint="eastAsia"/>
                <w:color w:val="000000"/>
              </w:rPr>
              <w:t>序号</w:t>
            </w:r>
          </w:p>
        </w:tc>
        <w:tc>
          <w:tcPr>
            <w:tcW w:w="1467" w:type="dxa"/>
            <w:noWrap w:val="0"/>
            <w:vAlign w:val="center"/>
          </w:tcPr>
          <w:p w14:paraId="4D09B005">
            <w:pPr>
              <w:jc w:val="center"/>
              <w:rPr>
                <w:rFonts w:hint="eastAsia" w:ascii="宋体" w:hAnsi="宋体"/>
                <w:color w:val="000000"/>
                <w:szCs w:val="21"/>
              </w:rPr>
            </w:pPr>
            <w:r>
              <w:rPr>
                <w:rFonts w:hint="eastAsia" w:ascii="宋体" w:hAnsi="宋体"/>
                <w:color w:val="000000"/>
                <w:szCs w:val="21"/>
              </w:rPr>
              <w:t>项目</w:t>
            </w:r>
          </w:p>
        </w:tc>
        <w:tc>
          <w:tcPr>
            <w:tcW w:w="6681" w:type="dxa"/>
            <w:noWrap w:val="0"/>
            <w:vAlign w:val="center"/>
          </w:tcPr>
          <w:p w14:paraId="4CBD7399">
            <w:pPr>
              <w:jc w:val="center"/>
              <w:rPr>
                <w:rFonts w:hint="eastAsia" w:ascii="宋体" w:hAnsi="宋体"/>
                <w:color w:val="000000"/>
                <w:szCs w:val="21"/>
              </w:rPr>
            </w:pPr>
            <w:r>
              <w:rPr>
                <w:rFonts w:hint="eastAsia" w:ascii="宋体" w:hAnsi="宋体"/>
                <w:color w:val="000000"/>
                <w:szCs w:val="21"/>
              </w:rPr>
              <w:t>内容及要求</w:t>
            </w:r>
          </w:p>
        </w:tc>
      </w:tr>
      <w:tr w14:paraId="35567F4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80" w:type="dxa"/>
            <w:noWrap w:val="0"/>
            <w:vAlign w:val="center"/>
          </w:tcPr>
          <w:p w14:paraId="548016DA">
            <w:pPr>
              <w:pStyle w:val="278"/>
              <w:rPr>
                <w:rFonts w:hint="eastAsia"/>
                <w:color w:val="000000"/>
              </w:rPr>
            </w:pPr>
            <w:r>
              <w:rPr>
                <w:rFonts w:hint="eastAsia"/>
                <w:color w:val="000000"/>
              </w:rPr>
              <w:t>1</w:t>
            </w:r>
          </w:p>
        </w:tc>
        <w:tc>
          <w:tcPr>
            <w:tcW w:w="1467" w:type="dxa"/>
            <w:noWrap w:val="0"/>
            <w:vAlign w:val="center"/>
          </w:tcPr>
          <w:p w14:paraId="10CF3AEF">
            <w:pPr>
              <w:jc w:val="center"/>
              <w:rPr>
                <w:rFonts w:hint="eastAsia" w:ascii="宋体" w:hAnsi="宋体"/>
                <w:color w:val="000000"/>
                <w:szCs w:val="21"/>
              </w:rPr>
            </w:pPr>
            <w:r>
              <w:rPr>
                <w:rFonts w:hint="eastAsia" w:ascii="宋体" w:hAnsi="宋体"/>
                <w:color w:val="000000"/>
                <w:szCs w:val="21"/>
              </w:rPr>
              <w:t>总则</w:t>
            </w:r>
          </w:p>
        </w:tc>
        <w:tc>
          <w:tcPr>
            <w:tcW w:w="6681" w:type="dxa"/>
            <w:noWrap w:val="0"/>
            <w:vAlign w:val="center"/>
          </w:tcPr>
          <w:p w14:paraId="61B234B3">
            <w:pPr>
              <w:rPr>
                <w:rFonts w:hint="eastAsia" w:ascii="宋体" w:hAnsi="宋体"/>
                <w:color w:val="000000"/>
                <w:szCs w:val="21"/>
              </w:rPr>
            </w:pPr>
            <w:r>
              <w:rPr>
                <w:rFonts w:hint="eastAsia" w:ascii="宋体" w:hAnsi="宋体"/>
                <w:color w:val="000000"/>
                <w:szCs w:val="21"/>
              </w:rPr>
              <w:t>从环境保护方面，项目在建成后产生的环境风险主要是以下几方面，1、实验室管理疏漏，造成药品或实验用品的外泄，对医院内及人群健康将造成影响；2、院内的医疗废物管理不善，出现与一般固体废弃物混装或散落污染院内环境，或在运输过程中滴漏、挥发和散落等，对所涉及区域的空气、地表水、土壤及人群健康将造成影响；3、院内的污水处理系统出现故障，停止运行，含病菌的废水将不能得到处理，造成废水不达标即外排至城市污水管道；4、</w:t>
            </w:r>
            <w:r>
              <w:rPr>
                <w:rFonts w:hint="eastAsia" w:ascii="宋体" w:hAnsi="宋体"/>
                <w:color w:val="000000"/>
              </w:rPr>
              <w:t>空调过滤置换系统出现故障，</w:t>
            </w:r>
            <w:r>
              <w:rPr>
                <w:rFonts w:hint="eastAsia" w:ascii="宋体" w:hAnsi="宋体"/>
                <w:color w:val="000000"/>
                <w:szCs w:val="21"/>
              </w:rPr>
              <w:t>停止运行，可能会导致病区的空气得不到及时的更换，使病区的含病菌气体对医护人员造成影响，也可能造成一些呼吸类传染病的交叉传播；5、院内的相关放射装置的防护设施建设不满足相关要求或受到损坏，对前来就医及医疗人员造成身体伤害；6、供氧站氧大量泄漏引起火灾。</w:t>
            </w:r>
          </w:p>
        </w:tc>
      </w:tr>
      <w:tr w14:paraId="481C5DD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80" w:type="dxa"/>
            <w:noWrap w:val="0"/>
            <w:vAlign w:val="center"/>
          </w:tcPr>
          <w:p w14:paraId="36BFC89F">
            <w:pPr>
              <w:pStyle w:val="278"/>
              <w:rPr>
                <w:rFonts w:hint="eastAsia"/>
                <w:color w:val="000000"/>
              </w:rPr>
            </w:pPr>
            <w:r>
              <w:rPr>
                <w:rFonts w:hint="eastAsia"/>
                <w:color w:val="000000"/>
              </w:rPr>
              <w:t>2</w:t>
            </w:r>
          </w:p>
        </w:tc>
        <w:tc>
          <w:tcPr>
            <w:tcW w:w="1467" w:type="dxa"/>
            <w:noWrap w:val="0"/>
            <w:vAlign w:val="center"/>
          </w:tcPr>
          <w:p w14:paraId="04BDD65A">
            <w:pPr>
              <w:jc w:val="center"/>
              <w:rPr>
                <w:rFonts w:hint="eastAsia" w:ascii="宋体" w:hAnsi="宋体"/>
                <w:color w:val="000000"/>
                <w:szCs w:val="21"/>
              </w:rPr>
            </w:pPr>
            <w:r>
              <w:rPr>
                <w:rFonts w:hint="eastAsia" w:ascii="宋体" w:hAnsi="宋体"/>
                <w:color w:val="000000"/>
                <w:szCs w:val="21"/>
              </w:rPr>
              <w:t>危险源概况</w:t>
            </w:r>
          </w:p>
        </w:tc>
        <w:tc>
          <w:tcPr>
            <w:tcW w:w="6681" w:type="dxa"/>
            <w:noWrap w:val="0"/>
            <w:vAlign w:val="center"/>
          </w:tcPr>
          <w:p w14:paraId="38834F47">
            <w:pPr>
              <w:rPr>
                <w:rFonts w:hint="eastAsia" w:ascii="宋体" w:hAnsi="宋体"/>
                <w:color w:val="000000"/>
                <w:szCs w:val="21"/>
              </w:rPr>
            </w:pPr>
            <w:r>
              <w:rPr>
                <w:rFonts w:hint="eastAsia" w:ascii="宋体" w:hAnsi="宋体"/>
                <w:color w:val="000000"/>
                <w:szCs w:val="21"/>
              </w:rPr>
              <w:t>从项目可能产生的风险来看，其危险源主要为医院实验室、各诊室、住院部的医疗废物收集点及医院内的医疗废物的暂存库，污水处理系统，液氧储罐，空调系统，放射科。</w:t>
            </w:r>
          </w:p>
        </w:tc>
      </w:tr>
      <w:tr w14:paraId="2263688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80" w:type="dxa"/>
            <w:noWrap w:val="0"/>
            <w:vAlign w:val="center"/>
          </w:tcPr>
          <w:p w14:paraId="6B48C1EC">
            <w:pPr>
              <w:pStyle w:val="278"/>
              <w:rPr>
                <w:rFonts w:hint="eastAsia"/>
                <w:color w:val="000000"/>
              </w:rPr>
            </w:pPr>
            <w:r>
              <w:rPr>
                <w:rFonts w:hint="eastAsia"/>
                <w:color w:val="000000"/>
              </w:rPr>
              <w:t>3</w:t>
            </w:r>
          </w:p>
        </w:tc>
        <w:tc>
          <w:tcPr>
            <w:tcW w:w="1467" w:type="dxa"/>
            <w:noWrap w:val="0"/>
            <w:vAlign w:val="center"/>
          </w:tcPr>
          <w:p w14:paraId="1E92C9D5">
            <w:pPr>
              <w:jc w:val="center"/>
              <w:rPr>
                <w:rFonts w:hint="eastAsia" w:ascii="宋体" w:hAnsi="宋体"/>
                <w:color w:val="000000"/>
                <w:szCs w:val="21"/>
              </w:rPr>
            </w:pPr>
            <w:r>
              <w:rPr>
                <w:rFonts w:hint="eastAsia" w:ascii="宋体" w:hAnsi="宋体"/>
                <w:color w:val="000000"/>
                <w:szCs w:val="21"/>
              </w:rPr>
              <w:t>应急组织</w:t>
            </w:r>
          </w:p>
        </w:tc>
        <w:tc>
          <w:tcPr>
            <w:tcW w:w="6681" w:type="dxa"/>
            <w:noWrap w:val="0"/>
            <w:vAlign w:val="center"/>
          </w:tcPr>
          <w:p w14:paraId="32FE0B54">
            <w:pPr>
              <w:rPr>
                <w:rFonts w:hint="eastAsia" w:ascii="宋体" w:hAnsi="宋体"/>
                <w:color w:val="000000"/>
                <w:szCs w:val="21"/>
              </w:rPr>
            </w:pPr>
            <w:r>
              <w:rPr>
                <w:rFonts w:hint="eastAsia" w:ascii="宋体" w:hAnsi="宋体"/>
                <w:color w:val="000000"/>
                <w:szCs w:val="21"/>
              </w:rPr>
              <w:t>医院指挥部---负责现场全面指挥（主要由环保管理机构参与）</w:t>
            </w:r>
          </w:p>
          <w:p w14:paraId="29FFD555">
            <w:pPr>
              <w:rPr>
                <w:rFonts w:hint="eastAsia" w:ascii="宋体" w:hAnsi="宋体"/>
                <w:color w:val="000000"/>
                <w:szCs w:val="21"/>
              </w:rPr>
            </w:pPr>
            <w:r>
              <w:rPr>
                <w:rFonts w:hint="eastAsia" w:ascii="宋体" w:hAnsi="宋体"/>
                <w:color w:val="000000"/>
                <w:szCs w:val="21"/>
              </w:rPr>
              <w:t>专业救援队伍---负责各种不同事故控制、求援和善后处理</w:t>
            </w:r>
          </w:p>
          <w:p w14:paraId="2C5D40E8">
            <w:pPr>
              <w:rPr>
                <w:rFonts w:hint="eastAsia" w:ascii="宋体" w:hAnsi="宋体"/>
                <w:color w:val="000000"/>
                <w:szCs w:val="21"/>
              </w:rPr>
            </w:pPr>
            <w:r>
              <w:rPr>
                <w:rFonts w:hint="eastAsia" w:ascii="宋体" w:hAnsi="宋体"/>
                <w:color w:val="000000"/>
                <w:szCs w:val="21"/>
              </w:rPr>
              <w:t>环境监测部门配合监测周围环境状况</w:t>
            </w:r>
          </w:p>
        </w:tc>
      </w:tr>
      <w:tr w14:paraId="76E7BE6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80" w:type="dxa"/>
            <w:noWrap w:val="0"/>
            <w:vAlign w:val="center"/>
          </w:tcPr>
          <w:p w14:paraId="472C9CDB">
            <w:pPr>
              <w:pStyle w:val="278"/>
              <w:rPr>
                <w:rFonts w:hint="eastAsia"/>
                <w:color w:val="000000"/>
              </w:rPr>
            </w:pPr>
            <w:r>
              <w:rPr>
                <w:rFonts w:hint="eastAsia"/>
                <w:color w:val="000000"/>
              </w:rPr>
              <w:t>4</w:t>
            </w:r>
          </w:p>
        </w:tc>
        <w:tc>
          <w:tcPr>
            <w:tcW w:w="1467" w:type="dxa"/>
            <w:noWrap w:val="0"/>
            <w:vAlign w:val="center"/>
          </w:tcPr>
          <w:p w14:paraId="6DF48EF3">
            <w:pPr>
              <w:jc w:val="center"/>
              <w:rPr>
                <w:rFonts w:hint="eastAsia" w:ascii="宋体" w:hAnsi="宋体"/>
                <w:color w:val="000000"/>
                <w:szCs w:val="21"/>
              </w:rPr>
            </w:pPr>
            <w:r>
              <w:rPr>
                <w:rFonts w:hint="eastAsia" w:ascii="宋体" w:hAnsi="宋体"/>
                <w:color w:val="000000"/>
                <w:szCs w:val="21"/>
              </w:rPr>
              <w:t>应急状态分类及应急响应程序</w:t>
            </w:r>
          </w:p>
        </w:tc>
        <w:tc>
          <w:tcPr>
            <w:tcW w:w="6681" w:type="dxa"/>
            <w:noWrap w:val="0"/>
            <w:vAlign w:val="center"/>
          </w:tcPr>
          <w:p w14:paraId="6824F6B8">
            <w:pPr>
              <w:rPr>
                <w:rFonts w:hint="eastAsia" w:ascii="宋体" w:hAnsi="宋体"/>
                <w:color w:val="000000"/>
                <w:szCs w:val="21"/>
              </w:rPr>
            </w:pPr>
            <w:r>
              <w:rPr>
                <w:rFonts w:hint="eastAsia" w:ascii="宋体" w:hAnsi="宋体"/>
                <w:color w:val="000000"/>
                <w:szCs w:val="21"/>
              </w:rPr>
              <w:t>对于总则中的1、2两种风险属于医疗和社会风险，会对社会公共安全及人群健康造成影响，需由医院设置指挥部，并通报相关主管部门，并会同专业救援队伍进行应急处理；而3、4、5等三种风险属于医院的设施管理风险，主要由医院内的主管部门---设备科负责，制定相应的风险处理程序及要求，并由专职或兼职的环保管理人员会同处理，并报相关主管部门。</w:t>
            </w:r>
          </w:p>
        </w:tc>
      </w:tr>
      <w:tr w14:paraId="23D3AF7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80" w:type="dxa"/>
            <w:noWrap w:val="0"/>
            <w:vAlign w:val="center"/>
          </w:tcPr>
          <w:p w14:paraId="77BC5A98">
            <w:pPr>
              <w:pStyle w:val="278"/>
              <w:rPr>
                <w:rFonts w:hint="eastAsia"/>
                <w:color w:val="000000"/>
              </w:rPr>
            </w:pPr>
            <w:r>
              <w:rPr>
                <w:rFonts w:hint="eastAsia"/>
                <w:color w:val="000000"/>
              </w:rPr>
              <w:t>5</w:t>
            </w:r>
          </w:p>
        </w:tc>
        <w:tc>
          <w:tcPr>
            <w:tcW w:w="1467" w:type="dxa"/>
            <w:noWrap w:val="0"/>
            <w:vAlign w:val="center"/>
          </w:tcPr>
          <w:p w14:paraId="7C19B295">
            <w:pPr>
              <w:jc w:val="center"/>
              <w:rPr>
                <w:rFonts w:hint="eastAsia" w:ascii="宋体" w:hAnsi="宋体"/>
                <w:color w:val="000000"/>
                <w:szCs w:val="21"/>
              </w:rPr>
            </w:pPr>
            <w:r>
              <w:rPr>
                <w:rFonts w:hint="eastAsia" w:ascii="宋体" w:hAnsi="宋体"/>
                <w:color w:val="000000"/>
                <w:szCs w:val="21"/>
              </w:rPr>
              <w:t>应急设施、设备与材料</w:t>
            </w:r>
          </w:p>
        </w:tc>
        <w:tc>
          <w:tcPr>
            <w:tcW w:w="6681" w:type="dxa"/>
            <w:noWrap w:val="0"/>
            <w:vAlign w:val="center"/>
          </w:tcPr>
          <w:p w14:paraId="5E1C4BFA">
            <w:pPr>
              <w:rPr>
                <w:rFonts w:hint="eastAsia" w:ascii="宋体" w:hAnsi="宋体"/>
                <w:color w:val="000000"/>
                <w:szCs w:val="21"/>
              </w:rPr>
            </w:pPr>
            <w:r>
              <w:rPr>
                <w:rFonts w:hint="eastAsia" w:ascii="宋体" w:hAnsi="宋体"/>
                <w:color w:val="000000"/>
                <w:szCs w:val="21"/>
              </w:rPr>
              <w:t>防止有毒有害物质外溢、扩散设施，主要有水幕，喷淋设备，消毒设施，收集罐、桶等。防止火灾主要配置消防系统，设置消防栓，配备干粉灭火器等。</w:t>
            </w:r>
          </w:p>
        </w:tc>
      </w:tr>
      <w:tr w14:paraId="29A9798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80" w:type="dxa"/>
            <w:noWrap w:val="0"/>
            <w:vAlign w:val="center"/>
          </w:tcPr>
          <w:p w14:paraId="3A8CBCD4">
            <w:pPr>
              <w:pStyle w:val="278"/>
              <w:rPr>
                <w:rFonts w:hint="eastAsia"/>
                <w:color w:val="000000"/>
              </w:rPr>
            </w:pPr>
            <w:r>
              <w:rPr>
                <w:rFonts w:hint="eastAsia"/>
                <w:color w:val="000000"/>
              </w:rPr>
              <w:t>6</w:t>
            </w:r>
          </w:p>
        </w:tc>
        <w:tc>
          <w:tcPr>
            <w:tcW w:w="1467" w:type="dxa"/>
            <w:noWrap w:val="0"/>
            <w:vAlign w:val="center"/>
          </w:tcPr>
          <w:p w14:paraId="5FABEA1D">
            <w:pPr>
              <w:jc w:val="center"/>
              <w:rPr>
                <w:rFonts w:hint="eastAsia" w:ascii="宋体" w:hAnsi="宋体"/>
                <w:color w:val="000000"/>
                <w:szCs w:val="21"/>
              </w:rPr>
            </w:pPr>
            <w:r>
              <w:rPr>
                <w:rFonts w:hint="eastAsia" w:ascii="宋体" w:hAnsi="宋体"/>
                <w:color w:val="000000"/>
                <w:szCs w:val="21"/>
              </w:rPr>
              <w:t>应急通讯、通知和交通</w:t>
            </w:r>
          </w:p>
        </w:tc>
        <w:tc>
          <w:tcPr>
            <w:tcW w:w="6681" w:type="dxa"/>
            <w:noWrap w:val="0"/>
            <w:vAlign w:val="center"/>
          </w:tcPr>
          <w:p w14:paraId="03C61ADF">
            <w:pPr>
              <w:rPr>
                <w:rFonts w:hint="eastAsia" w:ascii="宋体" w:hAnsi="宋体"/>
                <w:color w:val="000000"/>
                <w:szCs w:val="21"/>
              </w:rPr>
            </w:pPr>
            <w:r>
              <w:rPr>
                <w:rFonts w:hint="eastAsia" w:ascii="宋体" w:hAnsi="宋体"/>
                <w:color w:val="000000"/>
                <w:szCs w:val="21"/>
              </w:rPr>
              <w:t>在出现应急状态下，应通过电话或电视等通讯媒体将事故的出现情况告知群众，避开事故的发生现场；同时通知事故现场附近的公安、消防等部门对事故现场进行隔离，不允许闲杂人员的进入和受影响人群的离开，并由专业人员进行事故的处理。</w:t>
            </w:r>
          </w:p>
        </w:tc>
      </w:tr>
      <w:tr w14:paraId="390F85C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80" w:type="dxa"/>
            <w:noWrap w:val="0"/>
            <w:vAlign w:val="center"/>
          </w:tcPr>
          <w:p w14:paraId="124B42B4">
            <w:pPr>
              <w:pStyle w:val="278"/>
              <w:rPr>
                <w:rFonts w:hint="eastAsia"/>
                <w:color w:val="000000"/>
              </w:rPr>
            </w:pPr>
            <w:r>
              <w:rPr>
                <w:rFonts w:hint="eastAsia"/>
                <w:color w:val="000000"/>
              </w:rPr>
              <w:t>7</w:t>
            </w:r>
          </w:p>
        </w:tc>
        <w:tc>
          <w:tcPr>
            <w:tcW w:w="1467" w:type="dxa"/>
            <w:noWrap w:val="0"/>
            <w:vAlign w:val="center"/>
          </w:tcPr>
          <w:p w14:paraId="727CFA57">
            <w:pPr>
              <w:jc w:val="center"/>
              <w:rPr>
                <w:rFonts w:hint="eastAsia" w:ascii="宋体" w:hAnsi="宋体"/>
                <w:color w:val="000000"/>
                <w:szCs w:val="21"/>
              </w:rPr>
            </w:pPr>
            <w:r>
              <w:rPr>
                <w:rFonts w:hint="eastAsia" w:ascii="宋体" w:hAnsi="宋体"/>
                <w:color w:val="000000"/>
                <w:szCs w:val="21"/>
              </w:rPr>
              <w:t>应急环境监测及事故后评估</w:t>
            </w:r>
          </w:p>
        </w:tc>
        <w:tc>
          <w:tcPr>
            <w:tcW w:w="6681" w:type="dxa"/>
            <w:noWrap w:val="0"/>
            <w:vAlign w:val="center"/>
          </w:tcPr>
          <w:p w14:paraId="0A09BE4E">
            <w:pPr>
              <w:rPr>
                <w:rFonts w:hint="eastAsia" w:ascii="宋体" w:hAnsi="宋体"/>
                <w:color w:val="000000"/>
                <w:szCs w:val="21"/>
              </w:rPr>
            </w:pPr>
            <w:r>
              <w:rPr>
                <w:rFonts w:hint="eastAsia" w:ascii="宋体" w:hAnsi="宋体"/>
                <w:color w:val="000000"/>
                <w:szCs w:val="21"/>
              </w:rPr>
              <w:t>由专业队伍负责对事故现场进行监测，并对事故的性质、参数与后果进行评估为指挥部门提供决策依据。</w:t>
            </w:r>
          </w:p>
        </w:tc>
      </w:tr>
      <w:tr w14:paraId="75E417C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80" w:type="dxa"/>
            <w:noWrap w:val="0"/>
            <w:vAlign w:val="center"/>
          </w:tcPr>
          <w:p w14:paraId="5DEA80B4">
            <w:pPr>
              <w:pStyle w:val="278"/>
              <w:rPr>
                <w:rFonts w:hint="eastAsia"/>
                <w:color w:val="000000"/>
              </w:rPr>
            </w:pPr>
            <w:r>
              <w:rPr>
                <w:rFonts w:hint="eastAsia"/>
                <w:color w:val="000000"/>
              </w:rPr>
              <w:t>8</w:t>
            </w:r>
          </w:p>
        </w:tc>
        <w:tc>
          <w:tcPr>
            <w:tcW w:w="1467" w:type="dxa"/>
            <w:noWrap w:val="0"/>
            <w:vAlign w:val="center"/>
          </w:tcPr>
          <w:p w14:paraId="316B89E1">
            <w:pPr>
              <w:jc w:val="center"/>
              <w:rPr>
                <w:rFonts w:hint="eastAsia" w:ascii="宋体" w:hAnsi="宋体"/>
                <w:color w:val="000000"/>
                <w:szCs w:val="21"/>
              </w:rPr>
            </w:pPr>
            <w:r>
              <w:rPr>
                <w:rFonts w:hint="eastAsia" w:ascii="宋体" w:hAnsi="宋体"/>
                <w:color w:val="000000"/>
                <w:szCs w:val="21"/>
              </w:rPr>
              <w:t>应急防护措施、清除泄漏措施方法和器材</w:t>
            </w:r>
          </w:p>
        </w:tc>
        <w:tc>
          <w:tcPr>
            <w:tcW w:w="6681" w:type="dxa"/>
            <w:noWrap w:val="0"/>
            <w:vAlign w:val="center"/>
          </w:tcPr>
          <w:p w14:paraId="336D58D5">
            <w:pPr>
              <w:rPr>
                <w:rFonts w:hint="eastAsia" w:ascii="宋体" w:hAnsi="宋体"/>
                <w:color w:val="000000"/>
                <w:szCs w:val="21"/>
              </w:rPr>
            </w:pPr>
            <w:r>
              <w:rPr>
                <w:rFonts w:hint="eastAsia" w:ascii="宋体" w:hAnsi="宋体"/>
                <w:color w:val="000000"/>
                <w:szCs w:val="21"/>
              </w:rPr>
              <w:t>事故现场：控制事故，防止扩大，蔓延及链锁反应，清除现场泄漏物，降低危害，并配备相应的设施器材，设置一定的安全距离。</w:t>
            </w:r>
          </w:p>
          <w:p w14:paraId="1A51B344">
            <w:pPr>
              <w:rPr>
                <w:rFonts w:hint="eastAsia" w:ascii="宋体" w:hAnsi="宋体"/>
                <w:color w:val="000000"/>
                <w:szCs w:val="21"/>
              </w:rPr>
            </w:pPr>
            <w:r>
              <w:rPr>
                <w:rFonts w:hint="eastAsia" w:ascii="宋体" w:hAnsi="宋体"/>
                <w:color w:val="000000"/>
                <w:szCs w:val="21"/>
              </w:rPr>
              <w:t>邻近区域：控制防火区域，控制和清除污染措施及相应设备配备。</w:t>
            </w:r>
          </w:p>
        </w:tc>
      </w:tr>
      <w:tr w14:paraId="304F028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80" w:type="dxa"/>
            <w:noWrap w:val="0"/>
            <w:vAlign w:val="center"/>
          </w:tcPr>
          <w:p w14:paraId="7034C853">
            <w:pPr>
              <w:pStyle w:val="278"/>
              <w:rPr>
                <w:rFonts w:hint="eastAsia"/>
                <w:color w:val="000000"/>
              </w:rPr>
            </w:pPr>
            <w:r>
              <w:rPr>
                <w:rFonts w:hint="eastAsia"/>
                <w:color w:val="000000"/>
              </w:rPr>
              <w:t>9</w:t>
            </w:r>
          </w:p>
        </w:tc>
        <w:tc>
          <w:tcPr>
            <w:tcW w:w="1467" w:type="dxa"/>
            <w:noWrap w:val="0"/>
            <w:vAlign w:val="center"/>
          </w:tcPr>
          <w:p w14:paraId="5D7A3102">
            <w:pPr>
              <w:jc w:val="center"/>
              <w:rPr>
                <w:rFonts w:hint="eastAsia" w:ascii="宋体" w:hAnsi="宋体"/>
                <w:color w:val="000000"/>
                <w:szCs w:val="21"/>
              </w:rPr>
            </w:pPr>
            <w:r>
              <w:rPr>
                <w:rFonts w:hint="eastAsia" w:ascii="宋体" w:hAnsi="宋体"/>
                <w:color w:val="000000"/>
                <w:szCs w:val="21"/>
              </w:rPr>
              <w:t>应急剂量控制、撤离组织计划、医疗救护与公众健康</w:t>
            </w:r>
          </w:p>
        </w:tc>
        <w:tc>
          <w:tcPr>
            <w:tcW w:w="6681" w:type="dxa"/>
            <w:noWrap w:val="0"/>
            <w:vAlign w:val="center"/>
          </w:tcPr>
          <w:p w14:paraId="765C567E">
            <w:pPr>
              <w:rPr>
                <w:rFonts w:hint="eastAsia" w:ascii="宋体" w:hAnsi="宋体"/>
                <w:color w:val="000000"/>
                <w:szCs w:val="21"/>
              </w:rPr>
            </w:pPr>
            <w:r>
              <w:rPr>
                <w:rFonts w:hint="eastAsia" w:ascii="宋体" w:hAnsi="宋体"/>
                <w:color w:val="000000"/>
                <w:szCs w:val="21"/>
              </w:rPr>
              <w:t>事故现场：事故处理人员对毒物的应急剂量制定，现场及邻近装置人员撤离组织计划及救护。工作内容包括消毒、隔离、防护、疫情报告、转运，并根据实际情况，设置隔离区、缓冲区和清洁区。</w:t>
            </w:r>
          </w:p>
        </w:tc>
      </w:tr>
      <w:tr w14:paraId="2A80A8B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80" w:type="dxa"/>
            <w:noWrap w:val="0"/>
            <w:vAlign w:val="center"/>
          </w:tcPr>
          <w:p w14:paraId="045244D9">
            <w:pPr>
              <w:pStyle w:val="278"/>
              <w:rPr>
                <w:rFonts w:hint="eastAsia"/>
                <w:color w:val="000000"/>
              </w:rPr>
            </w:pPr>
            <w:r>
              <w:rPr>
                <w:rFonts w:hint="eastAsia"/>
                <w:color w:val="000000"/>
              </w:rPr>
              <w:t>10</w:t>
            </w:r>
          </w:p>
        </w:tc>
        <w:tc>
          <w:tcPr>
            <w:tcW w:w="1467" w:type="dxa"/>
            <w:noWrap w:val="0"/>
            <w:vAlign w:val="center"/>
          </w:tcPr>
          <w:p w14:paraId="4E27DBBC">
            <w:pPr>
              <w:jc w:val="center"/>
              <w:rPr>
                <w:rFonts w:hint="eastAsia" w:ascii="宋体" w:hAnsi="宋体"/>
                <w:color w:val="000000"/>
                <w:szCs w:val="21"/>
              </w:rPr>
            </w:pPr>
            <w:r>
              <w:rPr>
                <w:rFonts w:hint="eastAsia" w:ascii="宋体" w:hAnsi="宋体"/>
                <w:color w:val="000000"/>
                <w:szCs w:val="21"/>
              </w:rPr>
              <w:t>应急状态终止与恢复措施</w:t>
            </w:r>
          </w:p>
        </w:tc>
        <w:tc>
          <w:tcPr>
            <w:tcW w:w="6681" w:type="dxa"/>
            <w:noWrap w:val="0"/>
            <w:vAlign w:val="center"/>
          </w:tcPr>
          <w:p w14:paraId="7F00CBB9">
            <w:pPr>
              <w:rPr>
                <w:rFonts w:hint="eastAsia" w:ascii="宋体" w:hAnsi="宋体"/>
                <w:color w:val="000000"/>
                <w:szCs w:val="21"/>
              </w:rPr>
            </w:pPr>
            <w:r>
              <w:rPr>
                <w:rFonts w:hint="eastAsia" w:ascii="宋体" w:hAnsi="宋体"/>
                <w:color w:val="000000"/>
                <w:szCs w:val="21"/>
              </w:rPr>
              <w:t>根据事故的处理情况，规定应急状态终止时间，范围，并做好事故现场的善后处理和恢复工作，并对邻近区域解除事故警戒及善后恢复措施。</w:t>
            </w:r>
          </w:p>
        </w:tc>
      </w:tr>
      <w:tr w14:paraId="2451DDC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80" w:type="dxa"/>
            <w:noWrap w:val="0"/>
            <w:vAlign w:val="center"/>
          </w:tcPr>
          <w:p w14:paraId="7CE93E85">
            <w:pPr>
              <w:pStyle w:val="278"/>
              <w:rPr>
                <w:rFonts w:hint="eastAsia"/>
                <w:color w:val="000000"/>
              </w:rPr>
            </w:pPr>
            <w:r>
              <w:rPr>
                <w:rFonts w:hint="eastAsia"/>
                <w:color w:val="000000"/>
              </w:rPr>
              <w:t>11</w:t>
            </w:r>
          </w:p>
        </w:tc>
        <w:tc>
          <w:tcPr>
            <w:tcW w:w="1467" w:type="dxa"/>
            <w:noWrap w:val="0"/>
            <w:vAlign w:val="center"/>
          </w:tcPr>
          <w:p w14:paraId="1BA75345">
            <w:pPr>
              <w:jc w:val="center"/>
              <w:rPr>
                <w:rFonts w:hint="eastAsia" w:ascii="宋体" w:hAnsi="宋体"/>
                <w:color w:val="000000"/>
                <w:szCs w:val="21"/>
              </w:rPr>
            </w:pPr>
            <w:r>
              <w:rPr>
                <w:rFonts w:hint="eastAsia" w:ascii="宋体" w:hAnsi="宋体"/>
                <w:color w:val="000000"/>
                <w:szCs w:val="21"/>
              </w:rPr>
              <w:t>人员培训与演练</w:t>
            </w:r>
          </w:p>
        </w:tc>
        <w:tc>
          <w:tcPr>
            <w:tcW w:w="6681" w:type="dxa"/>
            <w:noWrap w:val="0"/>
            <w:vAlign w:val="center"/>
          </w:tcPr>
          <w:p w14:paraId="4CAF7539">
            <w:pPr>
              <w:rPr>
                <w:rFonts w:hint="eastAsia" w:ascii="宋体" w:hAnsi="宋体"/>
                <w:color w:val="000000"/>
                <w:szCs w:val="21"/>
              </w:rPr>
            </w:pPr>
            <w:r>
              <w:rPr>
                <w:rFonts w:hint="eastAsia" w:ascii="宋体" w:hAnsi="宋体"/>
                <w:color w:val="000000"/>
                <w:szCs w:val="21"/>
              </w:rPr>
              <w:t>在应急措施制定后，平时安排环保管理人员及设备科等的应急人员进行相关知识的培训和演练，确保事故时的求援行动的正常实施。</w:t>
            </w:r>
          </w:p>
        </w:tc>
      </w:tr>
      <w:tr w14:paraId="77A462B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80" w:type="dxa"/>
            <w:noWrap w:val="0"/>
            <w:vAlign w:val="center"/>
          </w:tcPr>
          <w:p w14:paraId="1E3C8F81">
            <w:pPr>
              <w:pStyle w:val="278"/>
              <w:rPr>
                <w:rFonts w:hint="eastAsia"/>
                <w:color w:val="000000"/>
              </w:rPr>
            </w:pPr>
            <w:r>
              <w:rPr>
                <w:rFonts w:hint="eastAsia"/>
                <w:color w:val="000000"/>
              </w:rPr>
              <w:t>12</w:t>
            </w:r>
          </w:p>
        </w:tc>
        <w:tc>
          <w:tcPr>
            <w:tcW w:w="1467" w:type="dxa"/>
            <w:noWrap w:val="0"/>
            <w:vAlign w:val="center"/>
          </w:tcPr>
          <w:p w14:paraId="012644E3">
            <w:pPr>
              <w:jc w:val="center"/>
              <w:rPr>
                <w:rFonts w:hint="eastAsia" w:ascii="宋体" w:hAnsi="宋体"/>
                <w:color w:val="000000"/>
                <w:szCs w:val="21"/>
              </w:rPr>
            </w:pPr>
            <w:r>
              <w:rPr>
                <w:rFonts w:hint="eastAsia" w:ascii="宋体" w:hAnsi="宋体"/>
                <w:color w:val="000000"/>
                <w:szCs w:val="21"/>
              </w:rPr>
              <w:t>公众教育和信息</w:t>
            </w:r>
          </w:p>
        </w:tc>
        <w:tc>
          <w:tcPr>
            <w:tcW w:w="6681" w:type="dxa"/>
            <w:noWrap w:val="0"/>
            <w:vAlign w:val="center"/>
          </w:tcPr>
          <w:p w14:paraId="44538A20">
            <w:pPr>
              <w:rPr>
                <w:rFonts w:hint="eastAsia" w:ascii="宋体" w:hAnsi="宋体"/>
                <w:color w:val="000000"/>
                <w:szCs w:val="21"/>
              </w:rPr>
            </w:pPr>
            <w:r>
              <w:rPr>
                <w:rFonts w:hint="eastAsia" w:ascii="宋体" w:hAnsi="宋体"/>
                <w:color w:val="000000"/>
                <w:szCs w:val="21"/>
              </w:rPr>
              <w:t>对医院附近进行一些公众医务风险事故的教育和培训，并在事故时向公众发布相关信息。</w:t>
            </w:r>
          </w:p>
        </w:tc>
      </w:tr>
      <w:tr w14:paraId="4FF3317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80" w:type="dxa"/>
            <w:noWrap w:val="0"/>
            <w:vAlign w:val="center"/>
          </w:tcPr>
          <w:p w14:paraId="11E2FEFE">
            <w:pPr>
              <w:pStyle w:val="278"/>
              <w:rPr>
                <w:rFonts w:hint="eastAsia"/>
                <w:color w:val="000000"/>
              </w:rPr>
            </w:pPr>
            <w:r>
              <w:rPr>
                <w:rFonts w:hint="eastAsia"/>
                <w:color w:val="000000"/>
              </w:rPr>
              <w:t>13</w:t>
            </w:r>
          </w:p>
        </w:tc>
        <w:tc>
          <w:tcPr>
            <w:tcW w:w="1467" w:type="dxa"/>
            <w:noWrap w:val="0"/>
            <w:vAlign w:val="center"/>
          </w:tcPr>
          <w:p w14:paraId="07D5304D">
            <w:pPr>
              <w:jc w:val="center"/>
              <w:rPr>
                <w:rFonts w:hint="eastAsia" w:ascii="宋体" w:hAnsi="宋体"/>
                <w:color w:val="000000"/>
                <w:szCs w:val="21"/>
              </w:rPr>
            </w:pPr>
            <w:r>
              <w:rPr>
                <w:rFonts w:hint="eastAsia" w:ascii="宋体" w:hAnsi="宋体"/>
                <w:color w:val="000000"/>
                <w:szCs w:val="21"/>
              </w:rPr>
              <w:t>记录和报告</w:t>
            </w:r>
          </w:p>
        </w:tc>
        <w:tc>
          <w:tcPr>
            <w:tcW w:w="6681" w:type="dxa"/>
            <w:noWrap w:val="0"/>
            <w:vAlign w:val="center"/>
          </w:tcPr>
          <w:p w14:paraId="16F6DA08">
            <w:pPr>
              <w:rPr>
                <w:rFonts w:hint="eastAsia" w:ascii="宋体" w:hAnsi="宋体"/>
                <w:color w:val="000000"/>
                <w:szCs w:val="21"/>
              </w:rPr>
            </w:pPr>
            <w:r>
              <w:rPr>
                <w:rFonts w:hint="eastAsia" w:ascii="宋体" w:hAnsi="宋体"/>
                <w:color w:val="000000"/>
                <w:szCs w:val="21"/>
              </w:rPr>
              <w:t>医院设置专门机构对环保风险事故进行记录，并建立档案和专门报告制度。</w:t>
            </w:r>
          </w:p>
        </w:tc>
      </w:tr>
    </w:tbl>
    <w:p w14:paraId="6BD00D9C">
      <w:pPr>
        <w:rPr>
          <w:rFonts w:hint="eastAsia" w:ascii="宋体" w:hAnsi="宋体"/>
          <w:color w:val="000000"/>
        </w:rPr>
      </w:pPr>
    </w:p>
    <w:p w14:paraId="6E004942">
      <w:pPr>
        <w:pStyle w:val="182"/>
        <w:ind w:firstLine="275"/>
        <w:rPr>
          <w:rFonts w:hint="eastAsia" w:ascii="仿宋_GB2312" w:eastAsia="仿宋_GB2312"/>
          <w:color w:val="000000"/>
          <w:sz w:val="28"/>
          <w:szCs w:val="28"/>
        </w:rPr>
      </w:pPr>
      <w:bookmarkStart w:id="498" w:name="_Toc425954301"/>
      <w:bookmarkStart w:id="499" w:name="_Toc495500120"/>
      <w:r>
        <w:rPr>
          <w:rFonts w:hint="eastAsia" w:ascii="仿宋_GB2312" w:eastAsia="仿宋_GB2312"/>
          <w:color w:val="000000"/>
          <w:sz w:val="28"/>
          <w:szCs w:val="28"/>
        </w:rPr>
        <w:t>7.4环境风险评价结论及建议</w:t>
      </w:r>
      <w:bookmarkEnd w:id="498"/>
      <w:bookmarkEnd w:id="499"/>
    </w:p>
    <w:p w14:paraId="5B9FEF50">
      <w:pPr>
        <w:spacing w:line="360" w:lineRule="auto"/>
        <w:ind w:firstLine="480"/>
        <w:rPr>
          <w:rFonts w:hint="eastAsia"/>
          <w:color w:val="000000"/>
          <w:sz w:val="24"/>
        </w:rPr>
      </w:pPr>
      <w:r>
        <w:rPr>
          <w:rFonts w:hint="eastAsia"/>
          <w:color w:val="000000"/>
          <w:sz w:val="24"/>
        </w:rPr>
        <w:t>通过分析，项目建成后对环境产生的风险主要表现在相关污染治理设备和必要防护设施的故障，通过采取本报告中的一些措施后，可在较大程度上避免风险的产生，同时项目建设方针对本报告提出的环境风险，制定相应的应急预案，可在较短时间内控制风险对环境的影响范围和程度，因此项目方在项目建设阶段就应充分考虑风险的发生及处理措施、方案，将可能的风险产生及影响降低到最低。</w:t>
      </w:r>
    </w:p>
    <w:p w14:paraId="266EC011">
      <w:pPr>
        <w:pStyle w:val="181"/>
        <w:spacing w:line="578" w:lineRule="auto"/>
        <w:rPr>
          <w:rFonts w:hint="eastAsia" w:ascii="仿宋_GB2312" w:eastAsia="仿宋_GB2312"/>
          <w:bCs/>
          <w:color w:val="000000"/>
          <w:sz w:val="30"/>
          <w:szCs w:val="30"/>
        </w:rPr>
      </w:pPr>
      <w:r>
        <w:rPr>
          <w:rFonts w:hint="eastAsia" w:eastAsia="仿宋_GB2312"/>
          <w:color w:val="000000"/>
          <w:sz w:val="30"/>
          <w:szCs w:val="30"/>
        </w:rPr>
        <w:br w:type="page" w:clear="all"/>
      </w:r>
      <w:bookmarkStart w:id="500" w:name="_Toc495500121"/>
      <w:r>
        <w:rPr>
          <w:rFonts w:ascii="仿宋_GB2312" w:eastAsia="仿宋_GB2312"/>
          <w:bCs/>
          <w:color w:val="000000"/>
          <w:sz w:val="30"/>
          <w:szCs w:val="30"/>
        </w:rPr>
        <w:t>8、环境影响控制措施</w:t>
      </w:r>
      <w:bookmarkEnd w:id="500"/>
      <w:r>
        <w:rPr>
          <w:rFonts w:ascii="仿宋_GB2312" w:eastAsia="仿宋_GB2312"/>
          <w:bCs/>
          <w:color w:val="000000"/>
          <w:sz w:val="30"/>
          <w:szCs w:val="30"/>
        </w:rPr>
        <w:tab/>
      </w:r>
    </w:p>
    <w:p w14:paraId="54EBD752">
      <w:pPr>
        <w:pStyle w:val="182"/>
        <w:ind w:firstLine="275"/>
        <w:rPr>
          <w:rFonts w:hint="eastAsia" w:ascii="仿宋_GB2312" w:eastAsia="仿宋_GB2312"/>
          <w:color w:val="000000"/>
          <w:sz w:val="28"/>
          <w:szCs w:val="28"/>
        </w:rPr>
      </w:pPr>
      <w:bookmarkStart w:id="501" w:name="_Toc495500122"/>
      <w:bookmarkStart w:id="502" w:name="_Toc425954303"/>
      <w:bookmarkStart w:id="503" w:name="_Toc425954311"/>
      <w:r>
        <w:rPr>
          <w:rFonts w:hint="eastAsia" w:ascii="仿宋_GB2312" w:eastAsia="仿宋_GB2312"/>
          <w:color w:val="000000"/>
          <w:sz w:val="28"/>
          <w:szCs w:val="28"/>
        </w:rPr>
        <w:t>8.1施工期环境影响控制措施</w:t>
      </w:r>
      <w:bookmarkEnd w:id="501"/>
    </w:p>
    <w:p w14:paraId="206066F3">
      <w:pPr>
        <w:pStyle w:val="183"/>
        <w:ind w:firstLine="472"/>
        <w:rPr>
          <w:rFonts w:hint="eastAsia" w:ascii="仿宋_GB2312" w:eastAsia="仿宋_GB2312"/>
          <w:color w:val="000000"/>
          <w:sz w:val="24"/>
          <w:szCs w:val="24"/>
        </w:rPr>
      </w:pPr>
      <w:bookmarkStart w:id="504" w:name="_Toc495500123"/>
      <w:bookmarkStart w:id="505" w:name="_Toc425954304"/>
      <w:r>
        <w:rPr>
          <w:rFonts w:hint="eastAsia" w:ascii="仿宋_GB2312" w:eastAsia="仿宋_GB2312"/>
          <w:color w:val="000000"/>
          <w:sz w:val="24"/>
          <w:szCs w:val="24"/>
        </w:rPr>
        <w:t>8.1.1大气污染防治措施</w:t>
      </w:r>
      <w:bookmarkEnd w:id="502"/>
      <w:bookmarkEnd w:id="503"/>
    </w:p>
    <w:p w14:paraId="4228CCC7">
      <w:pPr>
        <w:pStyle w:val="197"/>
        <w:spacing w:after="0" w:line="360" w:lineRule="auto"/>
        <w:ind w:left="0" w:firstLine="600"/>
        <w:rPr>
          <w:rFonts w:hint="eastAsia" w:ascii="宋体" w:hAnsi="宋体"/>
          <w:color w:val="000000"/>
          <w:sz w:val="24"/>
        </w:rPr>
      </w:pPr>
      <w:r>
        <w:rPr>
          <w:rFonts w:hint="eastAsia" w:ascii="宋体" w:hAnsi="宋体"/>
          <w:color w:val="000000"/>
          <w:sz w:val="24"/>
        </w:rPr>
        <w:t>针对施工期可能造成的大气环境问题，项目可采取如下控制措施：</w:t>
      </w:r>
    </w:p>
    <w:p w14:paraId="1A439BBE">
      <w:pPr>
        <w:tabs>
          <w:tab w:val="left" w:pos="1080"/>
        </w:tabs>
        <w:spacing w:line="360" w:lineRule="auto"/>
        <w:ind w:firstLine="480"/>
        <w:rPr>
          <w:rFonts w:hint="eastAsia" w:ascii="宋体" w:hAnsi="宋体"/>
          <w:color w:val="000000"/>
          <w:sz w:val="24"/>
        </w:rPr>
      </w:pPr>
      <w:r>
        <w:rPr>
          <w:rFonts w:hint="eastAsia" w:ascii="宋体" w:hAnsi="宋体"/>
          <w:color w:val="000000"/>
          <w:sz w:val="24"/>
        </w:rPr>
        <w:t>（1）汽车尾气</w:t>
      </w:r>
    </w:p>
    <w:p w14:paraId="624FE90B">
      <w:pPr>
        <w:spacing w:line="360" w:lineRule="auto"/>
        <w:ind w:firstLine="556"/>
        <w:rPr>
          <w:rFonts w:hint="eastAsia" w:ascii="宋体" w:hAnsi="宋体"/>
          <w:color w:val="000000"/>
          <w:sz w:val="24"/>
        </w:rPr>
      </w:pPr>
      <w:r>
        <w:rPr>
          <w:rFonts w:hint="eastAsia" w:ascii="宋体" w:hAnsi="宋体"/>
          <w:color w:val="000000"/>
          <w:sz w:val="24"/>
        </w:rPr>
        <w:t>1）、统筹规划，合理调度交通，减少不必要的燃油损耗，减少大气污染物质排放；</w:t>
      </w:r>
    </w:p>
    <w:p w14:paraId="47E59E2A">
      <w:pPr>
        <w:spacing w:line="360" w:lineRule="auto"/>
        <w:ind w:firstLine="480"/>
        <w:rPr>
          <w:rFonts w:hint="eastAsia" w:ascii="宋体" w:hAnsi="宋体"/>
          <w:color w:val="000000"/>
          <w:sz w:val="24"/>
          <w:vertAlign w:val="subscript"/>
        </w:rPr>
      </w:pPr>
      <w:r>
        <w:rPr>
          <w:rFonts w:hint="eastAsia" w:ascii="宋体" w:hAnsi="宋体"/>
          <w:color w:val="000000"/>
          <w:sz w:val="24"/>
        </w:rPr>
        <w:t>2）、施工期间燃油机械设备较多，对燃柴油的大型运输车辆、推土机，需选择机械、车况较好达标排放的施工机械；</w:t>
      </w:r>
    </w:p>
    <w:p w14:paraId="55B372BE">
      <w:pPr>
        <w:spacing w:line="360" w:lineRule="auto"/>
        <w:ind w:firstLine="480"/>
        <w:rPr>
          <w:rFonts w:hint="eastAsia" w:ascii="宋体" w:hAnsi="宋体"/>
          <w:color w:val="000000"/>
          <w:sz w:val="24"/>
        </w:rPr>
      </w:pPr>
      <w:r>
        <w:rPr>
          <w:rFonts w:hint="eastAsia" w:ascii="宋体" w:hAnsi="宋体"/>
          <w:color w:val="000000"/>
          <w:sz w:val="24"/>
        </w:rPr>
        <w:t>3）、在施工机械的选型上考虑相应的环保型产品，主要使用轻质柴油或电作为能源，不得使用劣质燃料。</w:t>
      </w:r>
    </w:p>
    <w:p w14:paraId="5EC62148">
      <w:pPr>
        <w:tabs>
          <w:tab w:val="left" w:pos="1080"/>
        </w:tabs>
        <w:spacing w:line="360" w:lineRule="auto"/>
        <w:ind w:firstLine="480"/>
        <w:rPr>
          <w:rFonts w:hint="eastAsia" w:ascii="宋体" w:hAnsi="宋体"/>
          <w:color w:val="000000"/>
          <w:sz w:val="24"/>
        </w:rPr>
      </w:pPr>
      <w:r>
        <w:rPr>
          <w:rFonts w:hint="eastAsia" w:ascii="宋体" w:hAnsi="宋体"/>
          <w:color w:val="000000"/>
          <w:sz w:val="24"/>
        </w:rPr>
        <w:t>（2）扬尘</w:t>
      </w:r>
    </w:p>
    <w:p w14:paraId="4BB642ED">
      <w:pPr>
        <w:spacing w:line="360" w:lineRule="auto"/>
        <w:ind w:firstLine="480"/>
        <w:rPr>
          <w:rFonts w:hint="eastAsia" w:ascii="宋体" w:hAnsi="宋体"/>
          <w:color w:val="000000"/>
          <w:sz w:val="24"/>
        </w:rPr>
      </w:pPr>
      <w:r>
        <w:rPr>
          <w:rFonts w:hint="eastAsia" w:ascii="宋体" w:hAnsi="宋体"/>
          <w:color w:val="000000"/>
          <w:sz w:val="24"/>
        </w:rPr>
        <w:t>1）、在施工过程中，作业场地采取围挡、围护以减少扬尘扩散。</w:t>
      </w:r>
      <w:r>
        <w:rPr>
          <w:rFonts w:hint="eastAsia" w:ascii="宋体" w:hAnsi="宋体"/>
          <w:bCs/>
          <w:color w:val="000000"/>
          <w:sz w:val="24"/>
        </w:rPr>
        <w:t>采取隔离网和加高围墙隔挡等措施控制施工扬尘对周围的影响；</w:t>
      </w:r>
    </w:p>
    <w:p w14:paraId="4DEFD958">
      <w:pPr>
        <w:spacing w:line="360" w:lineRule="auto"/>
        <w:ind w:firstLine="480"/>
        <w:rPr>
          <w:rFonts w:hint="eastAsia" w:ascii="宋体" w:hAnsi="宋体"/>
          <w:color w:val="000000"/>
          <w:sz w:val="24"/>
        </w:rPr>
      </w:pPr>
      <w:r>
        <w:rPr>
          <w:rFonts w:hint="eastAsia" w:ascii="宋体" w:hAnsi="宋体"/>
          <w:color w:val="000000"/>
          <w:sz w:val="24"/>
        </w:rPr>
        <w:t>2）、在施工场地安排员工定期对施工场地洒水以减少扬尘量，洒水次数根据天气状况而定，一般每天洒水1～2次，若遇到大风或干燥天气适当增加洒水次数；</w:t>
      </w:r>
    </w:p>
    <w:p w14:paraId="766B0FFA">
      <w:pPr>
        <w:spacing w:line="360" w:lineRule="auto"/>
        <w:ind w:firstLine="480"/>
        <w:rPr>
          <w:rFonts w:hint="eastAsia" w:ascii="宋体" w:hAnsi="宋体"/>
          <w:color w:val="000000"/>
          <w:sz w:val="24"/>
        </w:rPr>
      </w:pPr>
      <w:r>
        <w:rPr>
          <w:rFonts w:hint="eastAsia" w:ascii="宋体" w:hAnsi="宋体"/>
          <w:color w:val="000000"/>
          <w:sz w:val="24"/>
        </w:rPr>
        <w:t>3）、对运输建筑材料及建筑垃圾的车辆加盖</w:t>
      </w:r>
      <w:r>
        <w:rPr>
          <w:rFonts w:hint="eastAsia" w:ascii="宋体" w:hAnsi="宋体"/>
          <w:color w:val="000000"/>
          <w:sz w:val="24"/>
          <w:lang w:eastAsia="zh-CN"/>
        </w:rPr>
        <w:t>篷布</w:t>
      </w:r>
      <w:r>
        <w:rPr>
          <w:rFonts w:hint="eastAsia" w:ascii="宋体" w:hAnsi="宋体"/>
          <w:color w:val="000000"/>
          <w:sz w:val="24"/>
        </w:rPr>
        <w:t>减少洒落，同时，车辆进出、装卸场地时应用水将轮胎冲洗干净，车辆行驶路线应首选城外道路，尽量避开居民区和城市中心区；</w:t>
      </w:r>
    </w:p>
    <w:p w14:paraId="0B43AB92">
      <w:pPr>
        <w:spacing w:line="360" w:lineRule="auto"/>
        <w:ind w:firstLine="480"/>
        <w:rPr>
          <w:rFonts w:hint="eastAsia" w:ascii="宋体" w:hAnsi="宋体"/>
          <w:color w:val="000000"/>
          <w:sz w:val="24"/>
        </w:rPr>
      </w:pPr>
      <w:r>
        <w:rPr>
          <w:rFonts w:hint="eastAsia" w:ascii="宋体" w:hAnsi="宋体"/>
          <w:color w:val="000000"/>
          <w:sz w:val="24"/>
        </w:rPr>
        <w:t>4）、施工场地配置专人负责弃土、建筑垃圾、建筑材料的处置、清运和堆放，堆放场地加盖</w:t>
      </w:r>
      <w:r>
        <w:rPr>
          <w:rFonts w:hint="eastAsia" w:ascii="宋体" w:hAnsi="宋体"/>
          <w:color w:val="000000"/>
          <w:sz w:val="24"/>
          <w:lang w:eastAsia="zh-CN"/>
        </w:rPr>
        <w:t>篷布</w:t>
      </w:r>
      <w:r>
        <w:rPr>
          <w:rFonts w:hint="eastAsia" w:ascii="宋体" w:hAnsi="宋体"/>
          <w:color w:val="000000"/>
          <w:sz w:val="24"/>
        </w:rPr>
        <w:t>或洒水，防止二次扬尘；</w:t>
      </w:r>
    </w:p>
    <w:p w14:paraId="755B4EFD">
      <w:pPr>
        <w:spacing w:line="360" w:lineRule="auto"/>
        <w:ind w:firstLine="480"/>
        <w:rPr>
          <w:rFonts w:hint="eastAsia" w:ascii="宋体" w:hAnsi="宋体"/>
          <w:color w:val="000000"/>
          <w:sz w:val="24"/>
        </w:rPr>
      </w:pPr>
      <w:r>
        <w:rPr>
          <w:rFonts w:hint="eastAsia" w:ascii="宋体" w:hAnsi="宋体"/>
          <w:color w:val="000000"/>
          <w:sz w:val="24"/>
        </w:rPr>
        <w:t>5）、对建筑垃圾及弃土应及时处理、清运、以减少占地，防止扬尘污染，改善施工场地的环境；清理施工垃圾时，必须搭设封闭式临时专用垃圾道或采用容器吊运，严禁随意凌空抛撒。施工垃圾应及时清运，适量洒水，减少扬尘；</w:t>
      </w:r>
    </w:p>
    <w:p w14:paraId="02352AEB">
      <w:pPr>
        <w:spacing w:line="360" w:lineRule="auto"/>
        <w:ind w:firstLine="480"/>
        <w:rPr>
          <w:rFonts w:hint="eastAsia" w:ascii="宋体" w:hAnsi="宋体"/>
          <w:color w:val="000000"/>
          <w:sz w:val="24"/>
        </w:rPr>
      </w:pPr>
      <w:r>
        <w:rPr>
          <w:rFonts w:hint="eastAsia" w:ascii="宋体" w:hAnsi="宋体"/>
          <w:color w:val="000000"/>
          <w:sz w:val="24"/>
        </w:rPr>
        <w:t>6）、防止带泥土的运输车辆驶出现场和遗撤渣土在路途中；</w:t>
      </w:r>
    </w:p>
    <w:p w14:paraId="0842CE23">
      <w:pPr>
        <w:spacing w:line="360" w:lineRule="auto"/>
        <w:ind w:firstLine="480"/>
        <w:rPr>
          <w:rFonts w:hint="eastAsia" w:ascii="宋体" w:hAnsi="宋体"/>
          <w:color w:val="000000"/>
          <w:sz w:val="24"/>
        </w:rPr>
      </w:pPr>
      <w:r>
        <w:rPr>
          <w:rFonts w:hint="eastAsia" w:ascii="宋体" w:hAnsi="宋体"/>
          <w:color w:val="000000"/>
          <w:sz w:val="24"/>
        </w:rPr>
        <w:t>7）、合理安排施工，尽量缩短施工时间，避免在干燥大风天气下施工；</w:t>
      </w:r>
    </w:p>
    <w:p w14:paraId="75C53FA2">
      <w:pPr>
        <w:spacing w:line="360" w:lineRule="auto"/>
        <w:ind w:firstLine="480"/>
        <w:rPr>
          <w:rFonts w:hint="eastAsia" w:ascii="宋体" w:hAnsi="宋体"/>
          <w:color w:val="000000"/>
          <w:sz w:val="24"/>
        </w:rPr>
      </w:pPr>
      <w:r>
        <w:rPr>
          <w:rFonts w:hint="eastAsia" w:ascii="宋体" w:hAnsi="宋体"/>
          <w:color w:val="000000"/>
          <w:sz w:val="24"/>
        </w:rPr>
        <w:t xml:space="preserve">8）、散料临时堆场应进行围隔和覆盖；水泥等粉细散装材料，应尽量采取库内存放，如露天存放应采用严密遮盖，卸运时要采取有效措施。 </w:t>
      </w:r>
    </w:p>
    <w:p w14:paraId="3B699B70">
      <w:pPr>
        <w:tabs>
          <w:tab w:val="left" w:pos="1080"/>
        </w:tabs>
        <w:spacing w:line="360" w:lineRule="auto"/>
        <w:ind w:firstLine="480"/>
        <w:rPr>
          <w:rFonts w:hint="eastAsia" w:ascii="宋体" w:hAnsi="宋体"/>
          <w:color w:val="000000"/>
          <w:sz w:val="24"/>
        </w:rPr>
      </w:pPr>
      <w:r>
        <w:rPr>
          <w:rFonts w:hint="eastAsia" w:ascii="宋体" w:hAnsi="宋体"/>
          <w:color w:val="000000"/>
          <w:sz w:val="24"/>
        </w:rPr>
        <w:t>（3）装修废气</w:t>
      </w:r>
    </w:p>
    <w:p w14:paraId="51F3CF49">
      <w:pPr>
        <w:spacing w:line="360" w:lineRule="auto"/>
        <w:ind w:firstLine="480"/>
        <w:rPr>
          <w:rFonts w:hint="eastAsia" w:ascii="宋体" w:hAnsi="宋体"/>
          <w:color w:val="000000"/>
          <w:sz w:val="24"/>
        </w:rPr>
      </w:pPr>
      <w:r>
        <w:rPr>
          <w:rFonts w:hint="eastAsia" w:ascii="宋体" w:hAnsi="宋体"/>
          <w:color w:val="000000"/>
          <w:sz w:val="24"/>
        </w:rPr>
        <w:t>1）、装修中尽量采用符合国家标准的室内装饰和装修材料，这是降低造成室内污染的根本；</w:t>
      </w:r>
    </w:p>
    <w:p w14:paraId="5C42272D">
      <w:pPr>
        <w:spacing w:line="360" w:lineRule="auto"/>
        <w:ind w:firstLine="480"/>
        <w:rPr>
          <w:rFonts w:hint="eastAsia" w:ascii="宋体" w:hAnsi="宋体"/>
          <w:color w:val="000000"/>
          <w:sz w:val="24"/>
        </w:rPr>
      </w:pPr>
      <w:r>
        <w:rPr>
          <w:rFonts w:hint="eastAsia" w:ascii="宋体" w:hAnsi="宋体"/>
          <w:color w:val="000000"/>
          <w:sz w:val="24"/>
        </w:rPr>
        <w:t>2）、装修后的房间不宜立即投入使用，至少要通风换气30天左右；</w:t>
      </w:r>
    </w:p>
    <w:p w14:paraId="53D99DCB">
      <w:pPr>
        <w:spacing w:line="360" w:lineRule="auto"/>
        <w:ind w:firstLine="480"/>
        <w:rPr>
          <w:rFonts w:hint="eastAsia" w:ascii="宋体" w:hAnsi="宋体"/>
          <w:color w:val="000000"/>
          <w:sz w:val="24"/>
        </w:rPr>
      </w:pPr>
      <w:r>
        <w:rPr>
          <w:rFonts w:hint="eastAsia" w:ascii="宋体" w:hAnsi="宋体"/>
          <w:color w:val="000000"/>
          <w:sz w:val="24"/>
        </w:rPr>
        <w:t>3）、增加室内换气频度是减轻污染的关键性措施，做好通风换气，保持空气新鲜，使室内污染物稀释到不危害人体健康的浓度以下，通风次数不得小于6次/h；</w:t>
      </w:r>
    </w:p>
    <w:p w14:paraId="55C78C00">
      <w:pPr>
        <w:spacing w:line="360" w:lineRule="auto"/>
        <w:ind w:firstLine="480"/>
        <w:rPr>
          <w:rFonts w:hint="eastAsia" w:ascii="宋体" w:hAnsi="宋体"/>
          <w:color w:val="000000"/>
          <w:sz w:val="24"/>
        </w:rPr>
      </w:pPr>
      <w:r>
        <w:rPr>
          <w:rFonts w:hint="eastAsia" w:ascii="宋体" w:hAnsi="宋体"/>
          <w:color w:val="000000"/>
          <w:sz w:val="24"/>
        </w:rPr>
        <w:t>4）、保持室内的空气流通，或选用效果较好的室内空气净化器和空气净化装置；</w:t>
      </w:r>
    </w:p>
    <w:p w14:paraId="7B997C7D">
      <w:pPr>
        <w:spacing w:line="360" w:lineRule="auto"/>
        <w:ind w:firstLine="480"/>
        <w:rPr>
          <w:rFonts w:hint="eastAsia" w:ascii="宋体" w:hAnsi="宋体"/>
          <w:color w:val="000000"/>
          <w:sz w:val="24"/>
        </w:rPr>
      </w:pPr>
      <w:r>
        <w:rPr>
          <w:rFonts w:hint="eastAsia" w:ascii="宋体" w:hAnsi="宋体"/>
          <w:color w:val="000000"/>
          <w:sz w:val="24"/>
        </w:rPr>
        <w:t>5）、可以选择在室内种植盆栽花，既可美化室内环境，又可降低室内有害气体的浓度。</w:t>
      </w:r>
    </w:p>
    <w:p w14:paraId="0E87B15D">
      <w:pPr>
        <w:pStyle w:val="183"/>
        <w:ind w:firstLine="472"/>
        <w:rPr>
          <w:rFonts w:hint="eastAsia" w:ascii="仿宋_GB2312" w:eastAsia="仿宋_GB2312"/>
          <w:color w:val="000000"/>
          <w:sz w:val="24"/>
          <w:szCs w:val="24"/>
        </w:rPr>
      </w:pPr>
      <w:bookmarkStart w:id="506" w:name="_Toc495500124"/>
      <w:bookmarkStart w:id="507" w:name="_Toc425954305"/>
      <w:r>
        <w:rPr>
          <w:rFonts w:hint="eastAsia" w:ascii="仿宋_GB2312" w:eastAsia="仿宋_GB2312"/>
          <w:color w:val="000000"/>
          <w:sz w:val="24"/>
          <w:szCs w:val="24"/>
        </w:rPr>
        <w:t>8.1.2地表水污染防治措施</w:t>
      </w:r>
      <w:bookmarkEnd w:id="504"/>
      <w:bookmarkEnd w:id="505"/>
    </w:p>
    <w:p w14:paraId="5C893207">
      <w:pPr>
        <w:tabs>
          <w:tab w:val="left" w:pos="1080"/>
        </w:tabs>
        <w:spacing w:line="360" w:lineRule="auto"/>
        <w:ind w:firstLine="480"/>
        <w:rPr>
          <w:rFonts w:hint="eastAsia" w:ascii="宋体" w:hAnsi="宋体"/>
          <w:color w:val="000000"/>
          <w:sz w:val="24"/>
        </w:rPr>
      </w:pPr>
      <w:r>
        <w:rPr>
          <w:rFonts w:hint="eastAsia" w:ascii="宋体" w:hAnsi="宋体"/>
          <w:color w:val="000000"/>
          <w:sz w:val="24"/>
        </w:rPr>
        <w:t>（1）注意施工期节约用水，减少废水的产生，且尽量避免雨季土石方施</w:t>
      </w:r>
    </w:p>
    <w:p w14:paraId="03EF2FA7">
      <w:pPr>
        <w:spacing w:line="360" w:lineRule="auto"/>
        <w:ind w:firstLine="480"/>
        <w:rPr>
          <w:rFonts w:hint="eastAsia" w:ascii="宋体" w:hAnsi="宋体"/>
          <w:color w:val="000000"/>
          <w:sz w:val="24"/>
        </w:rPr>
      </w:pPr>
      <w:r>
        <w:rPr>
          <w:rFonts w:hint="eastAsia" w:ascii="宋体" w:hAnsi="宋体"/>
          <w:color w:val="000000"/>
          <w:sz w:val="24"/>
        </w:rPr>
        <w:t>工，暴雨期间停止施工；</w:t>
      </w:r>
    </w:p>
    <w:p w14:paraId="0F0C8714">
      <w:pPr>
        <w:tabs>
          <w:tab w:val="left" w:pos="1080"/>
        </w:tabs>
        <w:spacing w:line="360" w:lineRule="auto"/>
        <w:ind w:firstLine="480"/>
        <w:rPr>
          <w:rFonts w:hint="eastAsia" w:ascii="宋体" w:hAnsi="宋体"/>
          <w:color w:val="000000"/>
          <w:sz w:val="24"/>
        </w:rPr>
      </w:pPr>
      <w:r>
        <w:rPr>
          <w:rFonts w:hint="eastAsia" w:ascii="宋体" w:hAnsi="宋体"/>
          <w:color w:val="000000"/>
          <w:sz w:val="24"/>
        </w:rPr>
        <w:t>（2）在施工过程中应设置施工废水收集池，将引入池中的废水进行沉淀</w:t>
      </w:r>
    </w:p>
    <w:p w14:paraId="51CF0C91">
      <w:pPr>
        <w:spacing w:line="360" w:lineRule="auto"/>
        <w:ind w:firstLine="480"/>
        <w:rPr>
          <w:rFonts w:hint="eastAsia" w:ascii="宋体" w:hAnsi="宋体"/>
          <w:color w:val="000000"/>
          <w:sz w:val="24"/>
        </w:rPr>
      </w:pPr>
      <w:r>
        <w:rPr>
          <w:rFonts w:hint="eastAsia" w:ascii="宋体" w:hAnsi="宋体"/>
          <w:color w:val="000000"/>
          <w:sz w:val="24"/>
        </w:rPr>
        <w:t>处理后，回用于</w:t>
      </w:r>
      <w:r>
        <w:rPr>
          <w:rFonts w:hint="eastAsia" w:ascii="宋体" w:hAnsi="宋体"/>
          <w:color w:val="000000"/>
          <w:sz w:val="24"/>
          <w:lang w:eastAsia="zh-CN"/>
        </w:rPr>
        <w:t>混凝土</w:t>
      </w:r>
      <w:r>
        <w:rPr>
          <w:rFonts w:hint="eastAsia" w:ascii="宋体" w:hAnsi="宋体"/>
          <w:color w:val="000000"/>
          <w:sz w:val="24"/>
        </w:rPr>
        <w:t>拌和、洒水降尘等，杜绝施工废水外排；</w:t>
      </w:r>
    </w:p>
    <w:p w14:paraId="720E485F">
      <w:pPr>
        <w:tabs>
          <w:tab w:val="left" w:pos="1080"/>
        </w:tabs>
        <w:spacing w:line="360" w:lineRule="auto"/>
        <w:ind w:firstLine="480"/>
        <w:rPr>
          <w:rFonts w:hint="eastAsia" w:ascii="宋体" w:hAnsi="宋体"/>
          <w:color w:val="000000"/>
          <w:sz w:val="24"/>
        </w:rPr>
      </w:pPr>
      <w:r>
        <w:rPr>
          <w:rFonts w:hint="eastAsia" w:ascii="宋体" w:hAnsi="宋体"/>
          <w:color w:val="000000"/>
          <w:sz w:val="24"/>
        </w:rPr>
        <w:t>（3）施工机械和车辆必须定时进行检修和清洗，清洗污水收集后循环利用；</w:t>
      </w:r>
    </w:p>
    <w:p w14:paraId="605B4102">
      <w:pPr>
        <w:tabs>
          <w:tab w:val="left" w:pos="1080"/>
        </w:tabs>
        <w:spacing w:line="360" w:lineRule="auto"/>
        <w:ind w:firstLine="480"/>
        <w:rPr>
          <w:rFonts w:hint="eastAsia" w:ascii="宋体" w:hAnsi="宋体"/>
          <w:color w:val="000000"/>
          <w:sz w:val="24"/>
        </w:rPr>
      </w:pPr>
      <w:r>
        <w:rPr>
          <w:rFonts w:hint="eastAsia" w:ascii="宋体" w:hAnsi="宋体"/>
          <w:color w:val="000000"/>
          <w:sz w:val="24"/>
        </w:rPr>
        <w:t>（4）施工期间应优先完成区内外雨水截流沟，使施工区内外的雨水分流；</w:t>
      </w:r>
    </w:p>
    <w:p w14:paraId="4898B291">
      <w:pPr>
        <w:tabs>
          <w:tab w:val="left" w:pos="1080"/>
        </w:tabs>
        <w:spacing w:line="360" w:lineRule="auto"/>
        <w:ind w:firstLine="480"/>
        <w:rPr>
          <w:rFonts w:hint="eastAsia" w:ascii="宋体" w:hAnsi="宋体"/>
          <w:color w:val="000000"/>
          <w:sz w:val="24"/>
        </w:rPr>
      </w:pPr>
      <w:r>
        <w:rPr>
          <w:rFonts w:hint="eastAsia" w:ascii="宋体" w:hAnsi="宋体"/>
          <w:color w:val="000000"/>
          <w:sz w:val="24"/>
        </w:rPr>
        <w:t>（5）使用商品</w:t>
      </w:r>
      <w:r>
        <w:rPr>
          <w:rFonts w:hint="eastAsia" w:ascii="宋体" w:hAnsi="宋体"/>
          <w:color w:val="000000"/>
          <w:sz w:val="24"/>
          <w:lang w:eastAsia="zh-CN"/>
        </w:rPr>
        <w:t>混凝土</w:t>
      </w:r>
      <w:r>
        <w:rPr>
          <w:rFonts w:hint="eastAsia" w:ascii="宋体" w:hAnsi="宋体"/>
          <w:color w:val="000000"/>
          <w:sz w:val="24"/>
        </w:rPr>
        <w:t>，严禁现场拌合。</w:t>
      </w:r>
    </w:p>
    <w:p w14:paraId="6531181E">
      <w:pPr>
        <w:pStyle w:val="183"/>
        <w:ind w:firstLine="472"/>
        <w:rPr>
          <w:rFonts w:hint="eastAsia" w:ascii="仿宋_GB2312" w:eastAsia="仿宋_GB2312"/>
          <w:color w:val="000000"/>
          <w:sz w:val="24"/>
          <w:szCs w:val="24"/>
        </w:rPr>
      </w:pPr>
      <w:bookmarkStart w:id="508" w:name="_Toc495500125"/>
      <w:bookmarkStart w:id="509" w:name="_Toc425954306"/>
      <w:r>
        <w:rPr>
          <w:rFonts w:hint="eastAsia" w:ascii="仿宋_GB2312" w:eastAsia="仿宋_GB2312"/>
          <w:color w:val="000000"/>
          <w:sz w:val="24"/>
          <w:szCs w:val="24"/>
        </w:rPr>
        <w:t>8.1.3噪声污染防治措施</w:t>
      </w:r>
      <w:bookmarkEnd w:id="506"/>
      <w:bookmarkEnd w:id="507"/>
    </w:p>
    <w:p w14:paraId="2044F7F9">
      <w:pPr>
        <w:spacing w:line="360" w:lineRule="auto"/>
        <w:ind w:firstLine="570"/>
        <w:rPr>
          <w:rFonts w:hint="eastAsia" w:ascii="宋体" w:hAnsi="宋体"/>
          <w:color w:val="000000"/>
          <w:sz w:val="24"/>
        </w:rPr>
      </w:pPr>
      <w:r>
        <w:rPr>
          <w:rFonts w:hint="eastAsia" w:ascii="宋体" w:hAnsi="宋体"/>
          <w:color w:val="000000"/>
          <w:sz w:val="24"/>
        </w:rPr>
        <w:t>声环境影响分析结果表明，施工噪声对周围环境影响较大，项目在施工期必须采用相应的措施以减小施工噪声对周围环境影响。本评价提出以下减轻措施：</w:t>
      </w:r>
    </w:p>
    <w:p w14:paraId="4C8EA57D">
      <w:pPr>
        <w:spacing w:line="360" w:lineRule="auto"/>
        <w:ind w:firstLine="540"/>
        <w:rPr>
          <w:rFonts w:hint="eastAsia" w:ascii="宋体" w:hAnsi="宋体"/>
          <w:color w:val="000000"/>
          <w:sz w:val="24"/>
        </w:rPr>
      </w:pPr>
      <w:r>
        <w:rPr>
          <w:rFonts w:hint="eastAsia" w:ascii="宋体" w:hAnsi="宋体"/>
          <w:color w:val="000000"/>
          <w:sz w:val="24"/>
        </w:rPr>
        <w:t>（1）建筑施工单位应当采取有效措施，降低施工噪声污染，所排放的建</w:t>
      </w:r>
    </w:p>
    <w:p w14:paraId="6AAD8C61">
      <w:pPr>
        <w:spacing w:line="360" w:lineRule="auto"/>
        <w:rPr>
          <w:rFonts w:hint="eastAsia" w:ascii="宋体" w:hAnsi="宋体"/>
          <w:color w:val="000000"/>
          <w:sz w:val="24"/>
        </w:rPr>
      </w:pPr>
      <w:r>
        <w:rPr>
          <w:rFonts w:hint="eastAsia" w:ascii="宋体" w:hAnsi="宋体"/>
          <w:color w:val="000000"/>
          <w:sz w:val="24"/>
        </w:rPr>
        <w:t>筑施工噪声，应当符合国家规定的建筑施工场界噪声排放标准；</w:t>
      </w:r>
    </w:p>
    <w:p w14:paraId="7B8EC93F">
      <w:pPr>
        <w:tabs>
          <w:tab w:val="left" w:pos="1080"/>
        </w:tabs>
        <w:spacing w:line="360" w:lineRule="auto"/>
        <w:ind w:firstLine="480"/>
        <w:rPr>
          <w:rFonts w:hint="eastAsia" w:ascii="宋体" w:hAnsi="宋体"/>
          <w:color w:val="000000"/>
          <w:sz w:val="24"/>
        </w:rPr>
      </w:pPr>
      <w:r>
        <w:rPr>
          <w:rFonts w:hint="eastAsia" w:ascii="宋体" w:hAnsi="宋体"/>
          <w:color w:val="000000"/>
          <w:sz w:val="24"/>
        </w:rPr>
        <w:t>（2）选用性能良好的低噪声施工机械设备；</w:t>
      </w:r>
    </w:p>
    <w:p w14:paraId="78606FD6">
      <w:pPr>
        <w:spacing w:line="360" w:lineRule="auto"/>
        <w:ind w:firstLine="540"/>
        <w:rPr>
          <w:rFonts w:hint="eastAsia" w:ascii="宋体" w:hAnsi="宋体"/>
          <w:color w:val="000000"/>
          <w:sz w:val="24"/>
        </w:rPr>
      </w:pPr>
      <w:r>
        <w:rPr>
          <w:rFonts w:hint="eastAsia" w:ascii="宋体" w:hAnsi="宋体"/>
          <w:color w:val="000000"/>
          <w:sz w:val="24"/>
        </w:rPr>
        <w:t>（3）加强施工机械的维修、管理，保证施工机械处于低噪声、高效率的良好工作状态；</w:t>
      </w:r>
    </w:p>
    <w:p w14:paraId="12208E1B">
      <w:pPr>
        <w:spacing w:line="360" w:lineRule="auto"/>
        <w:ind w:firstLine="540"/>
        <w:rPr>
          <w:rFonts w:hint="eastAsia" w:ascii="宋体" w:hAnsi="宋体"/>
          <w:color w:val="000000"/>
          <w:sz w:val="24"/>
        </w:rPr>
      </w:pPr>
      <w:r>
        <w:rPr>
          <w:rFonts w:hint="eastAsia" w:ascii="宋体" w:hAnsi="宋体"/>
          <w:color w:val="000000"/>
          <w:sz w:val="24"/>
        </w:rPr>
        <w:t>（4）禁止使用冲击式打桩机等高噪声设备，应选静压式打桩机或钻孔灌注桩机；</w:t>
      </w:r>
    </w:p>
    <w:p w14:paraId="4065806E">
      <w:pPr>
        <w:spacing w:line="360" w:lineRule="auto"/>
        <w:ind w:firstLine="540"/>
        <w:rPr>
          <w:rFonts w:hint="eastAsia" w:ascii="宋体" w:hAnsi="宋体"/>
          <w:color w:val="000000"/>
          <w:sz w:val="24"/>
        </w:rPr>
      </w:pPr>
      <w:r>
        <w:rPr>
          <w:rFonts w:hint="eastAsia" w:ascii="宋体" w:hAnsi="宋体"/>
          <w:color w:val="000000"/>
          <w:sz w:val="24"/>
        </w:rPr>
        <w:t>（5）将高噪声施工设备如真空泵、电锯等安置在封闭密实的工棚内，实行封闭、半封闭施工；</w:t>
      </w:r>
    </w:p>
    <w:p w14:paraId="0B4ACFAC">
      <w:pPr>
        <w:spacing w:line="360" w:lineRule="auto"/>
        <w:ind w:firstLine="540"/>
        <w:rPr>
          <w:rFonts w:hint="eastAsia" w:ascii="宋体" w:hAnsi="宋体"/>
          <w:color w:val="000000"/>
          <w:sz w:val="24"/>
        </w:rPr>
      </w:pPr>
      <w:r>
        <w:rPr>
          <w:rFonts w:hint="eastAsia" w:ascii="宋体" w:hAnsi="宋体"/>
          <w:color w:val="000000"/>
          <w:sz w:val="24"/>
        </w:rPr>
        <w:t>（6）施工期运输车辆应尽量保持良好车况，合理调度，尽可能匀速慢行；</w:t>
      </w:r>
    </w:p>
    <w:p w14:paraId="2CA36BFD">
      <w:pPr>
        <w:spacing w:line="360" w:lineRule="auto"/>
        <w:ind w:firstLine="540"/>
        <w:rPr>
          <w:rFonts w:hint="eastAsia" w:ascii="宋体" w:hAnsi="宋体"/>
          <w:color w:val="000000"/>
          <w:sz w:val="24"/>
        </w:rPr>
      </w:pPr>
      <w:r>
        <w:rPr>
          <w:rFonts w:hint="eastAsia" w:ascii="宋体" w:hAnsi="宋体"/>
          <w:color w:val="000000"/>
          <w:sz w:val="24"/>
        </w:rPr>
        <w:t>（7）施工场地的施工车辆出入地点应尽量远离敏感点，车辆出入现场时应低速、禁鸣；</w:t>
      </w:r>
    </w:p>
    <w:p w14:paraId="42642AD7">
      <w:pPr>
        <w:spacing w:line="360" w:lineRule="auto"/>
        <w:ind w:firstLine="540"/>
        <w:rPr>
          <w:rFonts w:hint="eastAsia" w:ascii="宋体" w:hAnsi="宋体"/>
          <w:color w:val="000000"/>
          <w:sz w:val="24"/>
        </w:rPr>
      </w:pPr>
      <w:r>
        <w:rPr>
          <w:rFonts w:hint="eastAsia" w:ascii="宋体" w:hAnsi="宋体"/>
          <w:color w:val="000000"/>
          <w:sz w:val="24"/>
        </w:rPr>
        <w:t>（8）合理安排施工时间，严禁夜间进行高噪声设备的施工作业，若不可避免使用时，需提前3天向环保部门提出申请，并在附近受影响区域张贴安民告示；</w:t>
      </w:r>
    </w:p>
    <w:p w14:paraId="56D0F465">
      <w:pPr>
        <w:spacing w:line="360" w:lineRule="auto"/>
        <w:ind w:firstLine="540"/>
        <w:rPr>
          <w:rFonts w:hint="eastAsia" w:ascii="宋体" w:hAnsi="宋体"/>
          <w:color w:val="000000"/>
          <w:sz w:val="24"/>
        </w:rPr>
      </w:pPr>
      <w:r>
        <w:rPr>
          <w:rFonts w:hint="eastAsia" w:ascii="宋体" w:hAnsi="宋体"/>
          <w:color w:val="000000"/>
          <w:sz w:val="24"/>
        </w:rPr>
        <w:t>（9）装修期间，块材等建筑材料尽量采用定尺定料，减少现场切割；</w:t>
      </w:r>
    </w:p>
    <w:p w14:paraId="509D782D">
      <w:pPr>
        <w:spacing w:line="360" w:lineRule="auto"/>
        <w:ind w:firstLine="540"/>
        <w:rPr>
          <w:rFonts w:hint="eastAsia" w:ascii="宋体" w:hAnsi="宋体"/>
          <w:color w:val="000000"/>
          <w:sz w:val="24"/>
        </w:rPr>
      </w:pPr>
      <w:r>
        <w:rPr>
          <w:rFonts w:hint="eastAsia" w:ascii="宋体" w:hAnsi="宋体"/>
          <w:color w:val="000000"/>
          <w:sz w:val="24"/>
        </w:rPr>
        <w:t>（10）教育施工人员在施工作业时不得敲打钢管、钢模板，尽量减少噪音；早晚施工不大声喧哗，建筑物资轻拿轻放，不从上往下扔东西，并做好施工中的计划调控。</w:t>
      </w:r>
    </w:p>
    <w:p w14:paraId="2770F1EC">
      <w:pPr>
        <w:pStyle w:val="183"/>
        <w:ind w:firstLine="472"/>
        <w:rPr>
          <w:rFonts w:hint="eastAsia" w:ascii="仿宋_GB2312" w:eastAsia="仿宋_GB2312"/>
          <w:color w:val="000000"/>
          <w:sz w:val="24"/>
          <w:szCs w:val="24"/>
        </w:rPr>
      </w:pPr>
      <w:bookmarkStart w:id="510" w:name="_Toc425954307"/>
      <w:bookmarkStart w:id="511" w:name="_Toc495500126"/>
      <w:r>
        <w:rPr>
          <w:rFonts w:hint="eastAsia" w:ascii="仿宋_GB2312" w:eastAsia="仿宋_GB2312"/>
          <w:color w:val="000000"/>
          <w:sz w:val="24"/>
          <w:szCs w:val="24"/>
        </w:rPr>
        <w:t>8.1.4 固体废物污染防治措施</w:t>
      </w:r>
      <w:bookmarkEnd w:id="508"/>
      <w:bookmarkEnd w:id="509"/>
    </w:p>
    <w:p w14:paraId="292AF063">
      <w:pPr>
        <w:spacing w:line="360" w:lineRule="auto"/>
        <w:ind w:firstLine="480"/>
        <w:rPr>
          <w:rFonts w:hint="eastAsia" w:ascii="宋体" w:hAnsi="宋体"/>
          <w:color w:val="000000"/>
          <w:sz w:val="24"/>
        </w:rPr>
      </w:pPr>
      <w:r>
        <w:rPr>
          <w:rFonts w:hint="eastAsia" w:ascii="宋体" w:hAnsi="宋体"/>
          <w:color w:val="000000"/>
          <w:sz w:val="24"/>
        </w:rPr>
        <w:t>（1）施工中产生的固体废物必须及时处理；能利用的进行再利用，不能利用的清运至指定的建筑垃圾堆放场所进行集中处置；</w:t>
      </w:r>
    </w:p>
    <w:p w14:paraId="2BEF49D1">
      <w:pPr>
        <w:spacing w:line="360" w:lineRule="auto"/>
        <w:ind w:firstLine="410"/>
        <w:rPr>
          <w:rFonts w:hint="eastAsia" w:ascii="宋体" w:hAnsi="宋体"/>
          <w:color w:val="000000"/>
          <w:sz w:val="24"/>
        </w:rPr>
      </w:pPr>
      <w:r>
        <w:rPr>
          <w:rFonts w:hint="eastAsia" w:ascii="宋体" w:hAnsi="宋体"/>
          <w:color w:val="000000"/>
          <w:sz w:val="24"/>
        </w:rPr>
        <w:t>（2）建筑垃圾全部委托有资质的单位处理，运送至指定建筑垃圾处理场进行处置；</w:t>
      </w:r>
    </w:p>
    <w:p w14:paraId="00301FFE">
      <w:pPr>
        <w:spacing w:line="360" w:lineRule="auto"/>
        <w:ind w:firstLine="410"/>
        <w:rPr>
          <w:rFonts w:hint="eastAsia" w:ascii="宋体" w:hAnsi="宋体"/>
          <w:color w:val="000000"/>
          <w:sz w:val="24"/>
        </w:rPr>
      </w:pPr>
      <w:r>
        <w:rPr>
          <w:rFonts w:hint="eastAsia" w:ascii="宋体" w:hAnsi="宋体"/>
          <w:color w:val="000000"/>
          <w:sz w:val="24"/>
        </w:rPr>
        <w:t>（3）车辆运输散体物和废弃物时，必须密封、包扎、覆盖，不得沿途撒漏；运载土方的车辆必须在规定的时间内，按指定路段行驶；</w:t>
      </w:r>
    </w:p>
    <w:p w14:paraId="75F8766B">
      <w:pPr>
        <w:spacing w:line="360" w:lineRule="auto"/>
        <w:ind w:firstLine="410"/>
        <w:rPr>
          <w:rFonts w:hint="eastAsia" w:ascii="宋体" w:hAnsi="宋体"/>
          <w:color w:val="000000"/>
          <w:sz w:val="24"/>
        </w:rPr>
      </w:pPr>
      <w:r>
        <w:rPr>
          <w:rFonts w:hint="eastAsia" w:ascii="宋体" w:hAnsi="宋体"/>
          <w:color w:val="000000"/>
          <w:sz w:val="24"/>
        </w:rPr>
        <w:t>（4）对于废油漆、涂料等有害废物，应当单独收集，按照危险废物处置的有关规定进行处置；</w:t>
      </w:r>
    </w:p>
    <w:p w14:paraId="50ADE30F">
      <w:pPr>
        <w:spacing w:line="360" w:lineRule="auto"/>
        <w:ind w:firstLine="480"/>
        <w:rPr>
          <w:rFonts w:hint="eastAsia" w:ascii="宋体" w:hAnsi="宋体"/>
          <w:color w:val="000000"/>
          <w:sz w:val="24"/>
        </w:rPr>
      </w:pPr>
      <w:r>
        <w:rPr>
          <w:rFonts w:hint="eastAsia" w:ascii="宋体" w:hAnsi="宋体"/>
          <w:color w:val="000000"/>
          <w:sz w:val="24"/>
        </w:rPr>
        <w:t>（5）建设过程中应加强管理，文明施工，使建设期间对周围环境的影响减少到较低限度，做到社会发展与环境保护相协调。</w:t>
      </w:r>
    </w:p>
    <w:p w14:paraId="071473A1">
      <w:pPr>
        <w:spacing w:line="360" w:lineRule="auto"/>
        <w:ind w:firstLine="480"/>
        <w:rPr>
          <w:rFonts w:hint="eastAsia" w:ascii="宋体" w:hAnsi="宋体"/>
          <w:color w:val="000000"/>
          <w:sz w:val="24"/>
        </w:rPr>
      </w:pPr>
      <w:r>
        <w:rPr>
          <w:rFonts w:hint="eastAsia" w:ascii="宋体" w:hAnsi="宋体"/>
          <w:color w:val="000000"/>
          <w:sz w:val="24"/>
        </w:rPr>
        <w:t>（6）活性炭使用后统一由厂家回收再利用。</w:t>
      </w:r>
    </w:p>
    <w:p w14:paraId="08F99416">
      <w:pPr>
        <w:pStyle w:val="183"/>
        <w:ind w:firstLine="472"/>
        <w:rPr>
          <w:rFonts w:hint="eastAsia" w:ascii="仿宋_GB2312" w:eastAsia="仿宋_GB2312"/>
          <w:color w:val="000000"/>
          <w:sz w:val="24"/>
          <w:szCs w:val="24"/>
        </w:rPr>
      </w:pPr>
      <w:bookmarkStart w:id="512" w:name="_Toc495500127"/>
      <w:bookmarkStart w:id="513" w:name="_Toc425954308"/>
      <w:r>
        <w:rPr>
          <w:rFonts w:hint="eastAsia" w:ascii="仿宋_GB2312" w:eastAsia="仿宋_GB2312"/>
          <w:color w:val="000000"/>
          <w:sz w:val="24"/>
          <w:szCs w:val="24"/>
        </w:rPr>
        <w:t>8.1.5水土流失防治措施</w:t>
      </w:r>
      <w:bookmarkEnd w:id="510"/>
      <w:bookmarkEnd w:id="511"/>
    </w:p>
    <w:p w14:paraId="45FE92B5">
      <w:pPr>
        <w:spacing w:line="360" w:lineRule="auto"/>
        <w:ind w:firstLine="480"/>
        <w:rPr>
          <w:rFonts w:hint="eastAsia" w:ascii="宋体" w:hAnsi="宋体"/>
          <w:color w:val="000000"/>
          <w:sz w:val="24"/>
        </w:rPr>
      </w:pPr>
      <w:r>
        <w:rPr>
          <w:rFonts w:hint="eastAsia" w:ascii="宋体" w:hAnsi="宋体"/>
          <w:color w:val="000000"/>
          <w:sz w:val="24"/>
        </w:rPr>
        <w:t>为有效防止水土流失，建议采取以下防治措施：</w:t>
      </w:r>
    </w:p>
    <w:p w14:paraId="5C2851FC">
      <w:pPr>
        <w:spacing w:line="360" w:lineRule="auto"/>
        <w:ind w:firstLine="480"/>
        <w:rPr>
          <w:rFonts w:hint="eastAsia" w:ascii="宋体" w:hAnsi="宋体"/>
          <w:color w:val="000000"/>
          <w:sz w:val="24"/>
        </w:rPr>
      </w:pPr>
      <w:r>
        <w:rPr>
          <w:rFonts w:hint="eastAsia" w:ascii="宋体" w:hAnsi="宋体"/>
          <w:color w:val="000000"/>
          <w:sz w:val="24"/>
        </w:rPr>
        <w:t>（1）根据需要增设必要的临时雨水排水沟渠，夯实裸露地面，尽量减缓雨水对泥土的冲刷造成的水土流失；</w:t>
      </w:r>
    </w:p>
    <w:p w14:paraId="4945C88B">
      <w:pPr>
        <w:spacing w:line="360" w:lineRule="auto"/>
        <w:ind w:firstLine="480"/>
        <w:rPr>
          <w:rFonts w:hint="eastAsia" w:ascii="宋体" w:hAnsi="宋体"/>
          <w:color w:val="000000"/>
          <w:sz w:val="24"/>
        </w:rPr>
      </w:pPr>
      <w:r>
        <w:rPr>
          <w:rFonts w:hint="eastAsia" w:ascii="宋体" w:hAnsi="宋体"/>
          <w:color w:val="000000"/>
          <w:sz w:val="24"/>
        </w:rPr>
        <w:t>（2）弃土和施工废料、废土及时清运；</w:t>
      </w:r>
    </w:p>
    <w:p w14:paraId="63D0E62F">
      <w:pPr>
        <w:spacing w:line="360" w:lineRule="auto"/>
        <w:ind w:firstLine="480"/>
        <w:rPr>
          <w:rFonts w:hint="eastAsia" w:ascii="宋体" w:hAnsi="宋体"/>
          <w:color w:val="000000"/>
          <w:sz w:val="24"/>
        </w:rPr>
      </w:pPr>
      <w:r>
        <w:rPr>
          <w:rFonts w:hint="eastAsia" w:ascii="宋体" w:hAnsi="宋体"/>
          <w:color w:val="000000"/>
          <w:sz w:val="24"/>
        </w:rPr>
        <w:t>（3）施工完成后及时做好绿化植被的恢复，做到表土不裸露；</w:t>
      </w:r>
    </w:p>
    <w:p w14:paraId="50A5655D">
      <w:pPr>
        <w:spacing w:line="360" w:lineRule="auto"/>
        <w:ind w:firstLine="480"/>
        <w:rPr>
          <w:rFonts w:hint="eastAsia" w:ascii="宋体" w:hAnsi="宋体"/>
          <w:color w:val="000000"/>
          <w:sz w:val="24"/>
        </w:rPr>
      </w:pPr>
      <w:r>
        <w:rPr>
          <w:rFonts w:hint="eastAsia" w:ascii="宋体" w:hAnsi="宋体"/>
          <w:color w:val="000000"/>
          <w:sz w:val="24"/>
        </w:rPr>
        <w:t>（4）控制施工作业时间，尽量避免暴雨季进行大规模的土石方开挖工作。</w:t>
      </w:r>
    </w:p>
    <w:p w14:paraId="7F756DEE">
      <w:pPr>
        <w:pStyle w:val="183"/>
        <w:ind w:firstLine="472"/>
        <w:rPr>
          <w:rFonts w:hint="eastAsia" w:ascii="仿宋_GB2312" w:eastAsia="仿宋_GB2312"/>
          <w:color w:val="000000"/>
          <w:sz w:val="24"/>
          <w:szCs w:val="24"/>
        </w:rPr>
      </w:pPr>
      <w:bookmarkStart w:id="514" w:name="_Toc495500128"/>
      <w:bookmarkStart w:id="515" w:name="_Toc425954309"/>
      <w:r>
        <w:rPr>
          <w:rFonts w:hint="eastAsia" w:ascii="仿宋_GB2312" w:eastAsia="仿宋_GB2312"/>
          <w:color w:val="000000"/>
          <w:sz w:val="24"/>
          <w:szCs w:val="24"/>
        </w:rPr>
        <w:t>8.1.6 交通环境影响控制措施</w:t>
      </w:r>
      <w:bookmarkEnd w:id="512"/>
      <w:bookmarkEnd w:id="513"/>
    </w:p>
    <w:p w14:paraId="793228F0">
      <w:pPr>
        <w:pStyle w:val="197"/>
        <w:spacing w:after="0" w:line="360" w:lineRule="auto"/>
        <w:ind w:left="0" w:firstLine="420"/>
        <w:rPr>
          <w:rFonts w:hint="eastAsia" w:ascii="宋体" w:hAnsi="宋体"/>
          <w:color w:val="000000"/>
          <w:sz w:val="24"/>
        </w:rPr>
      </w:pPr>
      <w:r>
        <w:rPr>
          <w:rFonts w:hint="eastAsia" w:ascii="宋体" w:hAnsi="宋体"/>
          <w:color w:val="000000"/>
          <w:sz w:val="24"/>
        </w:rPr>
        <w:t>（1）建设单位、施工单位应定制合理的运输路线和时间，尽量避开繁忙道路和交通高峰时段进行建筑材料和垃圾的运输；</w:t>
      </w:r>
    </w:p>
    <w:p w14:paraId="0371AFAE">
      <w:pPr>
        <w:pStyle w:val="197"/>
        <w:spacing w:after="0" w:line="360" w:lineRule="auto"/>
        <w:ind w:left="0" w:firstLine="420"/>
        <w:rPr>
          <w:rFonts w:hint="eastAsia" w:ascii="宋体" w:hAnsi="宋体"/>
          <w:color w:val="000000"/>
          <w:sz w:val="24"/>
        </w:rPr>
      </w:pPr>
      <w:r>
        <w:rPr>
          <w:rFonts w:hint="eastAsia" w:ascii="宋体" w:hAnsi="宋体"/>
          <w:color w:val="000000"/>
          <w:sz w:val="24"/>
        </w:rPr>
        <w:t>（2）建设单位应与运输部门共同做好驾驶员的职业道德教育，按规定路线运输，按规定地点处置，并不定期地检查执行的情况；</w:t>
      </w:r>
    </w:p>
    <w:p w14:paraId="643261B6">
      <w:pPr>
        <w:pStyle w:val="197"/>
        <w:spacing w:after="0" w:line="360" w:lineRule="auto"/>
        <w:ind w:left="0" w:firstLine="420"/>
        <w:rPr>
          <w:rFonts w:hint="eastAsia" w:ascii="宋体" w:hAnsi="宋体"/>
          <w:color w:val="000000"/>
          <w:sz w:val="24"/>
        </w:rPr>
      </w:pPr>
      <w:r>
        <w:rPr>
          <w:rFonts w:hint="eastAsia" w:ascii="宋体" w:hAnsi="宋体"/>
          <w:color w:val="000000"/>
          <w:sz w:val="24"/>
        </w:rPr>
        <w:t>（3）尽量进行密封运输，减少运输途中固体废弃物或建筑材料的洒落或随风扩散。</w:t>
      </w:r>
    </w:p>
    <w:p w14:paraId="5EE54EC5">
      <w:pPr>
        <w:pStyle w:val="182"/>
        <w:ind w:firstLine="275"/>
        <w:rPr>
          <w:rFonts w:hint="eastAsia" w:ascii="仿宋_GB2312" w:eastAsia="仿宋_GB2312"/>
          <w:color w:val="000000"/>
          <w:sz w:val="28"/>
          <w:szCs w:val="28"/>
        </w:rPr>
      </w:pPr>
      <w:bookmarkStart w:id="516" w:name="_Toc425954310"/>
      <w:bookmarkStart w:id="517" w:name="_Toc495500129"/>
      <w:r>
        <w:rPr>
          <w:rFonts w:hint="eastAsia" w:ascii="仿宋_GB2312" w:eastAsia="仿宋_GB2312"/>
          <w:color w:val="000000"/>
          <w:sz w:val="28"/>
          <w:szCs w:val="28"/>
        </w:rPr>
        <w:t>8.2 运营期污染防治措施</w:t>
      </w:r>
      <w:bookmarkEnd w:id="514"/>
      <w:bookmarkEnd w:id="515"/>
    </w:p>
    <w:p w14:paraId="72601AAB">
      <w:pPr>
        <w:pStyle w:val="183"/>
        <w:ind w:firstLine="472"/>
        <w:rPr>
          <w:rFonts w:hint="eastAsia" w:ascii="仿宋_GB2312" w:eastAsia="仿宋_GB2312"/>
          <w:color w:val="000000"/>
          <w:sz w:val="24"/>
          <w:szCs w:val="24"/>
        </w:rPr>
      </w:pPr>
      <w:bookmarkStart w:id="518" w:name="_Toc495500130"/>
      <w:r>
        <w:rPr>
          <w:rFonts w:hint="eastAsia" w:ascii="仿宋_GB2312" w:eastAsia="仿宋_GB2312"/>
          <w:color w:val="000000"/>
          <w:sz w:val="24"/>
          <w:szCs w:val="24"/>
        </w:rPr>
        <w:t>8.2.1 大气污染防治措施</w:t>
      </w:r>
      <w:bookmarkEnd w:id="516"/>
    </w:p>
    <w:p w14:paraId="75F2118F">
      <w:pPr>
        <w:pStyle w:val="197"/>
        <w:spacing w:after="0" w:line="360" w:lineRule="auto"/>
        <w:ind w:left="0" w:firstLine="480"/>
        <w:rPr>
          <w:rFonts w:hint="eastAsia" w:ascii="宋体" w:hAnsi="宋体"/>
          <w:color w:val="000000"/>
          <w:sz w:val="24"/>
        </w:rPr>
      </w:pPr>
      <w:r>
        <w:rPr>
          <w:rFonts w:hint="eastAsia" w:ascii="宋体" w:hAnsi="宋体"/>
          <w:color w:val="000000"/>
          <w:sz w:val="24"/>
        </w:rPr>
        <w:t>项目运营期大气污染物主要为食堂油烟、汽车尾气、病区室内废气、污水处理设施异味以及备用发电机的燃料废气对周围环境空气的影响。</w:t>
      </w:r>
    </w:p>
    <w:p w14:paraId="2A7CE12E">
      <w:pPr>
        <w:pStyle w:val="197"/>
        <w:spacing w:after="0" w:line="360" w:lineRule="auto"/>
        <w:ind w:left="0" w:firstLine="480"/>
        <w:rPr>
          <w:rFonts w:hint="eastAsia" w:ascii="宋体" w:hAnsi="宋体"/>
          <w:color w:val="000000"/>
          <w:sz w:val="24"/>
        </w:rPr>
      </w:pPr>
      <w:r>
        <w:rPr>
          <w:rFonts w:hint="eastAsia" w:ascii="宋体" w:hAnsi="宋体"/>
          <w:color w:val="000000"/>
          <w:sz w:val="24"/>
        </w:rPr>
        <w:t>（1）食堂油烟废气</w:t>
      </w:r>
    </w:p>
    <w:p w14:paraId="6F14E9CB">
      <w:pPr>
        <w:pStyle w:val="197"/>
        <w:spacing w:after="0" w:line="360" w:lineRule="auto"/>
        <w:ind w:left="0" w:firstLine="480"/>
        <w:rPr>
          <w:rFonts w:hint="eastAsia" w:ascii="宋体" w:hAnsi="宋体"/>
          <w:color w:val="000000"/>
          <w:sz w:val="24"/>
        </w:rPr>
      </w:pPr>
      <w:r>
        <w:rPr>
          <w:rFonts w:hint="eastAsia" w:ascii="宋体" w:hAnsi="宋体"/>
          <w:color w:val="000000"/>
          <w:sz w:val="24"/>
        </w:rPr>
        <w:t>医院食堂须安装处理效率不低于85%的大型油烟净化器，外排油烟可达到GB18483-2001《饮食业油烟排放标准》（试行）“最高允许排放浓度≤2mg/m</w:t>
      </w:r>
      <w:r>
        <w:rPr>
          <w:rFonts w:hint="eastAsia" w:ascii="宋体" w:hAnsi="宋体"/>
          <w:color w:val="000000"/>
          <w:sz w:val="24"/>
          <w:vertAlign w:val="superscript"/>
        </w:rPr>
        <w:t>3</w:t>
      </w:r>
      <w:r>
        <w:rPr>
          <w:rFonts w:hint="eastAsia" w:ascii="宋体" w:hAnsi="宋体"/>
          <w:color w:val="000000"/>
          <w:sz w:val="24"/>
        </w:rPr>
        <w:t>”的限制要求，由排气筒外排。排气筒出口朝向应避开易受影响的建筑物。</w:t>
      </w:r>
    </w:p>
    <w:p w14:paraId="5C59523B">
      <w:pPr>
        <w:pStyle w:val="197"/>
        <w:spacing w:after="0" w:line="360" w:lineRule="auto"/>
        <w:ind w:left="0" w:firstLine="480"/>
        <w:rPr>
          <w:rFonts w:hint="eastAsia" w:ascii="宋体" w:hAnsi="宋体"/>
          <w:color w:val="000000"/>
          <w:sz w:val="24"/>
        </w:rPr>
      </w:pPr>
      <w:r>
        <w:rPr>
          <w:rFonts w:hint="eastAsia" w:ascii="宋体" w:hAnsi="宋体"/>
          <w:color w:val="000000"/>
          <w:sz w:val="24"/>
        </w:rPr>
        <w:t>（2）尾气</w:t>
      </w:r>
    </w:p>
    <w:p w14:paraId="51893AFB">
      <w:pPr>
        <w:pStyle w:val="197"/>
        <w:spacing w:after="0" w:line="360" w:lineRule="auto"/>
        <w:ind w:left="0" w:firstLine="480"/>
        <w:rPr>
          <w:rFonts w:hint="eastAsia" w:ascii="宋体" w:hAnsi="宋体"/>
          <w:color w:val="000000"/>
          <w:sz w:val="24"/>
        </w:rPr>
      </w:pPr>
      <w:r>
        <w:rPr>
          <w:rFonts w:hint="eastAsia" w:ascii="宋体" w:hAnsi="宋体"/>
          <w:color w:val="000000"/>
          <w:sz w:val="24"/>
        </w:rPr>
        <w:t>停车场机动车尾气防治措施为：</w:t>
      </w:r>
    </w:p>
    <w:p w14:paraId="66C48F77">
      <w:pPr>
        <w:pStyle w:val="197"/>
        <w:spacing w:after="0" w:line="360" w:lineRule="auto"/>
        <w:ind w:left="0" w:firstLine="480"/>
        <w:rPr>
          <w:rFonts w:hint="eastAsia" w:ascii="宋体" w:hAnsi="宋体"/>
          <w:color w:val="000000"/>
          <w:sz w:val="24"/>
        </w:rPr>
      </w:pPr>
      <w:r>
        <w:rPr>
          <w:rFonts w:hint="eastAsia" w:ascii="宋体" w:hAnsi="宋体"/>
          <w:color w:val="000000"/>
          <w:sz w:val="24"/>
        </w:rPr>
        <w:t>1）、将地面停车场设置在宽阔地带，以便于排放的汽车尾气及时扩散，得到稀释；</w:t>
      </w:r>
    </w:p>
    <w:p w14:paraId="1619E700">
      <w:pPr>
        <w:pStyle w:val="197"/>
        <w:spacing w:after="0" w:line="360" w:lineRule="auto"/>
        <w:ind w:left="0" w:firstLine="480"/>
        <w:rPr>
          <w:rFonts w:hint="eastAsia" w:ascii="宋体" w:hAnsi="宋体"/>
          <w:color w:val="000000"/>
          <w:sz w:val="24"/>
        </w:rPr>
      </w:pPr>
      <w:r>
        <w:rPr>
          <w:rFonts w:hint="eastAsia" w:ascii="宋体" w:hAnsi="宋体"/>
          <w:color w:val="000000"/>
          <w:sz w:val="24"/>
        </w:rPr>
        <w:t>2）、加强绿化，增加植物对尾气中有害成分的吸收和吸附。</w:t>
      </w:r>
    </w:p>
    <w:p w14:paraId="5EE27457">
      <w:pPr>
        <w:pStyle w:val="197"/>
        <w:spacing w:after="0" w:line="360" w:lineRule="auto"/>
        <w:ind w:left="0" w:firstLine="480"/>
        <w:rPr>
          <w:rFonts w:hint="eastAsia" w:ascii="宋体" w:hAnsi="宋体"/>
          <w:color w:val="000000"/>
          <w:sz w:val="24"/>
        </w:rPr>
      </w:pPr>
      <w:r>
        <w:rPr>
          <w:rFonts w:hint="eastAsia" w:ascii="宋体" w:hAnsi="宋体"/>
          <w:color w:val="000000"/>
          <w:sz w:val="24"/>
        </w:rPr>
        <w:t>（3）异味</w:t>
      </w:r>
    </w:p>
    <w:p w14:paraId="0AB0ED3B">
      <w:pPr>
        <w:spacing w:line="360" w:lineRule="auto"/>
        <w:ind w:firstLine="480"/>
        <w:rPr>
          <w:rFonts w:hint="eastAsia" w:ascii="宋体" w:hAnsi="宋体"/>
          <w:color w:val="000000"/>
          <w:sz w:val="24"/>
        </w:rPr>
      </w:pPr>
      <w:r>
        <w:rPr>
          <w:rFonts w:hint="eastAsia" w:ascii="宋体" w:hAnsi="宋体"/>
          <w:color w:val="000000"/>
          <w:sz w:val="24"/>
        </w:rPr>
        <w:t>1）、污水处理站布置于地埋式，</w:t>
      </w:r>
      <w:r>
        <w:rPr>
          <w:color w:val="000000"/>
          <w:sz w:val="24"/>
        </w:rPr>
        <w:t>在水处理池上预留进、出水口，顶盖采用钢筋混凝土结构，检查井采用加盖措施，密闭措施较好；</w:t>
      </w:r>
      <w:r>
        <w:rPr>
          <w:rFonts w:hint="eastAsia" w:ascii="宋体" w:hAnsi="宋体"/>
          <w:color w:val="000000"/>
          <w:sz w:val="24"/>
        </w:rPr>
        <w:t>为进一步加强异味防治，建设方还需在污水处理站周围加强绿化，沿周围种植乔灌草相结合的绿化带，以降低恶臭污染的影响。</w:t>
      </w:r>
    </w:p>
    <w:p w14:paraId="2E6E14D1">
      <w:pPr>
        <w:spacing w:line="360" w:lineRule="auto"/>
        <w:ind w:firstLine="480"/>
        <w:rPr>
          <w:rFonts w:hint="eastAsia" w:ascii="宋体" w:hAnsi="宋体"/>
          <w:color w:val="000000"/>
          <w:sz w:val="24"/>
        </w:rPr>
      </w:pPr>
      <w:r>
        <w:rPr>
          <w:rFonts w:hint="eastAsia" w:ascii="宋体" w:hAnsi="宋体"/>
          <w:color w:val="000000"/>
          <w:sz w:val="24"/>
        </w:rPr>
        <w:t>2）、污水处理系统产生的废气需增加一过滤装置（臭氧消毒除臭法+活性炭吸附法），活性炭的用量120kg/a，保证外排废气中病菌和细菌指标达标。活性炭使用后统一由厂家回收再利用。</w:t>
      </w:r>
    </w:p>
    <w:p w14:paraId="4CCE14D3">
      <w:pPr>
        <w:spacing w:line="360" w:lineRule="auto"/>
        <w:ind w:firstLine="480"/>
        <w:rPr>
          <w:rFonts w:hint="eastAsia" w:ascii="宋体" w:hAnsi="宋体"/>
          <w:color w:val="000000"/>
          <w:sz w:val="24"/>
        </w:rPr>
      </w:pPr>
      <w:r>
        <w:rPr>
          <w:rFonts w:hint="eastAsia" w:ascii="宋体" w:hAnsi="宋体"/>
          <w:color w:val="000000"/>
          <w:sz w:val="24"/>
        </w:rPr>
        <w:t>3）、垃圾及医疗废物收集房需要密封，按时清运。</w:t>
      </w:r>
    </w:p>
    <w:p w14:paraId="04D1FE05">
      <w:pPr>
        <w:pStyle w:val="197"/>
        <w:spacing w:after="0" w:line="360" w:lineRule="auto"/>
        <w:ind w:left="0" w:firstLine="480"/>
        <w:rPr>
          <w:rFonts w:hint="eastAsia" w:ascii="宋体" w:hAnsi="宋体"/>
          <w:color w:val="000000"/>
          <w:sz w:val="24"/>
        </w:rPr>
      </w:pPr>
      <w:r>
        <w:rPr>
          <w:rFonts w:hint="eastAsia" w:ascii="宋体" w:hAnsi="宋体"/>
          <w:color w:val="000000"/>
          <w:sz w:val="24"/>
        </w:rPr>
        <w:t>（4）备用发电机废气</w:t>
      </w:r>
    </w:p>
    <w:p w14:paraId="760489A3">
      <w:pPr>
        <w:pStyle w:val="197"/>
        <w:spacing w:after="0" w:line="360" w:lineRule="auto"/>
        <w:ind w:left="0" w:firstLine="480"/>
        <w:rPr>
          <w:rFonts w:hint="eastAsia" w:ascii="宋体" w:hAnsi="宋体"/>
          <w:color w:val="000000"/>
          <w:sz w:val="24"/>
        </w:rPr>
      </w:pPr>
      <w:r>
        <w:rPr>
          <w:rFonts w:hint="eastAsia" w:ascii="宋体" w:hAnsi="宋体"/>
          <w:color w:val="000000"/>
          <w:sz w:val="24"/>
        </w:rPr>
        <w:t>备用发电机置于项目区西北侧的独立设备房，设置排烟风机，燃油废气通过排气筒排放，排气筒排气口朝向绿化带或空地，避开建筑物，将短时间内的污染影响尽量降低。</w:t>
      </w:r>
    </w:p>
    <w:p w14:paraId="519D0BFC">
      <w:pPr>
        <w:pStyle w:val="183"/>
        <w:ind w:firstLine="472"/>
        <w:rPr>
          <w:rFonts w:hint="eastAsia" w:ascii="仿宋_GB2312" w:eastAsia="仿宋_GB2312"/>
          <w:color w:val="000000"/>
          <w:sz w:val="24"/>
          <w:szCs w:val="24"/>
        </w:rPr>
      </w:pPr>
      <w:bookmarkStart w:id="519" w:name="_Toc495500131"/>
      <w:r>
        <w:rPr>
          <w:rFonts w:hint="eastAsia" w:ascii="仿宋_GB2312" w:eastAsia="仿宋_GB2312"/>
          <w:color w:val="000000"/>
          <w:sz w:val="24"/>
          <w:szCs w:val="24"/>
        </w:rPr>
        <w:t>8.2.2 地表水环境污染防治措施及要求</w:t>
      </w:r>
      <w:bookmarkEnd w:id="517"/>
    </w:p>
    <w:p w14:paraId="26CFEF8F">
      <w:pPr>
        <w:spacing w:line="360" w:lineRule="auto"/>
        <w:ind w:firstLine="480"/>
        <w:rPr>
          <w:rFonts w:hint="eastAsia" w:ascii="宋体" w:hAnsi="宋体"/>
          <w:color w:val="000000"/>
          <w:sz w:val="24"/>
        </w:rPr>
      </w:pPr>
      <w:r>
        <w:rPr>
          <w:rFonts w:hint="eastAsia" w:ascii="宋体" w:hAnsi="宋体"/>
          <w:color w:val="000000"/>
          <w:sz w:val="24"/>
        </w:rPr>
        <w:t>（1）按“三同时”制度要求建成病区污水和非病区污水各自独立的污水管道，雨水系统，污水处理站和特殊医疗废水处理设施。</w:t>
      </w:r>
    </w:p>
    <w:p w14:paraId="378B7686">
      <w:pPr>
        <w:spacing w:line="360" w:lineRule="auto"/>
        <w:ind w:firstLine="480"/>
        <w:rPr>
          <w:rFonts w:hint="eastAsia" w:ascii="宋体" w:hAnsi="宋体"/>
          <w:color w:val="000000"/>
          <w:sz w:val="24"/>
        </w:rPr>
      </w:pPr>
      <w:r>
        <w:rPr>
          <w:rFonts w:hint="eastAsia" w:ascii="宋体" w:hAnsi="宋体"/>
          <w:color w:val="000000"/>
          <w:sz w:val="24"/>
        </w:rPr>
        <w:t>（2）本医院的污水处理站规模为120m</w:t>
      </w:r>
      <w:r>
        <w:rPr>
          <w:rFonts w:hint="eastAsia" w:ascii="宋体" w:hAnsi="宋体"/>
          <w:color w:val="000000"/>
          <w:sz w:val="24"/>
          <w:vertAlign w:val="superscript"/>
        </w:rPr>
        <w:t>3</w:t>
      </w:r>
      <w:r>
        <w:rPr>
          <w:rFonts w:hint="eastAsia" w:ascii="宋体" w:hAnsi="宋体"/>
          <w:color w:val="000000"/>
          <w:sz w:val="24"/>
        </w:rPr>
        <w:t>/d，并配备与本项目相配套的污水管网，项目区内各类废水按“雨污分流、病区和非病区污水分流、特殊医疗废水单独处理达标”的原则处理排放。</w:t>
      </w:r>
    </w:p>
    <w:p w14:paraId="7BE629DD">
      <w:pPr>
        <w:spacing w:line="360" w:lineRule="auto"/>
        <w:ind w:firstLine="480"/>
        <w:rPr>
          <w:rFonts w:hint="eastAsia" w:ascii="宋体" w:hAnsi="宋体"/>
          <w:color w:val="000000"/>
          <w:sz w:val="24"/>
        </w:rPr>
      </w:pPr>
      <w:r>
        <w:rPr>
          <w:rFonts w:hint="eastAsia" w:ascii="宋体" w:hAnsi="宋体"/>
          <w:color w:val="000000"/>
          <w:sz w:val="24"/>
        </w:rPr>
        <w:t>（3）项目病区特殊废水分别经预处理达标后，通过项目污水管道排入医疗废水处理站，与其他废水一同经过处理达到《医疗机构水污染物排放标准》（GB18466－2005）中表2预处理标准限值后排入市政污水管网进芒市污水处理厂进行处理。</w:t>
      </w:r>
    </w:p>
    <w:p w14:paraId="15AF121D">
      <w:pPr>
        <w:spacing w:line="360" w:lineRule="auto"/>
        <w:ind w:firstLine="480"/>
        <w:rPr>
          <w:rFonts w:hint="eastAsia" w:ascii="宋体" w:hAnsi="宋体"/>
          <w:color w:val="000000"/>
          <w:sz w:val="24"/>
        </w:rPr>
      </w:pPr>
      <w:r>
        <w:rPr>
          <w:rFonts w:hint="eastAsia" w:ascii="宋体" w:hAnsi="宋体"/>
          <w:color w:val="000000"/>
          <w:sz w:val="24"/>
        </w:rPr>
        <w:t>（4）废水非正常排放控制措施：A、污水处理站在设计时要严格按照设计规范要求，构筑物至少设计成两格并联运行，设备必须采取一用、一备。确保部分检修时，未检修部分仍然能继续处理不低于80%的设计水量。B、采用双回路供电，保障设备正常运转。C、加强医院废水处理站、特殊医疗废水处理设施及管网的专人维护和管理；明渠职责和分工。D、加强教育和培训，提高处理应急事故能力。</w:t>
      </w:r>
    </w:p>
    <w:p w14:paraId="35BF5231">
      <w:pPr>
        <w:spacing w:line="360" w:lineRule="auto"/>
        <w:ind w:firstLine="480"/>
        <w:rPr>
          <w:rFonts w:hint="eastAsia" w:ascii="宋体" w:hAnsi="宋体"/>
          <w:color w:val="000000"/>
          <w:sz w:val="24"/>
        </w:rPr>
      </w:pPr>
      <w:r>
        <w:rPr>
          <w:rFonts w:hint="eastAsia" w:ascii="宋体" w:hAnsi="宋体"/>
          <w:color w:val="000000"/>
          <w:sz w:val="24"/>
        </w:rPr>
        <w:t>（5）医院污水处理设施应有防腐、防渗、防漏措施、确保废水不会渗漏对地下水环境产生影响。各种构筑物均应加盖。</w:t>
      </w:r>
    </w:p>
    <w:p w14:paraId="39B148FC">
      <w:pPr>
        <w:spacing w:line="360" w:lineRule="auto"/>
        <w:ind w:firstLine="480"/>
        <w:rPr>
          <w:rFonts w:hint="eastAsia" w:ascii="宋体" w:hAnsi="宋体"/>
          <w:b/>
          <w:color w:val="000000"/>
          <w:sz w:val="24"/>
        </w:rPr>
      </w:pPr>
      <w:r>
        <w:rPr>
          <w:rFonts w:hint="eastAsia" w:ascii="宋体" w:hAnsi="宋体"/>
          <w:color w:val="000000"/>
          <w:sz w:val="24"/>
        </w:rPr>
        <w:t>（6）医院污水处理设施的管理人员，必须具有一定的管理知识和操作技能，并备有安全防护措施。</w:t>
      </w:r>
    </w:p>
    <w:p w14:paraId="1939483E">
      <w:pPr>
        <w:spacing w:line="360" w:lineRule="auto"/>
        <w:ind w:firstLine="480"/>
        <w:rPr>
          <w:rFonts w:hint="eastAsia" w:ascii="宋体" w:hAnsi="宋体"/>
          <w:color w:val="000000"/>
          <w:sz w:val="24"/>
        </w:rPr>
      </w:pPr>
      <w:r>
        <w:rPr>
          <w:rFonts w:hint="eastAsia" w:ascii="宋体" w:hAnsi="宋体"/>
          <w:color w:val="000000"/>
          <w:sz w:val="24"/>
        </w:rPr>
        <w:t>（7）化粪池、沉淀池及接触池的污泥，必须进行无害化处理，处理后的污泥，不得作为蔬菜或块根作物的肥料。</w:t>
      </w:r>
    </w:p>
    <w:p w14:paraId="7EC96F53">
      <w:pPr>
        <w:spacing w:line="360" w:lineRule="auto"/>
        <w:ind w:firstLine="480"/>
        <w:rPr>
          <w:rFonts w:hint="eastAsia"/>
          <w:color w:val="000000"/>
          <w:sz w:val="24"/>
        </w:rPr>
      </w:pPr>
      <w:r>
        <w:rPr>
          <w:rFonts w:hint="eastAsia" w:ascii="宋体" w:hAnsi="宋体"/>
          <w:color w:val="000000"/>
          <w:sz w:val="24"/>
        </w:rPr>
        <w:t>（8）医院</w:t>
      </w:r>
      <w:r>
        <w:rPr>
          <w:color w:val="000000"/>
          <w:sz w:val="24"/>
        </w:rPr>
        <w:t>废水处理站内的处理工艺、加药系统和流量控制系统均须安装在线自动检测仪器，发生故障时，可及时报警并停止向外排放废水。在事故排水情况下废水排入事故水池暂存，待事故排除后，再进入污水处理站处理达标后排入市政污水管道，使废水在非正常情况下具有一定的缓冲能力，杜绝未经处理的医疗废水直接外排。</w:t>
      </w:r>
    </w:p>
    <w:p w14:paraId="2DD1F56F">
      <w:pPr>
        <w:pStyle w:val="183"/>
        <w:ind w:firstLine="472"/>
        <w:rPr>
          <w:rFonts w:hint="eastAsia" w:ascii="仿宋_GB2312" w:eastAsia="仿宋_GB2312"/>
          <w:color w:val="000000"/>
          <w:sz w:val="24"/>
          <w:szCs w:val="24"/>
        </w:rPr>
      </w:pPr>
      <w:bookmarkStart w:id="520" w:name="_Toc495500132"/>
      <w:r>
        <w:rPr>
          <w:rFonts w:hint="eastAsia" w:ascii="仿宋_GB2312" w:eastAsia="仿宋_GB2312"/>
          <w:color w:val="000000"/>
          <w:sz w:val="24"/>
          <w:szCs w:val="24"/>
        </w:rPr>
        <w:t>8.2.3 噪声污染防治措施</w:t>
      </w:r>
      <w:bookmarkEnd w:id="518"/>
    </w:p>
    <w:p w14:paraId="50374ACB">
      <w:pPr>
        <w:spacing w:line="360" w:lineRule="auto"/>
        <w:ind w:firstLine="480"/>
        <w:rPr>
          <w:rFonts w:hint="eastAsia" w:ascii="宋体" w:hAnsi="宋体"/>
          <w:color w:val="000000"/>
          <w:sz w:val="24"/>
        </w:rPr>
      </w:pPr>
      <w:r>
        <w:rPr>
          <w:rFonts w:hint="eastAsia" w:ascii="宋体" w:hAnsi="宋体"/>
          <w:color w:val="000000"/>
          <w:sz w:val="24"/>
        </w:rPr>
        <w:t>（1）风扇等设备要设置在设备间或设备夹层内；</w:t>
      </w:r>
    </w:p>
    <w:p w14:paraId="777F16E2">
      <w:pPr>
        <w:spacing w:line="360" w:lineRule="auto"/>
        <w:ind w:firstLine="480"/>
        <w:rPr>
          <w:rFonts w:hint="eastAsia" w:ascii="宋体" w:hAnsi="宋体"/>
          <w:color w:val="000000"/>
          <w:sz w:val="24"/>
        </w:rPr>
      </w:pPr>
      <w:r>
        <w:rPr>
          <w:rFonts w:hint="eastAsia" w:ascii="宋体" w:hAnsi="宋体"/>
          <w:color w:val="000000"/>
          <w:sz w:val="24"/>
        </w:rPr>
        <w:t>（2）各噪声设备在选型上尽可能选择低噪声型；</w:t>
      </w:r>
    </w:p>
    <w:p w14:paraId="64CB571C">
      <w:pPr>
        <w:spacing w:line="360" w:lineRule="auto"/>
        <w:ind w:firstLine="480"/>
        <w:rPr>
          <w:rFonts w:hint="eastAsia" w:ascii="宋体" w:hAnsi="宋体"/>
          <w:color w:val="000000"/>
          <w:sz w:val="24"/>
        </w:rPr>
      </w:pPr>
      <w:r>
        <w:rPr>
          <w:rFonts w:hint="eastAsia" w:ascii="宋体" w:hAnsi="宋体"/>
          <w:color w:val="000000"/>
          <w:sz w:val="24"/>
        </w:rPr>
        <w:t>（3）平时要加强对各噪声设备的保养、检修与润滑，保证设备良好运转，减轻运行噪声强度；</w:t>
      </w:r>
    </w:p>
    <w:p w14:paraId="4BF00456">
      <w:pPr>
        <w:spacing w:line="360" w:lineRule="auto"/>
        <w:ind w:firstLine="480"/>
        <w:rPr>
          <w:rFonts w:hint="eastAsia" w:ascii="宋体" w:hAnsi="宋体"/>
          <w:color w:val="000000"/>
          <w:sz w:val="24"/>
        </w:rPr>
      </w:pPr>
      <w:r>
        <w:rPr>
          <w:rFonts w:hint="eastAsia" w:ascii="宋体" w:hAnsi="宋体"/>
          <w:color w:val="000000"/>
          <w:sz w:val="24"/>
        </w:rPr>
        <w:t>（4）强噪声源在布局上应尽量合理布设；</w:t>
      </w:r>
    </w:p>
    <w:p w14:paraId="5C0487F3">
      <w:pPr>
        <w:spacing w:line="360" w:lineRule="auto"/>
        <w:ind w:firstLine="480"/>
        <w:rPr>
          <w:rFonts w:hint="eastAsia" w:ascii="宋体" w:hAnsi="宋体"/>
          <w:color w:val="000000"/>
          <w:sz w:val="24"/>
        </w:rPr>
      </w:pPr>
      <w:r>
        <w:rPr>
          <w:rFonts w:hint="eastAsia" w:ascii="宋体" w:hAnsi="宋体"/>
          <w:color w:val="000000"/>
          <w:sz w:val="24"/>
        </w:rPr>
        <w:t>（5）进出项目的机动车通过采取限速、禁止鸣镝等措施控制车辆噪声；</w:t>
      </w:r>
    </w:p>
    <w:p w14:paraId="0BABE8D5">
      <w:pPr>
        <w:spacing w:line="360" w:lineRule="auto"/>
        <w:ind w:firstLine="480"/>
        <w:rPr>
          <w:rFonts w:hint="eastAsia" w:ascii="宋体" w:hAnsi="宋体"/>
          <w:color w:val="000000"/>
          <w:sz w:val="24"/>
        </w:rPr>
      </w:pPr>
      <w:r>
        <w:rPr>
          <w:rFonts w:hint="eastAsia" w:ascii="宋体" w:hAnsi="宋体"/>
          <w:color w:val="000000"/>
          <w:sz w:val="24"/>
        </w:rPr>
        <w:t>（6）在门诊病区设置安静警示牌；</w:t>
      </w:r>
    </w:p>
    <w:p w14:paraId="280B6F9B">
      <w:pPr>
        <w:spacing w:line="360" w:lineRule="auto"/>
        <w:ind w:firstLine="480"/>
        <w:rPr>
          <w:rFonts w:hint="eastAsia" w:ascii="宋体" w:hAnsi="宋体"/>
          <w:color w:val="000000"/>
          <w:sz w:val="24"/>
        </w:rPr>
      </w:pPr>
      <w:r>
        <w:rPr>
          <w:rFonts w:hint="eastAsia" w:ascii="宋体" w:hAnsi="宋体"/>
          <w:color w:val="000000"/>
          <w:sz w:val="24"/>
        </w:rPr>
        <w:t>（7）医院内要搞好绿化，在美化院内环境的同时又可起到适当降低环境噪声的效果；</w:t>
      </w:r>
    </w:p>
    <w:p w14:paraId="0829DF75">
      <w:pPr>
        <w:spacing w:line="360" w:lineRule="auto"/>
        <w:ind w:firstLine="480"/>
        <w:rPr>
          <w:rFonts w:hint="eastAsia" w:ascii="宋体" w:hAnsi="宋体"/>
          <w:color w:val="000000"/>
          <w:sz w:val="24"/>
        </w:rPr>
      </w:pPr>
      <w:r>
        <w:rPr>
          <w:rFonts w:hint="eastAsia" w:ascii="宋体" w:hAnsi="宋体"/>
          <w:color w:val="000000"/>
          <w:sz w:val="24"/>
        </w:rPr>
        <w:t>（8）为减轻污泥脱水机产生的噪声对周围环境的影响，污泥脱水机房须按设计方案，采用隔音窗及隔音门进行处理，以减轻噪声影响；</w:t>
      </w:r>
    </w:p>
    <w:p w14:paraId="6EE61F86">
      <w:pPr>
        <w:spacing w:line="360" w:lineRule="auto"/>
        <w:ind w:firstLine="480"/>
        <w:rPr>
          <w:rFonts w:hint="eastAsia" w:ascii="宋体" w:hAnsi="宋体"/>
          <w:color w:val="000000"/>
          <w:sz w:val="24"/>
        </w:rPr>
      </w:pPr>
      <w:r>
        <w:rPr>
          <w:rFonts w:hint="eastAsia" w:ascii="宋体" w:hAnsi="宋体"/>
          <w:color w:val="000000"/>
          <w:sz w:val="24"/>
        </w:rPr>
        <w:t>（9）污水处理站水泵在选型时也要注意选择低噪声的设备，并将水泵放置在专门的密闭泵房中，水泵与管道连接时采用柔性方式，并在水泵下安装减振垫，以降低噪声对周围环境的影响。</w:t>
      </w:r>
    </w:p>
    <w:p w14:paraId="26020482">
      <w:pPr>
        <w:pStyle w:val="183"/>
        <w:ind w:firstLine="472"/>
        <w:rPr>
          <w:rFonts w:hint="eastAsia" w:ascii="仿宋_GB2312" w:eastAsia="仿宋_GB2312"/>
          <w:color w:val="000000"/>
          <w:sz w:val="24"/>
          <w:szCs w:val="24"/>
        </w:rPr>
      </w:pPr>
      <w:bookmarkStart w:id="521" w:name="_Toc495500133"/>
      <w:r>
        <w:rPr>
          <w:rFonts w:hint="eastAsia" w:ascii="仿宋_GB2312" w:eastAsia="仿宋_GB2312"/>
          <w:color w:val="000000"/>
          <w:sz w:val="24"/>
          <w:szCs w:val="24"/>
        </w:rPr>
        <w:t>8.2.4 固体废物污染防治措施</w:t>
      </w:r>
      <w:bookmarkEnd w:id="519"/>
    </w:p>
    <w:p w14:paraId="61409D17">
      <w:pPr>
        <w:spacing w:line="360" w:lineRule="auto"/>
        <w:ind w:firstLine="480"/>
        <w:rPr>
          <w:rFonts w:hint="eastAsia" w:ascii="宋体" w:hAnsi="宋体"/>
          <w:color w:val="000000"/>
          <w:sz w:val="24"/>
        </w:rPr>
      </w:pPr>
      <w:r>
        <w:rPr>
          <w:rFonts w:hint="eastAsia" w:ascii="宋体" w:hAnsi="宋体"/>
          <w:color w:val="000000"/>
          <w:sz w:val="24"/>
        </w:rPr>
        <w:t>（1）生活垃圾</w:t>
      </w:r>
    </w:p>
    <w:p w14:paraId="58C4FFE0">
      <w:pPr>
        <w:pStyle w:val="198"/>
        <w:spacing w:before="0" w:line="360" w:lineRule="auto"/>
        <w:ind w:left="0" w:right="0" w:firstLine="472"/>
        <w:rPr>
          <w:rFonts w:hint="eastAsia" w:ascii="宋体" w:hAnsi="宋体" w:eastAsia="宋体"/>
          <w:color w:val="000000"/>
          <w:sz w:val="24"/>
          <w:szCs w:val="24"/>
        </w:rPr>
      </w:pPr>
      <w:r>
        <w:rPr>
          <w:rFonts w:hint="eastAsia" w:ascii="宋体" w:hAnsi="宋体" w:eastAsia="宋体"/>
          <w:color w:val="000000"/>
          <w:sz w:val="24"/>
          <w:szCs w:val="24"/>
        </w:rPr>
        <w:t>对于纸张、塑料、金属等可回收的垃圾分别放置，给以明确标识，并加大宣传力度，让人们自觉养成好的分类放置习惯。对于具有危险性危害的垃圾，如废旧电池、废灯管等，应集中后送往指定地点处理。生活垃圾交由环卫部门处置。</w:t>
      </w:r>
    </w:p>
    <w:p w14:paraId="77B4FE1F">
      <w:pPr>
        <w:spacing w:line="360" w:lineRule="auto"/>
        <w:ind w:firstLine="480"/>
        <w:rPr>
          <w:rFonts w:hint="eastAsia" w:ascii="宋体" w:hAnsi="宋体"/>
          <w:color w:val="000000"/>
          <w:sz w:val="24"/>
        </w:rPr>
      </w:pPr>
      <w:r>
        <w:rPr>
          <w:rFonts w:hint="eastAsia" w:ascii="宋体" w:hAnsi="宋体"/>
          <w:color w:val="000000"/>
          <w:sz w:val="24"/>
        </w:rPr>
        <w:t>（2）医疗废物</w:t>
      </w:r>
    </w:p>
    <w:p w14:paraId="23024480">
      <w:pPr>
        <w:spacing w:line="360" w:lineRule="auto"/>
        <w:ind w:firstLine="480"/>
        <w:rPr>
          <w:rFonts w:hint="eastAsia" w:ascii="宋体" w:hAnsi="宋体"/>
          <w:bCs/>
          <w:color w:val="000000"/>
          <w:sz w:val="24"/>
        </w:rPr>
      </w:pPr>
      <w:r>
        <w:rPr>
          <w:rFonts w:hint="eastAsia" w:ascii="宋体" w:hAnsi="宋体"/>
          <w:bCs/>
          <w:color w:val="000000"/>
          <w:sz w:val="24"/>
        </w:rPr>
        <w:t>项目内医疗固废经收集后交由</w:t>
      </w:r>
      <w:r>
        <w:rPr>
          <w:color w:val="000000"/>
          <w:sz w:val="24"/>
        </w:rPr>
        <w:t>有资质的</w:t>
      </w:r>
      <w:r>
        <w:rPr>
          <w:rFonts w:hint="eastAsia"/>
          <w:color w:val="000000"/>
          <w:sz w:val="24"/>
        </w:rPr>
        <w:t>相关</w:t>
      </w:r>
      <w:r>
        <w:rPr>
          <w:color w:val="000000"/>
          <w:sz w:val="24"/>
        </w:rPr>
        <w:t>单位</w:t>
      </w:r>
      <w:r>
        <w:rPr>
          <w:rFonts w:hint="eastAsia" w:ascii="宋体" w:hAnsi="宋体"/>
          <w:bCs/>
          <w:color w:val="000000"/>
          <w:sz w:val="24"/>
        </w:rPr>
        <w:t>统一处置，</w:t>
      </w:r>
      <w:r>
        <w:rPr>
          <w:rFonts w:hint="eastAsia" w:ascii="宋体" w:hAnsi="宋体"/>
          <w:color w:val="000000"/>
          <w:sz w:val="24"/>
        </w:rPr>
        <w:t>对特殊有害的医疗固废需各科室预处理后进入项目内医疗固废临时贮存间。</w:t>
      </w:r>
    </w:p>
    <w:p w14:paraId="0FE19079">
      <w:pPr>
        <w:spacing w:line="360" w:lineRule="auto"/>
        <w:ind w:firstLine="480"/>
        <w:rPr>
          <w:rFonts w:hint="eastAsia" w:ascii="宋体" w:hAnsi="宋体"/>
          <w:color w:val="000000"/>
          <w:sz w:val="24"/>
        </w:rPr>
      </w:pPr>
      <w:r>
        <w:rPr>
          <w:rFonts w:hint="eastAsia" w:ascii="宋体" w:hAnsi="宋体"/>
          <w:color w:val="000000"/>
          <w:sz w:val="24"/>
        </w:rPr>
        <w:t>医疗废物严格按《医疗废物管理条例》、《医疗废物分类目录》及《医疗废物集中处置技术规范（试行）》的要求分类进行暂存、交接和运送，项目产生医疗废物委托</w:t>
      </w:r>
      <w:r>
        <w:rPr>
          <w:color w:val="000000"/>
          <w:sz w:val="24"/>
        </w:rPr>
        <w:t>有资质的</w:t>
      </w:r>
      <w:r>
        <w:rPr>
          <w:rFonts w:hint="eastAsia"/>
          <w:color w:val="000000"/>
          <w:sz w:val="24"/>
        </w:rPr>
        <w:t>相关</w:t>
      </w:r>
      <w:r>
        <w:rPr>
          <w:color w:val="000000"/>
          <w:sz w:val="24"/>
        </w:rPr>
        <w:t>单位</w:t>
      </w:r>
      <w:r>
        <w:rPr>
          <w:rFonts w:hint="eastAsia" w:ascii="宋体" w:hAnsi="宋体"/>
          <w:color w:val="000000"/>
          <w:sz w:val="24"/>
        </w:rPr>
        <w:t>进行处置，且负责暂存、交接、运送和处理全部工作。</w:t>
      </w:r>
    </w:p>
    <w:p w14:paraId="2DBAA810">
      <w:pPr>
        <w:spacing w:line="360" w:lineRule="auto"/>
        <w:ind w:firstLine="480"/>
        <w:rPr>
          <w:rFonts w:hint="eastAsia" w:ascii="宋体" w:hAnsi="宋体"/>
          <w:color w:val="000000"/>
          <w:sz w:val="24"/>
        </w:rPr>
      </w:pPr>
      <w:r>
        <w:rPr>
          <w:rFonts w:hint="eastAsia" w:ascii="宋体" w:hAnsi="宋体"/>
          <w:color w:val="000000"/>
          <w:sz w:val="24"/>
        </w:rPr>
        <w:t>发生医疗废物流失、泄漏、扩散和意外事故时，应当按照《医疗废物管理条例》和</w:t>
      </w:r>
      <w:r>
        <w:rPr>
          <w:rFonts w:hint="eastAsia" w:ascii="宋体" w:hAnsi="宋体" w:cs="Arial"/>
          <w:color w:val="000000"/>
          <w:sz w:val="24"/>
        </w:rPr>
        <w:t>《医疗卫生机构医疗废物管理办法》</w:t>
      </w:r>
      <w:r>
        <w:rPr>
          <w:rFonts w:hint="eastAsia" w:ascii="宋体" w:hAnsi="宋体"/>
          <w:color w:val="000000"/>
          <w:sz w:val="24"/>
        </w:rPr>
        <w:t>的规定采取相应紧急处理措施，并在48小时内向芒市人民政府卫生行政主管部门、环境保护行政主管部门报告。调查处理工作结束后，将调查处理结果向所在地的市级人民政府卫生行政主管部门、环境保护行政主管部门报告。</w:t>
      </w:r>
    </w:p>
    <w:p w14:paraId="1635447F">
      <w:pPr>
        <w:spacing w:line="360" w:lineRule="auto"/>
        <w:ind w:firstLine="480"/>
        <w:rPr>
          <w:rFonts w:hint="eastAsia" w:ascii="宋体" w:hAnsi="宋体"/>
          <w:color w:val="000000"/>
          <w:sz w:val="24"/>
        </w:rPr>
      </w:pPr>
      <w:r>
        <w:rPr>
          <w:rFonts w:hint="eastAsia" w:ascii="宋体" w:hAnsi="宋体"/>
          <w:color w:val="000000"/>
          <w:sz w:val="24"/>
        </w:rPr>
        <w:t>总之，要按照《医疗废物管理条例》（国务院2003—380号令，2003年6月16日）、《医疗卫生机构医疗废物管理办法》（中华人民共和国卫生部令 第 36 号）、《危险废物污染防治技术政策》（环发[2001]199号）和《医疗废物转运车技术要求（试行）》（GB 19217—2003）等国家或地方规定的医疗废物处理及处置技术或办法对医疗固体废物进行处置。</w:t>
      </w:r>
    </w:p>
    <w:p w14:paraId="0513CB21">
      <w:pPr>
        <w:spacing w:line="360" w:lineRule="auto"/>
        <w:ind w:firstLine="480"/>
        <w:rPr>
          <w:rFonts w:hint="eastAsia" w:ascii="宋体" w:hAnsi="宋体"/>
          <w:color w:val="000000"/>
          <w:sz w:val="24"/>
        </w:rPr>
      </w:pPr>
      <w:r>
        <w:rPr>
          <w:rFonts w:hint="eastAsia" w:ascii="宋体" w:hAnsi="宋体"/>
          <w:color w:val="000000"/>
          <w:sz w:val="24"/>
        </w:rPr>
        <w:t>（3）污泥处理</w:t>
      </w:r>
    </w:p>
    <w:p w14:paraId="2701CA23">
      <w:pPr>
        <w:spacing w:line="360" w:lineRule="auto"/>
        <w:ind w:firstLine="480"/>
        <w:rPr>
          <w:rFonts w:hint="eastAsia" w:ascii="宋体" w:hAnsi="宋体"/>
          <w:color w:val="000000"/>
          <w:sz w:val="24"/>
        </w:rPr>
      </w:pPr>
      <w:r>
        <w:rPr>
          <w:rFonts w:hint="eastAsia" w:ascii="宋体" w:hAnsi="宋体"/>
          <w:color w:val="000000"/>
          <w:sz w:val="24"/>
        </w:rPr>
        <w:t>医院的污水处理站的污泥和院区化粪池污泥由于不可避免的含有大量病原微生物和寄生虫卵等，使污泥也具有了传染性，属于危险废物。在《国家危险废物名录》和新颁布的《医疗机构水污染物排放标准》（GB18466—2005）中规定化粪池污泥也应属于危险废物。随着医院发展的不断扩大，医院污水产生量也不断增大，从环境保护的角度出发，必须对污泥加强管理，在外运之前应经过无害化处理。</w:t>
      </w:r>
    </w:p>
    <w:p w14:paraId="0DBE3989">
      <w:pPr>
        <w:spacing w:line="360" w:lineRule="auto"/>
        <w:ind w:firstLine="480"/>
        <w:rPr>
          <w:rFonts w:hint="eastAsia" w:ascii="宋体" w:hAnsi="宋体"/>
          <w:color w:val="000000"/>
          <w:sz w:val="24"/>
        </w:rPr>
      </w:pPr>
      <w:r>
        <w:rPr>
          <w:rFonts w:hint="eastAsia" w:ascii="宋体" w:hAnsi="宋体"/>
          <w:color w:val="000000"/>
          <w:sz w:val="24"/>
        </w:rPr>
        <w:t>常用的医院污泥无害化处理措施是将污泥浓缩脱水后，加入石灰、漂白粉或其它消毒剂进行灭菌消毒，并经过有效消毒杀菌处理后，达到GB18466-2005《医疗机构水污染物排放标准》中4.3控制和处置要求，交由</w:t>
      </w:r>
      <w:r>
        <w:rPr>
          <w:color w:val="000000"/>
          <w:sz w:val="24"/>
        </w:rPr>
        <w:t>有资质的</w:t>
      </w:r>
      <w:r>
        <w:rPr>
          <w:rFonts w:hint="eastAsia"/>
          <w:color w:val="000000"/>
          <w:sz w:val="24"/>
        </w:rPr>
        <w:t>相关</w:t>
      </w:r>
      <w:r>
        <w:rPr>
          <w:color w:val="000000"/>
          <w:sz w:val="24"/>
        </w:rPr>
        <w:t>单位</w:t>
      </w:r>
      <w:r>
        <w:rPr>
          <w:rFonts w:hint="eastAsia" w:ascii="宋体" w:hAnsi="宋体"/>
          <w:color w:val="000000"/>
          <w:sz w:val="24"/>
        </w:rPr>
        <w:t>处置，避免长期堆放在医院内，散发出异味及有害气体。</w:t>
      </w:r>
    </w:p>
    <w:p w14:paraId="0E83B911">
      <w:pPr>
        <w:pStyle w:val="183"/>
        <w:ind w:firstLine="472"/>
        <w:rPr>
          <w:rFonts w:hint="eastAsia" w:ascii="仿宋_GB2312" w:eastAsia="仿宋_GB2312"/>
          <w:color w:val="000000"/>
          <w:sz w:val="24"/>
          <w:szCs w:val="24"/>
        </w:rPr>
      </w:pPr>
      <w:bookmarkStart w:id="522" w:name="_Toc495500134"/>
      <w:r>
        <w:rPr>
          <w:rFonts w:hint="eastAsia" w:ascii="仿宋_GB2312" w:eastAsia="仿宋_GB2312"/>
          <w:color w:val="000000"/>
          <w:sz w:val="24"/>
          <w:szCs w:val="24"/>
        </w:rPr>
        <w:t>8.2.5辐射防护措施</w:t>
      </w:r>
      <w:bookmarkEnd w:id="520"/>
    </w:p>
    <w:p w14:paraId="4A8B58BC">
      <w:pPr>
        <w:spacing w:line="360" w:lineRule="auto"/>
        <w:ind w:firstLine="600"/>
        <w:rPr>
          <w:rFonts w:hint="eastAsia" w:ascii="宋体" w:hAnsi="宋体"/>
          <w:color w:val="000000"/>
          <w:sz w:val="24"/>
        </w:rPr>
      </w:pPr>
      <w:r>
        <w:rPr>
          <w:rFonts w:hint="eastAsia" w:ascii="宋体" w:hAnsi="宋体"/>
          <w:color w:val="000000"/>
          <w:sz w:val="24"/>
        </w:rPr>
        <w:t>项目辐射源污染的影响应另外评价报环境保护主管部门审批，本次评价仅提出一般性辐射防治措施。</w:t>
      </w:r>
    </w:p>
    <w:p w14:paraId="6D9F891D">
      <w:pPr>
        <w:spacing w:line="360" w:lineRule="auto"/>
        <w:ind w:firstLine="600"/>
        <w:rPr>
          <w:rFonts w:hint="eastAsia" w:ascii="宋体" w:hAnsi="宋体"/>
          <w:color w:val="000000"/>
          <w:sz w:val="24"/>
        </w:rPr>
      </w:pPr>
      <w:r>
        <w:rPr>
          <w:rFonts w:hint="eastAsia" w:ascii="宋体" w:hAnsi="宋体"/>
          <w:color w:val="000000"/>
          <w:sz w:val="24"/>
        </w:rPr>
        <w:t>医院使用的具有放射性质的医疗设备，应按《医用诊断X线防护设施标准》（GB8279-87）应作好以下辐射防护措施：</w:t>
      </w:r>
    </w:p>
    <w:p w14:paraId="3D7768AF">
      <w:pPr>
        <w:spacing w:line="360" w:lineRule="auto"/>
        <w:ind w:firstLine="600"/>
        <w:rPr>
          <w:rFonts w:hint="eastAsia" w:ascii="宋体" w:hAnsi="宋体"/>
          <w:color w:val="000000"/>
          <w:sz w:val="24"/>
        </w:rPr>
      </w:pPr>
      <w:r>
        <w:rPr>
          <w:rFonts w:hint="eastAsia" w:ascii="宋体" w:hAnsi="宋体"/>
          <w:color w:val="000000"/>
          <w:sz w:val="24"/>
        </w:rPr>
        <w:t>（1）X线机房的设置必须充分考虑周围环境的安全，设在建筑物底层的一端。机房应有足够的使用面积。医院X线机房，工作电流均200毫安以上，面积不小于36平方米；多管头X线机房面积可酌情扩大；</w:t>
      </w:r>
    </w:p>
    <w:p w14:paraId="461B5AAC">
      <w:pPr>
        <w:spacing w:line="360" w:lineRule="auto"/>
        <w:ind w:firstLine="600"/>
        <w:rPr>
          <w:rFonts w:hint="eastAsia" w:ascii="宋体" w:hAnsi="宋体"/>
          <w:color w:val="000000"/>
          <w:sz w:val="24"/>
        </w:rPr>
      </w:pPr>
      <w:r>
        <w:rPr>
          <w:rFonts w:hint="eastAsia" w:ascii="宋体" w:hAnsi="宋体"/>
          <w:color w:val="000000"/>
          <w:sz w:val="24"/>
        </w:rPr>
        <w:t>（2）放射机房内布局要合理，不得堆放与诊断工作无关的杂物，受检者的候诊位置要选择适当，并有相应的防护措施，机房要保持良好的通风，机房门外要安设工作指示灯；</w:t>
      </w:r>
    </w:p>
    <w:p w14:paraId="5CFB050C">
      <w:pPr>
        <w:spacing w:line="360" w:lineRule="auto"/>
        <w:ind w:firstLine="600"/>
        <w:rPr>
          <w:rFonts w:hint="eastAsia" w:ascii="宋体" w:hAnsi="宋体"/>
          <w:color w:val="000000"/>
          <w:sz w:val="24"/>
        </w:rPr>
      </w:pPr>
      <w:r>
        <w:rPr>
          <w:rFonts w:hint="eastAsia" w:ascii="宋体" w:hAnsi="宋体"/>
          <w:color w:val="000000"/>
          <w:sz w:val="24"/>
        </w:rPr>
        <w:t>（3）要因地制宜采用防护厚度为0.5毫米铅当量的各种摄影防护设施；应对每台X线机配备适量的符合防护要求的各种辅助防护用品，如0.25毫米铅当量的铅橡胶手套、铅橡胶围裙、铅坐椅等；供胃肠及其他特殊检查用的各种辅助防护用品应有较大铅当量；</w:t>
      </w:r>
    </w:p>
    <w:p w14:paraId="28AB4B6A">
      <w:pPr>
        <w:spacing w:line="360" w:lineRule="auto"/>
        <w:ind w:firstLine="600"/>
        <w:rPr>
          <w:rFonts w:hint="eastAsia" w:ascii="宋体" w:hAnsi="宋体"/>
          <w:color w:val="000000"/>
          <w:sz w:val="24"/>
        </w:rPr>
      </w:pPr>
      <w:r>
        <w:rPr>
          <w:rFonts w:hint="eastAsia" w:ascii="宋体" w:hAnsi="宋体"/>
          <w:color w:val="000000"/>
          <w:sz w:val="24"/>
        </w:rPr>
        <w:t>（4）远距离放射治疗室须建筑在保证周围安全的地方；放射放治疗室一般都与非放射工作环境隔开；治疗室本身须有单独的治疗室、控制室，并且两者相互分开；</w:t>
      </w:r>
    </w:p>
    <w:p w14:paraId="454A239D">
      <w:pPr>
        <w:spacing w:line="360" w:lineRule="auto"/>
        <w:ind w:firstLine="600"/>
        <w:rPr>
          <w:rFonts w:hint="eastAsia" w:ascii="宋体" w:hAnsi="宋体"/>
          <w:color w:val="000000"/>
          <w:sz w:val="24"/>
        </w:rPr>
      </w:pPr>
      <w:r>
        <w:rPr>
          <w:rFonts w:hint="eastAsia" w:ascii="宋体" w:hAnsi="宋体"/>
          <w:color w:val="000000"/>
          <w:sz w:val="24"/>
        </w:rPr>
        <w:t>（5）放射治疗科应设有模拟定位室、治疗室、控制室和候诊室，设安全区与照射室之间的过渡区，以降低控制室及候诊室的辐射水平；</w:t>
      </w:r>
    </w:p>
    <w:p w14:paraId="35A91420">
      <w:pPr>
        <w:spacing w:line="360" w:lineRule="auto"/>
        <w:ind w:firstLine="600"/>
        <w:rPr>
          <w:rFonts w:hint="eastAsia" w:ascii="宋体" w:hAnsi="宋体"/>
          <w:color w:val="000000"/>
          <w:sz w:val="24"/>
        </w:rPr>
      </w:pPr>
      <w:r>
        <w:rPr>
          <w:rFonts w:hint="eastAsia" w:ascii="宋体" w:hAnsi="宋体"/>
          <w:color w:val="000000"/>
          <w:sz w:val="24"/>
        </w:rPr>
        <w:t>（6）放射治疗室面积不小于30m</w:t>
      </w:r>
      <w:r>
        <w:rPr>
          <w:rFonts w:hint="eastAsia" w:ascii="宋体" w:hAnsi="宋体"/>
          <w:color w:val="000000"/>
          <w:sz w:val="24"/>
          <w:vertAlign w:val="superscript"/>
        </w:rPr>
        <w:t>2</w:t>
      </w:r>
      <w:r>
        <w:rPr>
          <w:rFonts w:hint="eastAsia" w:ascii="宋体" w:hAnsi="宋体"/>
          <w:color w:val="000000"/>
          <w:sz w:val="24"/>
        </w:rPr>
        <w:t>；</w:t>
      </w:r>
    </w:p>
    <w:p w14:paraId="45D938B9">
      <w:pPr>
        <w:spacing w:line="360" w:lineRule="auto"/>
        <w:ind w:firstLine="600"/>
        <w:rPr>
          <w:rFonts w:hint="eastAsia" w:ascii="宋体" w:hAnsi="宋体"/>
          <w:color w:val="000000"/>
          <w:sz w:val="24"/>
        </w:rPr>
      </w:pPr>
      <w:r>
        <w:rPr>
          <w:rFonts w:hint="eastAsia" w:ascii="宋体" w:hAnsi="宋体"/>
          <w:color w:val="000000"/>
          <w:sz w:val="24"/>
        </w:rPr>
        <w:t>（7）治疗室的四周墙壁（多层建筑应包括天棚和地板等）都须有足够的屏蔽厚度；</w:t>
      </w:r>
    </w:p>
    <w:p w14:paraId="64E13C3E">
      <w:pPr>
        <w:spacing w:line="360" w:lineRule="auto"/>
        <w:ind w:firstLine="600"/>
        <w:rPr>
          <w:rFonts w:hint="eastAsia" w:ascii="宋体" w:hAnsi="宋体"/>
          <w:color w:val="000000"/>
          <w:sz w:val="24"/>
        </w:rPr>
      </w:pPr>
      <w:r>
        <w:rPr>
          <w:rFonts w:hint="eastAsia" w:ascii="宋体" w:hAnsi="宋体"/>
          <w:color w:val="000000"/>
          <w:sz w:val="24"/>
        </w:rPr>
        <w:t>（8）采取多重安全连锁措施；</w:t>
      </w:r>
    </w:p>
    <w:p w14:paraId="3B8E78F2">
      <w:pPr>
        <w:spacing w:line="360" w:lineRule="auto"/>
        <w:ind w:firstLine="600"/>
        <w:rPr>
          <w:rFonts w:hint="eastAsia" w:ascii="宋体" w:hAnsi="宋体"/>
          <w:color w:val="000000"/>
          <w:sz w:val="24"/>
        </w:rPr>
      </w:pPr>
      <w:r>
        <w:rPr>
          <w:rFonts w:hint="eastAsia" w:ascii="宋体" w:hAnsi="宋体"/>
          <w:color w:val="000000"/>
          <w:sz w:val="24"/>
        </w:rPr>
        <w:t>（9）治疗室须设强制通风设备，防护规定要求治疗室换气量每小时3-4次；</w:t>
      </w:r>
    </w:p>
    <w:p w14:paraId="080EEBD3">
      <w:pPr>
        <w:spacing w:line="360" w:lineRule="auto"/>
        <w:ind w:firstLine="600"/>
        <w:rPr>
          <w:rFonts w:hint="eastAsia" w:ascii="宋体" w:hAnsi="宋体"/>
          <w:color w:val="000000"/>
          <w:sz w:val="24"/>
        </w:rPr>
      </w:pPr>
      <w:r>
        <w:rPr>
          <w:rFonts w:hint="eastAsia" w:ascii="宋体" w:hAnsi="宋体"/>
          <w:color w:val="000000"/>
          <w:sz w:val="24"/>
        </w:rPr>
        <w:t>（10）治疗室的四周墙壁都须有足够的屏蔽厚度。设计原则是：有用线束投射方向的墙壁按主射线屏蔽要求设计，其余方向按漏、散射线屏蔽设计。对通过治疗室墙壁的导管、导线也要采取防护措施，使之不影响墙壁的防护效果；</w:t>
      </w:r>
    </w:p>
    <w:p w14:paraId="0AE0A181">
      <w:pPr>
        <w:spacing w:line="360" w:lineRule="auto"/>
        <w:ind w:firstLine="600"/>
        <w:rPr>
          <w:rFonts w:hint="eastAsia" w:ascii="宋体" w:hAnsi="宋体"/>
          <w:color w:val="000000"/>
          <w:sz w:val="24"/>
        </w:rPr>
      </w:pPr>
      <w:r>
        <w:rPr>
          <w:rFonts w:hint="eastAsia" w:ascii="宋体" w:hAnsi="宋体"/>
          <w:color w:val="000000"/>
          <w:sz w:val="24"/>
        </w:rPr>
        <w:t>（11）由于放射治疗用辐射源是较大型的辐射装置，主设束的剂量较大，即使是很短时间的意外照射，也可能造成严重的后果。因而在设计上采取多重安全连锁措施；</w:t>
      </w:r>
    </w:p>
    <w:p w14:paraId="2307CBCC">
      <w:pPr>
        <w:spacing w:line="360" w:lineRule="auto"/>
        <w:ind w:firstLine="600"/>
        <w:rPr>
          <w:rFonts w:hint="eastAsia" w:ascii="宋体" w:hAnsi="宋体"/>
          <w:color w:val="000000"/>
          <w:sz w:val="24"/>
        </w:rPr>
      </w:pPr>
      <w:r>
        <w:rPr>
          <w:rFonts w:hint="eastAsia" w:ascii="宋体" w:hAnsi="宋体"/>
          <w:color w:val="000000"/>
          <w:sz w:val="24"/>
        </w:rPr>
        <w:t>（12）当辐射能量较低时，治疗室空气被电离，产生臭氧，使室内氧气减少，为保持室内空气新鲜，治疗室须设强制通风设备。防护规定要求治疗室换气量每小时3-4次；</w:t>
      </w:r>
    </w:p>
    <w:p w14:paraId="24212BF6">
      <w:pPr>
        <w:spacing w:line="360" w:lineRule="auto"/>
        <w:ind w:firstLine="600"/>
        <w:rPr>
          <w:rFonts w:hint="eastAsia" w:ascii="宋体" w:hAnsi="宋体"/>
          <w:color w:val="000000"/>
          <w:sz w:val="24"/>
        </w:rPr>
      </w:pPr>
      <w:r>
        <w:rPr>
          <w:rFonts w:hint="eastAsia" w:ascii="宋体" w:hAnsi="宋体"/>
          <w:color w:val="000000"/>
          <w:sz w:val="24"/>
        </w:rPr>
        <w:t>（13）射线装置到报废年限或经修理达不到要求需要报废时，建设单位应向原发辐射安全许可证机关提出部分变更或者注销许可证申请，由原发证机关核查合格后，予以变更或者注销许可证。废旧设备可退回原生产厂家或交由有相关资质单位处理，并在发证机关备案，建设单位不得随意处理或出售，射线装置</w:t>
      </w:r>
      <w:r>
        <w:rPr>
          <w:rFonts w:hint="eastAsia" w:ascii="宋体" w:hAnsi="宋体"/>
          <w:color w:val="000000"/>
          <w:sz w:val="24"/>
          <w:lang w:eastAsia="zh-CN"/>
        </w:rPr>
        <w:t>台账</w:t>
      </w:r>
      <w:r>
        <w:rPr>
          <w:rFonts w:hint="eastAsia" w:ascii="宋体" w:hAnsi="宋体"/>
          <w:color w:val="000000"/>
          <w:sz w:val="24"/>
        </w:rPr>
        <w:t>、个人剂量档案和职业健康监护档案应当长期保存，不得随设备报废而销毁。</w:t>
      </w:r>
    </w:p>
    <w:p w14:paraId="7FE6BE64">
      <w:pPr>
        <w:pStyle w:val="183"/>
        <w:ind w:firstLine="472"/>
        <w:rPr>
          <w:rFonts w:hint="eastAsia" w:ascii="仿宋_GB2312" w:eastAsia="仿宋_GB2312"/>
          <w:color w:val="000000"/>
          <w:sz w:val="24"/>
          <w:szCs w:val="24"/>
        </w:rPr>
      </w:pPr>
      <w:bookmarkStart w:id="523" w:name="_Toc495500135"/>
      <w:r>
        <w:rPr>
          <w:rFonts w:hint="eastAsia" w:ascii="仿宋_GB2312" w:eastAsia="仿宋_GB2312"/>
          <w:color w:val="000000"/>
          <w:sz w:val="24"/>
          <w:szCs w:val="24"/>
        </w:rPr>
        <w:t>8.2.6环保措施一览表</w:t>
      </w:r>
      <w:bookmarkEnd w:id="521"/>
    </w:p>
    <w:p w14:paraId="37A0FF42">
      <w:pPr>
        <w:spacing w:line="500" w:lineRule="exact"/>
        <w:ind w:firstLine="480"/>
        <w:rPr>
          <w:rFonts w:hint="eastAsia" w:ascii="宋体" w:hAnsi="宋体"/>
          <w:color w:val="000000"/>
          <w:sz w:val="24"/>
        </w:rPr>
      </w:pPr>
      <w:r>
        <w:rPr>
          <w:rFonts w:hint="eastAsia" w:ascii="宋体" w:hAnsi="宋体"/>
          <w:color w:val="000000"/>
          <w:sz w:val="24"/>
        </w:rPr>
        <w:t>项目工程拟采取的防治措施见表8.2-1。</w:t>
      </w:r>
    </w:p>
    <w:p w14:paraId="014F0720">
      <w:pPr>
        <w:spacing w:line="420" w:lineRule="exact"/>
        <w:jc w:val="center"/>
        <w:rPr>
          <w:rFonts w:hint="eastAsia" w:ascii="宋体" w:hAnsi="宋体"/>
          <w:color w:val="000000"/>
          <w:sz w:val="24"/>
        </w:rPr>
      </w:pPr>
      <w:r>
        <w:rPr>
          <w:rFonts w:ascii="宋体" w:hAnsi="宋体"/>
          <w:color w:val="000000"/>
          <w:sz w:val="24"/>
        </w:rPr>
        <w:t>表</w:t>
      </w:r>
      <w:r>
        <w:rPr>
          <w:rFonts w:hint="eastAsia" w:ascii="宋体" w:hAnsi="宋体"/>
          <w:color w:val="000000"/>
          <w:sz w:val="24"/>
        </w:rPr>
        <w:t>8</w:t>
      </w:r>
      <w:r>
        <w:rPr>
          <w:rFonts w:ascii="宋体" w:hAnsi="宋体"/>
          <w:color w:val="000000"/>
          <w:sz w:val="24"/>
        </w:rPr>
        <w:t>.</w:t>
      </w:r>
      <w:r>
        <w:rPr>
          <w:rFonts w:hint="eastAsia" w:ascii="宋体" w:hAnsi="宋体"/>
          <w:color w:val="000000"/>
          <w:sz w:val="24"/>
        </w:rPr>
        <w:t>2</w:t>
      </w:r>
      <w:r>
        <w:rPr>
          <w:rFonts w:ascii="宋体" w:hAnsi="宋体"/>
          <w:color w:val="000000"/>
          <w:sz w:val="24"/>
        </w:rPr>
        <w:t>-1  项目污染防治措施</w:t>
      </w:r>
      <w:r>
        <w:rPr>
          <w:rFonts w:hint="eastAsia" w:ascii="宋体" w:hAnsi="宋体"/>
          <w:color w:val="000000"/>
          <w:sz w:val="24"/>
        </w:rPr>
        <w:t>一览表</w:t>
      </w:r>
    </w:p>
    <w:tbl>
      <w:tblPr>
        <w:tblStyle w:val="27"/>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28" w:type="dxa"/>
          <w:bottom w:w="0" w:type="dxa"/>
          <w:right w:w="28" w:type="dxa"/>
        </w:tblCellMar>
      </w:tblPr>
      <w:tblGrid>
        <w:gridCol w:w="801"/>
        <w:gridCol w:w="8279"/>
      </w:tblGrid>
      <w:tr w14:paraId="563CFA6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363" w:hRule="atLeast"/>
          <w:jc w:val="center"/>
        </w:trPr>
        <w:tc>
          <w:tcPr>
            <w:tcW w:w="801" w:type="dxa"/>
            <w:noWrap w:val="0"/>
            <w:tcMar>
              <w:left w:w="28" w:type="dxa"/>
              <w:right w:w="28" w:type="dxa"/>
            </w:tcMar>
            <w:vAlign w:val="center"/>
          </w:tcPr>
          <w:p w14:paraId="00CCD229">
            <w:pPr>
              <w:pStyle w:val="288"/>
              <w:widowControl w:val="0"/>
              <w:pBdr>
                <w:bottom w:val="none" w:color="000000" w:sz="0" w:space="0"/>
                <w:right w:val="none" w:color="000000" w:sz="0" w:space="0"/>
              </w:pBdr>
              <w:spacing w:before="0" w:beforeAutospacing="0" w:after="0" w:afterAutospacing="0" w:line="260" w:lineRule="exact"/>
              <w:rPr>
                <w:rFonts w:eastAsia="宋体"/>
                <w:color w:val="000000"/>
              </w:rPr>
            </w:pPr>
            <w:r>
              <w:rPr>
                <w:rFonts w:eastAsia="宋体"/>
                <w:color w:val="000000"/>
              </w:rPr>
              <w:t>项目</w:t>
            </w:r>
          </w:p>
        </w:tc>
        <w:tc>
          <w:tcPr>
            <w:tcW w:w="8279" w:type="dxa"/>
            <w:noWrap w:val="0"/>
            <w:tcMar>
              <w:left w:w="28" w:type="dxa"/>
              <w:right w:w="28" w:type="dxa"/>
            </w:tcMar>
            <w:vAlign w:val="center"/>
          </w:tcPr>
          <w:p w14:paraId="5463C34D">
            <w:pPr>
              <w:pStyle w:val="288"/>
              <w:widowControl w:val="0"/>
              <w:pBdr>
                <w:bottom w:val="none" w:color="000000" w:sz="0" w:space="0"/>
                <w:right w:val="none" w:color="000000" w:sz="0" w:space="0"/>
              </w:pBdr>
              <w:spacing w:before="0" w:beforeAutospacing="0" w:after="0" w:afterAutospacing="0" w:line="260" w:lineRule="exact"/>
              <w:rPr>
                <w:rFonts w:eastAsia="宋体"/>
                <w:color w:val="000000"/>
              </w:rPr>
            </w:pPr>
            <w:r>
              <w:rPr>
                <w:rFonts w:eastAsia="宋体"/>
                <w:color w:val="000000"/>
              </w:rPr>
              <w:t>具体环保措施、建议</w:t>
            </w:r>
          </w:p>
        </w:tc>
      </w:tr>
      <w:tr w14:paraId="6F8DED1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434" w:hRule="atLeast"/>
          <w:jc w:val="center"/>
        </w:trPr>
        <w:tc>
          <w:tcPr>
            <w:tcW w:w="801" w:type="dxa"/>
            <w:noWrap w:val="0"/>
            <w:tcMar>
              <w:left w:w="28" w:type="dxa"/>
              <w:right w:w="28" w:type="dxa"/>
            </w:tcMar>
            <w:vAlign w:val="center"/>
          </w:tcPr>
          <w:p w14:paraId="393EE7D3">
            <w:pPr>
              <w:pStyle w:val="288"/>
              <w:widowControl w:val="0"/>
              <w:pBdr>
                <w:bottom w:val="none" w:color="000000" w:sz="0" w:space="0"/>
                <w:right w:val="none" w:color="000000" w:sz="0" w:space="0"/>
              </w:pBdr>
              <w:spacing w:before="0" w:beforeAutospacing="0" w:after="0" w:afterAutospacing="0" w:line="260" w:lineRule="exact"/>
              <w:rPr>
                <w:rFonts w:eastAsia="宋体"/>
                <w:color w:val="000000"/>
              </w:rPr>
            </w:pPr>
            <w:r>
              <w:rPr>
                <w:rFonts w:eastAsia="宋体"/>
                <w:color w:val="000000"/>
              </w:rPr>
              <w:t>施工期环保措施</w:t>
            </w:r>
          </w:p>
        </w:tc>
        <w:tc>
          <w:tcPr>
            <w:tcW w:w="8279" w:type="dxa"/>
            <w:noWrap w:val="0"/>
            <w:tcMar>
              <w:left w:w="28" w:type="dxa"/>
              <w:right w:w="28" w:type="dxa"/>
            </w:tcMar>
            <w:vAlign w:val="center"/>
          </w:tcPr>
          <w:p w14:paraId="26C4D97E">
            <w:pPr>
              <w:spacing w:line="280" w:lineRule="exact"/>
              <w:ind w:firstLine="422"/>
              <w:rPr>
                <w:rFonts w:ascii="宋体" w:hAnsi="宋体"/>
                <w:b/>
                <w:color w:val="000000"/>
                <w:szCs w:val="21"/>
              </w:rPr>
            </w:pPr>
            <w:r>
              <w:rPr>
                <w:rFonts w:ascii="宋体" w:hAnsi="宋体"/>
                <w:b/>
                <w:color w:val="000000"/>
                <w:szCs w:val="21"/>
              </w:rPr>
              <w:t>1、生态环境保护措施</w:t>
            </w:r>
          </w:p>
          <w:p w14:paraId="29716B9D">
            <w:pPr>
              <w:spacing w:line="280" w:lineRule="exact"/>
              <w:ind w:firstLine="420"/>
              <w:rPr>
                <w:rFonts w:ascii="宋体" w:hAnsi="宋体"/>
                <w:color w:val="000000"/>
                <w:szCs w:val="21"/>
              </w:rPr>
            </w:pPr>
            <w:r>
              <w:rPr>
                <w:rFonts w:ascii="宋体" w:hAnsi="宋体"/>
                <w:color w:val="000000"/>
                <w:szCs w:val="21"/>
              </w:rPr>
              <w:t>(</w:t>
            </w:r>
            <w:r>
              <w:rPr>
                <w:rFonts w:hint="eastAsia" w:ascii="宋体" w:hAnsi="宋体"/>
                <w:color w:val="000000"/>
                <w:szCs w:val="21"/>
              </w:rPr>
              <w:t>1</w:t>
            </w:r>
            <w:r>
              <w:rPr>
                <w:rFonts w:ascii="宋体" w:hAnsi="宋体"/>
                <w:color w:val="000000"/>
                <w:szCs w:val="21"/>
              </w:rPr>
              <w:t>)</w:t>
            </w:r>
            <w:r>
              <w:rPr>
                <w:rFonts w:hint="eastAsia" w:ascii="宋体" w:hAnsi="宋体"/>
                <w:color w:val="000000"/>
                <w:szCs w:val="21"/>
              </w:rPr>
              <w:t xml:space="preserve"> </w:t>
            </w:r>
            <w:r>
              <w:rPr>
                <w:rFonts w:ascii="宋体" w:hAnsi="宋体"/>
                <w:color w:val="000000"/>
                <w:szCs w:val="21"/>
              </w:rPr>
              <w:t>做好施工场地排水设施，及时进行弃土方的回填及转运工作；</w:t>
            </w:r>
          </w:p>
          <w:p w14:paraId="6CC2D1F4">
            <w:pPr>
              <w:spacing w:line="280" w:lineRule="exact"/>
              <w:ind w:firstLine="420"/>
              <w:rPr>
                <w:rFonts w:ascii="宋体" w:hAnsi="宋体"/>
                <w:color w:val="000000"/>
                <w:szCs w:val="21"/>
              </w:rPr>
            </w:pPr>
            <w:r>
              <w:rPr>
                <w:rFonts w:ascii="宋体" w:hAnsi="宋体"/>
                <w:color w:val="000000"/>
                <w:szCs w:val="21"/>
              </w:rPr>
              <w:t>(</w:t>
            </w:r>
            <w:r>
              <w:rPr>
                <w:rFonts w:hint="eastAsia" w:ascii="宋体" w:hAnsi="宋体"/>
                <w:color w:val="000000"/>
                <w:szCs w:val="21"/>
              </w:rPr>
              <w:t>2</w:t>
            </w:r>
            <w:r>
              <w:rPr>
                <w:rFonts w:ascii="宋体" w:hAnsi="宋体"/>
                <w:color w:val="000000"/>
                <w:szCs w:val="21"/>
              </w:rPr>
              <w:t>)</w:t>
            </w:r>
            <w:r>
              <w:rPr>
                <w:rFonts w:hint="eastAsia" w:ascii="宋体" w:hAnsi="宋体"/>
                <w:color w:val="000000"/>
                <w:szCs w:val="21"/>
              </w:rPr>
              <w:t xml:space="preserve"> </w:t>
            </w:r>
            <w:r>
              <w:rPr>
                <w:rFonts w:ascii="宋体" w:hAnsi="宋体"/>
                <w:color w:val="000000"/>
                <w:szCs w:val="21"/>
              </w:rPr>
              <w:t>及时进行场外施工迹地恢复；</w:t>
            </w:r>
          </w:p>
          <w:p w14:paraId="197DAF1D">
            <w:pPr>
              <w:spacing w:line="280" w:lineRule="exact"/>
              <w:ind w:firstLine="420"/>
              <w:rPr>
                <w:rFonts w:ascii="宋体" w:hAnsi="宋体"/>
                <w:color w:val="000000"/>
                <w:szCs w:val="21"/>
              </w:rPr>
            </w:pPr>
            <w:r>
              <w:rPr>
                <w:rFonts w:ascii="宋体" w:hAnsi="宋体"/>
                <w:color w:val="000000"/>
                <w:szCs w:val="21"/>
              </w:rPr>
              <w:t>(</w:t>
            </w:r>
            <w:r>
              <w:rPr>
                <w:rFonts w:hint="eastAsia" w:ascii="宋体" w:hAnsi="宋体"/>
                <w:color w:val="000000"/>
                <w:szCs w:val="21"/>
              </w:rPr>
              <w:t>3</w:t>
            </w:r>
            <w:r>
              <w:rPr>
                <w:rFonts w:ascii="宋体" w:hAnsi="宋体"/>
                <w:color w:val="000000"/>
                <w:szCs w:val="21"/>
              </w:rPr>
              <w:t>)</w:t>
            </w:r>
            <w:r>
              <w:rPr>
                <w:rFonts w:hint="eastAsia" w:ascii="宋体" w:hAnsi="宋体"/>
                <w:color w:val="000000"/>
                <w:szCs w:val="21"/>
              </w:rPr>
              <w:t xml:space="preserve"> </w:t>
            </w:r>
            <w:r>
              <w:rPr>
                <w:rFonts w:ascii="宋体" w:hAnsi="宋体"/>
                <w:color w:val="000000"/>
                <w:szCs w:val="21"/>
              </w:rPr>
              <w:t>采用</w:t>
            </w:r>
            <w:r>
              <w:rPr>
                <w:rFonts w:hint="eastAsia" w:ascii="宋体" w:hAnsi="宋体"/>
                <w:color w:val="000000"/>
                <w:szCs w:val="21"/>
              </w:rPr>
              <w:t>乡</w:t>
            </w:r>
            <w:r>
              <w:rPr>
                <w:rFonts w:ascii="宋体" w:hAnsi="宋体"/>
                <w:color w:val="000000"/>
                <w:szCs w:val="21"/>
              </w:rPr>
              <w:t>土植被进行绿化。</w:t>
            </w:r>
          </w:p>
          <w:p w14:paraId="0C5D67A5">
            <w:pPr>
              <w:spacing w:line="280" w:lineRule="exact"/>
              <w:ind w:firstLine="422"/>
              <w:rPr>
                <w:rFonts w:ascii="宋体" w:hAnsi="宋体"/>
                <w:b/>
                <w:color w:val="000000"/>
                <w:szCs w:val="21"/>
              </w:rPr>
            </w:pPr>
            <w:r>
              <w:rPr>
                <w:rFonts w:ascii="宋体" w:hAnsi="宋体"/>
                <w:b/>
                <w:color w:val="000000"/>
                <w:szCs w:val="21"/>
              </w:rPr>
              <w:t>2、扬尘防护措施</w:t>
            </w:r>
          </w:p>
          <w:p w14:paraId="5EECCE9B">
            <w:pPr>
              <w:spacing w:line="280" w:lineRule="exact"/>
              <w:ind w:firstLine="420"/>
              <w:rPr>
                <w:rFonts w:ascii="宋体" w:hAnsi="宋体"/>
                <w:color w:val="000000"/>
                <w:szCs w:val="21"/>
              </w:rPr>
            </w:pPr>
            <w:r>
              <w:rPr>
                <w:rFonts w:ascii="宋体" w:hAnsi="宋体"/>
                <w:color w:val="000000"/>
                <w:szCs w:val="21"/>
              </w:rPr>
              <w:t>(1)</w:t>
            </w:r>
            <w:r>
              <w:rPr>
                <w:rFonts w:hint="eastAsia" w:ascii="宋体" w:hAnsi="宋体"/>
                <w:color w:val="000000"/>
                <w:szCs w:val="21"/>
              </w:rPr>
              <w:t xml:space="preserve"> </w:t>
            </w:r>
            <w:r>
              <w:rPr>
                <w:rFonts w:ascii="宋体" w:hAnsi="宋体"/>
                <w:color w:val="000000"/>
                <w:szCs w:val="21"/>
              </w:rPr>
              <w:t>施工</w:t>
            </w:r>
            <w:r>
              <w:rPr>
                <w:rFonts w:hint="eastAsia" w:ascii="宋体" w:hAnsi="宋体"/>
                <w:color w:val="000000"/>
                <w:szCs w:val="21"/>
              </w:rPr>
              <w:t>期</w:t>
            </w:r>
            <w:r>
              <w:rPr>
                <w:rFonts w:ascii="宋体" w:hAnsi="宋体"/>
                <w:color w:val="000000"/>
                <w:szCs w:val="21"/>
              </w:rPr>
              <w:t>定期洒水降尘；</w:t>
            </w:r>
          </w:p>
          <w:p w14:paraId="5CFDD6F2">
            <w:pPr>
              <w:spacing w:line="280" w:lineRule="exact"/>
              <w:ind w:firstLine="420"/>
              <w:rPr>
                <w:rFonts w:ascii="宋体" w:hAnsi="宋体"/>
                <w:color w:val="000000"/>
                <w:szCs w:val="21"/>
              </w:rPr>
            </w:pPr>
            <w:r>
              <w:rPr>
                <w:rFonts w:ascii="宋体" w:hAnsi="宋体"/>
                <w:color w:val="000000"/>
                <w:szCs w:val="21"/>
              </w:rPr>
              <w:t>(2) 施工</w:t>
            </w:r>
            <w:r>
              <w:rPr>
                <w:rFonts w:hint="eastAsia" w:ascii="宋体" w:hAnsi="宋体"/>
                <w:color w:val="000000"/>
                <w:szCs w:val="21"/>
              </w:rPr>
              <w:t>期</w:t>
            </w:r>
            <w:r>
              <w:rPr>
                <w:rFonts w:ascii="宋体" w:hAnsi="宋体"/>
                <w:color w:val="000000"/>
                <w:szCs w:val="21"/>
              </w:rPr>
              <w:t>及时清除路面尘土，洒水降尘；</w:t>
            </w:r>
          </w:p>
          <w:p w14:paraId="350DEB84">
            <w:pPr>
              <w:spacing w:line="280" w:lineRule="exact"/>
              <w:ind w:firstLine="420"/>
              <w:rPr>
                <w:rFonts w:ascii="宋体" w:hAnsi="宋体"/>
                <w:color w:val="000000"/>
                <w:szCs w:val="21"/>
              </w:rPr>
            </w:pPr>
            <w:r>
              <w:rPr>
                <w:rFonts w:ascii="宋体" w:hAnsi="宋体"/>
                <w:color w:val="000000"/>
                <w:szCs w:val="21"/>
              </w:rPr>
              <w:t>(3)</w:t>
            </w:r>
            <w:r>
              <w:rPr>
                <w:rFonts w:hint="eastAsia" w:ascii="宋体" w:hAnsi="宋体"/>
                <w:color w:val="000000"/>
                <w:szCs w:val="21"/>
              </w:rPr>
              <w:t xml:space="preserve"> </w:t>
            </w:r>
            <w:r>
              <w:rPr>
                <w:rFonts w:ascii="宋体" w:hAnsi="宋体"/>
                <w:color w:val="000000"/>
                <w:szCs w:val="21"/>
              </w:rPr>
              <w:t>运输车辆加遮盖，出施工场地要进行除泥清洗，选择合理运输路线；</w:t>
            </w:r>
          </w:p>
          <w:p w14:paraId="3AB149AC">
            <w:pPr>
              <w:spacing w:line="280" w:lineRule="exact"/>
              <w:ind w:firstLine="420"/>
              <w:rPr>
                <w:rFonts w:ascii="宋体" w:hAnsi="宋体"/>
                <w:color w:val="000000"/>
                <w:szCs w:val="21"/>
              </w:rPr>
            </w:pPr>
            <w:r>
              <w:rPr>
                <w:rFonts w:ascii="宋体" w:hAnsi="宋体"/>
                <w:color w:val="000000"/>
                <w:szCs w:val="21"/>
              </w:rPr>
              <w:t>(</w:t>
            </w:r>
            <w:r>
              <w:rPr>
                <w:rFonts w:hint="eastAsia" w:ascii="宋体" w:hAnsi="宋体"/>
                <w:color w:val="000000"/>
                <w:szCs w:val="21"/>
              </w:rPr>
              <w:t>4</w:t>
            </w:r>
            <w:r>
              <w:rPr>
                <w:rFonts w:ascii="宋体" w:hAnsi="宋体"/>
                <w:color w:val="000000"/>
                <w:szCs w:val="21"/>
              </w:rPr>
              <w:t>)采</w:t>
            </w:r>
            <w:r>
              <w:rPr>
                <w:rFonts w:hint="eastAsia" w:ascii="宋体" w:hAnsi="宋体"/>
                <w:color w:val="000000"/>
                <w:szCs w:val="21"/>
              </w:rPr>
              <w:t>用</w:t>
            </w:r>
            <w:r>
              <w:rPr>
                <w:rFonts w:ascii="宋体" w:hAnsi="宋体"/>
                <w:color w:val="000000"/>
                <w:szCs w:val="21"/>
              </w:rPr>
              <w:t>商品混凝土。</w:t>
            </w:r>
          </w:p>
          <w:p w14:paraId="06D0D6E6">
            <w:pPr>
              <w:spacing w:line="280" w:lineRule="exact"/>
              <w:ind w:firstLine="422"/>
              <w:rPr>
                <w:rFonts w:ascii="宋体" w:hAnsi="宋体"/>
                <w:b/>
                <w:color w:val="000000"/>
                <w:szCs w:val="21"/>
              </w:rPr>
            </w:pPr>
            <w:r>
              <w:rPr>
                <w:rFonts w:ascii="宋体" w:hAnsi="宋体"/>
                <w:b/>
                <w:color w:val="000000"/>
                <w:szCs w:val="21"/>
              </w:rPr>
              <w:t>3、噪声防治措施</w:t>
            </w:r>
          </w:p>
          <w:p w14:paraId="0BA5C1DE">
            <w:pPr>
              <w:spacing w:line="280" w:lineRule="exact"/>
              <w:ind w:firstLine="420"/>
              <w:rPr>
                <w:rFonts w:hint="eastAsia" w:ascii="宋体" w:hAnsi="宋体"/>
                <w:color w:val="000000"/>
                <w:szCs w:val="21"/>
              </w:rPr>
            </w:pPr>
            <w:r>
              <w:rPr>
                <w:rFonts w:ascii="宋体" w:hAnsi="宋体"/>
                <w:color w:val="000000"/>
                <w:szCs w:val="21"/>
              </w:rPr>
              <w:t>(1) 优选低噪声设备和施工工艺，文明施工；</w:t>
            </w:r>
          </w:p>
          <w:p w14:paraId="220F5985">
            <w:pPr>
              <w:spacing w:line="280" w:lineRule="exact"/>
              <w:ind w:firstLine="420"/>
              <w:rPr>
                <w:rFonts w:ascii="宋体" w:hAnsi="宋体"/>
                <w:color w:val="000000"/>
                <w:szCs w:val="21"/>
              </w:rPr>
            </w:pPr>
            <w:r>
              <w:rPr>
                <w:rFonts w:ascii="宋体" w:hAnsi="宋体"/>
                <w:color w:val="000000"/>
                <w:szCs w:val="21"/>
              </w:rPr>
              <w:t>(</w:t>
            </w:r>
            <w:r>
              <w:rPr>
                <w:rFonts w:hint="eastAsia" w:ascii="宋体" w:hAnsi="宋体"/>
                <w:color w:val="000000"/>
                <w:szCs w:val="21"/>
              </w:rPr>
              <w:t>2</w:t>
            </w:r>
            <w:r>
              <w:rPr>
                <w:rFonts w:ascii="宋体" w:hAnsi="宋体"/>
                <w:color w:val="000000"/>
                <w:szCs w:val="21"/>
              </w:rPr>
              <w:t>)</w:t>
            </w:r>
            <w:r>
              <w:rPr>
                <w:rFonts w:hint="eastAsia" w:ascii="宋体" w:hAnsi="宋体"/>
                <w:color w:val="000000"/>
                <w:szCs w:val="21"/>
              </w:rPr>
              <w:t xml:space="preserve"> </w:t>
            </w:r>
            <w:r>
              <w:rPr>
                <w:rFonts w:ascii="宋体" w:hAnsi="宋体"/>
                <w:color w:val="000000"/>
                <w:szCs w:val="21"/>
              </w:rPr>
              <w:t>施工区合理布局，将木工房、钢筋加工间等大部分产生高噪声的作业点，集中布置于建设场地</w:t>
            </w:r>
            <w:r>
              <w:rPr>
                <w:rFonts w:hint="eastAsia" w:ascii="宋体" w:hAnsi="宋体"/>
                <w:color w:val="000000"/>
                <w:szCs w:val="21"/>
              </w:rPr>
              <w:t>东</w:t>
            </w:r>
            <w:r>
              <w:rPr>
                <w:rFonts w:ascii="宋体" w:hAnsi="宋体"/>
                <w:color w:val="000000"/>
                <w:szCs w:val="21"/>
              </w:rPr>
              <w:t>面；</w:t>
            </w:r>
          </w:p>
          <w:p w14:paraId="0CEF7AE1">
            <w:pPr>
              <w:spacing w:line="280" w:lineRule="exact"/>
              <w:ind w:firstLine="420"/>
              <w:rPr>
                <w:rFonts w:ascii="宋体" w:hAnsi="宋体"/>
                <w:color w:val="000000"/>
                <w:szCs w:val="21"/>
              </w:rPr>
            </w:pPr>
            <w:r>
              <w:rPr>
                <w:rFonts w:ascii="宋体" w:hAnsi="宋体"/>
                <w:color w:val="000000"/>
                <w:szCs w:val="21"/>
              </w:rPr>
              <w:t>(</w:t>
            </w:r>
            <w:r>
              <w:rPr>
                <w:rFonts w:hint="eastAsia" w:ascii="宋体" w:hAnsi="宋体"/>
                <w:color w:val="000000"/>
                <w:szCs w:val="21"/>
              </w:rPr>
              <w:t>3</w:t>
            </w:r>
            <w:r>
              <w:rPr>
                <w:rFonts w:ascii="宋体" w:hAnsi="宋体"/>
                <w:color w:val="000000"/>
                <w:szCs w:val="21"/>
              </w:rPr>
              <w:t>) 加强设备的维修、保养和管理：保持机械润滑，避免设备因松动部件的振动或消音器的损坏而增加其工作时的声压级；</w:t>
            </w:r>
          </w:p>
          <w:p w14:paraId="3E586CEB">
            <w:pPr>
              <w:spacing w:line="280" w:lineRule="exact"/>
              <w:ind w:firstLine="420"/>
              <w:rPr>
                <w:rFonts w:ascii="宋体" w:hAnsi="宋体"/>
                <w:color w:val="000000"/>
                <w:szCs w:val="21"/>
              </w:rPr>
            </w:pPr>
            <w:r>
              <w:rPr>
                <w:rFonts w:ascii="宋体" w:hAnsi="宋体"/>
                <w:color w:val="000000"/>
                <w:szCs w:val="21"/>
              </w:rPr>
              <w:t>(</w:t>
            </w:r>
            <w:r>
              <w:rPr>
                <w:rFonts w:hint="eastAsia" w:ascii="宋体" w:hAnsi="宋体"/>
                <w:color w:val="000000"/>
                <w:szCs w:val="21"/>
              </w:rPr>
              <w:t>4</w:t>
            </w:r>
            <w:r>
              <w:rPr>
                <w:rFonts w:ascii="宋体" w:hAnsi="宋体"/>
                <w:color w:val="000000"/>
                <w:szCs w:val="21"/>
              </w:rPr>
              <w:t>)</w:t>
            </w:r>
            <w:r>
              <w:rPr>
                <w:rFonts w:hint="eastAsia" w:ascii="宋体" w:hAnsi="宋体"/>
                <w:color w:val="000000"/>
                <w:szCs w:val="21"/>
              </w:rPr>
              <w:t xml:space="preserve"> </w:t>
            </w:r>
            <w:r>
              <w:rPr>
                <w:rFonts w:ascii="宋体" w:hAnsi="宋体"/>
                <w:color w:val="000000"/>
                <w:szCs w:val="21"/>
              </w:rPr>
              <w:t>不设混凝土搅拌站，采购商品混凝土。</w:t>
            </w:r>
          </w:p>
          <w:p w14:paraId="347CCABA">
            <w:pPr>
              <w:spacing w:line="280" w:lineRule="exact"/>
              <w:ind w:firstLine="422"/>
              <w:rPr>
                <w:rFonts w:ascii="宋体" w:hAnsi="宋体"/>
                <w:b/>
                <w:color w:val="000000"/>
                <w:szCs w:val="21"/>
              </w:rPr>
            </w:pPr>
            <w:r>
              <w:rPr>
                <w:rFonts w:ascii="宋体" w:hAnsi="宋体"/>
                <w:b/>
                <w:color w:val="000000"/>
                <w:szCs w:val="21"/>
              </w:rPr>
              <w:t>4、废水防治措施</w:t>
            </w:r>
          </w:p>
          <w:p w14:paraId="67E82E04">
            <w:pPr>
              <w:spacing w:line="280" w:lineRule="exact"/>
              <w:ind w:firstLine="420"/>
              <w:rPr>
                <w:rFonts w:ascii="宋体" w:hAnsi="宋体"/>
                <w:color w:val="000000"/>
                <w:szCs w:val="21"/>
              </w:rPr>
            </w:pPr>
            <w:r>
              <w:rPr>
                <w:rFonts w:ascii="宋体" w:hAnsi="宋体"/>
                <w:color w:val="000000"/>
                <w:szCs w:val="21"/>
              </w:rPr>
              <w:t>(1)</w:t>
            </w:r>
            <w:r>
              <w:rPr>
                <w:rFonts w:hint="eastAsia" w:ascii="宋体" w:hAnsi="宋体"/>
                <w:color w:val="000000"/>
                <w:szCs w:val="21"/>
              </w:rPr>
              <w:t xml:space="preserve"> </w:t>
            </w:r>
            <w:r>
              <w:rPr>
                <w:rFonts w:ascii="宋体" w:hAnsi="宋体"/>
                <w:color w:val="000000"/>
                <w:szCs w:val="21"/>
              </w:rPr>
              <w:t>施工建筑废水按环评要求建</w:t>
            </w:r>
            <w:r>
              <w:rPr>
                <w:rFonts w:hint="eastAsia" w:ascii="宋体" w:hAnsi="宋体"/>
                <w:color w:val="000000"/>
                <w:szCs w:val="21"/>
              </w:rPr>
              <w:t>立</w:t>
            </w:r>
            <w:r>
              <w:rPr>
                <w:rFonts w:ascii="宋体" w:hAnsi="宋体"/>
                <w:color w:val="000000"/>
                <w:szCs w:val="21"/>
              </w:rPr>
              <w:t>简易沉淀池，施工废水全部回用，不外排；</w:t>
            </w:r>
          </w:p>
          <w:p w14:paraId="2A1D362E">
            <w:pPr>
              <w:spacing w:line="280" w:lineRule="exact"/>
              <w:ind w:firstLine="420"/>
              <w:rPr>
                <w:rFonts w:ascii="宋体" w:hAnsi="宋体"/>
                <w:color w:val="000000"/>
                <w:szCs w:val="21"/>
              </w:rPr>
            </w:pPr>
            <w:r>
              <w:rPr>
                <w:rFonts w:ascii="宋体" w:hAnsi="宋体"/>
                <w:color w:val="000000"/>
                <w:szCs w:val="21"/>
              </w:rPr>
              <w:t>(2)</w:t>
            </w:r>
            <w:r>
              <w:rPr>
                <w:rFonts w:hint="eastAsia" w:ascii="宋体" w:hAnsi="宋体"/>
                <w:color w:val="000000"/>
                <w:szCs w:val="21"/>
              </w:rPr>
              <w:t xml:space="preserve"> </w:t>
            </w:r>
            <w:r>
              <w:rPr>
                <w:rFonts w:ascii="宋体" w:hAnsi="宋体"/>
                <w:color w:val="000000"/>
                <w:szCs w:val="21"/>
              </w:rPr>
              <w:t>在施工场地四周设置集水沟，收集</w:t>
            </w:r>
            <w:r>
              <w:rPr>
                <w:rFonts w:hint="eastAsia" w:ascii="宋体" w:hAnsi="宋体"/>
                <w:color w:val="000000"/>
                <w:szCs w:val="21"/>
              </w:rPr>
              <w:t>雨天地表径流，雨水经沉砂池沉淀后，排入市政雨水管网</w:t>
            </w:r>
            <w:r>
              <w:rPr>
                <w:rFonts w:ascii="宋体" w:hAnsi="宋体"/>
                <w:color w:val="000000"/>
                <w:szCs w:val="21"/>
              </w:rPr>
              <w:t>。</w:t>
            </w:r>
          </w:p>
          <w:p w14:paraId="0E4E6B10">
            <w:pPr>
              <w:spacing w:line="280" w:lineRule="exact"/>
              <w:ind w:firstLine="422"/>
              <w:rPr>
                <w:rFonts w:ascii="宋体" w:hAnsi="宋体"/>
                <w:b/>
                <w:color w:val="000000"/>
                <w:szCs w:val="21"/>
              </w:rPr>
            </w:pPr>
            <w:r>
              <w:rPr>
                <w:rFonts w:ascii="宋体" w:hAnsi="宋体"/>
                <w:b/>
                <w:color w:val="000000"/>
                <w:szCs w:val="21"/>
              </w:rPr>
              <w:t>5、固体废物</w:t>
            </w:r>
          </w:p>
          <w:p w14:paraId="32ACD44B">
            <w:pPr>
              <w:spacing w:line="280" w:lineRule="exact"/>
              <w:ind w:firstLine="420"/>
              <w:rPr>
                <w:rFonts w:ascii="宋体" w:hAnsi="宋体"/>
                <w:color w:val="000000"/>
                <w:szCs w:val="21"/>
              </w:rPr>
            </w:pPr>
            <w:r>
              <w:rPr>
                <w:rFonts w:ascii="宋体" w:hAnsi="宋体"/>
                <w:color w:val="000000"/>
                <w:szCs w:val="21"/>
              </w:rPr>
              <w:t>(1) 设置垃圾桶，定点收集后送项目所在生活垃圾填埋场进行填埋处理；</w:t>
            </w:r>
          </w:p>
          <w:p w14:paraId="6C176163">
            <w:pPr>
              <w:spacing w:line="280" w:lineRule="exact"/>
              <w:ind w:firstLine="420"/>
              <w:rPr>
                <w:rFonts w:ascii="宋体" w:hAnsi="宋体"/>
                <w:color w:val="000000"/>
                <w:szCs w:val="21"/>
              </w:rPr>
            </w:pPr>
            <w:r>
              <w:rPr>
                <w:rFonts w:ascii="宋体" w:hAnsi="宋体"/>
                <w:color w:val="000000"/>
                <w:szCs w:val="21"/>
              </w:rPr>
              <w:t>(2) 废弃土方全部外运至</w:t>
            </w:r>
            <w:r>
              <w:rPr>
                <w:rFonts w:hint="eastAsia" w:ascii="宋体" w:hAnsi="宋体"/>
                <w:color w:val="000000"/>
                <w:szCs w:val="21"/>
              </w:rPr>
              <w:t>芒市</w:t>
            </w:r>
            <w:r>
              <w:rPr>
                <w:rFonts w:ascii="宋体" w:hAnsi="宋体"/>
                <w:color w:val="000000"/>
                <w:szCs w:val="21"/>
              </w:rPr>
              <w:t>城建规划部门指定堆场堆放；</w:t>
            </w:r>
          </w:p>
          <w:p w14:paraId="2E5A78B3">
            <w:pPr>
              <w:spacing w:line="280" w:lineRule="exact"/>
              <w:ind w:firstLine="420"/>
              <w:rPr>
                <w:rFonts w:ascii="宋体" w:hAnsi="宋体"/>
                <w:color w:val="000000"/>
                <w:szCs w:val="21"/>
              </w:rPr>
            </w:pPr>
            <w:r>
              <w:rPr>
                <w:rFonts w:ascii="宋体" w:hAnsi="宋体"/>
                <w:color w:val="000000"/>
                <w:szCs w:val="21"/>
              </w:rPr>
              <w:t>(3) 废弃</w:t>
            </w:r>
            <w:r>
              <w:rPr>
                <w:rFonts w:hint="eastAsia" w:ascii="宋体" w:hAnsi="宋体"/>
                <w:color w:val="000000"/>
                <w:szCs w:val="21"/>
              </w:rPr>
              <w:t>建筑垃圾</w:t>
            </w:r>
            <w:r>
              <w:rPr>
                <w:rFonts w:ascii="宋体" w:hAnsi="宋体"/>
                <w:color w:val="000000"/>
                <w:szCs w:val="21"/>
              </w:rPr>
              <w:t>全部清运至</w:t>
            </w:r>
            <w:r>
              <w:rPr>
                <w:rFonts w:hint="eastAsia" w:ascii="宋体" w:hAnsi="宋体"/>
                <w:color w:val="000000"/>
                <w:szCs w:val="21"/>
              </w:rPr>
              <w:t>芒市</w:t>
            </w:r>
            <w:r>
              <w:rPr>
                <w:rFonts w:ascii="宋体" w:hAnsi="宋体"/>
                <w:color w:val="000000"/>
                <w:szCs w:val="21"/>
              </w:rPr>
              <w:t>城建规划部门指定建筑弃渣堆场堆放。</w:t>
            </w:r>
          </w:p>
        </w:tc>
      </w:tr>
      <w:tr w14:paraId="433E2EB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jc w:val="center"/>
        </w:trPr>
        <w:tc>
          <w:tcPr>
            <w:tcW w:w="801" w:type="dxa"/>
            <w:noWrap w:val="0"/>
            <w:tcMar>
              <w:left w:w="28" w:type="dxa"/>
              <w:right w:w="28" w:type="dxa"/>
            </w:tcMar>
            <w:vAlign w:val="center"/>
          </w:tcPr>
          <w:p w14:paraId="273F5FC6">
            <w:pPr>
              <w:pStyle w:val="288"/>
              <w:widowControl w:val="0"/>
              <w:pBdr>
                <w:bottom w:val="none" w:color="000000" w:sz="0" w:space="0"/>
                <w:right w:val="none" w:color="000000" w:sz="0" w:space="0"/>
              </w:pBdr>
              <w:spacing w:before="0" w:beforeAutospacing="0" w:after="0" w:afterAutospacing="0" w:line="260" w:lineRule="exact"/>
              <w:rPr>
                <w:rFonts w:hint="eastAsia" w:eastAsia="宋体"/>
                <w:color w:val="000000"/>
              </w:rPr>
            </w:pPr>
            <w:r>
              <w:rPr>
                <w:rFonts w:eastAsia="宋体"/>
                <w:color w:val="000000"/>
              </w:rPr>
              <w:t>运营期环保措施</w:t>
            </w:r>
          </w:p>
        </w:tc>
        <w:tc>
          <w:tcPr>
            <w:tcW w:w="8279" w:type="dxa"/>
            <w:noWrap w:val="0"/>
            <w:tcMar>
              <w:left w:w="28" w:type="dxa"/>
              <w:right w:w="28" w:type="dxa"/>
            </w:tcMar>
            <w:vAlign w:val="center"/>
          </w:tcPr>
          <w:p w14:paraId="7B2A9178">
            <w:pPr>
              <w:spacing w:line="280" w:lineRule="exact"/>
              <w:ind w:firstLine="422"/>
              <w:rPr>
                <w:rFonts w:ascii="宋体" w:hAnsi="宋体"/>
                <w:b/>
                <w:color w:val="000000"/>
                <w:szCs w:val="21"/>
              </w:rPr>
            </w:pPr>
            <w:r>
              <w:rPr>
                <w:rFonts w:ascii="宋体" w:hAnsi="宋体"/>
                <w:b/>
                <w:color w:val="000000"/>
                <w:szCs w:val="21"/>
              </w:rPr>
              <w:t>1、废水治理措施</w:t>
            </w:r>
          </w:p>
          <w:p w14:paraId="409FAEB6">
            <w:pPr>
              <w:tabs>
                <w:tab w:val="left" w:pos="540"/>
              </w:tabs>
              <w:spacing w:line="280" w:lineRule="exact"/>
              <w:ind w:firstLine="420"/>
              <w:rPr>
                <w:rFonts w:ascii="宋体" w:hAnsi="宋体"/>
                <w:color w:val="000000"/>
                <w:szCs w:val="21"/>
              </w:rPr>
            </w:pPr>
            <w:r>
              <w:rPr>
                <w:rFonts w:ascii="宋体" w:hAnsi="宋体"/>
                <w:color w:val="000000"/>
                <w:szCs w:val="21"/>
              </w:rPr>
              <w:t>（1）雨污分流：雨水经过医院雨水管外排；污水</w:t>
            </w:r>
            <w:r>
              <w:rPr>
                <w:rFonts w:hint="eastAsia" w:ascii="宋体" w:hAnsi="宋体"/>
                <w:color w:val="000000"/>
                <w:szCs w:val="21"/>
              </w:rPr>
              <w:t>经过收集后由</w:t>
            </w:r>
            <w:r>
              <w:rPr>
                <w:rFonts w:ascii="宋体" w:hAnsi="宋体"/>
                <w:color w:val="000000"/>
                <w:szCs w:val="21"/>
              </w:rPr>
              <w:t>医院污水</w:t>
            </w:r>
            <w:r>
              <w:rPr>
                <w:rFonts w:hint="eastAsia" w:ascii="宋体" w:hAnsi="宋体"/>
                <w:color w:val="000000"/>
                <w:szCs w:val="21"/>
              </w:rPr>
              <w:t>设施</w:t>
            </w:r>
            <w:r>
              <w:rPr>
                <w:rFonts w:ascii="宋体" w:hAnsi="宋体"/>
                <w:color w:val="000000"/>
                <w:szCs w:val="21"/>
              </w:rPr>
              <w:t>处理</w:t>
            </w:r>
            <w:r>
              <w:rPr>
                <w:rFonts w:hint="eastAsia" w:ascii="宋体" w:hAnsi="宋体"/>
                <w:color w:val="000000"/>
                <w:szCs w:val="21"/>
              </w:rPr>
              <w:t>达标后排入周边市政管网</w:t>
            </w:r>
            <w:r>
              <w:rPr>
                <w:rFonts w:ascii="宋体" w:hAnsi="宋体"/>
                <w:color w:val="000000"/>
                <w:szCs w:val="21"/>
              </w:rPr>
              <w:t>；</w:t>
            </w:r>
          </w:p>
          <w:p w14:paraId="4716612C">
            <w:pPr>
              <w:spacing w:line="280" w:lineRule="exact"/>
              <w:ind w:firstLine="420"/>
              <w:rPr>
                <w:rFonts w:ascii="宋体" w:hAnsi="宋体"/>
                <w:color w:val="000000"/>
                <w:szCs w:val="21"/>
              </w:rPr>
            </w:pPr>
            <w:r>
              <w:rPr>
                <w:rFonts w:ascii="宋体" w:hAnsi="宋体"/>
                <w:color w:val="000000"/>
                <w:szCs w:val="21"/>
              </w:rPr>
              <w:t>（2）废水分类收集、处理措施：</w:t>
            </w:r>
          </w:p>
          <w:p w14:paraId="09C588A7">
            <w:pPr>
              <w:spacing w:line="280" w:lineRule="exact"/>
              <w:ind w:firstLine="420"/>
              <w:rPr>
                <w:rFonts w:ascii="宋体" w:hAnsi="宋体"/>
                <w:color w:val="000000"/>
                <w:szCs w:val="21"/>
              </w:rPr>
            </w:pPr>
            <w:r>
              <w:rPr>
                <w:rFonts w:ascii="宋体" w:hAnsi="宋体"/>
                <w:color w:val="000000"/>
                <w:szCs w:val="21"/>
              </w:rPr>
              <w:t>①项目食堂含油废水经过隔油池</w:t>
            </w:r>
            <w:r>
              <w:rPr>
                <w:rFonts w:hint="eastAsia" w:ascii="宋体" w:hAnsi="宋体"/>
                <w:color w:val="000000"/>
                <w:szCs w:val="21"/>
              </w:rPr>
              <w:t>（0.9m</w:t>
            </w:r>
            <w:r>
              <w:rPr>
                <w:rFonts w:hint="eastAsia" w:ascii="宋体" w:hAnsi="宋体"/>
                <w:color w:val="000000"/>
                <w:szCs w:val="21"/>
                <w:vertAlign w:val="superscript"/>
              </w:rPr>
              <w:t>3</w:t>
            </w:r>
            <w:r>
              <w:rPr>
                <w:rFonts w:ascii="宋体" w:hAnsi="宋体"/>
                <w:color w:val="000000"/>
                <w:szCs w:val="21"/>
              </w:rPr>
              <w:t>）处理后再排入</w:t>
            </w:r>
            <w:r>
              <w:rPr>
                <w:rFonts w:hint="eastAsia" w:ascii="宋体" w:hAnsi="宋体"/>
                <w:color w:val="000000"/>
                <w:szCs w:val="21"/>
              </w:rPr>
              <w:t>化粪池</w:t>
            </w:r>
            <w:r>
              <w:rPr>
                <w:rFonts w:ascii="宋体" w:hAnsi="宋体"/>
                <w:color w:val="000000"/>
                <w:szCs w:val="21"/>
              </w:rPr>
              <w:t>处理；</w:t>
            </w:r>
          </w:p>
          <w:p w14:paraId="2F8D1341">
            <w:pPr>
              <w:spacing w:line="280" w:lineRule="exact"/>
              <w:ind w:firstLine="420"/>
              <w:rPr>
                <w:rFonts w:hint="eastAsia" w:ascii="宋体" w:hAnsi="宋体"/>
                <w:color w:val="000000"/>
                <w:szCs w:val="21"/>
              </w:rPr>
            </w:pPr>
            <w:r>
              <w:rPr>
                <w:rFonts w:ascii="宋体" w:hAnsi="宋体"/>
                <w:color w:val="000000"/>
                <w:szCs w:val="21"/>
              </w:rPr>
              <w:t>②</w:t>
            </w:r>
            <w:r>
              <w:rPr>
                <w:rFonts w:hint="eastAsia" w:ascii="宋体" w:hAnsi="宋体"/>
                <w:color w:val="000000"/>
                <w:szCs w:val="21"/>
              </w:rPr>
              <w:t>医院病区和非病区污水分流、特殊医疗废水单独处理达标”的原则处理后再进入污水处理站站处理；</w:t>
            </w:r>
          </w:p>
          <w:p w14:paraId="3E872876">
            <w:pPr>
              <w:spacing w:line="280" w:lineRule="exact"/>
              <w:ind w:firstLine="420"/>
              <w:rPr>
                <w:rFonts w:hint="eastAsia" w:ascii="宋体" w:hAnsi="宋体"/>
                <w:color w:val="000000"/>
                <w:szCs w:val="21"/>
              </w:rPr>
            </w:pPr>
            <w:r>
              <w:rPr>
                <w:rFonts w:ascii="宋体" w:hAnsi="宋体"/>
                <w:color w:val="000000"/>
                <w:szCs w:val="21"/>
              </w:rPr>
              <w:t>③过期的废药剂、药液不能倒入下水道中，应收集后同带菌固废一并送医疗废物处理单位处理；</w:t>
            </w:r>
          </w:p>
          <w:p w14:paraId="6EE4ACB8">
            <w:pPr>
              <w:spacing w:line="280" w:lineRule="exact"/>
              <w:ind w:firstLine="420"/>
              <w:rPr>
                <w:rFonts w:hint="eastAsia" w:ascii="宋体" w:hAnsi="宋体"/>
                <w:color w:val="000000"/>
                <w:szCs w:val="21"/>
              </w:rPr>
            </w:pPr>
            <w:r>
              <w:rPr>
                <w:rFonts w:hint="eastAsia" w:ascii="宋体" w:hAnsi="宋体"/>
                <w:color w:val="000000"/>
                <w:szCs w:val="21"/>
              </w:rPr>
              <w:t>（3）化粪池污水处理措施：项目区设置</w:t>
            </w:r>
            <w:r>
              <w:rPr>
                <w:color w:val="000000"/>
                <w:szCs w:val="21"/>
              </w:rPr>
              <w:t>化粪池</w:t>
            </w:r>
            <w:r>
              <w:rPr>
                <w:rFonts w:hint="eastAsia"/>
                <w:color w:val="000000"/>
                <w:szCs w:val="21"/>
              </w:rPr>
              <w:t>4</w:t>
            </w:r>
            <w:r>
              <w:rPr>
                <w:color w:val="000000"/>
                <w:szCs w:val="21"/>
              </w:rPr>
              <w:t>个（</w:t>
            </w:r>
            <w:r>
              <w:rPr>
                <w:rFonts w:hint="eastAsia"/>
                <w:color w:val="000000"/>
                <w:szCs w:val="21"/>
              </w:rPr>
              <w:t>总容积</w:t>
            </w:r>
            <w:r>
              <w:rPr>
                <w:color w:val="000000"/>
                <w:szCs w:val="21"/>
              </w:rPr>
              <w:t>1</w:t>
            </w:r>
            <w:r>
              <w:rPr>
                <w:rFonts w:hint="eastAsia"/>
                <w:color w:val="000000"/>
                <w:szCs w:val="21"/>
              </w:rPr>
              <w:t>4</w:t>
            </w:r>
            <w:r>
              <w:rPr>
                <w:color w:val="000000"/>
                <w:szCs w:val="21"/>
              </w:rPr>
              <w:t>0m</w:t>
            </w:r>
            <w:r>
              <w:rPr>
                <w:color w:val="000000"/>
                <w:szCs w:val="21"/>
                <w:vertAlign w:val="superscript"/>
              </w:rPr>
              <w:t>3</w:t>
            </w:r>
            <w:r>
              <w:rPr>
                <w:color w:val="000000"/>
                <w:szCs w:val="21"/>
              </w:rPr>
              <w:t>）</w:t>
            </w:r>
            <w:r>
              <w:rPr>
                <w:rFonts w:hint="eastAsia"/>
                <w:color w:val="000000"/>
                <w:szCs w:val="21"/>
              </w:rPr>
              <w:t>，能够保证污水在化粪池停留时间达36h以上，保证出水水质达标进入自建污水处理站；</w:t>
            </w:r>
          </w:p>
          <w:p w14:paraId="419014CF">
            <w:pPr>
              <w:spacing w:line="280" w:lineRule="exact"/>
              <w:ind w:firstLine="420"/>
              <w:rPr>
                <w:rFonts w:ascii="宋体" w:hAnsi="宋体"/>
                <w:color w:val="000000"/>
                <w:szCs w:val="21"/>
              </w:rPr>
            </w:pPr>
            <w:r>
              <w:rPr>
                <w:rFonts w:ascii="宋体" w:hAnsi="宋体"/>
                <w:color w:val="000000"/>
                <w:szCs w:val="21"/>
              </w:rPr>
              <w:t>（</w:t>
            </w:r>
            <w:r>
              <w:rPr>
                <w:rFonts w:hint="eastAsia" w:ascii="宋体" w:hAnsi="宋体"/>
                <w:color w:val="000000"/>
                <w:szCs w:val="21"/>
              </w:rPr>
              <w:t>4</w:t>
            </w:r>
            <w:r>
              <w:rPr>
                <w:rFonts w:ascii="宋体" w:hAnsi="宋体"/>
                <w:color w:val="000000"/>
                <w:szCs w:val="21"/>
              </w:rPr>
              <w:t>）医院综合废水：</w:t>
            </w:r>
          </w:p>
          <w:p w14:paraId="207A61AE">
            <w:pPr>
              <w:spacing w:line="280" w:lineRule="exact"/>
              <w:ind w:firstLine="420"/>
              <w:rPr>
                <w:rFonts w:hint="eastAsia" w:ascii="宋体" w:hAnsi="宋体"/>
                <w:color w:val="000000"/>
                <w:szCs w:val="21"/>
              </w:rPr>
            </w:pPr>
            <w:r>
              <w:rPr>
                <w:rFonts w:ascii="宋体" w:hAnsi="宋体"/>
                <w:color w:val="000000"/>
                <w:szCs w:val="21"/>
              </w:rPr>
              <w:t>自建污水处理站，处理规模为</w:t>
            </w:r>
            <w:r>
              <w:rPr>
                <w:rFonts w:hint="eastAsia" w:ascii="宋体" w:hAnsi="宋体"/>
                <w:color w:val="000000"/>
                <w:szCs w:val="21"/>
              </w:rPr>
              <w:t>120</w:t>
            </w:r>
            <w:r>
              <w:rPr>
                <w:rFonts w:ascii="宋体" w:hAnsi="宋体"/>
                <w:color w:val="000000"/>
                <w:szCs w:val="21"/>
              </w:rPr>
              <w:t>m</w:t>
            </w:r>
            <w:r>
              <w:rPr>
                <w:rFonts w:hint="eastAsia" w:ascii="宋体" w:hAnsi="宋体"/>
                <w:color w:val="000000"/>
                <w:szCs w:val="21"/>
                <w:vertAlign w:val="superscript"/>
              </w:rPr>
              <w:t>3</w:t>
            </w:r>
            <w:r>
              <w:rPr>
                <w:rFonts w:ascii="宋体" w:hAnsi="宋体"/>
                <w:color w:val="000000"/>
                <w:szCs w:val="21"/>
              </w:rPr>
              <w:t>/d，可满足项目运营后最大的处理需求。</w:t>
            </w:r>
            <w:r>
              <w:rPr>
                <w:rFonts w:hint="eastAsia" w:ascii="宋体" w:hAnsi="宋体"/>
                <w:color w:val="000000"/>
                <w:szCs w:val="21"/>
              </w:rPr>
              <w:t>医疗废水</w:t>
            </w:r>
            <w:r>
              <w:rPr>
                <w:rFonts w:ascii="宋体" w:hAnsi="宋体"/>
                <w:color w:val="000000"/>
                <w:szCs w:val="21"/>
              </w:rPr>
              <w:t>采用</w:t>
            </w:r>
            <w:r>
              <w:rPr>
                <w:rFonts w:hint="eastAsia" w:ascii="宋体" w:hAnsi="宋体"/>
                <w:color w:val="000000"/>
                <w:szCs w:val="21"/>
              </w:rPr>
              <w:t>（二级</w:t>
            </w:r>
            <w:r>
              <w:rPr>
                <w:rFonts w:ascii="宋体" w:hAnsi="宋体"/>
                <w:color w:val="000000"/>
                <w:szCs w:val="21"/>
              </w:rPr>
              <w:t>处理</w:t>
            </w:r>
            <w:r>
              <w:rPr>
                <w:rFonts w:hint="eastAsia" w:ascii="宋体" w:hAnsi="宋体"/>
                <w:color w:val="000000"/>
                <w:szCs w:val="21"/>
              </w:rPr>
              <w:t>）工艺</w:t>
            </w:r>
            <w:r>
              <w:rPr>
                <w:rFonts w:ascii="宋体" w:hAnsi="宋体"/>
                <w:color w:val="000000"/>
                <w:szCs w:val="21"/>
              </w:rPr>
              <w:t>对废水进行预处理，达《医疗机构水污染物排放标准》（GB18466-2005）中的预处理标准后排入</w:t>
            </w:r>
            <w:r>
              <w:rPr>
                <w:rFonts w:hint="eastAsia" w:ascii="宋体" w:hAnsi="宋体"/>
                <w:color w:val="000000"/>
                <w:szCs w:val="21"/>
              </w:rPr>
              <w:t>市政管网；</w:t>
            </w:r>
          </w:p>
          <w:p w14:paraId="37C2EC71">
            <w:pPr>
              <w:spacing w:line="280" w:lineRule="exact"/>
              <w:ind w:firstLine="420"/>
              <w:rPr>
                <w:rFonts w:ascii="宋体" w:hAnsi="宋体"/>
                <w:color w:val="000000"/>
                <w:szCs w:val="21"/>
              </w:rPr>
            </w:pPr>
            <w:r>
              <w:rPr>
                <w:rFonts w:ascii="宋体" w:hAnsi="宋体"/>
                <w:color w:val="000000"/>
                <w:szCs w:val="21"/>
              </w:rPr>
              <w:t>（</w:t>
            </w:r>
            <w:r>
              <w:rPr>
                <w:rFonts w:hint="eastAsia" w:ascii="宋体" w:hAnsi="宋体"/>
                <w:color w:val="000000"/>
                <w:szCs w:val="21"/>
              </w:rPr>
              <w:t>5</w:t>
            </w:r>
            <w:r>
              <w:rPr>
                <w:rFonts w:ascii="宋体" w:hAnsi="宋体"/>
                <w:color w:val="000000"/>
                <w:szCs w:val="21"/>
              </w:rPr>
              <w:t>）设置事故池1座，</w:t>
            </w:r>
            <w:r>
              <w:rPr>
                <w:rFonts w:hint="eastAsia" w:ascii="宋体" w:hAnsi="宋体"/>
                <w:color w:val="000000"/>
                <w:szCs w:val="21"/>
              </w:rPr>
              <w:t>位于污水处理站房旁，</w:t>
            </w:r>
            <w:r>
              <w:rPr>
                <w:rFonts w:ascii="宋体" w:hAnsi="宋体"/>
                <w:color w:val="000000"/>
                <w:szCs w:val="21"/>
              </w:rPr>
              <w:t>容积不小于</w:t>
            </w:r>
            <w:r>
              <w:rPr>
                <w:rFonts w:hint="eastAsia" w:ascii="宋体" w:hAnsi="宋体"/>
                <w:color w:val="000000"/>
                <w:szCs w:val="21"/>
              </w:rPr>
              <w:t>110</w:t>
            </w:r>
            <w:r>
              <w:rPr>
                <w:color w:val="000000"/>
                <w:szCs w:val="21"/>
              </w:rPr>
              <w:t>m</w:t>
            </w:r>
            <w:r>
              <w:rPr>
                <w:color w:val="000000"/>
                <w:szCs w:val="21"/>
                <w:vertAlign w:val="superscript"/>
              </w:rPr>
              <w:t>3</w:t>
            </w:r>
            <w:r>
              <w:rPr>
                <w:rFonts w:ascii="宋体" w:hAnsi="宋体"/>
                <w:color w:val="000000"/>
                <w:szCs w:val="21"/>
              </w:rPr>
              <w:t>；</w:t>
            </w:r>
          </w:p>
          <w:p w14:paraId="318A91E8">
            <w:pPr>
              <w:spacing w:line="280" w:lineRule="exact"/>
              <w:ind w:firstLine="420"/>
              <w:rPr>
                <w:rFonts w:ascii="宋体" w:hAnsi="宋体"/>
                <w:color w:val="000000"/>
                <w:szCs w:val="21"/>
              </w:rPr>
            </w:pPr>
            <w:r>
              <w:rPr>
                <w:rFonts w:ascii="宋体" w:hAnsi="宋体"/>
                <w:color w:val="000000"/>
                <w:szCs w:val="21"/>
              </w:rPr>
              <w:t>（</w:t>
            </w:r>
            <w:r>
              <w:rPr>
                <w:rFonts w:hint="eastAsia" w:ascii="宋体" w:hAnsi="宋体"/>
                <w:color w:val="000000"/>
                <w:szCs w:val="21"/>
              </w:rPr>
              <w:t>6</w:t>
            </w:r>
            <w:r>
              <w:rPr>
                <w:rFonts w:ascii="宋体" w:hAnsi="宋体"/>
                <w:color w:val="000000"/>
                <w:szCs w:val="21"/>
              </w:rPr>
              <w:t>）修建规范化废水排污口：按照《国家环保总局关于开展排放口规范化整治工作的通知》和《污染源监测技术规范》的要求设置废水排放口1个。</w:t>
            </w:r>
          </w:p>
          <w:p w14:paraId="65BE1FB8">
            <w:pPr>
              <w:spacing w:line="280" w:lineRule="exact"/>
              <w:ind w:firstLine="422"/>
              <w:rPr>
                <w:rFonts w:ascii="宋体" w:hAnsi="宋体"/>
                <w:b/>
                <w:color w:val="000000"/>
                <w:szCs w:val="21"/>
              </w:rPr>
            </w:pPr>
            <w:r>
              <w:rPr>
                <w:rFonts w:ascii="宋体" w:hAnsi="宋体"/>
                <w:b/>
                <w:color w:val="000000"/>
                <w:szCs w:val="21"/>
              </w:rPr>
              <w:t>2、废气治理措施</w:t>
            </w:r>
          </w:p>
          <w:p w14:paraId="22D69E40">
            <w:pPr>
              <w:spacing w:line="300" w:lineRule="exact"/>
              <w:ind w:firstLine="420"/>
              <w:rPr>
                <w:rFonts w:ascii="宋体" w:hAnsi="宋体"/>
                <w:color w:val="000000"/>
                <w:szCs w:val="21"/>
              </w:rPr>
            </w:pPr>
            <w:r>
              <w:rPr>
                <w:rFonts w:ascii="宋体" w:hAnsi="宋体"/>
                <w:color w:val="000000"/>
                <w:szCs w:val="21"/>
              </w:rPr>
              <w:t>（1）恶臭</w:t>
            </w:r>
          </w:p>
          <w:p w14:paraId="6B68B75B">
            <w:pPr>
              <w:spacing w:line="300" w:lineRule="exact"/>
              <w:ind w:firstLine="420"/>
              <w:rPr>
                <w:rFonts w:ascii="宋体" w:hAnsi="宋体"/>
                <w:color w:val="000000"/>
                <w:szCs w:val="21"/>
              </w:rPr>
            </w:pPr>
            <w:r>
              <w:rPr>
                <w:rFonts w:ascii="宋体" w:hAnsi="宋体"/>
                <w:color w:val="000000"/>
                <w:szCs w:val="21"/>
              </w:rPr>
              <w:fldChar w:fldCharType="begin"/>
            </w:r>
            <w:r>
              <w:rPr>
                <w:rFonts w:ascii="宋体" w:hAnsi="宋体"/>
                <w:color w:val="000000"/>
                <w:szCs w:val="21"/>
              </w:rPr>
              <w:instrText xml:space="preserve"> = 1 \* GB3 </w:instrText>
            </w:r>
            <w:r>
              <w:rPr>
                <w:rFonts w:ascii="宋体" w:hAnsi="宋体"/>
                <w:color w:val="000000"/>
                <w:szCs w:val="21"/>
              </w:rPr>
              <w:fldChar w:fldCharType="separate"/>
            </w:r>
            <w:r>
              <w:rPr>
                <w:rFonts w:ascii="宋体" w:hAnsi="宋体"/>
                <w:color w:val="000000"/>
                <w:szCs w:val="21"/>
              </w:rPr>
              <w:t>①</w:t>
            </w:r>
            <w:r>
              <w:rPr>
                <w:rFonts w:ascii="宋体" w:hAnsi="宋体"/>
                <w:color w:val="000000"/>
                <w:szCs w:val="21"/>
              </w:rPr>
              <w:fldChar w:fldCharType="end"/>
            </w:r>
            <w:r>
              <w:rPr>
                <w:rFonts w:hint="eastAsia" w:ascii="宋体" w:hAnsi="宋体"/>
                <w:color w:val="000000"/>
                <w:szCs w:val="21"/>
              </w:rPr>
              <w:t>污</w:t>
            </w:r>
            <w:r>
              <w:rPr>
                <w:rFonts w:ascii="宋体" w:hAnsi="宋体"/>
                <w:color w:val="000000"/>
                <w:szCs w:val="21"/>
              </w:rPr>
              <w:t>水处理站</w:t>
            </w:r>
            <w:r>
              <w:rPr>
                <w:rFonts w:hint="eastAsia" w:ascii="宋体" w:hAnsi="宋体"/>
                <w:color w:val="000000"/>
                <w:szCs w:val="21"/>
              </w:rPr>
              <w:t>采用地埋式、</w:t>
            </w:r>
            <w:r>
              <w:rPr>
                <w:rFonts w:ascii="宋体" w:hAnsi="宋体"/>
                <w:color w:val="000000"/>
                <w:szCs w:val="21"/>
              </w:rPr>
              <w:t>加</w:t>
            </w:r>
            <w:r>
              <w:rPr>
                <w:rFonts w:hint="eastAsia" w:ascii="宋体" w:hAnsi="宋体"/>
                <w:color w:val="000000"/>
                <w:szCs w:val="21"/>
              </w:rPr>
              <w:t>除臭装置采用有组织排放方式</w:t>
            </w:r>
            <w:r>
              <w:rPr>
                <w:rFonts w:ascii="宋体" w:hAnsi="宋体"/>
                <w:color w:val="000000"/>
                <w:szCs w:val="21"/>
              </w:rPr>
              <w:t>；</w:t>
            </w:r>
          </w:p>
          <w:p w14:paraId="33BDE345">
            <w:pPr>
              <w:spacing w:line="300" w:lineRule="exact"/>
              <w:ind w:firstLine="420"/>
              <w:rPr>
                <w:rFonts w:ascii="宋体" w:hAnsi="宋体"/>
                <w:color w:val="000000"/>
                <w:szCs w:val="21"/>
              </w:rPr>
            </w:pPr>
            <w:r>
              <w:rPr>
                <w:rFonts w:ascii="宋体" w:hAnsi="宋体"/>
                <w:color w:val="000000"/>
                <w:szCs w:val="21"/>
              </w:rPr>
              <w:fldChar w:fldCharType="begin"/>
            </w:r>
            <w:r>
              <w:rPr>
                <w:rFonts w:ascii="宋体" w:hAnsi="宋体"/>
                <w:color w:val="000000"/>
                <w:szCs w:val="21"/>
              </w:rPr>
              <w:instrText xml:space="preserve"> = 2 \* GB3 </w:instrText>
            </w:r>
            <w:r>
              <w:rPr>
                <w:rFonts w:ascii="宋体" w:hAnsi="宋体"/>
                <w:color w:val="000000"/>
                <w:szCs w:val="21"/>
              </w:rPr>
              <w:fldChar w:fldCharType="separate"/>
            </w:r>
            <w:r>
              <w:rPr>
                <w:rFonts w:ascii="宋体" w:hAnsi="宋体"/>
                <w:color w:val="000000"/>
                <w:szCs w:val="21"/>
              </w:rPr>
              <w:t>②</w:t>
            </w:r>
            <w:r>
              <w:rPr>
                <w:rFonts w:ascii="宋体" w:hAnsi="宋体"/>
                <w:color w:val="000000"/>
                <w:szCs w:val="21"/>
              </w:rPr>
              <w:fldChar w:fldCharType="end"/>
            </w:r>
            <w:r>
              <w:rPr>
                <w:rFonts w:ascii="宋体" w:hAnsi="宋体"/>
                <w:color w:val="000000"/>
                <w:szCs w:val="21"/>
              </w:rPr>
              <w:t>项目医疗废物暂存间和垃圾房应密闭，及时清扫、冲洗地面，喷洒生物除臭剂；</w:t>
            </w:r>
          </w:p>
          <w:p w14:paraId="6CF8F24F">
            <w:pPr>
              <w:spacing w:line="300" w:lineRule="exact"/>
              <w:ind w:firstLine="420"/>
              <w:rPr>
                <w:rFonts w:ascii="宋体" w:hAnsi="宋体"/>
                <w:color w:val="000000"/>
                <w:szCs w:val="21"/>
              </w:rPr>
            </w:pPr>
            <w:r>
              <w:rPr>
                <w:rFonts w:ascii="宋体" w:hAnsi="宋体"/>
                <w:color w:val="000000"/>
                <w:szCs w:val="21"/>
              </w:rPr>
              <w:fldChar w:fldCharType="begin"/>
            </w:r>
            <w:r>
              <w:rPr>
                <w:rFonts w:ascii="宋体" w:hAnsi="宋体"/>
                <w:color w:val="000000"/>
                <w:szCs w:val="21"/>
              </w:rPr>
              <w:instrText xml:space="preserve"> = 3 \* GB3 </w:instrText>
            </w:r>
            <w:r>
              <w:rPr>
                <w:rFonts w:ascii="宋体" w:hAnsi="宋体"/>
                <w:color w:val="000000"/>
                <w:szCs w:val="21"/>
              </w:rPr>
              <w:fldChar w:fldCharType="separate"/>
            </w:r>
            <w:r>
              <w:rPr>
                <w:rFonts w:ascii="宋体" w:hAnsi="宋体"/>
                <w:color w:val="000000"/>
                <w:szCs w:val="21"/>
              </w:rPr>
              <w:t>③</w:t>
            </w:r>
            <w:r>
              <w:rPr>
                <w:rFonts w:ascii="宋体" w:hAnsi="宋体"/>
                <w:color w:val="000000"/>
                <w:szCs w:val="21"/>
              </w:rPr>
              <w:fldChar w:fldCharType="end"/>
            </w:r>
            <w:r>
              <w:rPr>
                <w:rFonts w:ascii="宋体" w:hAnsi="宋体"/>
                <w:color w:val="000000"/>
                <w:szCs w:val="21"/>
              </w:rPr>
              <w:t>污水处理站、固废暂存间周边绿化选取对有害气体吸收能力较强的</w:t>
            </w:r>
            <w:r>
              <w:rPr>
                <w:rFonts w:hint="eastAsia" w:ascii="宋体" w:hAnsi="宋体"/>
                <w:color w:val="000000"/>
                <w:szCs w:val="21"/>
              </w:rPr>
              <w:t>绿化苗木</w:t>
            </w:r>
            <w:r>
              <w:rPr>
                <w:rFonts w:ascii="宋体" w:hAnsi="宋体"/>
                <w:color w:val="000000"/>
                <w:szCs w:val="21"/>
              </w:rPr>
              <w:t>等；</w:t>
            </w:r>
          </w:p>
          <w:p w14:paraId="7744FD48">
            <w:pPr>
              <w:spacing w:line="300" w:lineRule="exact"/>
              <w:ind w:firstLine="420"/>
              <w:rPr>
                <w:rFonts w:hint="eastAsia" w:ascii="宋体" w:hAnsi="宋体"/>
                <w:color w:val="000000"/>
                <w:szCs w:val="21"/>
              </w:rPr>
            </w:pPr>
            <w:r>
              <w:rPr>
                <w:rFonts w:hint="eastAsia" w:ascii="宋体" w:hAnsi="宋体"/>
                <w:color w:val="000000"/>
                <w:szCs w:val="21"/>
              </w:rPr>
              <w:t>④</w:t>
            </w:r>
            <w:r>
              <w:rPr>
                <w:rFonts w:ascii="宋体" w:hAnsi="宋体"/>
                <w:color w:val="000000"/>
                <w:szCs w:val="21"/>
              </w:rPr>
              <w:t>厨房灶具上方须安装集气罩，油烟废气经收集后进入油烟净化器处理，后经油烟管道引致高出食堂</w:t>
            </w:r>
            <w:r>
              <w:rPr>
                <w:rFonts w:hint="eastAsia" w:ascii="宋体" w:hAnsi="宋体"/>
                <w:color w:val="000000"/>
                <w:szCs w:val="21"/>
              </w:rPr>
              <w:t>所在楼顶</w:t>
            </w:r>
            <w:r>
              <w:rPr>
                <w:rFonts w:ascii="宋体" w:hAnsi="宋体"/>
                <w:color w:val="000000"/>
                <w:szCs w:val="21"/>
              </w:rPr>
              <w:t>1.5m的排气筒外排。</w:t>
            </w:r>
          </w:p>
          <w:p w14:paraId="428E12DC">
            <w:pPr>
              <w:spacing w:line="320" w:lineRule="exact"/>
              <w:ind w:firstLine="422"/>
              <w:rPr>
                <w:rFonts w:ascii="宋体" w:hAnsi="宋体"/>
                <w:b/>
                <w:color w:val="000000"/>
                <w:szCs w:val="21"/>
              </w:rPr>
            </w:pPr>
            <w:r>
              <w:rPr>
                <w:rFonts w:ascii="宋体" w:hAnsi="宋体"/>
                <w:b/>
                <w:color w:val="000000"/>
                <w:szCs w:val="21"/>
              </w:rPr>
              <w:t>3、噪声防治措施</w:t>
            </w:r>
          </w:p>
          <w:p w14:paraId="2310A4A2">
            <w:pPr>
              <w:spacing w:line="320" w:lineRule="exact"/>
              <w:ind w:firstLine="420"/>
              <w:rPr>
                <w:rFonts w:ascii="宋体" w:hAnsi="宋体"/>
                <w:color w:val="000000"/>
                <w:szCs w:val="21"/>
              </w:rPr>
            </w:pPr>
            <w:r>
              <w:rPr>
                <w:rFonts w:ascii="宋体" w:hAnsi="宋体"/>
                <w:color w:val="000000"/>
                <w:szCs w:val="21"/>
              </w:rPr>
              <w:t>①合理布置声源；</w:t>
            </w:r>
          </w:p>
          <w:p w14:paraId="689B12C5">
            <w:pPr>
              <w:pStyle w:val="201"/>
              <w:spacing w:line="320" w:lineRule="exact"/>
              <w:ind w:firstLine="420"/>
              <w:rPr>
                <w:rFonts w:ascii="宋体" w:hAnsi="宋体"/>
                <w:color w:val="000000"/>
                <w:sz w:val="21"/>
                <w:szCs w:val="21"/>
              </w:rPr>
            </w:pPr>
            <w:r>
              <w:rPr>
                <w:rFonts w:ascii="宋体" w:hAnsi="宋体"/>
                <w:color w:val="000000"/>
                <w:sz w:val="21"/>
                <w:szCs w:val="21"/>
              </w:rPr>
              <w:t>②设置柴油发电机专用机房，墙体采用二四砖墙，并加装隔声材料，机组加装防振垫圈，排烟系统加装消声器；</w:t>
            </w:r>
          </w:p>
          <w:p w14:paraId="0CB27BE8">
            <w:pPr>
              <w:pStyle w:val="201"/>
              <w:spacing w:line="320" w:lineRule="exact"/>
              <w:ind w:firstLine="420"/>
              <w:rPr>
                <w:rFonts w:ascii="宋体" w:hAnsi="宋体"/>
                <w:color w:val="000000"/>
                <w:sz w:val="21"/>
                <w:szCs w:val="21"/>
              </w:rPr>
            </w:pPr>
            <w:r>
              <w:rPr>
                <w:rFonts w:ascii="宋体" w:hAnsi="宋体"/>
                <w:color w:val="000000"/>
                <w:sz w:val="21"/>
                <w:szCs w:val="21"/>
              </w:rPr>
              <w:t>③污水处理站污泥脱水机设置专用机房，墙体采用二四砖墙，并加装隔声材料，机组加装防振垫圈；</w:t>
            </w:r>
          </w:p>
          <w:p w14:paraId="3AFBBF8A">
            <w:pPr>
              <w:pStyle w:val="201"/>
              <w:spacing w:line="320" w:lineRule="exact"/>
              <w:ind w:firstLine="420"/>
              <w:rPr>
                <w:rFonts w:ascii="宋体" w:hAnsi="宋体"/>
                <w:color w:val="000000"/>
                <w:sz w:val="21"/>
                <w:szCs w:val="21"/>
              </w:rPr>
            </w:pPr>
            <w:r>
              <w:rPr>
                <w:rFonts w:ascii="宋体" w:hAnsi="宋体"/>
                <w:color w:val="000000"/>
                <w:sz w:val="21"/>
                <w:szCs w:val="21"/>
              </w:rPr>
              <w:t>④水泵进出口设橡胶减振接头；</w:t>
            </w:r>
            <w:r>
              <w:rPr>
                <w:rFonts w:ascii="宋体" w:hAnsi="宋体"/>
                <w:bCs/>
                <w:color w:val="000000"/>
                <w:sz w:val="21"/>
                <w:szCs w:val="21"/>
              </w:rPr>
              <w:t>水泵均作隔振基础；水泵进、出管、管道穿越变形缝均设金属软管接头；</w:t>
            </w:r>
          </w:p>
          <w:p w14:paraId="6055C73E">
            <w:pPr>
              <w:pStyle w:val="201"/>
              <w:spacing w:line="320" w:lineRule="exact"/>
              <w:ind w:firstLine="420"/>
              <w:rPr>
                <w:rFonts w:ascii="宋体" w:hAnsi="宋体"/>
                <w:color w:val="000000"/>
                <w:sz w:val="21"/>
                <w:szCs w:val="21"/>
              </w:rPr>
            </w:pPr>
            <w:r>
              <w:rPr>
                <w:rFonts w:ascii="宋体" w:hAnsi="宋体"/>
                <w:color w:val="000000"/>
                <w:sz w:val="21"/>
                <w:szCs w:val="21"/>
              </w:rPr>
              <w:fldChar w:fldCharType="begin"/>
            </w:r>
            <w:r>
              <w:rPr>
                <w:rFonts w:ascii="宋体" w:hAnsi="宋体"/>
                <w:color w:val="000000"/>
                <w:sz w:val="21"/>
                <w:szCs w:val="21"/>
              </w:rPr>
              <w:instrText xml:space="preserve"> = 5 \* GB3 </w:instrText>
            </w:r>
            <w:r>
              <w:rPr>
                <w:rFonts w:ascii="宋体" w:hAnsi="宋体"/>
                <w:color w:val="000000"/>
                <w:sz w:val="21"/>
                <w:szCs w:val="21"/>
              </w:rPr>
              <w:fldChar w:fldCharType="separate"/>
            </w:r>
            <w:r>
              <w:rPr>
                <w:rFonts w:ascii="宋体" w:hAnsi="宋体"/>
                <w:color w:val="000000"/>
                <w:sz w:val="21"/>
                <w:szCs w:val="21"/>
              </w:rPr>
              <w:t>⑤</w:t>
            </w:r>
            <w:r>
              <w:rPr>
                <w:rFonts w:ascii="宋体" w:hAnsi="宋体"/>
                <w:color w:val="000000"/>
                <w:sz w:val="21"/>
                <w:szCs w:val="21"/>
              </w:rPr>
              <w:fldChar w:fldCharType="end"/>
            </w:r>
            <w:r>
              <w:rPr>
                <w:rFonts w:ascii="宋体" w:hAnsi="宋体"/>
                <w:color w:val="000000"/>
                <w:sz w:val="21"/>
                <w:szCs w:val="21"/>
              </w:rPr>
              <w:t xml:space="preserve"> 电梯发动机设专用机房，墙体采用二四砖墙，加装隔声材料，设备加装减震座；</w:t>
            </w:r>
          </w:p>
          <w:p w14:paraId="0E8176C1">
            <w:pPr>
              <w:spacing w:line="320" w:lineRule="exact"/>
              <w:ind w:firstLine="422"/>
              <w:rPr>
                <w:rFonts w:ascii="宋体" w:hAnsi="宋体"/>
                <w:b/>
                <w:color w:val="000000"/>
                <w:szCs w:val="21"/>
              </w:rPr>
            </w:pPr>
            <w:r>
              <w:rPr>
                <w:rFonts w:ascii="宋体" w:hAnsi="宋体"/>
                <w:b/>
                <w:color w:val="000000"/>
                <w:szCs w:val="21"/>
              </w:rPr>
              <w:t>4、地下水污染防治措施</w:t>
            </w:r>
          </w:p>
          <w:p w14:paraId="2082255B">
            <w:pPr>
              <w:spacing w:line="280" w:lineRule="exact"/>
              <w:ind w:firstLine="420"/>
              <w:rPr>
                <w:rFonts w:ascii="宋体" w:hAnsi="宋体"/>
                <w:color w:val="000000"/>
                <w:szCs w:val="21"/>
              </w:rPr>
            </w:pPr>
            <w:r>
              <w:rPr>
                <w:rFonts w:ascii="宋体" w:hAnsi="宋体"/>
                <w:color w:val="000000"/>
                <w:szCs w:val="21"/>
              </w:rPr>
              <w:fldChar w:fldCharType="begin"/>
            </w:r>
            <w:r>
              <w:rPr>
                <w:rFonts w:ascii="宋体" w:hAnsi="宋体"/>
                <w:color w:val="000000"/>
                <w:szCs w:val="21"/>
              </w:rPr>
              <w:instrText xml:space="preserve"> = 1 \* GB2 </w:instrText>
            </w:r>
            <w:r>
              <w:rPr>
                <w:rFonts w:ascii="宋体" w:hAnsi="宋体"/>
                <w:color w:val="000000"/>
                <w:szCs w:val="21"/>
              </w:rPr>
              <w:fldChar w:fldCharType="separate"/>
            </w:r>
            <w:r>
              <w:rPr>
                <w:rFonts w:ascii="宋体" w:hAnsi="宋体"/>
                <w:color w:val="000000"/>
                <w:szCs w:val="21"/>
              </w:rPr>
              <w:t>⑴</w:t>
            </w:r>
            <w:r>
              <w:rPr>
                <w:rFonts w:ascii="宋体" w:hAnsi="宋体"/>
                <w:color w:val="000000"/>
                <w:szCs w:val="21"/>
              </w:rPr>
              <w:fldChar w:fldCharType="end"/>
            </w:r>
            <w:r>
              <w:rPr>
                <w:rFonts w:ascii="宋体" w:hAnsi="宋体"/>
                <w:color w:val="000000"/>
                <w:szCs w:val="21"/>
              </w:rPr>
              <w:t>污水处理站所用水池均用水泥硬化，钢筋混凝土防渗，防渗层渗透系数</w:t>
            </w:r>
            <w:r>
              <w:rPr>
                <w:rFonts w:hint="eastAsia" w:ascii="宋体" w:hAnsi="宋体"/>
                <w:color w:val="000000"/>
                <w:szCs w:val="21"/>
              </w:rPr>
              <w:t>≤</w:t>
            </w:r>
            <w:r>
              <w:rPr>
                <w:rFonts w:ascii="宋体" w:hAnsi="宋体"/>
                <w:color w:val="000000"/>
                <w:szCs w:val="21"/>
              </w:rPr>
              <w:t>10</w:t>
            </w:r>
            <w:r>
              <w:rPr>
                <w:rFonts w:ascii="宋体" w:hAnsi="宋体"/>
                <w:color w:val="000000"/>
                <w:szCs w:val="21"/>
                <w:vertAlign w:val="superscript"/>
              </w:rPr>
              <w:t>-7</w:t>
            </w:r>
            <w:r>
              <w:rPr>
                <w:rFonts w:ascii="宋体" w:hAnsi="宋体"/>
                <w:color w:val="000000"/>
                <w:szCs w:val="21"/>
              </w:rPr>
              <w:t>cm/s；</w:t>
            </w:r>
          </w:p>
          <w:p w14:paraId="2F6C6815">
            <w:pPr>
              <w:spacing w:line="280" w:lineRule="exact"/>
              <w:ind w:firstLine="420"/>
              <w:rPr>
                <w:rFonts w:hint="eastAsia" w:ascii="宋体" w:hAnsi="宋体"/>
                <w:color w:val="000000"/>
                <w:szCs w:val="21"/>
              </w:rPr>
            </w:pPr>
            <w:r>
              <w:rPr>
                <w:rFonts w:ascii="宋体" w:hAnsi="宋体"/>
                <w:color w:val="000000"/>
                <w:szCs w:val="21"/>
              </w:rPr>
              <w:fldChar w:fldCharType="begin"/>
            </w:r>
            <w:r>
              <w:rPr>
                <w:rFonts w:ascii="宋体" w:hAnsi="宋体"/>
                <w:color w:val="000000"/>
                <w:szCs w:val="21"/>
              </w:rPr>
              <w:instrText xml:space="preserve"> = 2 \* GB2 </w:instrText>
            </w:r>
            <w:r>
              <w:rPr>
                <w:rFonts w:ascii="宋体" w:hAnsi="宋体"/>
                <w:color w:val="000000"/>
                <w:szCs w:val="21"/>
              </w:rPr>
              <w:fldChar w:fldCharType="separate"/>
            </w:r>
            <w:r>
              <w:rPr>
                <w:rFonts w:ascii="宋体" w:hAnsi="宋体"/>
                <w:color w:val="000000"/>
                <w:szCs w:val="21"/>
              </w:rPr>
              <w:t>⑵</w:t>
            </w:r>
            <w:r>
              <w:rPr>
                <w:rFonts w:ascii="宋体" w:hAnsi="宋体"/>
                <w:color w:val="000000"/>
                <w:szCs w:val="21"/>
              </w:rPr>
              <w:fldChar w:fldCharType="end"/>
            </w:r>
            <w:r>
              <w:rPr>
                <w:rFonts w:ascii="宋体" w:hAnsi="宋体"/>
                <w:color w:val="000000"/>
                <w:szCs w:val="21"/>
              </w:rPr>
              <w:t>污水处理站、医疗固废、生活固废暂存间地面采取粘土铺底，再在上层铺10</w:t>
            </w:r>
            <w:r>
              <w:rPr>
                <w:rFonts w:hint="eastAsia" w:ascii="宋体" w:hAnsi="宋体"/>
                <w:color w:val="000000"/>
                <w:szCs w:val="21"/>
              </w:rPr>
              <w:t>～</w:t>
            </w:r>
            <w:r>
              <w:rPr>
                <w:rFonts w:ascii="宋体" w:hAnsi="宋体"/>
                <w:color w:val="000000"/>
                <w:szCs w:val="21"/>
              </w:rPr>
              <w:t>15cm的水泥进行硬化。防渗层渗透系数</w:t>
            </w:r>
            <w:r>
              <w:rPr>
                <w:rFonts w:hint="eastAsia" w:ascii="宋体" w:hAnsi="宋体"/>
                <w:color w:val="000000"/>
                <w:szCs w:val="21"/>
              </w:rPr>
              <w:t>≤</w:t>
            </w:r>
            <w:r>
              <w:rPr>
                <w:rFonts w:ascii="宋体" w:hAnsi="宋体"/>
                <w:color w:val="000000"/>
                <w:szCs w:val="21"/>
              </w:rPr>
              <w:t>10</w:t>
            </w:r>
            <w:r>
              <w:rPr>
                <w:rFonts w:ascii="宋体" w:hAnsi="宋体"/>
                <w:color w:val="000000"/>
                <w:szCs w:val="21"/>
                <w:vertAlign w:val="superscript"/>
              </w:rPr>
              <w:t>-7</w:t>
            </w:r>
            <w:r>
              <w:rPr>
                <w:rFonts w:ascii="宋体" w:hAnsi="宋体"/>
                <w:color w:val="000000"/>
                <w:szCs w:val="21"/>
              </w:rPr>
              <w:t>cm/s。</w:t>
            </w:r>
          </w:p>
          <w:p w14:paraId="151BF914">
            <w:pPr>
              <w:spacing w:line="280" w:lineRule="exact"/>
              <w:ind w:firstLine="422"/>
              <w:rPr>
                <w:rFonts w:ascii="宋体" w:hAnsi="宋体"/>
                <w:b/>
                <w:color w:val="000000"/>
                <w:szCs w:val="21"/>
              </w:rPr>
            </w:pPr>
            <w:r>
              <w:rPr>
                <w:rFonts w:ascii="宋体" w:hAnsi="宋体"/>
                <w:b/>
                <w:color w:val="000000"/>
                <w:szCs w:val="21"/>
              </w:rPr>
              <w:t>5、固废治理措施</w:t>
            </w:r>
          </w:p>
          <w:p w14:paraId="00753A32">
            <w:pPr>
              <w:spacing w:line="280" w:lineRule="exact"/>
              <w:ind w:firstLine="420"/>
              <w:rPr>
                <w:rFonts w:ascii="宋体" w:hAnsi="宋体"/>
                <w:color w:val="000000"/>
                <w:szCs w:val="21"/>
              </w:rPr>
            </w:pPr>
            <w:r>
              <w:rPr>
                <w:rFonts w:ascii="宋体" w:hAnsi="宋体"/>
                <w:color w:val="000000"/>
                <w:szCs w:val="21"/>
              </w:rPr>
              <w:t>（1）生活垃圾：生活垃圾由清洁工采取袋装方式收集后</w:t>
            </w:r>
            <w:r>
              <w:rPr>
                <w:rFonts w:hint="eastAsia" w:ascii="宋体" w:hAnsi="宋体"/>
                <w:color w:val="000000"/>
                <w:szCs w:val="21"/>
              </w:rPr>
              <w:t>委托环卫部门进行清运</w:t>
            </w:r>
            <w:r>
              <w:rPr>
                <w:rFonts w:ascii="宋体" w:hAnsi="宋体"/>
                <w:color w:val="000000"/>
                <w:szCs w:val="21"/>
              </w:rPr>
              <w:t>；</w:t>
            </w:r>
          </w:p>
          <w:p w14:paraId="22EC8D31">
            <w:pPr>
              <w:spacing w:line="280" w:lineRule="exact"/>
              <w:ind w:firstLine="420"/>
              <w:rPr>
                <w:rFonts w:hint="eastAsia" w:ascii="宋体" w:hAnsi="宋体"/>
                <w:color w:val="000000"/>
                <w:szCs w:val="21"/>
              </w:rPr>
            </w:pPr>
            <w:r>
              <w:rPr>
                <w:rFonts w:ascii="宋体" w:hAnsi="宋体"/>
                <w:color w:val="000000"/>
                <w:szCs w:val="21"/>
              </w:rPr>
              <w:t>（2）医</w:t>
            </w:r>
            <w:r>
              <w:rPr>
                <w:rFonts w:hint="eastAsia" w:ascii="宋体" w:hAnsi="宋体"/>
                <w:color w:val="000000"/>
                <w:szCs w:val="21"/>
              </w:rPr>
              <w:t>废、危废</w:t>
            </w:r>
            <w:r>
              <w:rPr>
                <w:rFonts w:ascii="宋体" w:hAnsi="宋体"/>
                <w:color w:val="000000"/>
                <w:szCs w:val="21"/>
              </w:rPr>
              <w:t>：与</w:t>
            </w:r>
            <w:r>
              <w:rPr>
                <w:rFonts w:hint="eastAsia" w:ascii="宋体" w:hAnsi="宋体"/>
                <w:color w:val="000000"/>
                <w:szCs w:val="21"/>
              </w:rPr>
              <w:t>“</w:t>
            </w:r>
            <w:r>
              <w:rPr>
                <w:color w:val="000000"/>
                <w:szCs w:val="21"/>
              </w:rPr>
              <w:t>有资质的</w:t>
            </w:r>
            <w:r>
              <w:rPr>
                <w:rFonts w:hint="eastAsia"/>
                <w:color w:val="000000"/>
                <w:szCs w:val="21"/>
              </w:rPr>
              <w:t>相关</w:t>
            </w:r>
            <w:r>
              <w:rPr>
                <w:color w:val="000000"/>
                <w:szCs w:val="21"/>
              </w:rPr>
              <w:t>单位</w:t>
            </w:r>
            <w:r>
              <w:rPr>
                <w:rFonts w:hint="eastAsia" w:ascii="宋体" w:hAnsi="宋体"/>
                <w:color w:val="000000"/>
                <w:szCs w:val="21"/>
              </w:rPr>
              <w:t>”</w:t>
            </w:r>
            <w:r>
              <w:rPr>
                <w:rFonts w:ascii="宋体" w:hAnsi="宋体"/>
                <w:color w:val="000000"/>
                <w:szCs w:val="21"/>
              </w:rPr>
              <w:t>签订医疗固废的转运</w:t>
            </w:r>
            <w:r>
              <w:rPr>
                <w:rFonts w:hint="eastAsia" w:ascii="宋体" w:hAnsi="宋体"/>
                <w:color w:val="000000"/>
                <w:szCs w:val="21"/>
              </w:rPr>
              <w:t>、</w:t>
            </w:r>
            <w:r>
              <w:rPr>
                <w:rFonts w:ascii="宋体" w:hAnsi="宋体"/>
                <w:color w:val="000000"/>
                <w:szCs w:val="21"/>
              </w:rPr>
              <w:t>处置协议；</w:t>
            </w:r>
            <w:r>
              <w:rPr>
                <w:rFonts w:hint="eastAsia" w:ascii="宋体" w:hAnsi="宋体"/>
                <w:color w:val="000000"/>
                <w:szCs w:val="21"/>
              </w:rPr>
              <w:t>例如：暂存场三防，标示牌，制度，转移联单，</w:t>
            </w:r>
            <w:r>
              <w:rPr>
                <w:rFonts w:hint="eastAsia" w:ascii="宋体" w:hAnsi="宋体"/>
                <w:color w:val="000000"/>
                <w:szCs w:val="21"/>
                <w:lang w:eastAsia="zh-CN"/>
              </w:rPr>
              <w:t>台账</w:t>
            </w:r>
            <w:r>
              <w:rPr>
                <w:rFonts w:hint="eastAsia" w:ascii="宋体" w:hAnsi="宋体"/>
                <w:color w:val="000000"/>
                <w:szCs w:val="21"/>
              </w:rPr>
              <w:t>等。</w:t>
            </w:r>
          </w:p>
          <w:p w14:paraId="3B49B72A">
            <w:pPr>
              <w:spacing w:line="280" w:lineRule="exact"/>
              <w:ind w:firstLine="420"/>
              <w:rPr>
                <w:rFonts w:ascii="宋体" w:hAnsi="宋体"/>
                <w:color w:val="000000"/>
                <w:szCs w:val="21"/>
              </w:rPr>
            </w:pPr>
            <w:r>
              <w:rPr>
                <w:rFonts w:ascii="宋体" w:hAnsi="宋体"/>
                <w:color w:val="000000"/>
                <w:szCs w:val="21"/>
              </w:rPr>
              <w:t>（</w:t>
            </w:r>
            <w:r>
              <w:rPr>
                <w:rFonts w:hint="eastAsia" w:ascii="宋体" w:hAnsi="宋体"/>
                <w:color w:val="000000"/>
                <w:szCs w:val="21"/>
              </w:rPr>
              <w:t>3</w:t>
            </w:r>
            <w:r>
              <w:rPr>
                <w:rFonts w:ascii="宋体" w:hAnsi="宋体"/>
                <w:color w:val="000000"/>
                <w:szCs w:val="21"/>
              </w:rPr>
              <w:t>）污水处理站污泥</w:t>
            </w:r>
            <w:r>
              <w:rPr>
                <w:rFonts w:hint="eastAsia" w:ascii="宋体" w:hAnsi="宋体"/>
                <w:color w:val="000000"/>
                <w:szCs w:val="21"/>
              </w:rPr>
              <w:t>和化粪池污泥</w:t>
            </w:r>
            <w:r>
              <w:rPr>
                <w:rFonts w:ascii="宋体" w:hAnsi="宋体"/>
                <w:color w:val="000000"/>
                <w:szCs w:val="21"/>
              </w:rPr>
              <w:t>：与</w:t>
            </w:r>
            <w:r>
              <w:rPr>
                <w:rFonts w:hint="eastAsia" w:ascii="宋体" w:hAnsi="宋体"/>
                <w:color w:val="000000"/>
                <w:szCs w:val="21"/>
              </w:rPr>
              <w:t>“</w:t>
            </w:r>
            <w:r>
              <w:rPr>
                <w:color w:val="000000"/>
                <w:szCs w:val="21"/>
              </w:rPr>
              <w:t>有资质的</w:t>
            </w:r>
            <w:r>
              <w:rPr>
                <w:rFonts w:hint="eastAsia"/>
                <w:color w:val="000000"/>
                <w:szCs w:val="21"/>
              </w:rPr>
              <w:t>相关</w:t>
            </w:r>
            <w:r>
              <w:rPr>
                <w:color w:val="000000"/>
                <w:szCs w:val="21"/>
              </w:rPr>
              <w:t>单位</w:t>
            </w:r>
            <w:r>
              <w:rPr>
                <w:rFonts w:hint="eastAsia" w:ascii="宋体" w:hAnsi="宋体"/>
                <w:color w:val="000000"/>
                <w:szCs w:val="21"/>
              </w:rPr>
              <w:t>”</w:t>
            </w:r>
            <w:r>
              <w:rPr>
                <w:rFonts w:ascii="宋体" w:hAnsi="宋体"/>
                <w:color w:val="000000"/>
                <w:szCs w:val="21"/>
              </w:rPr>
              <w:t>签订医疗固废的转运、处置协议；</w:t>
            </w:r>
            <w:r>
              <w:rPr>
                <w:rFonts w:hint="eastAsia" w:ascii="宋体" w:hAnsi="宋体"/>
                <w:color w:val="000000"/>
                <w:szCs w:val="21"/>
              </w:rPr>
              <w:t>例如：暂存场三防，标示牌，制度，转移联单，</w:t>
            </w:r>
            <w:r>
              <w:rPr>
                <w:rFonts w:hint="eastAsia" w:ascii="宋体" w:hAnsi="宋体"/>
                <w:color w:val="000000"/>
                <w:szCs w:val="21"/>
                <w:lang w:eastAsia="zh-CN"/>
              </w:rPr>
              <w:t>台账</w:t>
            </w:r>
            <w:r>
              <w:rPr>
                <w:rFonts w:hint="eastAsia" w:ascii="宋体" w:hAnsi="宋体"/>
                <w:color w:val="000000"/>
                <w:szCs w:val="21"/>
              </w:rPr>
              <w:t>等。</w:t>
            </w:r>
          </w:p>
          <w:p w14:paraId="47D6CE2C">
            <w:pPr>
              <w:spacing w:line="280" w:lineRule="exact"/>
              <w:ind w:firstLine="420"/>
              <w:rPr>
                <w:rFonts w:hint="eastAsia" w:ascii="宋体" w:hAnsi="宋体"/>
                <w:color w:val="000000"/>
                <w:szCs w:val="21"/>
              </w:rPr>
            </w:pPr>
            <w:r>
              <w:rPr>
                <w:rFonts w:ascii="宋体" w:hAnsi="宋体"/>
                <w:color w:val="000000"/>
                <w:szCs w:val="21"/>
              </w:rPr>
              <w:t>（</w:t>
            </w:r>
            <w:r>
              <w:rPr>
                <w:rFonts w:hint="eastAsia" w:ascii="宋体" w:hAnsi="宋体"/>
                <w:color w:val="000000"/>
                <w:szCs w:val="21"/>
              </w:rPr>
              <w:t>4</w:t>
            </w:r>
            <w:r>
              <w:rPr>
                <w:rFonts w:ascii="宋体" w:hAnsi="宋体"/>
                <w:color w:val="000000"/>
                <w:szCs w:val="21"/>
              </w:rPr>
              <w:t>）在项目</w:t>
            </w:r>
            <w:r>
              <w:rPr>
                <w:rFonts w:hint="eastAsia" w:ascii="宋体" w:hAnsi="宋体"/>
                <w:color w:val="000000"/>
                <w:szCs w:val="21"/>
              </w:rPr>
              <w:t>西侧</w:t>
            </w:r>
            <w:r>
              <w:rPr>
                <w:rFonts w:ascii="宋体" w:hAnsi="宋体"/>
                <w:color w:val="000000"/>
                <w:szCs w:val="21"/>
              </w:rPr>
              <w:t>设置医疗垃圾暂存间面积</w:t>
            </w:r>
            <w:r>
              <w:rPr>
                <w:rFonts w:hint="eastAsia" w:ascii="宋体" w:hAnsi="宋体"/>
                <w:color w:val="000000"/>
                <w:szCs w:val="21"/>
              </w:rPr>
              <w:t>60</w:t>
            </w:r>
            <w:r>
              <w:rPr>
                <w:rFonts w:ascii="宋体" w:hAnsi="宋体"/>
                <w:color w:val="000000"/>
                <w:szCs w:val="21"/>
              </w:rPr>
              <w:t>㎡，并树立明确的标示牌，能满足污物暂存的要求</w:t>
            </w:r>
            <w:r>
              <w:rPr>
                <w:rFonts w:hint="eastAsia" w:ascii="宋体" w:hAnsi="宋体"/>
                <w:color w:val="000000"/>
                <w:szCs w:val="21"/>
              </w:rPr>
              <w:t>；例如：暂存场三防，标示牌，制度，转移联单，</w:t>
            </w:r>
            <w:r>
              <w:rPr>
                <w:rFonts w:hint="eastAsia" w:ascii="宋体" w:hAnsi="宋体"/>
                <w:color w:val="000000"/>
                <w:szCs w:val="21"/>
                <w:lang w:eastAsia="zh-CN"/>
              </w:rPr>
              <w:t>台账</w:t>
            </w:r>
            <w:r>
              <w:rPr>
                <w:rFonts w:hint="eastAsia" w:ascii="宋体" w:hAnsi="宋体"/>
                <w:color w:val="000000"/>
                <w:szCs w:val="21"/>
              </w:rPr>
              <w:t>等。</w:t>
            </w:r>
          </w:p>
          <w:p w14:paraId="55FF3E24">
            <w:pPr>
              <w:spacing w:line="280" w:lineRule="exact"/>
              <w:ind w:firstLine="420"/>
              <w:rPr>
                <w:rFonts w:hint="eastAsia" w:ascii="宋体" w:hAnsi="宋体"/>
                <w:color w:val="000000"/>
                <w:szCs w:val="21"/>
              </w:rPr>
            </w:pPr>
            <w:r>
              <w:rPr>
                <w:rFonts w:hint="eastAsia" w:ascii="宋体" w:hAnsi="宋体"/>
                <w:color w:val="000000"/>
                <w:szCs w:val="21"/>
              </w:rPr>
              <w:t>（5）废油脂委托芒市废油脂收购单位定期清运。</w:t>
            </w:r>
          </w:p>
          <w:p w14:paraId="40A3A2AC">
            <w:pPr>
              <w:spacing w:line="280" w:lineRule="exact"/>
              <w:ind w:firstLine="422"/>
              <w:rPr>
                <w:rFonts w:ascii="宋体" w:hAnsi="宋体"/>
                <w:b/>
                <w:color w:val="000000"/>
                <w:szCs w:val="21"/>
              </w:rPr>
            </w:pPr>
            <w:r>
              <w:rPr>
                <w:rFonts w:ascii="宋体" w:hAnsi="宋体"/>
                <w:b/>
                <w:color w:val="000000"/>
                <w:szCs w:val="21"/>
              </w:rPr>
              <w:t>6、风险防范措施</w:t>
            </w:r>
          </w:p>
          <w:p w14:paraId="7398FACA">
            <w:pPr>
              <w:spacing w:line="280" w:lineRule="exact"/>
              <w:ind w:firstLine="420"/>
              <w:rPr>
                <w:rFonts w:ascii="宋体" w:hAnsi="宋体"/>
                <w:color w:val="000000"/>
                <w:szCs w:val="21"/>
              </w:rPr>
            </w:pPr>
            <w:r>
              <w:rPr>
                <w:rFonts w:ascii="宋体" w:hAnsi="宋体"/>
                <w:color w:val="000000"/>
                <w:szCs w:val="21"/>
              </w:rPr>
              <w:t>（1）柴油暂存间：</w:t>
            </w:r>
            <w:r>
              <w:rPr>
                <w:rFonts w:hint="eastAsia" w:ascii="宋体" w:hAnsi="宋体"/>
                <w:color w:val="000000"/>
                <w:szCs w:val="21"/>
              </w:rPr>
              <w:t>备用发电机柴油</w:t>
            </w:r>
            <w:r>
              <w:rPr>
                <w:rFonts w:ascii="宋体" w:hAnsi="宋体"/>
                <w:color w:val="000000"/>
                <w:szCs w:val="21"/>
              </w:rPr>
              <w:t>储存间内按有关规范要求配置干粉泡沫化学灭火器，并对储存间地面作防渗处理；</w:t>
            </w:r>
          </w:p>
          <w:p w14:paraId="4FC14FBC">
            <w:pPr>
              <w:spacing w:line="280" w:lineRule="exact"/>
              <w:ind w:firstLine="420"/>
              <w:rPr>
                <w:rFonts w:hint="eastAsia" w:ascii="宋体" w:hAnsi="宋体"/>
                <w:color w:val="000000"/>
                <w:szCs w:val="21"/>
              </w:rPr>
            </w:pPr>
            <w:r>
              <w:rPr>
                <w:rFonts w:ascii="宋体" w:hAnsi="宋体"/>
                <w:color w:val="000000"/>
                <w:szCs w:val="21"/>
              </w:rPr>
              <w:t>（2）二氧化氯发生器周围均必须设置收集管沟并接通废水应急事故池。</w:t>
            </w:r>
          </w:p>
          <w:p w14:paraId="3109CCFE">
            <w:pPr>
              <w:spacing w:line="280" w:lineRule="exact"/>
              <w:ind w:firstLine="420"/>
              <w:rPr>
                <w:rFonts w:hint="eastAsia" w:ascii="宋体" w:hAnsi="宋体"/>
                <w:color w:val="000000"/>
                <w:szCs w:val="21"/>
              </w:rPr>
            </w:pPr>
            <w:r>
              <w:rPr>
                <w:rFonts w:ascii="宋体" w:hAnsi="宋体"/>
                <w:color w:val="000000"/>
                <w:szCs w:val="21"/>
              </w:rPr>
              <w:t>（</w:t>
            </w:r>
            <w:r>
              <w:rPr>
                <w:rFonts w:hint="eastAsia" w:ascii="宋体" w:hAnsi="宋体"/>
                <w:color w:val="000000"/>
                <w:szCs w:val="21"/>
              </w:rPr>
              <w:t>3</w:t>
            </w:r>
            <w:r>
              <w:rPr>
                <w:rFonts w:ascii="宋体" w:hAnsi="宋体"/>
                <w:color w:val="000000"/>
                <w:szCs w:val="21"/>
              </w:rPr>
              <w:t>）</w:t>
            </w:r>
            <w:r>
              <w:rPr>
                <w:rFonts w:hint="eastAsia" w:ascii="宋体" w:hAnsi="宋体"/>
                <w:color w:val="000000"/>
                <w:szCs w:val="21"/>
              </w:rPr>
              <w:t>项目储存药品的仓库设计必须严格按照《建筑设计防火规范》（GB50016-2014）中表3.1.3和表3.3.2的相关要求行进设计。</w:t>
            </w:r>
          </w:p>
          <w:p w14:paraId="1A774FC4">
            <w:pPr>
              <w:spacing w:line="280" w:lineRule="exact"/>
              <w:ind w:firstLine="420"/>
              <w:rPr>
                <w:rFonts w:hint="eastAsia" w:ascii="宋体" w:hAnsi="宋体"/>
                <w:color w:val="000000"/>
                <w:szCs w:val="21"/>
              </w:rPr>
            </w:pPr>
          </w:p>
          <w:p w14:paraId="489309D8">
            <w:pPr>
              <w:spacing w:line="280" w:lineRule="exact"/>
              <w:ind w:firstLine="420"/>
              <w:rPr>
                <w:rFonts w:hint="eastAsia" w:ascii="宋体" w:hAnsi="宋体"/>
                <w:color w:val="000000"/>
                <w:szCs w:val="21"/>
              </w:rPr>
            </w:pPr>
          </w:p>
          <w:p w14:paraId="430E90E0">
            <w:pPr>
              <w:spacing w:line="280" w:lineRule="exact"/>
              <w:ind w:firstLine="420"/>
              <w:rPr>
                <w:rFonts w:hint="eastAsia" w:ascii="宋体" w:hAnsi="宋体"/>
                <w:color w:val="000000"/>
                <w:szCs w:val="21"/>
              </w:rPr>
            </w:pPr>
          </w:p>
          <w:p w14:paraId="041C7817">
            <w:pPr>
              <w:spacing w:line="280" w:lineRule="exact"/>
              <w:ind w:firstLine="420"/>
              <w:rPr>
                <w:rFonts w:hint="eastAsia" w:ascii="宋体" w:hAnsi="宋体"/>
                <w:color w:val="000000"/>
                <w:szCs w:val="21"/>
              </w:rPr>
            </w:pPr>
          </w:p>
          <w:p w14:paraId="2C993506">
            <w:pPr>
              <w:spacing w:line="280" w:lineRule="exact"/>
              <w:ind w:firstLine="420"/>
              <w:rPr>
                <w:rFonts w:hint="eastAsia" w:ascii="宋体" w:hAnsi="宋体"/>
                <w:color w:val="000000"/>
                <w:szCs w:val="21"/>
              </w:rPr>
            </w:pPr>
          </w:p>
          <w:p w14:paraId="045E7B09">
            <w:pPr>
              <w:spacing w:line="280" w:lineRule="exact"/>
              <w:ind w:firstLine="420"/>
              <w:rPr>
                <w:rFonts w:hint="eastAsia" w:ascii="宋体" w:hAnsi="宋体"/>
                <w:color w:val="000000"/>
                <w:szCs w:val="21"/>
              </w:rPr>
            </w:pPr>
          </w:p>
          <w:p w14:paraId="06D8BB17">
            <w:pPr>
              <w:spacing w:line="280" w:lineRule="exact"/>
              <w:ind w:firstLine="420"/>
              <w:rPr>
                <w:rFonts w:hint="eastAsia" w:ascii="宋体" w:hAnsi="宋体"/>
                <w:color w:val="000000"/>
                <w:szCs w:val="21"/>
              </w:rPr>
            </w:pPr>
          </w:p>
          <w:p w14:paraId="1DF083C6">
            <w:pPr>
              <w:spacing w:line="280" w:lineRule="exact"/>
              <w:ind w:firstLine="420"/>
              <w:rPr>
                <w:rFonts w:hint="eastAsia" w:ascii="宋体" w:hAnsi="宋体"/>
                <w:color w:val="000000"/>
                <w:szCs w:val="21"/>
              </w:rPr>
            </w:pPr>
          </w:p>
          <w:p w14:paraId="3F53DD84">
            <w:pPr>
              <w:spacing w:line="280" w:lineRule="exact"/>
              <w:ind w:firstLine="420"/>
              <w:rPr>
                <w:rFonts w:hint="eastAsia" w:ascii="宋体" w:hAnsi="宋体"/>
                <w:color w:val="000000"/>
                <w:szCs w:val="21"/>
              </w:rPr>
            </w:pPr>
          </w:p>
          <w:p w14:paraId="3E1706A7">
            <w:pPr>
              <w:spacing w:line="280" w:lineRule="exact"/>
              <w:ind w:firstLine="420"/>
              <w:rPr>
                <w:rFonts w:hint="eastAsia" w:ascii="宋体" w:hAnsi="宋体"/>
                <w:color w:val="000000"/>
                <w:szCs w:val="21"/>
              </w:rPr>
            </w:pPr>
          </w:p>
          <w:p w14:paraId="2E9BB98F">
            <w:pPr>
              <w:spacing w:line="280" w:lineRule="exact"/>
              <w:ind w:firstLine="420"/>
              <w:rPr>
                <w:rFonts w:hint="eastAsia" w:ascii="宋体" w:hAnsi="宋体"/>
                <w:color w:val="000000"/>
                <w:szCs w:val="21"/>
              </w:rPr>
            </w:pPr>
          </w:p>
          <w:p w14:paraId="6DAF810C">
            <w:pPr>
              <w:spacing w:line="280" w:lineRule="exact"/>
              <w:ind w:firstLine="420"/>
              <w:rPr>
                <w:rFonts w:hint="eastAsia" w:ascii="宋体" w:hAnsi="宋体"/>
                <w:color w:val="000000"/>
                <w:szCs w:val="21"/>
              </w:rPr>
            </w:pPr>
          </w:p>
          <w:p w14:paraId="587BBDB4">
            <w:pPr>
              <w:spacing w:line="280" w:lineRule="exact"/>
              <w:ind w:firstLine="420"/>
              <w:rPr>
                <w:rFonts w:hint="eastAsia" w:ascii="宋体" w:hAnsi="宋体"/>
                <w:color w:val="000000"/>
                <w:szCs w:val="21"/>
              </w:rPr>
            </w:pPr>
          </w:p>
          <w:p w14:paraId="7614E2CD">
            <w:pPr>
              <w:spacing w:line="280" w:lineRule="exact"/>
              <w:ind w:firstLine="420"/>
              <w:rPr>
                <w:rFonts w:hint="eastAsia" w:ascii="宋体" w:hAnsi="宋体"/>
                <w:color w:val="000000"/>
                <w:szCs w:val="21"/>
              </w:rPr>
            </w:pPr>
          </w:p>
          <w:p w14:paraId="3E345E88">
            <w:pPr>
              <w:spacing w:line="280" w:lineRule="exact"/>
              <w:ind w:firstLine="420"/>
              <w:rPr>
                <w:rFonts w:hint="eastAsia" w:ascii="宋体" w:hAnsi="宋体"/>
                <w:color w:val="000000"/>
                <w:szCs w:val="21"/>
              </w:rPr>
            </w:pPr>
          </w:p>
          <w:p w14:paraId="12372CFB">
            <w:pPr>
              <w:spacing w:line="280" w:lineRule="exact"/>
              <w:ind w:firstLine="420"/>
              <w:rPr>
                <w:rFonts w:hint="eastAsia" w:ascii="宋体" w:hAnsi="宋体"/>
                <w:color w:val="000000"/>
                <w:szCs w:val="21"/>
              </w:rPr>
            </w:pPr>
          </w:p>
        </w:tc>
      </w:tr>
      <w:bookmarkEnd w:id="522"/>
      <w:bookmarkEnd w:id="523"/>
    </w:tbl>
    <w:p w14:paraId="0D2567FD">
      <w:pPr>
        <w:rPr>
          <w:rFonts w:hint="eastAsia"/>
          <w:color w:val="000000"/>
        </w:rPr>
      </w:pPr>
    </w:p>
    <w:p w14:paraId="676AD361">
      <w:pPr>
        <w:pStyle w:val="181"/>
        <w:rPr>
          <w:rFonts w:eastAsia="仿宋_GB2312"/>
          <w:color w:val="000000"/>
          <w:sz w:val="30"/>
          <w:szCs w:val="30"/>
        </w:rPr>
      </w:pPr>
      <w:bookmarkStart w:id="524" w:name="_Toc495500136"/>
      <w:r>
        <w:rPr>
          <w:rFonts w:eastAsia="仿宋_GB2312"/>
          <w:color w:val="000000"/>
          <w:sz w:val="30"/>
          <w:szCs w:val="30"/>
        </w:rPr>
        <w:t>9、污染物排放总量控制</w:t>
      </w:r>
      <w:bookmarkEnd w:id="524"/>
    </w:p>
    <w:p w14:paraId="56F66287">
      <w:pPr>
        <w:pStyle w:val="182"/>
        <w:ind w:firstLine="273"/>
        <w:rPr>
          <w:rFonts w:ascii="Times New Roman" w:hAnsi="Times New Roman" w:eastAsia="仿宋_GB2312" w:cs="Times New Roman"/>
          <w:color w:val="000000"/>
          <w:sz w:val="28"/>
          <w:szCs w:val="28"/>
        </w:rPr>
      </w:pPr>
      <w:bookmarkStart w:id="525" w:name="_Toc497182505"/>
      <w:bookmarkEnd w:id="525"/>
      <w:bookmarkStart w:id="526" w:name="_Toc217711371"/>
      <w:bookmarkEnd w:id="526"/>
      <w:bookmarkStart w:id="527" w:name="_Toc143085466"/>
      <w:bookmarkEnd w:id="527"/>
      <w:bookmarkStart w:id="528" w:name="_Toc481643691"/>
      <w:bookmarkEnd w:id="528"/>
      <w:bookmarkStart w:id="529" w:name="_Toc495500137"/>
      <w:r>
        <w:rPr>
          <w:rFonts w:ascii="Times New Roman" w:hAnsi="Times New Roman" w:eastAsia="仿宋_GB2312" w:cs="Times New Roman"/>
          <w:color w:val="000000"/>
          <w:sz w:val="28"/>
          <w:szCs w:val="28"/>
        </w:rPr>
        <w:t>9.1排放总量控制的目的</w:t>
      </w:r>
      <w:bookmarkEnd w:id="529"/>
    </w:p>
    <w:p w14:paraId="22845A0F">
      <w:pPr>
        <w:pStyle w:val="204"/>
        <w:spacing w:after="0" w:line="360" w:lineRule="auto"/>
        <w:ind w:left="0" w:firstLine="480"/>
        <w:rPr>
          <w:color w:val="000000"/>
          <w:sz w:val="24"/>
        </w:rPr>
      </w:pPr>
      <w:r>
        <w:rPr>
          <w:color w:val="000000"/>
          <w:sz w:val="24"/>
        </w:rPr>
        <w:t>按照总量控制的基本标准，污染物排放量总量控制是针对工程分析、环保治理措施及环境影响预测和分析的结果，分析确定建设项目废水、废气污染物排放总量控制方案。</w:t>
      </w:r>
    </w:p>
    <w:p w14:paraId="5A3B530F">
      <w:pPr>
        <w:spacing w:line="360" w:lineRule="auto"/>
        <w:ind w:firstLine="480"/>
        <w:rPr>
          <w:color w:val="000000"/>
          <w:sz w:val="24"/>
        </w:rPr>
      </w:pPr>
      <w:r>
        <w:rPr>
          <w:color w:val="000000"/>
          <w:sz w:val="24"/>
        </w:rPr>
        <w:t>本次环评根据项目提供的有关资料，确定了项目建设后各类污染物的排放量。通过对建设项目的工程分析和环保治理措施的评估，提出本项目污染物排放总量控制的建议。</w:t>
      </w:r>
    </w:p>
    <w:p w14:paraId="331BC143">
      <w:pPr>
        <w:pStyle w:val="182"/>
        <w:ind w:firstLine="275"/>
        <w:rPr>
          <w:rFonts w:ascii="Times New Roman" w:hAnsi="Times New Roman" w:eastAsia="仿宋_GB2312" w:cs="Times New Roman"/>
          <w:color w:val="000000"/>
          <w:sz w:val="28"/>
          <w:szCs w:val="28"/>
        </w:rPr>
      </w:pPr>
      <w:bookmarkStart w:id="530" w:name="_Toc217711372"/>
      <w:bookmarkEnd w:id="530"/>
      <w:bookmarkStart w:id="531" w:name="_Toc495500138"/>
      <w:r>
        <w:rPr>
          <w:rFonts w:ascii="Times New Roman" w:hAnsi="Times New Roman" w:eastAsia="仿宋_GB2312" w:cs="Times New Roman"/>
          <w:color w:val="000000"/>
          <w:sz w:val="28"/>
          <w:szCs w:val="28"/>
        </w:rPr>
        <w:t>9.2总量控制因子</w:t>
      </w:r>
      <w:bookmarkEnd w:id="531"/>
    </w:p>
    <w:p w14:paraId="28FF57EB">
      <w:pPr>
        <w:pStyle w:val="204"/>
        <w:spacing w:after="0" w:line="360" w:lineRule="auto"/>
        <w:ind w:left="0" w:firstLine="480"/>
        <w:rPr>
          <w:color w:val="000000"/>
          <w:sz w:val="24"/>
        </w:rPr>
      </w:pPr>
      <w:r>
        <w:rPr>
          <w:color w:val="000000"/>
          <w:sz w:val="24"/>
        </w:rPr>
        <w:t>污染物总量控制指以不降低受纳环境的环境功能为原则，将区域内污染物的排放量控制在一定数量内，使接纳污染物的水体、空气、土壤等的环境质量可以达到规定的环境目标。</w:t>
      </w:r>
    </w:p>
    <w:p w14:paraId="6F8D7A54">
      <w:pPr>
        <w:pStyle w:val="196"/>
        <w:spacing w:after="0" w:line="360" w:lineRule="auto"/>
        <w:ind w:firstLine="480"/>
        <w:rPr>
          <w:color w:val="000000"/>
          <w:sz w:val="24"/>
        </w:rPr>
      </w:pPr>
      <w:r>
        <w:rPr>
          <w:color w:val="000000"/>
          <w:sz w:val="24"/>
        </w:rPr>
        <w:t>根据《“十二五”期间全国主要污染物排放总量控制计划》，结合本项目污染特征和当地的环境质量状况确定本项目总量控制因子。因为项目内不设燃煤锅炉，使用电、太阳能清洁燃料为能源，不排放SO</w:t>
      </w:r>
      <w:r>
        <w:rPr>
          <w:color w:val="000000"/>
          <w:sz w:val="24"/>
          <w:vertAlign w:val="subscript"/>
        </w:rPr>
        <w:t>2</w:t>
      </w:r>
      <w:r>
        <w:rPr>
          <w:color w:val="000000"/>
          <w:sz w:val="24"/>
        </w:rPr>
        <w:t>和氮氧化物，所以环评未列出废气污染指标，本项目产生的污水经污水处理站、化粪池处理达标后排入市政管网进入</w:t>
      </w:r>
      <w:r>
        <w:rPr>
          <w:rFonts w:hint="eastAsia"/>
          <w:color w:val="000000"/>
          <w:sz w:val="24"/>
        </w:rPr>
        <w:t>芒市</w:t>
      </w:r>
      <w:r>
        <w:rPr>
          <w:color w:val="000000"/>
          <w:sz w:val="24"/>
        </w:rPr>
        <w:t>污水处理厂，因此废水污染达标排放量作为建设项目控制量。</w:t>
      </w:r>
    </w:p>
    <w:p w14:paraId="074D998E">
      <w:pPr>
        <w:pStyle w:val="182"/>
        <w:ind w:firstLine="275"/>
        <w:rPr>
          <w:rFonts w:ascii="Times New Roman" w:hAnsi="Times New Roman" w:eastAsia="仿宋_GB2312" w:cs="Times New Roman"/>
          <w:color w:val="000000"/>
          <w:sz w:val="28"/>
          <w:szCs w:val="28"/>
        </w:rPr>
      </w:pPr>
      <w:bookmarkStart w:id="532" w:name="_Toc217711373"/>
      <w:bookmarkEnd w:id="532"/>
      <w:bookmarkStart w:id="533" w:name="_Toc143085468"/>
      <w:bookmarkEnd w:id="533"/>
      <w:bookmarkStart w:id="534" w:name="_Toc495500139"/>
      <w:r>
        <w:rPr>
          <w:rFonts w:ascii="Times New Roman" w:hAnsi="Times New Roman" w:eastAsia="仿宋_GB2312" w:cs="Times New Roman"/>
          <w:color w:val="000000"/>
          <w:sz w:val="28"/>
          <w:szCs w:val="28"/>
        </w:rPr>
        <w:t>9.3污染物排放总量控制指标</w:t>
      </w:r>
      <w:bookmarkEnd w:id="534"/>
    </w:p>
    <w:p w14:paraId="1EAD8E66">
      <w:pPr>
        <w:spacing w:line="360" w:lineRule="auto"/>
        <w:ind w:firstLine="424"/>
        <w:rPr>
          <w:color w:val="000000"/>
          <w:sz w:val="24"/>
        </w:rPr>
      </w:pPr>
      <w:r>
        <w:rPr>
          <w:rFonts w:hint="eastAsia"/>
          <w:color w:val="000000"/>
          <w:sz w:val="24"/>
        </w:rPr>
        <w:t>根据工程分析确定本项目污染物总量控制指标为：</w:t>
      </w:r>
    </w:p>
    <w:p w14:paraId="1E311B35">
      <w:pPr>
        <w:spacing w:line="360" w:lineRule="auto"/>
        <w:ind w:firstLine="424"/>
        <w:rPr>
          <w:color w:val="000000"/>
          <w:sz w:val="24"/>
        </w:rPr>
      </w:pPr>
      <w:r>
        <w:rPr>
          <w:color w:val="000000"/>
          <w:sz w:val="24"/>
        </w:rPr>
        <w:t>废水：COD</w:t>
      </w:r>
      <w:r>
        <w:rPr>
          <w:rFonts w:hint="eastAsia"/>
          <w:color w:val="000000"/>
          <w:sz w:val="24"/>
          <w:vertAlign w:val="subscript"/>
        </w:rPr>
        <w:t>cr</w:t>
      </w:r>
      <w:r>
        <w:rPr>
          <w:color w:val="000000"/>
          <w:sz w:val="24"/>
        </w:rPr>
        <w:t>：0.</w:t>
      </w:r>
      <w:r>
        <w:rPr>
          <w:rFonts w:hint="eastAsia"/>
          <w:color w:val="000000"/>
          <w:sz w:val="24"/>
        </w:rPr>
        <w:t>78</w:t>
      </w:r>
      <w:r>
        <w:rPr>
          <w:color w:val="000000"/>
          <w:sz w:val="24"/>
        </w:rPr>
        <w:t>t/a，氨氮：0.0</w:t>
      </w:r>
      <w:r>
        <w:rPr>
          <w:rFonts w:hint="eastAsia"/>
          <w:color w:val="000000"/>
          <w:sz w:val="24"/>
        </w:rPr>
        <w:t>77</w:t>
      </w:r>
      <w:r>
        <w:rPr>
          <w:color w:val="000000"/>
          <w:sz w:val="24"/>
        </w:rPr>
        <w:t>t/a。</w:t>
      </w:r>
    </w:p>
    <w:p w14:paraId="0F334938">
      <w:pPr>
        <w:spacing w:line="360" w:lineRule="auto"/>
        <w:ind w:firstLine="424"/>
        <w:rPr>
          <w:rFonts w:eastAsia="仿宋_GB2312"/>
          <w:b/>
          <w:color w:val="000000"/>
          <w:sz w:val="24"/>
        </w:rPr>
      </w:pPr>
      <w:r>
        <w:rPr>
          <w:color w:val="000000"/>
          <w:sz w:val="24"/>
        </w:rPr>
        <w:t>项目方可根据当地环保部门的要求，适当增加污染物源种类。</w:t>
      </w:r>
    </w:p>
    <w:p w14:paraId="7F70C5C9">
      <w:pPr>
        <w:spacing w:line="360" w:lineRule="auto"/>
        <w:ind w:firstLine="482"/>
        <w:rPr>
          <w:rFonts w:eastAsia="仿宋_GB2312"/>
          <w:b/>
          <w:color w:val="000000"/>
          <w:sz w:val="24"/>
        </w:rPr>
      </w:pPr>
    </w:p>
    <w:p w14:paraId="2228393E">
      <w:pPr>
        <w:spacing w:line="360" w:lineRule="auto"/>
        <w:rPr>
          <w:rFonts w:eastAsia="仿宋_GB2312"/>
          <w:b/>
          <w:color w:val="000000"/>
          <w:sz w:val="24"/>
        </w:rPr>
      </w:pPr>
    </w:p>
    <w:p w14:paraId="2A9438F1">
      <w:pPr>
        <w:pStyle w:val="181"/>
        <w:rPr>
          <w:rFonts w:eastAsia="仿宋_GB2312"/>
          <w:color w:val="000000"/>
          <w:sz w:val="30"/>
          <w:szCs w:val="30"/>
        </w:rPr>
      </w:pPr>
      <w:bookmarkStart w:id="535" w:name="_Toc275357324"/>
      <w:bookmarkEnd w:id="535"/>
      <w:bookmarkStart w:id="536" w:name="_Toc495500140"/>
      <w:r>
        <w:rPr>
          <w:rFonts w:eastAsia="仿宋_GB2312"/>
          <w:color w:val="000000"/>
          <w:sz w:val="30"/>
          <w:szCs w:val="30"/>
        </w:rPr>
        <w:t>10、清洁生产</w:t>
      </w:r>
      <w:bookmarkEnd w:id="536"/>
    </w:p>
    <w:p w14:paraId="7B91BDCD">
      <w:pPr>
        <w:spacing w:line="360" w:lineRule="auto"/>
        <w:ind w:firstLine="480"/>
        <w:rPr>
          <w:color w:val="000000"/>
          <w:sz w:val="24"/>
        </w:rPr>
      </w:pPr>
      <w:r>
        <w:rPr>
          <w:color w:val="000000"/>
          <w:sz w:val="24"/>
        </w:rPr>
        <w:t>推行清洁生产，实施污染预防是当今世界，也是我国政府提倡的重要环境保护政策，也是21世纪各行业生产发展的方向。</w:t>
      </w:r>
    </w:p>
    <w:p w14:paraId="6771FF97">
      <w:pPr>
        <w:spacing w:line="360" w:lineRule="auto"/>
        <w:ind w:firstLine="480"/>
        <w:rPr>
          <w:color w:val="000000"/>
        </w:rPr>
      </w:pPr>
      <w:r>
        <w:rPr>
          <w:color w:val="000000"/>
          <w:sz w:val="24"/>
        </w:rPr>
        <w:t>清洁生产是将污染物消除或削减在生产过程中，使生产过程处于无废或少废状态的一种全新生产理念。它强调生产过程控制和污染源头削减，通过采用清洁的生产理念、强化管理等种种手段，对生产的全过程进行控制，使污染物减量化和最小化，最大程度地降低末端污染负荷。清洁生产的关键是提高资源利用效率，减少或者避免生产、服务和产品使用过程中污染物的产生和排放，以减轻或者消除对人类健康和环境的危害。</w:t>
      </w:r>
    </w:p>
    <w:p w14:paraId="58BF5B7C">
      <w:pPr>
        <w:pStyle w:val="182"/>
        <w:ind w:firstLine="275"/>
        <w:rPr>
          <w:rFonts w:ascii="Times New Roman" w:hAnsi="Times New Roman" w:eastAsia="仿宋_GB2312" w:cs="Times New Roman"/>
          <w:color w:val="000000"/>
          <w:sz w:val="28"/>
          <w:szCs w:val="28"/>
        </w:rPr>
      </w:pPr>
      <w:bookmarkStart w:id="537" w:name="_Toc495500141"/>
      <w:r>
        <w:rPr>
          <w:rFonts w:ascii="Times New Roman" w:hAnsi="Times New Roman" w:eastAsia="仿宋_GB2312" w:cs="Times New Roman"/>
          <w:color w:val="000000"/>
          <w:sz w:val="28"/>
          <w:szCs w:val="28"/>
        </w:rPr>
        <w:t>10.1清洁生产的目标</w:t>
      </w:r>
      <w:bookmarkEnd w:id="537"/>
    </w:p>
    <w:p w14:paraId="5994AA35">
      <w:pPr>
        <w:spacing w:line="360" w:lineRule="auto"/>
        <w:ind w:firstLine="480"/>
        <w:rPr>
          <w:color w:val="000000"/>
          <w:sz w:val="24"/>
        </w:rPr>
      </w:pPr>
      <w:r>
        <w:rPr>
          <w:color w:val="000000"/>
          <w:sz w:val="24"/>
        </w:rPr>
        <w:t>清洁生产的目标是通过对生产资源的合理利用，实现“节能、降耗、节水”的目标；通过削减污染物的产生和排放，减少对环境的污染，促进生产，发展循环经济。</w:t>
      </w:r>
    </w:p>
    <w:p w14:paraId="60883A18">
      <w:pPr>
        <w:pStyle w:val="182"/>
        <w:ind w:firstLine="275"/>
        <w:rPr>
          <w:rFonts w:ascii="Times New Roman" w:hAnsi="Times New Roman" w:eastAsia="仿宋_GB2312" w:cs="Times New Roman"/>
          <w:color w:val="000000"/>
          <w:sz w:val="28"/>
          <w:szCs w:val="28"/>
        </w:rPr>
      </w:pPr>
      <w:bookmarkStart w:id="538" w:name="_Toc495500142"/>
      <w:r>
        <w:rPr>
          <w:rFonts w:ascii="Times New Roman" w:hAnsi="Times New Roman" w:eastAsia="仿宋_GB2312" w:cs="Times New Roman"/>
          <w:color w:val="000000"/>
          <w:sz w:val="28"/>
          <w:szCs w:val="28"/>
        </w:rPr>
        <w:t>10.2本项目清洁生产实施要点</w:t>
      </w:r>
      <w:bookmarkEnd w:id="538"/>
    </w:p>
    <w:p w14:paraId="4CE7803A">
      <w:pPr>
        <w:pStyle w:val="183"/>
        <w:ind w:firstLine="472"/>
        <w:rPr>
          <w:rFonts w:eastAsia="仿宋_GB2312"/>
          <w:color w:val="000000"/>
          <w:sz w:val="24"/>
          <w:szCs w:val="24"/>
        </w:rPr>
      </w:pPr>
      <w:bookmarkStart w:id="539" w:name="_Toc495500143"/>
      <w:r>
        <w:rPr>
          <w:rFonts w:eastAsia="仿宋_GB2312"/>
          <w:color w:val="000000"/>
          <w:sz w:val="24"/>
          <w:szCs w:val="24"/>
        </w:rPr>
        <w:t>10.2.1无毒无害的清洁原材料</w:t>
      </w:r>
      <w:bookmarkEnd w:id="539"/>
    </w:p>
    <w:p w14:paraId="08878B16">
      <w:pPr>
        <w:spacing w:line="360" w:lineRule="auto"/>
        <w:ind w:firstLine="480"/>
        <w:rPr>
          <w:color w:val="000000"/>
          <w:sz w:val="24"/>
        </w:rPr>
      </w:pPr>
      <w:r>
        <w:rPr>
          <w:color w:val="000000"/>
          <w:sz w:val="24"/>
        </w:rPr>
        <w:t>拟建项目相关的设计按照现代化</w:t>
      </w:r>
      <w:r>
        <w:rPr>
          <w:rFonts w:hint="eastAsia"/>
          <w:color w:val="000000"/>
          <w:sz w:val="24"/>
        </w:rPr>
        <w:t>妇幼保健院</w:t>
      </w:r>
      <w:r>
        <w:rPr>
          <w:color w:val="000000"/>
          <w:sz w:val="24"/>
        </w:rPr>
        <w:t>的规格和要求，尽量采用先进的</w:t>
      </w:r>
      <w:r>
        <w:rPr>
          <w:rFonts w:hint="eastAsia"/>
          <w:color w:val="000000"/>
          <w:sz w:val="24"/>
        </w:rPr>
        <w:t>实验</w:t>
      </w:r>
      <w:r>
        <w:rPr>
          <w:color w:val="000000"/>
          <w:sz w:val="24"/>
        </w:rPr>
        <w:t>设备和技术进行超前建设。建设过程中不使用落后、淘汰工艺生产的建筑材料，如粘土砖、小水泥厂水泥、劣质钢材等，严禁使用具有放射性、污染物含量超标的建筑材料。</w:t>
      </w:r>
    </w:p>
    <w:p w14:paraId="0649207C">
      <w:pPr>
        <w:spacing w:line="360" w:lineRule="auto"/>
        <w:ind w:firstLine="480"/>
        <w:rPr>
          <w:color w:val="000000"/>
          <w:sz w:val="24"/>
        </w:rPr>
      </w:pPr>
      <w:r>
        <w:rPr>
          <w:color w:val="000000"/>
          <w:sz w:val="24"/>
        </w:rPr>
        <w:t>装修工程采用环保型室内装修材料，装修过程应符合建设部制定的GB50325-2001《民用建筑工程室内环境污染控制规范》。该规范对建筑工程室内氡、甲醛、苯、氨、总挥发性有机化合物(TVOC)含量的控制指标作了规定，是我国第一部控制室内环境污染的工程建设强制性标准。</w:t>
      </w:r>
    </w:p>
    <w:p w14:paraId="08CA67F4">
      <w:pPr>
        <w:spacing w:line="360" w:lineRule="auto"/>
        <w:ind w:firstLine="480"/>
        <w:rPr>
          <w:color w:val="000000"/>
          <w:sz w:val="24"/>
        </w:rPr>
      </w:pPr>
      <w:r>
        <w:rPr>
          <w:color w:val="000000"/>
          <w:sz w:val="24"/>
        </w:rPr>
        <w:t>项目工程竣工时，建设单位要按照GB50325-2001要求对室内环境质量进行检查验收，委托有资质的检测机构对建筑工程室内氡、甲醛、苯、氨、总挥发性有机化合物(TVOC)的含量指标进行检测。建筑工程室内有害物质含量指标不符合《民用建筑工程室内环境污</w:t>
      </w:r>
      <w:bookmarkStart w:id="540" w:name="_Toc174888806"/>
      <w:bookmarkEnd w:id="540"/>
      <w:r>
        <w:rPr>
          <w:color w:val="000000"/>
          <w:sz w:val="24"/>
        </w:rPr>
        <w:t>染控制规范》规定的，不得投入使用。</w:t>
      </w:r>
    </w:p>
    <w:p w14:paraId="02620B64">
      <w:pPr>
        <w:spacing w:line="360" w:lineRule="auto"/>
        <w:ind w:firstLine="480"/>
        <w:rPr>
          <w:color w:val="000000"/>
          <w:sz w:val="24"/>
        </w:rPr>
      </w:pPr>
      <w:r>
        <w:rPr>
          <w:color w:val="000000"/>
          <w:sz w:val="24"/>
        </w:rPr>
        <w:t>营运中涉及的药品药材均属中国药品管理部门规定品种，所有原材料进货种类和品质均有较严格的保障，渠道正规，所有药品类制品必须经国家药品监督管理局批准、不含有毒有害物质并检验合格，各项毒理检验指标</w:t>
      </w:r>
      <w:r>
        <w:rPr>
          <w:rFonts w:hint="eastAsia"/>
          <w:color w:val="000000"/>
          <w:sz w:val="24"/>
          <w:lang w:eastAsia="zh-CN"/>
        </w:rPr>
        <w:t>符合</w:t>
      </w:r>
      <w:r>
        <w:rPr>
          <w:color w:val="000000"/>
          <w:sz w:val="24"/>
        </w:rPr>
        <w:t>相关规定要求，对环境危害性较小，影响程度已经明确或已得到权威部门公认，保证了</w:t>
      </w:r>
      <w:r>
        <w:rPr>
          <w:rFonts w:hint="eastAsia"/>
          <w:color w:val="000000"/>
          <w:sz w:val="24"/>
        </w:rPr>
        <w:t>妇幼保健院</w:t>
      </w:r>
      <w:r>
        <w:rPr>
          <w:color w:val="000000"/>
          <w:sz w:val="24"/>
        </w:rPr>
        <w:t>使用药品、材料的进货关。严禁使用生产证照不全、未经检验或检验不合格产品。</w:t>
      </w:r>
    </w:p>
    <w:p w14:paraId="64847DCD">
      <w:pPr>
        <w:pStyle w:val="183"/>
        <w:ind w:firstLine="472"/>
        <w:rPr>
          <w:rFonts w:eastAsia="仿宋_GB2312"/>
          <w:color w:val="000000"/>
          <w:sz w:val="24"/>
          <w:szCs w:val="24"/>
        </w:rPr>
      </w:pPr>
      <w:bookmarkStart w:id="541" w:name="_Toc495500144"/>
      <w:r>
        <w:rPr>
          <w:rFonts w:eastAsia="仿宋_GB2312"/>
          <w:color w:val="000000"/>
          <w:sz w:val="24"/>
          <w:szCs w:val="24"/>
        </w:rPr>
        <w:t>10.2.2节水措施分析</w:t>
      </w:r>
      <w:bookmarkEnd w:id="541"/>
    </w:p>
    <w:p w14:paraId="3B93C317">
      <w:pPr>
        <w:spacing w:line="360" w:lineRule="auto"/>
        <w:ind w:firstLine="480"/>
        <w:rPr>
          <w:rFonts w:ascii="宋体" w:hAnsi="宋体"/>
          <w:color w:val="000000"/>
          <w:sz w:val="24"/>
        </w:rPr>
      </w:pPr>
      <w:r>
        <w:rPr>
          <w:rFonts w:ascii="宋体" w:hAnsi="宋体"/>
          <w:color w:val="000000"/>
          <w:sz w:val="24"/>
        </w:rPr>
        <w:t>采用节水措施一方面有利于</w:t>
      </w:r>
      <w:r>
        <w:rPr>
          <w:rFonts w:hint="eastAsia" w:ascii="宋体" w:hAnsi="宋体"/>
          <w:color w:val="000000"/>
          <w:sz w:val="24"/>
        </w:rPr>
        <w:t>妇幼保健院</w:t>
      </w:r>
      <w:r>
        <w:rPr>
          <w:rFonts w:ascii="宋体" w:hAnsi="宋体"/>
          <w:color w:val="000000"/>
          <w:sz w:val="24"/>
        </w:rPr>
        <w:t>减少用水量节约水费，另一方面也有利于减少中心</w:t>
      </w:r>
      <w:r>
        <w:rPr>
          <w:rFonts w:hint="eastAsia" w:ascii="宋体" w:hAnsi="宋体"/>
          <w:color w:val="000000"/>
          <w:sz w:val="24"/>
        </w:rPr>
        <w:t>保健院</w:t>
      </w:r>
      <w:r>
        <w:rPr>
          <w:rFonts w:ascii="宋体" w:hAnsi="宋体"/>
          <w:color w:val="000000"/>
          <w:sz w:val="24"/>
        </w:rPr>
        <w:t>废水排放量，节水的主要措施有：</w:t>
      </w:r>
    </w:p>
    <w:p w14:paraId="3C48FFE1">
      <w:pPr>
        <w:spacing w:line="360" w:lineRule="auto"/>
        <w:ind w:firstLine="480"/>
        <w:rPr>
          <w:rFonts w:ascii="宋体" w:hAnsi="宋体"/>
          <w:color w:val="000000"/>
          <w:sz w:val="24"/>
        </w:rPr>
      </w:pPr>
      <w:r>
        <w:rPr>
          <w:rFonts w:hint="eastAsia" w:ascii="宋体" w:hAnsi="宋体"/>
          <w:color w:val="000000"/>
          <w:sz w:val="24"/>
        </w:rPr>
        <w:t>（</w:t>
      </w:r>
      <w:r>
        <w:rPr>
          <w:rFonts w:ascii="宋体" w:hAnsi="宋体"/>
          <w:color w:val="000000"/>
          <w:sz w:val="24"/>
        </w:rPr>
        <w:t>1</w:t>
      </w:r>
      <w:r>
        <w:rPr>
          <w:rFonts w:hint="eastAsia" w:ascii="宋体" w:hAnsi="宋体"/>
          <w:color w:val="000000"/>
          <w:sz w:val="24"/>
        </w:rPr>
        <w:t>）</w:t>
      </w:r>
      <w:r>
        <w:rPr>
          <w:rFonts w:ascii="宋体" w:hAnsi="宋体"/>
          <w:color w:val="000000"/>
          <w:sz w:val="24"/>
        </w:rPr>
        <w:t>病房安装节水型水嘴(水龙头)、节水型便器、节水型便器冲洗阀等各种节水设备。</w:t>
      </w:r>
    </w:p>
    <w:p w14:paraId="570C7794">
      <w:pPr>
        <w:spacing w:line="360" w:lineRule="auto"/>
        <w:ind w:firstLine="480"/>
        <w:rPr>
          <w:color w:val="000000"/>
          <w:sz w:val="24"/>
        </w:rPr>
      </w:pPr>
      <w:r>
        <w:rPr>
          <w:rFonts w:hint="eastAsia" w:ascii="宋体" w:hAnsi="宋体"/>
          <w:color w:val="000000"/>
          <w:sz w:val="24"/>
        </w:rPr>
        <w:t>（</w:t>
      </w:r>
      <w:r>
        <w:rPr>
          <w:rFonts w:ascii="宋体" w:hAnsi="宋体"/>
          <w:color w:val="000000"/>
          <w:sz w:val="24"/>
        </w:rPr>
        <w:t>2</w:t>
      </w:r>
      <w:r>
        <w:rPr>
          <w:rFonts w:hint="eastAsia" w:ascii="宋体" w:hAnsi="宋体"/>
          <w:color w:val="000000"/>
          <w:sz w:val="24"/>
        </w:rPr>
        <w:t>）</w:t>
      </w:r>
      <w:r>
        <w:rPr>
          <w:rFonts w:ascii="宋体" w:hAnsi="宋体"/>
          <w:color w:val="000000"/>
          <w:sz w:val="24"/>
        </w:rPr>
        <w:t>通过广泛宣传，提高</w:t>
      </w:r>
      <w:r>
        <w:rPr>
          <w:rFonts w:hint="eastAsia" w:ascii="宋体" w:hAnsi="宋体"/>
          <w:color w:val="000000"/>
          <w:sz w:val="24"/>
        </w:rPr>
        <w:t>妇幼保健院</w:t>
      </w:r>
      <w:r>
        <w:rPr>
          <w:rFonts w:ascii="宋体" w:hAnsi="宋体"/>
          <w:color w:val="000000"/>
          <w:sz w:val="24"/>
        </w:rPr>
        <w:t>工作人员及住院病人的节水意识。</w:t>
      </w:r>
    </w:p>
    <w:p w14:paraId="450F3C93">
      <w:pPr>
        <w:pStyle w:val="183"/>
        <w:ind w:firstLine="472"/>
        <w:rPr>
          <w:rFonts w:eastAsia="仿宋_GB2312"/>
          <w:color w:val="000000"/>
          <w:sz w:val="24"/>
          <w:szCs w:val="24"/>
        </w:rPr>
      </w:pPr>
      <w:bookmarkStart w:id="542" w:name="_Toc495500145"/>
      <w:r>
        <w:rPr>
          <w:rFonts w:eastAsia="仿宋_GB2312"/>
          <w:color w:val="000000"/>
          <w:sz w:val="24"/>
          <w:szCs w:val="24"/>
        </w:rPr>
        <w:t>10.2.3节能措施分析</w:t>
      </w:r>
      <w:bookmarkEnd w:id="542"/>
    </w:p>
    <w:p w14:paraId="4510DB27">
      <w:pPr>
        <w:spacing w:line="360" w:lineRule="auto"/>
        <w:ind w:firstLine="480"/>
        <w:rPr>
          <w:rFonts w:ascii="宋体" w:hAnsi="宋体"/>
          <w:color w:val="000000"/>
          <w:sz w:val="24"/>
        </w:rPr>
      </w:pPr>
      <w:r>
        <w:rPr>
          <w:rFonts w:ascii="宋体" w:hAnsi="宋体"/>
          <w:color w:val="000000"/>
          <w:sz w:val="24"/>
        </w:rPr>
        <w:t>建筑能耗(包括采暖、通风、空调、照明)占全社会能耗的30％，为此，注重建筑节能是清洁生产、发展循环经济的重要举措。根据本项目自然环境和气候特点，对本项目特提出以下建筑节能措施：</w:t>
      </w:r>
    </w:p>
    <w:p w14:paraId="55F6A3AB">
      <w:pPr>
        <w:spacing w:line="360" w:lineRule="auto"/>
        <w:ind w:firstLine="480"/>
        <w:rPr>
          <w:rFonts w:ascii="宋体" w:hAnsi="宋体"/>
          <w:color w:val="000000"/>
          <w:sz w:val="24"/>
        </w:rPr>
      </w:pPr>
      <w:r>
        <w:rPr>
          <w:rFonts w:hint="eastAsia" w:ascii="宋体" w:hAnsi="宋体"/>
          <w:color w:val="000000"/>
          <w:sz w:val="24"/>
        </w:rPr>
        <w:t>（</w:t>
      </w:r>
      <w:r>
        <w:rPr>
          <w:rFonts w:ascii="宋体" w:hAnsi="宋体"/>
          <w:color w:val="000000"/>
          <w:sz w:val="24"/>
        </w:rPr>
        <w:t>1</w:t>
      </w:r>
      <w:r>
        <w:rPr>
          <w:rFonts w:hint="eastAsia" w:ascii="宋体" w:hAnsi="宋体"/>
          <w:color w:val="000000"/>
          <w:sz w:val="24"/>
        </w:rPr>
        <w:t>）</w:t>
      </w:r>
      <w:r>
        <w:rPr>
          <w:rFonts w:ascii="宋体" w:hAnsi="宋体"/>
          <w:color w:val="000000"/>
          <w:sz w:val="24"/>
        </w:rPr>
        <w:t>重视</w:t>
      </w:r>
      <w:r>
        <w:rPr>
          <w:rFonts w:hint="eastAsia" w:ascii="宋体" w:hAnsi="宋体"/>
          <w:color w:val="000000"/>
          <w:sz w:val="24"/>
        </w:rPr>
        <w:t>妇幼保健院</w:t>
      </w:r>
      <w:r>
        <w:rPr>
          <w:rFonts w:ascii="宋体" w:hAnsi="宋体"/>
          <w:color w:val="000000"/>
          <w:sz w:val="24"/>
        </w:rPr>
        <w:t>的环境设计，大力发展庭院绿化，为中心</w:t>
      </w:r>
      <w:r>
        <w:rPr>
          <w:rFonts w:hint="eastAsia" w:ascii="宋体" w:hAnsi="宋体"/>
          <w:color w:val="000000"/>
          <w:sz w:val="24"/>
        </w:rPr>
        <w:t>保健院</w:t>
      </w:r>
      <w:r>
        <w:rPr>
          <w:rFonts w:ascii="宋体" w:hAnsi="宋体"/>
          <w:color w:val="000000"/>
          <w:sz w:val="24"/>
        </w:rPr>
        <w:t>创造必要的日照与通风条件，为建筑节能创造良好的室外环境。</w:t>
      </w:r>
    </w:p>
    <w:p w14:paraId="690215EF">
      <w:pPr>
        <w:spacing w:line="360" w:lineRule="auto"/>
        <w:ind w:firstLine="480"/>
        <w:rPr>
          <w:rFonts w:ascii="宋体" w:hAnsi="宋体"/>
          <w:color w:val="000000"/>
          <w:sz w:val="24"/>
        </w:rPr>
      </w:pPr>
      <w:r>
        <w:rPr>
          <w:rFonts w:hint="eastAsia" w:ascii="宋体" w:hAnsi="宋体"/>
          <w:color w:val="000000"/>
          <w:sz w:val="24"/>
        </w:rPr>
        <w:t>（</w:t>
      </w:r>
      <w:r>
        <w:rPr>
          <w:rFonts w:ascii="宋体" w:hAnsi="宋体"/>
          <w:color w:val="000000"/>
          <w:sz w:val="24"/>
        </w:rPr>
        <w:t>2</w:t>
      </w:r>
      <w:r>
        <w:rPr>
          <w:rFonts w:hint="eastAsia" w:ascii="宋体" w:hAnsi="宋体"/>
          <w:color w:val="000000"/>
          <w:sz w:val="24"/>
        </w:rPr>
        <w:t>）</w:t>
      </w:r>
      <w:r>
        <w:rPr>
          <w:rFonts w:ascii="宋体" w:hAnsi="宋体"/>
          <w:color w:val="000000"/>
          <w:sz w:val="24"/>
        </w:rPr>
        <w:t>采用节能灯、节能空调等节能电器。</w:t>
      </w:r>
    </w:p>
    <w:p w14:paraId="5A9B0396">
      <w:pPr>
        <w:spacing w:line="360" w:lineRule="auto"/>
        <w:ind w:firstLine="480"/>
        <w:rPr>
          <w:rFonts w:ascii="宋体" w:hAnsi="宋体"/>
          <w:color w:val="000000"/>
          <w:sz w:val="24"/>
        </w:rPr>
      </w:pPr>
      <w:r>
        <w:rPr>
          <w:rFonts w:hint="eastAsia" w:ascii="宋体" w:hAnsi="宋体"/>
          <w:color w:val="000000"/>
          <w:sz w:val="24"/>
        </w:rPr>
        <w:t>（</w:t>
      </w:r>
      <w:r>
        <w:rPr>
          <w:rFonts w:ascii="宋体" w:hAnsi="宋体"/>
          <w:color w:val="000000"/>
          <w:sz w:val="24"/>
        </w:rPr>
        <w:t>3</w:t>
      </w:r>
      <w:r>
        <w:rPr>
          <w:rFonts w:hint="eastAsia" w:ascii="宋体" w:hAnsi="宋体"/>
          <w:color w:val="000000"/>
          <w:sz w:val="24"/>
        </w:rPr>
        <w:t>）</w:t>
      </w:r>
      <w:r>
        <w:rPr>
          <w:rFonts w:ascii="宋体" w:hAnsi="宋体"/>
          <w:color w:val="000000"/>
          <w:sz w:val="24"/>
        </w:rPr>
        <w:t>注重各种保温性能优良的门窗、屋面和墙体(禁止使用实心砖，建议使用空心粘土砖、空心砌块、粉煤灰制品和加气混凝土)，选用合理的窗墙比和建筑体形，提高门窗的气密性。</w:t>
      </w:r>
    </w:p>
    <w:p w14:paraId="585672BB">
      <w:pPr>
        <w:spacing w:line="360" w:lineRule="auto"/>
        <w:ind w:firstLine="480"/>
        <w:rPr>
          <w:color w:val="000000"/>
          <w:sz w:val="24"/>
        </w:rPr>
      </w:pPr>
      <w:r>
        <w:rPr>
          <w:rFonts w:hint="eastAsia" w:ascii="宋体" w:hAnsi="宋体"/>
          <w:color w:val="000000"/>
          <w:sz w:val="24"/>
        </w:rPr>
        <w:t>（</w:t>
      </w:r>
      <w:r>
        <w:rPr>
          <w:rFonts w:ascii="宋体" w:hAnsi="宋体"/>
          <w:color w:val="000000"/>
          <w:sz w:val="24"/>
        </w:rPr>
        <w:t>4</w:t>
      </w:r>
      <w:r>
        <w:rPr>
          <w:rFonts w:hint="eastAsia" w:ascii="宋体" w:hAnsi="宋体"/>
          <w:color w:val="000000"/>
          <w:sz w:val="24"/>
        </w:rPr>
        <w:t>）</w:t>
      </w:r>
      <w:r>
        <w:rPr>
          <w:rFonts w:ascii="宋体" w:hAnsi="宋体"/>
          <w:color w:val="000000"/>
          <w:sz w:val="24"/>
        </w:rPr>
        <w:t>注重利用太阳能等可再生能源。</w:t>
      </w:r>
    </w:p>
    <w:p w14:paraId="1AE5C337">
      <w:pPr>
        <w:pStyle w:val="183"/>
        <w:ind w:firstLine="472"/>
        <w:rPr>
          <w:rFonts w:eastAsia="仿宋_GB2312"/>
          <w:color w:val="000000"/>
          <w:sz w:val="24"/>
          <w:szCs w:val="24"/>
        </w:rPr>
      </w:pPr>
      <w:bookmarkStart w:id="543" w:name="_Toc495500146"/>
      <w:r>
        <w:rPr>
          <w:rFonts w:eastAsia="仿宋_GB2312"/>
          <w:color w:val="000000"/>
          <w:sz w:val="24"/>
          <w:szCs w:val="24"/>
        </w:rPr>
        <w:t>10.2.4污染治理措施分析</w:t>
      </w:r>
      <w:bookmarkEnd w:id="543"/>
    </w:p>
    <w:p w14:paraId="65BE0068">
      <w:pPr>
        <w:pStyle w:val="295"/>
        <w:ind w:firstLine="480"/>
        <w:rPr>
          <w:rFonts w:ascii="Times New Roman" w:hAnsi="Times New Roman" w:cs="Times New Roman"/>
          <w:color w:val="000000"/>
          <w:szCs w:val="24"/>
        </w:rPr>
      </w:pPr>
      <w:r>
        <w:rPr>
          <w:rFonts w:ascii="Times New Roman" w:hAnsi="Times New Roman" w:cs="Times New Roman"/>
          <w:color w:val="000000"/>
          <w:szCs w:val="24"/>
        </w:rPr>
        <w:t>对污染源采取治理是清洁生产不可缺少的重要一环。</w:t>
      </w:r>
      <w:r>
        <w:rPr>
          <w:rFonts w:hint="eastAsia" w:ascii="Times New Roman" w:hAnsi="Times New Roman" w:cs="Times New Roman"/>
          <w:color w:val="000000"/>
          <w:szCs w:val="24"/>
        </w:rPr>
        <w:t>妇幼保健院</w:t>
      </w:r>
      <w:r>
        <w:rPr>
          <w:rFonts w:ascii="Times New Roman" w:hAnsi="Times New Roman" w:cs="Times New Roman"/>
          <w:color w:val="000000"/>
          <w:szCs w:val="24"/>
        </w:rPr>
        <w:t>在营运过程中产生的主要污染物为废水、废气、噪声和固体废弃物。本项目生产过程中产生的废水，经分类收集采取分类处理的废水治理措施后，完全能满足达标排放的要求。产噪设备通过采取吸声、隔声、减振等降噪措施，对周围环境影响较小。营运产生的固体废弃物，废液，污泥以及其它固体废物，</w:t>
      </w:r>
      <w:r>
        <w:rPr>
          <w:rFonts w:hint="eastAsia" w:ascii="Times New Roman" w:hAnsi="Times New Roman" w:cs="Times New Roman"/>
          <w:color w:val="000000"/>
          <w:szCs w:val="24"/>
        </w:rPr>
        <w:t>妇幼保健院</w:t>
      </w:r>
      <w:r>
        <w:rPr>
          <w:rFonts w:ascii="Times New Roman" w:hAnsi="Times New Roman" w:cs="Times New Roman"/>
          <w:color w:val="000000"/>
          <w:szCs w:val="24"/>
        </w:rPr>
        <w:t>均按环保要求和规定进行分类处置，对环境不会造成二次污染影响。</w:t>
      </w:r>
    </w:p>
    <w:p w14:paraId="73017D7F">
      <w:pPr>
        <w:pStyle w:val="295"/>
        <w:ind w:firstLine="480"/>
        <w:rPr>
          <w:rFonts w:ascii="Times New Roman" w:hAnsi="Times New Roman" w:cs="Times New Roman"/>
          <w:color w:val="000000"/>
          <w:szCs w:val="24"/>
        </w:rPr>
      </w:pPr>
      <w:r>
        <w:rPr>
          <w:rFonts w:ascii="Times New Roman" w:hAnsi="Times New Roman" w:cs="Times New Roman"/>
          <w:color w:val="000000"/>
          <w:szCs w:val="24"/>
        </w:rPr>
        <w:t>综上所述，拟建项目建成投产后，项目方从源头控制、过程控制及排污控制三大方面从始至终地贯彻清洁生产理念。</w:t>
      </w:r>
    </w:p>
    <w:p w14:paraId="00A094C7">
      <w:pPr>
        <w:pStyle w:val="182"/>
        <w:ind w:firstLine="275"/>
        <w:rPr>
          <w:rFonts w:ascii="Times New Roman" w:hAnsi="Times New Roman" w:eastAsia="仿宋_GB2312" w:cs="Times New Roman"/>
          <w:color w:val="000000"/>
          <w:sz w:val="28"/>
          <w:szCs w:val="28"/>
        </w:rPr>
      </w:pPr>
      <w:bookmarkStart w:id="544" w:name="_Toc495500147"/>
      <w:r>
        <w:rPr>
          <w:rFonts w:ascii="Times New Roman" w:hAnsi="Times New Roman" w:eastAsia="仿宋_GB2312" w:cs="Times New Roman"/>
          <w:color w:val="000000"/>
          <w:sz w:val="28"/>
          <w:szCs w:val="28"/>
        </w:rPr>
        <w:t>10.3清洁生产小结及建议</w:t>
      </w:r>
      <w:bookmarkEnd w:id="544"/>
    </w:p>
    <w:p w14:paraId="6159E355">
      <w:pPr>
        <w:pStyle w:val="183"/>
        <w:ind w:firstLine="472"/>
        <w:rPr>
          <w:rFonts w:eastAsia="仿宋_GB2312"/>
          <w:color w:val="000000"/>
          <w:sz w:val="24"/>
          <w:szCs w:val="24"/>
        </w:rPr>
      </w:pPr>
      <w:bookmarkStart w:id="545" w:name="_Toc495500148"/>
      <w:r>
        <w:rPr>
          <w:rFonts w:eastAsia="仿宋_GB2312"/>
          <w:color w:val="000000"/>
          <w:sz w:val="24"/>
          <w:szCs w:val="24"/>
        </w:rPr>
        <w:t>10.3.1清洁生产小结</w:t>
      </w:r>
      <w:bookmarkEnd w:id="545"/>
    </w:p>
    <w:p w14:paraId="07AADF38">
      <w:pPr>
        <w:spacing w:line="360" w:lineRule="auto"/>
        <w:ind w:firstLine="480"/>
        <w:rPr>
          <w:color w:val="000000"/>
          <w:sz w:val="24"/>
        </w:rPr>
      </w:pPr>
      <w:r>
        <w:rPr>
          <w:color w:val="000000"/>
          <w:sz w:val="24"/>
        </w:rPr>
        <w:t>项目建成后，</w:t>
      </w:r>
      <w:r>
        <w:rPr>
          <w:rFonts w:hint="eastAsia"/>
          <w:color w:val="000000"/>
          <w:sz w:val="24"/>
        </w:rPr>
        <w:t>妇幼保健院</w:t>
      </w:r>
      <w:r>
        <w:rPr>
          <w:color w:val="000000"/>
          <w:sz w:val="24"/>
        </w:rPr>
        <w:t>通过内部管理、设备选择、原辅材料的选用和管理、废物回收利用、污染治理等多方面采取合理可行的清洁生产措施，以“节能、降耗、减污”为目标，有效地控制污染，较好地贯彻了清洁生产原则。</w:t>
      </w:r>
    </w:p>
    <w:p w14:paraId="08A212DD">
      <w:pPr>
        <w:pStyle w:val="183"/>
        <w:ind w:firstLine="472"/>
        <w:rPr>
          <w:rFonts w:eastAsia="仿宋_GB2312"/>
          <w:color w:val="000000"/>
          <w:sz w:val="24"/>
          <w:szCs w:val="24"/>
        </w:rPr>
      </w:pPr>
      <w:bookmarkStart w:id="546" w:name="_Toc495500149"/>
      <w:r>
        <w:rPr>
          <w:rFonts w:eastAsia="仿宋_GB2312"/>
          <w:color w:val="000000"/>
          <w:sz w:val="24"/>
          <w:szCs w:val="24"/>
        </w:rPr>
        <w:t>10.3.2清洁生产建议</w:t>
      </w:r>
      <w:bookmarkEnd w:id="546"/>
    </w:p>
    <w:p w14:paraId="5A85F20B">
      <w:pPr>
        <w:spacing w:line="360" w:lineRule="auto"/>
        <w:ind w:firstLine="480"/>
        <w:rPr>
          <w:color w:val="000000"/>
          <w:sz w:val="24"/>
        </w:rPr>
      </w:pPr>
      <w:r>
        <w:rPr>
          <w:color w:val="000000"/>
          <w:sz w:val="24"/>
        </w:rPr>
        <w:t>由于清洁不是绝对的，</w:t>
      </w:r>
      <w:r>
        <w:rPr>
          <w:rFonts w:hint="eastAsia"/>
          <w:color w:val="000000"/>
          <w:sz w:val="24"/>
        </w:rPr>
        <w:t>保健院</w:t>
      </w:r>
      <w:r>
        <w:rPr>
          <w:color w:val="000000"/>
          <w:sz w:val="24"/>
        </w:rPr>
        <w:t>在今后的发展过程中定期开展清洁生产学习培训，按照质量管理体系（ISO9000/ISO14000）的要求，不断发展并继续采取更先进的治疗设备，并不断提高技术服务和清洁生产水平。</w:t>
      </w:r>
    </w:p>
    <w:p w14:paraId="5402A851">
      <w:pPr>
        <w:spacing w:line="360" w:lineRule="auto"/>
        <w:rPr>
          <w:color w:val="000000"/>
          <w:sz w:val="24"/>
        </w:rPr>
      </w:pPr>
    </w:p>
    <w:p w14:paraId="4B536226">
      <w:pPr>
        <w:spacing w:line="360" w:lineRule="auto"/>
        <w:rPr>
          <w:color w:val="000000"/>
          <w:sz w:val="24"/>
        </w:rPr>
      </w:pPr>
    </w:p>
    <w:p w14:paraId="34150CF1">
      <w:pPr>
        <w:spacing w:line="360" w:lineRule="auto"/>
        <w:rPr>
          <w:color w:val="000000"/>
          <w:sz w:val="24"/>
        </w:rPr>
      </w:pPr>
    </w:p>
    <w:p w14:paraId="1E12D981">
      <w:pPr>
        <w:spacing w:line="360" w:lineRule="auto"/>
        <w:rPr>
          <w:color w:val="000000"/>
          <w:sz w:val="24"/>
        </w:rPr>
      </w:pPr>
    </w:p>
    <w:p w14:paraId="2AC1A11E">
      <w:pPr>
        <w:spacing w:line="360" w:lineRule="auto"/>
        <w:rPr>
          <w:color w:val="000000"/>
        </w:rPr>
      </w:pPr>
    </w:p>
    <w:p w14:paraId="1C20E814">
      <w:pPr>
        <w:pStyle w:val="181"/>
        <w:rPr>
          <w:rFonts w:eastAsia="仿宋_GB2312"/>
          <w:color w:val="000000"/>
          <w:sz w:val="30"/>
          <w:szCs w:val="30"/>
        </w:rPr>
      </w:pPr>
      <w:bookmarkStart w:id="547" w:name="_Toc217800876"/>
      <w:bookmarkEnd w:id="547"/>
      <w:bookmarkStart w:id="548" w:name="_Toc495500150"/>
      <w:r>
        <w:rPr>
          <w:rFonts w:eastAsia="仿宋_GB2312"/>
          <w:color w:val="000000"/>
          <w:sz w:val="30"/>
          <w:szCs w:val="30"/>
        </w:rPr>
        <w:t>11、环境经济损益分析</w:t>
      </w:r>
      <w:bookmarkEnd w:id="548"/>
    </w:p>
    <w:p w14:paraId="13CC4149">
      <w:pPr>
        <w:pStyle w:val="182"/>
        <w:ind w:firstLine="275"/>
        <w:rPr>
          <w:rFonts w:ascii="Times New Roman" w:hAnsi="Times New Roman" w:eastAsia="仿宋_GB2312" w:cs="Times New Roman"/>
          <w:color w:val="000000"/>
          <w:sz w:val="28"/>
          <w:szCs w:val="28"/>
        </w:rPr>
      </w:pPr>
      <w:bookmarkStart w:id="549" w:name="_Toc143085470"/>
      <w:bookmarkEnd w:id="549"/>
      <w:bookmarkStart w:id="550" w:name="_Toc217800877"/>
      <w:bookmarkEnd w:id="550"/>
      <w:bookmarkStart w:id="551" w:name="_Toc495500151"/>
      <w:r>
        <w:rPr>
          <w:rFonts w:ascii="Times New Roman" w:hAnsi="Times New Roman" w:eastAsia="仿宋_GB2312" w:cs="Times New Roman"/>
          <w:color w:val="000000"/>
          <w:sz w:val="28"/>
          <w:szCs w:val="28"/>
        </w:rPr>
        <w:t>11.1环境效益分析</w:t>
      </w:r>
      <w:bookmarkEnd w:id="551"/>
    </w:p>
    <w:p w14:paraId="13190D72">
      <w:pPr>
        <w:pStyle w:val="183"/>
        <w:ind w:firstLine="472"/>
        <w:rPr>
          <w:rFonts w:eastAsia="仿宋_GB2312"/>
          <w:color w:val="000000"/>
          <w:sz w:val="24"/>
          <w:szCs w:val="24"/>
        </w:rPr>
      </w:pPr>
      <w:bookmarkStart w:id="552" w:name="_Toc495500152"/>
      <w:r>
        <w:rPr>
          <w:rFonts w:eastAsia="仿宋_GB2312"/>
          <w:color w:val="000000"/>
          <w:sz w:val="24"/>
          <w:szCs w:val="24"/>
        </w:rPr>
        <w:t>11.1.1环保投资</w:t>
      </w:r>
      <w:bookmarkEnd w:id="552"/>
    </w:p>
    <w:p w14:paraId="4D8F01C2">
      <w:pPr>
        <w:spacing w:line="360" w:lineRule="auto"/>
        <w:ind w:firstLine="480"/>
        <w:rPr>
          <w:rFonts w:eastAsia="仿宋_GB2312"/>
          <w:color w:val="000000"/>
          <w:sz w:val="28"/>
          <w:szCs w:val="28"/>
        </w:rPr>
      </w:pPr>
      <w:r>
        <w:rPr>
          <w:rFonts w:hint="eastAsia" w:cs="宋体"/>
          <w:color w:val="000000"/>
          <w:sz w:val="24"/>
        </w:rPr>
        <w:t>芒市妇幼保健院迁建</w:t>
      </w:r>
      <w:r>
        <w:rPr>
          <w:rFonts w:cs="宋体"/>
          <w:color w:val="000000"/>
          <w:sz w:val="24"/>
        </w:rPr>
        <w:t>项目</w:t>
      </w:r>
      <w:r>
        <w:rPr>
          <w:color w:val="000000"/>
          <w:sz w:val="24"/>
        </w:rPr>
        <w:t>总投资为</w:t>
      </w:r>
      <w:r>
        <w:rPr>
          <w:rFonts w:hint="eastAsia"/>
          <w:color w:val="000000"/>
          <w:sz w:val="24"/>
        </w:rPr>
        <w:t>27000</w:t>
      </w:r>
      <w:r>
        <w:rPr>
          <w:color w:val="000000"/>
          <w:sz w:val="24"/>
        </w:rPr>
        <w:t>万元，其中环保投资约</w:t>
      </w:r>
      <w:r>
        <w:rPr>
          <w:rFonts w:hint="eastAsia"/>
          <w:color w:val="000000"/>
          <w:sz w:val="24"/>
        </w:rPr>
        <w:t>684.9</w:t>
      </w:r>
      <w:r>
        <w:rPr>
          <w:color w:val="000000"/>
          <w:sz w:val="24"/>
        </w:rPr>
        <w:t>万元，占总投资的</w:t>
      </w:r>
      <w:r>
        <w:rPr>
          <w:rFonts w:hint="eastAsia"/>
          <w:color w:val="000000"/>
          <w:sz w:val="24"/>
        </w:rPr>
        <w:t>2.53</w:t>
      </w:r>
      <w:r>
        <w:rPr>
          <w:color w:val="000000"/>
          <w:sz w:val="24"/>
        </w:rPr>
        <w:t>%。主要用于项目施工期大气、水、噪声污染防治；新建</w:t>
      </w:r>
      <w:r>
        <w:rPr>
          <w:rFonts w:hint="eastAsia" w:ascii="宋体" w:hAnsi="宋体"/>
          <w:color w:val="000000"/>
          <w:sz w:val="24"/>
        </w:rPr>
        <w:t>门诊综合住院楼、综合业务用房、后勤综合楼等污水管网建设、</w:t>
      </w:r>
      <w:r>
        <w:rPr>
          <w:color w:val="000000"/>
          <w:sz w:val="24"/>
        </w:rPr>
        <w:t>污水处理站、化粪池、事故应急池、固体废弃物收集等，详见表11.1-1。</w:t>
      </w:r>
    </w:p>
    <w:p w14:paraId="22FE5F8A">
      <w:pPr>
        <w:spacing w:line="400" w:lineRule="exact"/>
        <w:jc w:val="center"/>
        <w:rPr>
          <w:rFonts w:hint="eastAsia" w:eastAsia="仿宋_GB2312"/>
          <w:b/>
          <w:color w:val="000000"/>
          <w:sz w:val="24"/>
        </w:rPr>
      </w:pPr>
      <w:r>
        <w:rPr>
          <w:rFonts w:eastAsia="仿宋_GB2312"/>
          <w:b/>
          <w:color w:val="000000"/>
          <w:sz w:val="24"/>
        </w:rPr>
        <w:t>表11.1-1   项目环境保护投资一览表</w:t>
      </w:r>
    </w:p>
    <w:tbl>
      <w:tblPr>
        <w:tblStyle w:val="27"/>
        <w:tblW w:w="0" w:type="auto"/>
        <w:tblInd w:w="-15" w:type="dxa"/>
        <w:tblLayout w:type="fixed"/>
        <w:tblCellMar>
          <w:top w:w="15" w:type="dxa"/>
          <w:left w:w="15" w:type="dxa"/>
          <w:bottom w:w="0" w:type="dxa"/>
          <w:right w:w="15" w:type="dxa"/>
        </w:tblCellMar>
      </w:tblPr>
      <w:tblGrid>
        <w:gridCol w:w="351"/>
        <w:gridCol w:w="1138"/>
        <w:gridCol w:w="1453"/>
        <w:gridCol w:w="4290"/>
        <w:gridCol w:w="1330"/>
      </w:tblGrid>
      <w:tr w14:paraId="130BE317">
        <w:tblPrEx>
          <w:tblCellMar>
            <w:top w:w="15" w:type="dxa"/>
            <w:left w:w="15" w:type="dxa"/>
            <w:bottom w:w="0" w:type="dxa"/>
            <w:right w:w="15" w:type="dxa"/>
          </w:tblCellMar>
        </w:tblPrEx>
        <w:trPr>
          <w:trHeight w:val="1420" w:hRule="exact"/>
        </w:trPr>
        <w:tc>
          <w:tcPr>
            <w:tcW w:w="351" w:type="dxa"/>
            <w:tcBorders>
              <w:top w:val="single" w:color="000000" w:sz="4" w:space="0"/>
              <w:left w:val="single" w:color="000000" w:sz="4" w:space="0"/>
              <w:bottom w:val="single" w:color="000000" w:sz="4" w:space="0"/>
              <w:right w:val="single" w:color="000000" w:sz="4" w:space="0"/>
            </w:tcBorders>
            <w:noWrap w:val="0"/>
            <w:vAlign w:val="center"/>
          </w:tcPr>
          <w:p w14:paraId="56D818F1">
            <w:pPr>
              <w:jc w:val="center"/>
              <w:rPr>
                <w:rFonts w:cs="宋体"/>
                <w:b/>
                <w:color w:val="000000"/>
                <w:szCs w:val="21"/>
              </w:rPr>
            </w:pPr>
            <w:r>
              <w:rPr>
                <w:b/>
                <w:color w:val="000000"/>
                <w:szCs w:val="21"/>
              </w:rPr>
              <w:t>序号</w:t>
            </w:r>
          </w:p>
        </w:tc>
        <w:tc>
          <w:tcPr>
            <w:tcW w:w="1138" w:type="dxa"/>
            <w:tcBorders>
              <w:top w:val="single" w:color="000000" w:sz="4" w:space="0"/>
              <w:left w:val="single" w:color="000000" w:sz="4" w:space="0"/>
              <w:bottom w:val="single" w:color="000000" w:sz="4" w:space="0"/>
              <w:right w:val="single" w:color="000000" w:sz="4" w:space="0"/>
            </w:tcBorders>
            <w:noWrap w:val="0"/>
            <w:vAlign w:val="center"/>
          </w:tcPr>
          <w:p w14:paraId="11856CF7">
            <w:pPr>
              <w:jc w:val="center"/>
              <w:rPr>
                <w:rFonts w:cs="宋体"/>
                <w:b/>
                <w:color w:val="000000"/>
                <w:szCs w:val="21"/>
              </w:rPr>
            </w:pPr>
            <w:r>
              <w:rPr>
                <w:b/>
                <w:color w:val="000000"/>
                <w:szCs w:val="21"/>
              </w:rPr>
              <w:t>污染源</w:t>
            </w:r>
          </w:p>
        </w:tc>
        <w:tc>
          <w:tcPr>
            <w:tcW w:w="1453" w:type="dxa"/>
            <w:tcBorders>
              <w:top w:val="single" w:color="000000" w:sz="4" w:space="0"/>
              <w:left w:val="single" w:color="000000" w:sz="4" w:space="0"/>
              <w:bottom w:val="single" w:color="000000" w:sz="4" w:space="0"/>
              <w:right w:val="single" w:color="000000" w:sz="4" w:space="0"/>
            </w:tcBorders>
            <w:noWrap w:val="0"/>
            <w:vAlign w:val="center"/>
          </w:tcPr>
          <w:p w14:paraId="25802E60">
            <w:pPr>
              <w:jc w:val="center"/>
              <w:rPr>
                <w:rFonts w:cs="宋体"/>
                <w:b/>
                <w:color w:val="000000"/>
                <w:szCs w:val="21"/>
              </w:rPr>
            </w:pPr>
            <w:r>
              <w:rPr>
                <w:b/>
                <w:color w:val="000000"/>
                <w:szCs w:val="21"/>
              </w:rPr>
              <w:t>主要污染物</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3EDF3C41">
            <w:pPr>
              <w:jc w:val="center"/>
              <w:rPr>
                <w:rFonts w:cs="宋体"/>
                <w:b/>
                <w:color w:val="000000"/>
                <w:szCs w:val="21"/>
              </w:rPr>
            </w:pPr>
            <w:r>
              <w:rPr>
                <w:b/>
                <w:color w:val="000000"/>
                <w:szCs w:val="21"/>
              </w:rPr>
              <w:t>治理措施</w:t>
            </w:r>
          </w:p>
        </w:tc>
        <w:tc>
          <w:tcPr>
            <w:tcW w:w="1330" w:type="dxa"/>
            <w:tcBorders>
              <w:top w:val="single" w:color="000000" w:sz="4" w:space="0"/>
              <w:left w:val="single" w:color="000000" w:sz="4" w:space="0"/>
              <w:bottom w:val="single" w:color="000000" w:sz="4" w:space="0"/>
              <w:right w:val="single" w:color="000000" w:sz="4" w:space="0"/>
            </w:tcBorders>
            <w:noWrap w:val="0"/>
            <w:vAlign w:val="center"/>
          </w:tcPr>
          <w:p w14:paraId="269E96BE">
            <w:pPr>
              <w:jc w:val="center"/>
              <w:rPr>
                <w:b/>
                <w:color w:val="000000"/>
                <w:szCs w:val="21"/>
              </w:rPr>
            </w:pPr>
            <w:r>
              <w:rPr>
                <w:b/>
                <w:color w:val="000000"/>
                <w:szCs w:val="21"/>
              </w:rPr>
              <w:t>预投资</w:t>
            </w:r>
          </w:p>
          <w:p w14:paraId="1898C744">
            <w:pPr>
              <w:jc w:val="center"/>
              <w:rPr>
                <w:b/>
                <w:color w:val="000000"/>
                <w:szCs w:val="21"/>
              </w:rPr>
            </w:pPr>
            <w:r>
              <w:rPr>
                <w:b/>
                <w:color w:val="000000"/>
                <w:szCs w:val="21"/>
              </w:rPr>
              <w:t>估算</w:t>
            </w:r>
          </w:p>
          <w:p w14:paraId="73A3F184">
            <w:pPr>
              <w:jc w:val="center"/>
              <w:rPr>
                <w:b/>
                <w:color w:val="000000"/>
                <w:szCs w:val="21"/>
              </w:rPr>
            </w:pPr>
            <w:r>
              <w:rPr>
                <w:b/>
                <w:color w:val="000000"/>
                <w:szCs w:val="21"/>
              </w:rPr>
              <w:t>（万元）期</w:t>
            </w:r>
          </w:p>
          <w:p w14:paraId="7D02BE6B">
            <w:pPr>
              <w:jc w:val="center"/>
              <w:rPr>
                <w:rFonts w:cs="宋体"/>
                <w:b/>
                <w:color w:val="000000"/>
                <w:szCs w:val="21"/>
              </w:rPr>
            </w:pPr>
            <w:r>
              <w:rPr>
                <w:b/>
                <w:color w:val="000000"/>
                <w:szCs w:val="21"/>
              </w:rPr>
              <w:t>效果</w:t>
            </w:r>
          </w:p>
          <w:p w14:paraId="33E6A9C6">
            <w:pPr>
              <w:jc w:val="center"/>
              <w:rPr>
                <w:rFonts w:cs="宋体"/>
                <w:b/>
                <w:color w:val="000000"/>
                <w:szCs w:val="21"/>
              </w:rPr>
            </w:pPr>
            <w:r>
              <w:rPr>
                <w:rFonts w:cs="宋体"/>
                <w:b/>
                <w:color w:val="000000"/>
                <w:szCs w:val="21"/>
              </w:rPr>
              <w:t>备注</w:t>
            </w:r>
          </w:p>
        </w:tc>
      </w:tr>
      <w:tr w14:paraId="399D133E">
        <w:tblPrEx>
          <w:tblCellMar>
            <w:top w:w="15" w:type="dxa"/>
            <w:left w:w="15" w:type="dxa"/>
            <w:bottom w:w="0" w:type="dxa"/>
            <w:right w:w="15" w:type="dxa"/>
          </w:tblCellMar>
        </w:tblPrEx>
        <w:trPr>
          <w:trHeight w:val="397" w:hRule="exact"/>
        </w:trPr>
        <w:tc>
          <w:tcPr>
            <w:tcW w:w="8562" w:type="dxa"/>
            <w:gridSpan w:val="5"/>
            <w:tcBorders>
              <w:top w:val="single" w:color="000000" w:sz="4" w:space="0"/>
              <w:left w:val="single" w:color="000000" w:sz="4" w:space="0"/>
              <w:bottom w:val="single" w:color="000000" w:sz="4" w:space="0"/>
              <w:right w:val="single" w:color="000000" w:sz="4" w:space="0"/>
            </w:tcBorders>
            <w:noWrap w:val="0"/>
            <w:vAlign w:val="center"/>
          </w:tcPr>
          <w:p w14:paraId="5D96870D">
            <w:pPr>
              <w:jc w:val="center"/>
              <w:rPr>
                <w:color w:val="000000"/>
                <w:szCs w:val="21"/>
              </w:rPr>
            </w:pPr>
            <w:r>
              <w:rPr>
                <w:color w:val="000000"/>
                <w:szCs w:val="21"/>
              </w:rPr>
              <w:t>施工期</w:t>
            </w:r>
          </w:p>
        </w:tc>
      </w:tr>
      <w:tr w14:paraId="2C8F7286">
        <w:tblPrEx>
          <w:tblCellMar>
            <w:top w:w="15" w:type="dxa"/>
            <w:left w:w="15" w:type="dxa"/>
            <w:bottom w:w="0" w:type="dxa"/>
            <w:right w:w="15" w:type="dxa"/>
          </w:tblCellMar>
        </w:tblPrEx>
        <w:trPr>
          <w:trHeight w:val="663" w:hRule="exact"/>
        </w:trPr>
        <w:tc>
          <w:tcPr>
            <w:tcW w:w="351" w:type="dxa"/>
            <w:tcBorders>
              <w:top w:val="single" w:color="000000" w:sz="4" w:space="0"/>
              <w:left w:val="single" w:color="000000" w:sz="4" w:space="0"/>
              <w:bottom w:val="single" w:color="000000" w:sz="4" w:space="0"/>
              <w:right w:val="single" w:color="000000" w:sz="4" w:space="0"/>
            </w:tcBorders>
            <w:noWrap w:val="0"/>
            <w:vAlign w:val="center"/>
          </w:tcPr>
          <w:p w14:paraId="19C722DE">
            <w:pPr>
              <w:jc w:val="center"/>
              <w:rPr>
                <w:rFonts w:cs="宋体"/>
                <w:color w:val="000000"/>
                <w:szCs w:val="21"/>
              </w:rPr>
            </w:pPr>
            <w:r>
              <w:rPr>
                <w:color w:val="000000"/>
                <w:szCs w:val="21"/>
              </w:rPr>
              <w:t>1</w:t>
            </w:r>
          </w:p>
        </w:tc>
        <w:tc>
          <w:tcPr>
            <w:tcW w:w="1138" w:type="dxa"/>
            <w:tcBorders>
              <w:top w:val="single" w:color="000000" w:sz="4" w:space="0"/>
              <w:left w:val="single" w:color="000000" w:sz="4" w:space="0"/>
              <w:bottom w:val="single" w:color="000000" w:sz="4" w:space="0"/>
              <w:right w:val="single" w:color="000000" w:sz="4" w:space="0"/>
            </w:tcBorders>
            <w:noWrap w:val="0"/>
            <w:vAlign w:val="center"/>
          </w:tcPr>
          <w:p w14:paraId="67F8EC3E">
            <w:pPr>
              <w:jc w:val="center"/>
              <w:rPr>
                <w:rFonts w:cs="宋体"/>
                <w:color w:val="000000"/>
                <w:szCs w:val="21"/>
              </w:rPr>
            </w:pPr>
            <w:r>
              <w:rPr>
                <w:rFonts w:cs="宋体"/>
                <w:color w:val="000000"/>
                <w:szCs w:val="21"/>
              </w:rPr>
              <w:t>建筑施工</w:t>
            </w:r>
          </w:p>
        </w:tc>
        <w:tc>
          <w:tcPr>
            <w:tcW w:w="1453" w:type="dxa"/>
            <w:tcBorders>
              <w:top w:val="single" w:color="000000" w:sz="4" w:space="0"/>
              <w:left w:val="single" w:color="000000" w:sz="4" w:space="0"/>
              <w:bottom w:val="single" w:color="000000" w:sz="4" w:space="0"/>
              <w:right w:val="single" w:color="000000" w:sz="4" w:space="0"/>
            </w:tcBorders>
            <w:noWrap w:val="0"/>
            <w:vAlign w:val="center"/>
          </w:tcPr>
          <w:p w14:paraId="74712CF9">
            <w:pPr>
              <w:jc w:val="center"/>
              <w:rPr>
                <w:rFonts w:cs="宋体"/>
                <w:color w:val="000000"/>
                <w:szCs w:val="21"/>
              </w:rPr>
            </w:pPr>
            <w:r>
              <w:rPr>
                <w:rFonts w:cs="宋体"/>
                <w:color w:val="000000"/>
                <w:szCs w:val="21"/>
              </w:rPr>
              <w:t>扬尘</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28783CD8">
            <w:pPr>
              <w:jc w:val="center"/>
              <w:rPr>
                <w:rFonts w:cs="宋体"/>
                <w:color w:val="000000"/>
                <w:szCs w:val="21"/>
              </w:rPr>
            </w:pPr>
            <w:r>
              <w:rPr>
                <w:rFonts w:cs="宋体"/>
                <w:color w:val="000000"/>
                <w:szCs w:val="21"/>
              </w:rPr>
              <w:t>洒水、围墙围挡</w:t>
            </w:r>
          </w:p>
        </w:tc>
        <w:tc>
          <w:tcPr>
            <w:tcW w:w="1330" w:type="dxa"/>
            <w:tcBorders>
              <w:top w:val="single" w:color="000000" w:sz="4" w:space="0"/>
              <w:left w:val="single" w:color="000000" w:sz="4" w:space="0"/>
              <w:bottom w:val="single" w:color="000000" w:sz="4" w:space="0"/>
              <w:right w:val="single" w:color="000000" w:sz="4" w:space="0"/>
            </w:tcBorders>
            <w:noWrap w:val="0"/>
            <w:vAlign w:val="center"/>
          </w:tcPr>
          <w:p w14:paraId="216DDDBE">
            <w:pPr>
              <w:jc w:val="center"/>
              <w:rPr>
                <w:rFonts w:hint="eastAsia" w:cs="宋体"/>
                <w:color w:val="000000"/>
                <w:szCs w:val="21"/>
              </w:rPr>
            </w:pPr>
            <w:r>
              <w:rPr>
                <w:rFonts w:hint="eastAsia" w:cs="宋体"/>
                <w:color w:val="000000"/>
                <w:szCs w:val="21"/>
              </w:rPr>
              <w:t>5.5</w:t>
            </w:r>
          </w:p>
        </w:tc>
      </w:tr>
      <w:tr w14:paraId="5D708035">
        <w:tblPrEx>
          <w:tblCellMar>
            <w:top w:w="15" w:type="dxa"/>
            <w:left w:w="15" w:type="dxa"/>
            <w:bottom w:w="0" w:type="dxa"/>
            <w:right w:w="15" w:type="dxa"/>
          </w:tblCellMar>
        </w:tblPrEx>
        <w:trPr>
          <w:trHeight w:val="467" w:hRule="exact"/>
        </w:trPr>
        <w:tc>
          <w:tcPr>
            <w:tcW w:w="351" w:type="dxa"/>
            <w:tcBorders>
              <w:top w:val="single" w:color="000000" w:sz="4" w:space="0"/>
              <w:left w:val="single" w:color="000000" w:sz="4" w:space="0"/>
              <w:bottom w:val="single" w:color="000000" w:sz="4" w:space="0"/>
              <w:right w:val="single" w:color="000000" w:sz="4" w:space="0"/>
            </w:tcBorders>
            <w:noWrap w:val="0"/>
            <w:vAlign w:val="center"/>
          </w:tcPr>
          <w:p w14:paraId="790D763D">
            <w:pPr>
              <w:jc w:val="center"/>
              <w:rPr>
                <w:rFonts w:cs="宋体"/>
                <w:color w:val="000000"/>
                <w:szCs w:val="21"/>
              </w:rPr>
            </w:pPr>
            <w:r>
              <w:rPr>
                <w:color w:val="000000"/>
                <w:szCs w:val="21"/>
              </w:rPr>
              <w:t>2</w:t>
            </w:r>
          </w:p>
        </w:tc>
        <w:tc>
          <w:tcPr>
            <w:tcW w:w="1138" w:type="dxa"/>
            <w:tcBorders>
              <w:top w:val="single" w:color="000000" w:sz="4" w:space="0"/>
              <w:left w:val="single" w:color="000000" w:sz="4" w:space="0"/>
              <w:bottom w:val="single" w:color="000000" w:sz="4" w:space="0"/>
              <w:right w:val="single" w:color="000000" w:sz="4" w:space="0"/>
            </w:tcBorders>
            <w:noWrap w:val="0"/>
            <w:vAlign w:val="center"/>
          </w:tcPr>
          <w:p w14:paraId="434E3101">
            <w:pPr>
              <w:jc w:val="center"/>
              <w:rPr>
                <w:rFonts w:cs="宋体"/>
                <w:color w:val="000000"/>
                <w:szCs w:val="21"/>
              </w:rPr>
            </w:pPr>
            <w:r>
              <w:rPr>
                <w:rFonts w:cs="宋体"/>
                <w:color w:val="000000"/>
                <w:szCs w:val="21"/>
              </w:rPr>
              <w:t>建筑施工</w:t>
            </w:r>
          </w:p>
        </w:tc>
        <w:tc>
          <w:tcPr>
            <w:tcW w:w="1453" w:type="dxa"/>
            <w:tcBorders>
              <w:top w:val="single" w:color="000000" w:sz="4" w:space="0"/>
              <w:left w:val="single" w:color="000000" w:sz="4" w:space="0"/>
              <w:bottom w:val="single" w:color="000000" w:sz="4" w:space="0"/>
              <w:right w:val="single" w:color="000000" w:sz="4" w:space="0"/>
            </w:tcBorders>
            <w:noWrap w:val="0"/>
            <w:vAlign w:val="center"/>
          </w:tcPr>
          <w:p w14:paraId="270B45A4">
            <w:pPr>
              <w:jc w:val="center"/>
              <w:rPr>
                <w:rFonts w:cs="宋体"/>
                <w:color w:val="000000"/>
                <w:szCs w:val="21"/>
              </w:rPr>
            </w:pPr>
            <w:r>
              <w:rPr>
                <w:rFonts w:cs="宋体"/>
                <w:color w:val="000000"/>
                <w:szCs w:val="21"/>
              </w:rPr>
              <w:t>废水</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2942C960">
            <w:pPr>
              <w:jc w:val="center"/>
              <w:rPr>
                <w:rFonts w:cs="宋体"/>
                <w:color w:val="000000"/>
                <w:szCs w:val="21"/>
              </w:rPr>
            </w:pPr>
            <w:r>
              <w:rPr>
                <w:rFonts w:cs="宋体"/>
                <w:color w:val="000000"/>
                <w:szCs w:val="21"/>
              </w:rPr>
              <w:t>雨水截流沟、沉淀池</w:t>
            </w:r>
          </w:p>
        </w:tc>
        <w:tc>
          <w:tcPr>
            <w:tcW w:w="1330" w:type="dxa"/>
            <w:tcBorders>
              <w:top w:val="single" w:color="000000" w:sz="4" w:space="0"/>
              <w:left w:val="single" w:color="000000" w:sz="4" w:space="0"/>
              <w:bottom w:val="single" w:color="000000" w:sz="4" w:space="0"/>
              <w:right w:val="single" w:color="000000" w:sz="4" w:space="0"/>
            </w:tcBorders>
            <w:noWrap w:val="0"/>
            <w:vAlign w:val="center"/>
          </w:tcPr>
          <w:p w14:paraId="715136D9">
            <w:pPr>
              <w:jc w:val="center"/>
              <w:rPr>
                <w:rFonts w:hint="eastAsia" w:cs="宋体"/>
                <w:color w:val="000000"/>
                <w:szCs w:val="21"/>
              </w:rPr>
            </w:pPr>
            <w:r>
              <w:rPr>
                <w:rFonts w:hint="eastAsia" w:cs="宋体"/>
                <w:color w:val="000000"/>
                <w:szCs w:val="21"/>
              </w:rPr>
              <w:t>4.5</w:t>
            </w:r>
          </w:p>
        </w:tc>
      </w:tr>
      <w:tr w14:paraId="46B24CA9">
        <w:tblPrEx>
          <w:tblCellMar>
            <w:top w:w="15" w:type="dxa"/>
            <w:left w:w="15" w:type="dxa"/>
            <w:bottom w:w="0" w:type="dxa"/>
            <w:right w:w="15" w:type="dxa"/>
          </w:tblCellMar>
        </w:tblPrEx>
        <w:trPr>
          <w:trHeight w:val="397" w:hRule="exact"/>
        </w:trPr>
        <w:tc>
          <w:tcPr>
            <w:tcW w:w="351" w:type="dxa"/>
            <w:tcBorders>
              <w:top w:val="single" w:color="000000" w:sz="4" w:space="0"/>
              <w:left w:val="single" w:color="000000" w:sz="4" w:space="0"/>
              <w:bottom w:val="single" w:color="000000" w:sz="4" w:space="0"/>
              <w:right w:val="single" w:color="000000" w:sz="4" w:space="0"/>
            </w:tcBorders>
            <w:noWrap w:val="0"/>
            <w:vAlign w:val="center"/>
          </w:tcPr>
          <w:p w14:paraId="3E562C18">
            <w:pPr>
              <w:jc w:val="center"/>
              <w:rPr>
                <w:rFonts w:cs="宋体"/>
                <w:color w:val="000000"/>
                <w:szCs w:val="21"/>
              </w:rPr>
            </w:pPr>
            <w:r>
              <w:rPr>
                <w:color w:val="000000"/>
                <w:szCs w:val="21"/>
              </w:rPr>
              <w:t>3</w:t>
            </w:r>
          </w:p>
        </w:tc>
        <w:tc>
          <w:tcPr>
            <w:tcW w:w="1138" w:type="dxa"/>
            <w:tcBorders>
              <w:top w:val="single" w:color="000000" w:sz="4" w:space="0"/>
              <w:left w:val="single" w:color="000000" w:sz="4" w:space="0"/>
              <w:bottom w:val="single" w:color="000000" w:sz="4" w:space="0"/>
              <w:right w:val="single" w:color="000000" w:sz="4" w:space="0"/>
            </w:tcBorders>
            <w:noWrap w:val="0"/>
            <w:vAlign w:val="center"/>
          </w:tcPr>
          <w:p w14:paraId="1E9B9C39">
            <w:pPr>
              <w:jc w:val="center"/>
              <w:rPr>
                <w:rFonts w:cs="宋体"/>
                <w:color w:val="000000"/>
                <w:szCs w:val="21"/>
              </w:rPr>
            </w:pPr>
            <w:r>
              <w:rPr>
                <w:rFonts w:cs="宋体"/>
                <w:color w:val="000000"/>
                <w:szCs w:val="21"/>
              </w:rPr>
              <w:t>施工设备</w:t>
            </w:r>
          </w:p>
        </w:tc>
        <w:tc>
          <w:tcPr>
            <w:tcW w:w="1453" w:type="dxa"/>
            <w:tcBorders>
              <w:top w:val="single" w:color="000000" w:sz="4" w:space="0"/>
              <w:left w:val="single" w:color="000000" w:sz="4" w:space="0"/>
              <w:bottom w:val="single" w:color="000000" w:sz="4" w:space="0"/>
              <w:right w:val="single" w:color="000000" w:sz="4" w:space="0"/>
            </w:tcBorders>
            <w:noWrap w:val="0"/>
            <w:vAlign w:val="center"/>
          </w:tcPr>
          <w:p w14:paraId="3A0B8F78">
            <w:pPr>
              <w:jc w:val="center"/>
              <w:rPr>
                <w:rFonts w:cs="宋体"/>
                <w:color w:val="000000"/>
                <w:szCs w:val="21"/>
              </w:rPr>
            </w:pPr>
            <w:r>
              <w:rPr>
                <w:rFonts w:cs="宋体"/>
                <w:color w:val="000000"/>
                <w:szCs w:val="21"/>
              </w:rPr>
              <w:t>噪声</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7B8F2B21">
            <w:pPr>
              <w:jc w:val="center"/>
              <w:rPr>
                <w:rFonts w:cs="宋体"/>
                <w:color w:val="000000"/>
                <w:szCs w:val="21"/>
              </w:rPr>
            </w:pPr>
            <w:r>
              <w:rPr>
                <w:rFonts w:cs="宋体"/>
                <w:color w:val="000000"/>
                <w:szCs w:val="21"/>
              </w:rPr>
              <w:t>将噪声较大的设备设置在工棚内</w:t>
            </w:r>
          </w:p>
        </w:tc>
        <w:tc>
          <w:tcPr>
            <w:tcW w:w="1330" w:type="dxa"/>
            <w:tcBorders>
              <w:top w:val="single" w:color="000000" w:sz="4" w:space="0"/>
              <w:left w:val="single" w:color="000000" w:sz="4" w:space="0"/>
              <w:bottom w:val="single" w:color="000000" w:sz="4" w:space="0"/>
              <w:right w:val="single" w:color="000000" w:sz="4" w:space="0"/>
            </w:tcBorders>
            <w:noWrap w:val="0"/>
            <w:vAlign w:val="center"/>
          </w:tcPr>
          <w:p w14:paraId="6D8A01E2">
            <w:pPr>
              <w:jc w:val="center"/>
              <w:rPr>
                <w:rFonts w:hint="eastAsia" w:cs="宋体"/>
                <w:color w:val="000000"/>
                <w:szCs w:val="21"/>
              </w:rPr>
            </w:pPr>
            <w:r>
              <w:rPr>
                <w:rFonts w:hint="eastAsia" w:cs="宋体"/>
                <w:color w:val="000000"/>
                <w:szCs w:val="21"/>
              </w:rPr>
              <w:t>6.0</w:t>
            </w:r>
          </w:p>
        </w:tc>
      </w:tr>
      <w:tr w14:paraId="2F5E64D9">
        <w:tblPrEx>
          <w:tblCellMar>
            <w:top w:w="15" w:type="dxa"/>
            <w:left w:w="15" w:type="dxa"/>
            <w:bottom w:w="0" w:type="dxa"/>
            <w:right w:w="15" w:type="dxa"/>
          </w:tblCellMar>
        </w:tblPrEx>
        <w:trPr>
          <w:trHeight w:val="536" w:hRule="exact"/>
        </w:trPr>
        <w:tc>
          <w:tcPr>
            <w:tcW w:w="351" w:type="dxa"/>
            <w:tcBorders>
              <w:top w:val="single" w:color="000000" w:sz="4" w:space="0"/>
              <w:left w:val="single" w:color="000000" w:sz="4" w:space="0"/>
              <w:bottom w:val="single" w:color="000000" w:sz="4" w:space="0"/>
              <w:right w:val="single" w:color="000000" w:sz="4" w:space="0"/>
            </w:tcBorders>
            <w:noWrap w:val="0"/>
            <w:vAlign w:val="center"/>
          </w:tcPr>
          <w:p w14:paraId="6909DE1A">
            <w:pPr>
              <w:jc w:val="center"/>
              <w:rPr>
                <w:rFonts w:cs="宋体"/>
                <w:color w:val="000000"/>
                <w:szCs w:val="21"/>
              </w:rPr>
            </w:pPr>
            <w:r>
              <w:rPr>
                <w:color w:val="000000"/>
                <w:szCs w:val="21"/>
              </w:rPr>
              <w:t>4</w:t>
            </w:r>
          </w:p>
        </w:tc>
        <w:tc>
          <w:tcPr>
            <w:tcW w:w="1138" w:type="dxa"/>
            <w:tcBorders>
              <w:top w:val="single" w:color="000000" w:sz="4" w:space="0"/>
              <w:left w:val="single" w:color="000000" w:sz="4" w:space="0"/>
              <w:bottom w:val="single" w:color="000000" w:sz="4" w:space="0"/>
              <w:right w:val="single" w:color="000000" w:sz="4" w:space="0"/>
            </w:tcBorders>
            <w:noWrap w:val="0"/>
            <w:vAlign w:val="center"/>
          </w:tcPr>
          <w:p w14:paraId="046E7D5F">
            <w:pPr>
              <w:jc w:val="center"/>
              <w:rPr>
                <w:rFonts w:cs="宋体"/>
                <w:color w:val="000000"/>
                <w:szCs w:val="21"/>
              </w:rPr>
            </w:pPr>
            <w:r>
              <w:rPr>
                <w:rFonts w:cs="宋体"/>
                <w:color w:val="000000"/>
                <w:szCs w:val="21"/>
              </w:rPr>
              <w:t>建筑材料</w:t>
            </w:r>
          </w:p>
        </w:tc>
        <w:tc>
          <w:tcPr>
            <w:tcW w:w="1453" w:type="dxa"/>
            <w:tcBorders>
              <w:top w:val="single" w:color="000000" w:sz="4" w:space="0"/>
              <w:left w:val="single" w:color="000000" w:sz="4" w:space="0"/>
              <w:bottom w:val="single" w:color="000000" w:sz="4" w:space="0"/>
              <w:right w:val="single" w:color="000000" w:sz="4" w:space="0"/>
            </w:tcBorders>
            <w:noWrap w:val="0"/>
            <w:vAlign w:val="center"/>
          </w:tcPr>
          <w:p w14:paraId="04BD3133">
            <w:pPr>
              <w:jc w:val="center"/>
              <w:rPr>
                <w:rFonts w:cs="宋体"/>
                <w:color w:val="000000"/>
                <w:szCs w:val="21"/>
              </w:rPr>
            </w:pPr>
            <w:r>
              <w:rPr>
                <w:rFonts w:cs="宋体"/>
                <w:color w:val="000000"/>
                <w:szCs w:val="21"/>
              </w:rPr>
              <w:t>固体废物</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36004E4A">
            <w:pPr>
              <w:jc w:val="center"/>
              <w:rPr>
                <w:rFonts w:cs="宋体"/>
                <w:color w:val="000000"/>
                <w:szCs w:val="21"/>
              </w:rPr>
            </w:pPr>
            <w:r>
              <w:rPr>
                <w:rFonts w:cs="宋体"/>
                <w:color w:val="000000"/>
                <w:szCs w:val="21"/>
              </w:rPr>
              <w:t>清运、委托相关单位处理</w:t>
            </w:r>
          </w:p>
        </w:tc>
        <w:tc>
          <w:tcPr>
            <w:tcW w:w="1330" w:type="dxa"/>
            <w:tcBorders>
              <w:top w:val="single" w:color="000000" w:sz="4" w:space="0"/>
              <w:left w:val="single" w:color="000000" w:sz="4" w:space="0"/>
              <w:bottom w:val="single" w:color="000000" w:sz="4" w:space="0"/>
              <w:right w:val="single" w:color="000000" w:sz="4" w:space="0"/>
            </w:tcBorders>
            <w:noWrap w:val="0"/>
            <w:vAlign w:val="center"/>
          </w:tcPr>
          <w:p w14:paraId="7786374C">
            <w:pPr>
              <w:jc w:val="center"/>
              <w:rPr>
                <w:rFonts w:hint="eastAsia" w:cs="宋体"/>
                <w:color w:val="000000"/>
                <w:szCs w:val="21"/>
              </w:rPr>
            </w:pPr>
            <w:r>
              <w:rPr>
                <w:rFonts w:hint="eastAsia" w:cs="宋体"/>
                <w:color w:val="000000"/>
                <w:szCs w:val="21"/>
              </w:rPr>
              <w:t>10.5</w:t>
            </w:r>
          </w:p>
        </w:tc>
      </w:tr>
      <w:tr w14:paraId="639FE919">
        <w:tblPrEx>
          <w:tblCellMar>
            <w:top w:w="15" w:type="dxa"/>
            <w:left w:w="15" w:type="dxa"/>
            <w:bottom w:w="0" w:type="dxa"/>
            <w:right w:w="15" w:type="dxa"/>
          </w:tblCellMar>
        </w:tblPrEx>
        <w:trPr>
          <w:trHeight w:val="472" w:hRule="exact"/>
        </w:trPr>
        <w:tc>
          <w:tcPr>
            <w:tcW w:w="8562" w:type="dxa"/>
            <w:gridSpan w:val="5"/>
            <w:tcBorders>
              <w:top w:val="single" w:color="000000" w:sz="4" w:space="0"/>
              <w:left w:val="single" w:color="000000" w:sz="4" w:space="0"/>
              <w:bottom w:val="single" w:color="000000" w:sz="4" w:space="0"/>
              <w:right w:val="single" w:color="000000" w:sz="4" w:space="0"/>
            </w:tcBorders>
            <w:noWrap w:val="0"/>
            <w:vAlign w:val="center"/>
          </w:tcPr>
          <w:p w14:paraId="3041019F">
            <w:pPr>
              <w:jc w:val="center"/>
              <w:rPr>
                <w:rFonts w:cs="宋体"/>
                <w:color w:val="000000"/>
                <w:szCs w:val="21"/>
              </w:rPr>
            </w:pPr>
            <w:r>
              <w:rPr>
                <w:rFonts w:cs="宋体"/>
                <w:color w:val="000000"/>
                <w:szCs w:val="21"/>
              </w:rPr>
              <w:t>营运期</w:t>
            </w:r>
          </w:p>
        </w:tc>
      </w:tr>
      <w:tr w14:paraId="4A3B9A50">
        <w:tblPrEx>
          <w:tblCellMar>
            <w:top w:w="15" w:type="dxa"/>
            <w:left w:w="15" w:type="dxa"/>
            <w:bottom w:w="0" w:type="dxa"/>
            <w:right w:w="15" w:type="dxa"/>
          </w:tblCellMar>
        </w:tblPrEx>
        <w:trPr>
          <w:trHeight w:val="1078" w:hRule="exact"/>
        </w:trPr>
        <w:tc>
          <w:tcPr>
            <w:tcW w:w="351" w:type="dxa"/>
            <w:tcBorders>
              <w:top w:val="single" w:color="000000" w:sz="4" w:space="0"/>
              <w:left w:val="single" w:color="000000" w:sz="4" w:space="0"/>
              <w:bottom w:val="single" w:color="000000" w:sz="4" w:space="0"/>
              <w:right w:val="single" w:color="000000" w:sz="4" w:space="0"/>
            </w:tcBorders>
            <w:noWrap w:val="0"/>
            <w:vAlign w:val="center"/>
          </w:tcPr>
          <w:p w14:paraId="2F3CB927">
            <w:pPr>
              <w:jc w:val="center"/>
              <w:rPr>
                <w:color w:val="000000"/>
                <w:szCs w:val="21"/>
              </w:rPr>
            </w:pPr>
            <w:r>
              <w:rPr>
                <w:color w:val="000000"/>
                <w:szCs w:val="21"/>
              </w:rPr>
              <w:t>5</w:t>
            </w:r>
          </w:p>
        </w:tc>
        <w:tc>
          <w:tcPr>
            <w:tcW w:w="1138" w:type="dxa"/>
            <w:tcBorders>
              <w:top w:val="single" w:color="000000" w:sz="4" w:space="0"/>
              <w:left w:val="single" w:color="000000" w:sz="4" w:space="0"/>
              <w:bottom w:val="single" w:color="000000" w:sz="4" w:space="0"/>
              <w:right w:val="single" w:color="000000" w:sz="4" w:space="0"/>
            </w:tcBorders>
            <w:noWrap w:val="0"/>
            <w:vAlign w:val="center"/>
          </w:tcPr>
          <w:p w14:paraId="0075D5B9">
            <w:pPr>
              <w:jc w:val="center"/>
              <w:rPr>
                <w:rFonts w:hint="eastAsia" w:cs="宋体"/>
                <w:color w:val="000000"/>
                <w:szCs w:val="21"/>
              </w:rPr>
            </w:pPr>
            <w:r>
              <w:rPr>
                <w:rFonts w:hint="eastAsia"/>
                <w:color w:val="000000"/>
                <w:szCs w:val="21"/>
              </w:rPr>
              <w:t>整个妇幼保健院</w:t>
            </w:r>
          </w:p>
        </w:tc>
        <w:tc>
          <w:tcPr>
            <w:tcW w:w="1453" w:type="dxa"/>
            <w:tcBorders>
              <w:top w:val="single" w:color="000000" w:sz="4" w:space="0"/>
              <w:left w:val="single" w:color="000000" w:sz="4" w:space="0"/>
              <w:bottom w:val="single" w:color="000000" w:sz="4" w:space="0"/>
              <w:right w:val="single" w:color="000000" w:sz="4" w:space="0"/>
            </w:tcBorders>
            <w:noWrap w:val="0"/>
            <w:vAlign w:val="center"/>
          </w:tcPr>
          <w:p w14:paraId="44A20B6C">
            <w:pPr>
              <w:jc w:val="center"/>
              <w:rPr>
                <w:rFonts w:cs="宋体"/>
                <w:color w:val="000000"/>
                <w:szCs w:val="21"/>
              </w:rPr>
            </w:pPr>
            <w:r>
              <w:rPr>
                <w:rFonts w:cs="宋体"/>
                <w:color w:val="000000"/>
                <w:szCs w:val="21"/>
              </w:rPr>
              <w:t>废水</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5898F6C8">
            <w:pPr>
              <w:jc w:val="center"/>
              <w:rPr>
                <w:rFonts w:hint="eastAsia" w:cs="宋体"/>
                <w:color w:val="000000"/>
                <w:szCs w:val="21"/>
              </w:rPr>
            </w:pPr>
            <w:r>
              <w:rPr>
                <w:color w:val="000000"/>
                <w:szCs w:val="21"/>
              </w:rPr>
              <w:t>配套污水管网及污水处理站1座（处理能力</w:t>
            </w:r>
            <w:r>
              <w:rPr>
                <w:rFonts w:hint="eastAsia"/>
                <w:color w:val="000000"/>
                <w:szCs w:val="21"/>
              </w:rPr>
              <w:t>120</w:t>
            </w:r>
            <w:r>
              <w:rPr>
                <w:color w:val="000000"/>
                <w:szCs w:val="21"/>
              </w:rPr>
              <w:t>m</w:t>
            </w:r>
            <w:r>
              <w:rPr>
                <w:color w:val="000000"/>
                <w:szCs w:val="21"/>
                <w:vertAlign w:val="superscript"/>
              </w:rPr>
              <w:t>3</w:t>
            </w:r>
            <w:r>
              <w:rPr>
                <w:color w:val="000000"/>
                <w:szCs w:val="21"/>
              </w:rPr>
              <w:t>/d）、事故应急池1个（1</w:t>
            </w:r>
            <w:r>
              <w:rPr>
                <w:rFonts w:hint="eastAsia"/>
                <w:color w:val="000000"/>
                <w:szCs w:val="21"/>
              </w:rPr>
              <w:t>10</w:t>
            </w:r>
            <w:r>
              <w:rPr>
                <w:color w:val="000000"/>
                <w:szCs w:val="21"/>
              </w:rPr>
              <w:t>m</w:t>
            </w:r>
            <w:r>
              <w:rPr>
                <w:color w:val="000000"/>
                <w:szCs w:val="21"/>
                <w:vertAlign w:val="superscript"/>
              </w:rPr>
              <w:t>3</w:t>
            </w:r>
            <w:r>
              <w:rPr>
                <w:color w:val="000000"/>
                <w:szCs w:val="21"/>
              </w:rPr>
              <w:t>）、化粪池</w:t>
            </w:r>
            <w:r>
              <w:rPr>
                <w:rFonts w:hint="eastAsia"/>
                <w:color w:val="000000"/>
                <w:szCs w:val="21"/>
              </w:rPr>
              <w:t>4</w:t>
            </w:r>
            <w:r>
              <w:rPr>
                <w:color w:val="000000"/>
                <w:szCs w:val="21"/>
              </w:rPr>
              <w:t>个（</w:t>
            </w:r>
            <w:r>
              <w:rPr>
                <w:rFonts w:hint="eastAsia"/>
                <w:color w:val="000000"/>
                <w:szCs w:val="21"/>
              </w:rPr>
              <w:t>总容积</w:t>
            </w:r>
            <w:r>
              <w:rPr>
                <w:color w:val="000000"/>
                <w:szCs w:val="21"/>
              </w:rPr>
              <w:t>1</w:t>
            </w:r>
            <w:r>
              <w:rPr>
                <w:rFonts w:hint="eastAsia"/>
                <w:color w:val="000000"/>
                <w:szCs w:val="21"/>
              </w:rPr>
              <w:t>4</w:t>
            </w:r>
            <w:r>
              <w:rPr>
                <w:color w:val="000000"/>
                <w:szCs w:val="21"/>
              </w:rPr>
              <w:t>0m</w:t>
            </w:r>
            <w:r>
              <w:rPr>
                <w:color w:val="000000"/>
                <w:szCs w:val="21"/>
                <w:vertAlign w:val="superscript"/>
              </w:rPr>
              <w:t>3</w:t>
            </w:r>
            <w:r>
              <w:rPr>
                <w:color w:val="000000"/>
                <w:szCs w:val="21"/>
              </w:rPr>
              <w:t>）</w:t>
            </w:r>
          </w:p>
        </w:tc>
        <w:tc>
          <w:tcPr>
            <w:tcW w:w="1330" w:type="dxa"/>
            <w:tcBorders>
              <w:top w:val="single" w:color="000000" w:sz="4" w:space="0"/>
              <w:left w:val="single" w:color="000000" w:sz="4" w:space="0"/>
              <w:bottom w:val="single" w:color="000000" w:sz="4" w:space="0"/>
              <w:right w:val="single" w:color="000000" w:sz="4" w:space="0"/>
            </w:tcBorders>
            <w:noWrap w:val="0"/>
            <w:vAlign w:val="center"/>
          </w:tcPr>
          <w:p w14:paraId="7987C663">
            <w:pPr>
              <w:jc w:val="center"/>
              <w:rPr>
                <w:rFonts w:hint="eastAsia" w:cs="宋体"/>
                <w:color w:val="000000"/>
                <w:szCs w:val="21"/>
              </w:rPr>
            </w:pPr>
            <w:r>
              <w:rPr>
                <w:rFonts w:cs="宋体"/>
                <w:color w:val="000000"/>
                <w:szCs w:val="21"/>
              </w:rPr>
              <w:t>2</w:t>
            </w:r>
            <w:r>
              <w:rPr>
                <w:rFonts w:hint="eastAsia" w:cs="宋体"/>
                <w:color w:val="000000"/>
                <w:szCs w:val="21"/>
              </w:rPr>
              <w:t>15</w:t>
            </w:r>
          </w:p>
        </w:tc>
      </w:tr>
      <w:tr w14:paraId="60228048">
        <w:tblPrEx>
          <w:tblCellMar>
            <w:top w:w="15" w:type="dxa"/>
            <w:left w:w="15" w:type="dxa"/>
            <w:bottom w:w="0" w:type="dxa"/>
            <w:right w:w="15" w:type="dxa"/>
          </w:tblCellMar>
        </w:tblPrEx>
        <w:trPr>
          <w:trHeight w:val="581" w:hRule="exact"/>
        </w:trPr>
        <w:tc>
          <w:tcPr>
            <w:tcW w:w="351" w:type="dxa"/>
            <w:tcBorders>
              <w:top w:val="single" w:color="000000" w:sz="4" w:space="0"/>
              <w:left w:val="single" w:color="000000" w:sz="4" w:space="0"/>
              <w:bottom w:val="single" w:color="000000" w:sz="4" w:space="0"/>
              <w:right w:val="single" w:color="000000" w:sz="4" w:space="0"/>
            </w:tcBorders>
            <w:noWrap w:val="0"/>
            <w:vAlign w:val="center"/>
          </w:tcPr>
          <w:p w14:paraId="4ECD4956">
            <w:pPr>
              <w:jc w:val="center"/>
              <w:rPr>
                <w:color w:val="000000"/>
                <w:szCs w:val="21"/>
              </w:rPr>
            </w:pPr>
            <w:r>
              <w:rPr>
                <w:color w:val="000000"/>
                <w:szCs w:val="21"/>
              </w:rPr>
              <w:t>6</w:t>
            </w:r>
          </w:p>
        </w:tc>
        <w:tc>
          <w:tcPr>
            <w:tcW w:w="1138" w:type="dxa"/>
            <w:tcBorders>
              <w:top w:val="single" w:color="000000" w:sz="4" w:space="0"/>
              <w:left w:val="single" w:color="000000" w:sz="4" w:space="0"/>
              <w:bottom w:val="single" w:color="000000" w:sz="4" w:space="0"/>
              <w:right w:val="single" w:color="000000" w:sz="4" w:space="0"/>
            </w:tcBorders>
            <w:noWrap w:val="0"/>
            <w:vAlign w:val="center"/>
          </w:tcPr>
          <w:p w14:paraId="3F7CF4E0">
            <w:pPr>
              <w:jc w:val="center"/>
              <w:rPr>
                <w:rFonts w:hint="eastAsia"/>
                <w:color w:val="000000"/>
                <w:szCs w:val="21"/>
              </w:rPr>
            </w:pPr>
            <w:r>
              <w:rPr>
                <w:rFonts w:hint="eastAsia"/>
                <w:color w:val="000000"/>
                <w:szCs w:val="21"/>
              </w:rPr>
              <w:t>整个妇幼保健院</w:t>
            </w:r>
          </w:p>
        </w:tc>
        <w:tc>
          <w:tcPr>
            <w:tcW w:w="1453" w:type="dxa"/>
            <w:tcBorders>
              <w:top w:val="single" w:color="000000" w:sz="4" w:space="0"/>
              <w:left w:val="single" w:color="000000" w:sz="4" w:space="0"/>
              <w:bottom w:val="single" w:color="000000" w:sz="4" w:space="0"/>
              <w:right w:val="single" w:color="000000" w:sz="4" w:space="0"/>
            </w:tcBorders>
            <w:noWrap w:val="0"/>
            <w:vAlign w:val="center"/>
          </w:tcPr>
          <w:p w14:paraId="7FC9B245">
            <w:pPr>
              <w:jc w:val="center"/>
              <w:rPr>
                <w:rFonts w:cs="宋体"/>
                <w:color w:val="000000"/>
                <w:szCs w:val="21"/>
              </w:rPr>
            </w:pPr>
            <w:r>
              <w:rPr>
                <w:rFonts w:cs="宋体"/>
                <w:color w:val="000000"/>
                <w:szCs w:val="21"/>
              </w:rPr>
              <w:t>废水</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4BB66A23">
            <w:pPr>
              <w:jc w:val="center"/>
              <w:rPr>
                <w:color w:val="000000"/>
                <w:szCs w:val="21"/>
              </w:rPr>
            </w:pPr>
            <w:r>
              <w:rPr>
                <w:color w:val="000000"/>
                <w:szCs w:val="21"/>
              </w:rPr>
              <w:t>各污水处理设施等地面进行硬化、做防渗透措施</w:t>
            </w:r>
          </w:p>
        </w:tc>
        <w:tc>
          <w:tcPr>
            <w:tcW w:w="1330" w:type="dxa"/>
            <w:tcBorders>
              <w:top w:val="single" w:color="000000" w:sz="4" w:space="0"/>
              <w:left w:val="single" w:color="000000" w:sz="4" w:space="0"/>
              <w:bottom w:val="single" w:color="000000" w:sz="4" w:space="0"/>
              <w:right w:val="single" w:color="000000" w:sz="4" w:space="0"/>
            </w:tcBorders>
            <w:noWrap w:val="0"/>
            <w:vAlign w:val="center"/>
          </w:tcPr>
          <w:p w14:paraId="68962ABA">
            <w:pPr>
              <w:jc w:val="center"/>
              <w:rPr>
                <w:rFonts w:hint="eastAsia" w:cs="宋体"/>
                <w:color w:val="000000"/>
                <w:szCs w:val="21"/>
              </w:rPr>
            </w:pPr>
            <w:r>
              <w:rPr>
                <w:rFonts w:hint="eastAsia" w:ascii="宋体" w:hAnsi="宋体" w:cs="宋体"/>
                <w:color w:val="000000"/>
                <w:szCs w:val="21"/>
              </w:rPr>
              <w:t>160.0</w:t>
            </w:r>
          </w:p>
        </w:tc>
      </w:tr>
      <w:tr w14:paraId="7E684271">
        <w:tblPrEx>
          <w:tblCellMar>
            <w:top w:w="15" w:type="dxa"/>
            <w:left w:w="15" w:type="dxa"/>
            <w:bottom w:w="0" w:type="dxa"/>
            <w:right w:w="15" w:type="dxa"/>
          </w:tblCellMar>
        </w:tblPrEx>
        <w:trPr>
          <w:trHeight w:val="591" w:hRule="exact"/>
        </w:trPr>
        <w:tc>
          <w:tcPr>
            <w:tcW w:w="351" w:type="dxa"/>
            <w:vMerge w:val="restart"/>
            <w:tcBorders>
              <w:top w:val="single" w:color="000000" w:sz="4" w:space="0"/>
              <w:left w:val="single" w:color="000000" w:sz="4" w:space="0"/>
              <w:bottom w:val="nil"/>
              <w:right w:val="single" w:color="000000" w:sz="4" w:space="0"/>
            </w:tcBorders>
            <w:noWrap w:val="0"/>
            <w:vAlign w:val="center"/>
          </w:tcPr>
          <w:p w14:paraId="54909F74">
            <w:pPr>
              <w:jc w:val="center"/>
              <w:rPr>
                <w:color w:val="000000"/>
                <w:szCs w:val="21"/>
              </w:rPr>
            </w:pPr>
            <w:r>
              <w:rPr>
                <w:color w:val="000000"/>
                <w:szCs w:val="21"/>
              </w:rPr>
              <w:t>7</w:t>
            </w:r>
          </w:p>
        </w:tc>
        <w:tc>
          <w:tcPr>
            <w:tcW w:w="1138" w:type="dxa"/>
            <w:vMerge w:val="restart"/>
            <w:tcBorders>
              <w:top w:val="single" w:color="000000" w:sz="4" w:space="0"/>
              <w:left w:val="single" w:color="000000" w:sz="4" w:space="0"/>
              <w:bottom w:val="nil"/>
              <w:right w:val="single" w:color="000000" w:sz="4" w:space="0"/>
            </w:tcBorders>
            <w:noWrap w:val="0"/>
            <w:vAlign w:val="center"/>
          </w:tcPr>
          <w:p w14:paraId="08278C87">
            <w:pPr>
              <w:jc w:val="center"/>
              <w:rPr>
                <w:rFonts w:hint="eastAsia"/>
                <w:color w:val="000000"/>
                <w:szCs w:val="21"/>
              </w:rPr>
            </w:pPr>
            <w:r>
              <w:rPr>
                <w:rFonts w:hint="eastAsia"/>
                <w:color w:val="000000"/>
                <w:szCs w:val="21"/>
              </w:rPr>
              <w:t>整个妇幼保健院</w:t>
            </w:r>
          </w:p>
        </w:tc>
        <w:tc>
          <w:tcPr>
            <w:tcW w:w="1453" w:type="dxa"/>
            <w:vMerge w:val="restart"/>
            <w:tcBorders>
              <w:top w:val="single" w:color="000000" w:sz="4" w:space="0"/>
              <w:left w:val="single" w:color="000000" w:sz="4" w:space="0"/>
              <w:bottom w:val="nil"/>
              <w:right w:val="single" w:color="000000" w:sz="4" w:space="0"/>
            </w:tcBorders>
            <w:noWrap w:val="0"/>
            <w:vAlign w:val="center"/>
          </w:tcPr>
          <w:p w14:paraId="5156FA0C">
            <w:pPr>
              <w:jc w:val="center"/>
              <w:rPr>
                <w:rFonts w:cs="宋体"/>
                <w:color w:val="000000"/>
                <w:szCs w:val="21"/>
              </w:rPr>
            </w:pPr>
            <w:r>
              <w:rPr>
                <w:rFonts w:cs="宋体"/>
                <w:color w:val="000000"/>
                <w:szCs w:val="21"/>
              </w:rPr>
              <w:t>废气</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658BBB57">
            <w:pPr>
              <w:jc w:val="center"/>
              <w:rPr>
                <w:color w:val="000000"/>
                <w:szCs w:val="21"/>
              </w:rPr>
            </w:pPr>
            <w:r>
              <w:rPr>
                <w:rFonts w:hint="eastAsia"/>
                <w:color w:val="000000"/>
              </w:rPr>
              <w:t>空调通风系统、活性炭吸附系统</w:t>
            </w:r>
          </w:p>
        </w:tc>
        <w:tc>
          <w:tcPr>
            <w:tcW w:w="1330" w:type="dxa"/>
            <w:tcBorders>
              <w:top w:val="single" w:color="000000" w:sz="4" w:space="0"/>
              <w:left w:val="single" w:color="000000" w:sz="4" w:space="0"/>
              <w:bottom w:val="single" w:color="000000" w:sz="4" w:space="0"/>
              <w:right w:val="single" w:color="000000" w:sz="4" w:space="0"/>
            </w:tcBorders>
            <w:noWrap w:val="0"/>
            <w:vAlign w:val="center"/>
          </w:tcPr>
          <w:p w14:paraId="6419F90D">
            <w:pPr>
              <w:jc w:val="center"/>
              <w:rPr>
                <w:rFonts w:hint="eastAsia" w:cs="宋体"/>
                <w:color w:val="000000"/>
                <w:szCs w:val="21"/>
              </w:rPr>
            </w:pPr>
            <w:r>
              <w:rPr>
                <w:rFonts w:hint="eastAsia" w:cs="宋体"/>
                <w:color w:val="000000"/>
                <w:szCs w:val="21"/>
              </w:rPr>
              <w:t>225</w:t>
            </w:r>
          </w:p>
        </w:tc>
      </w:tr>
      <w:tr w14:paraId="139AC262">
        <w:tblPrEx>
          <w:tblCellMar>
            <w:top w:w="15" w:type="dxa"/>
            <w:left w:w="15" w:type="dxa"/>
            <w:bottom w:w="0" w:type="dxa"/>
            <w:right w:w="15" w:type="dxa"/>
          </w:tblCellMar>
        </w:tblPrEx>
        <w:trPr>
          <w:trHeight w:val="591" w:hRule="exact"/>
        </w:trPr>
        <w:tc>
          <w:tcPr>
            <w:tcW w:w="351" w:type="dxa"/>
            <w:vMerge w:val="continue"/>
            <w:tcBorders>
              <w:top w:val="nil"/>
              <w:left w:val="single" w:color="000000" w:sz="4" w:space="0"/>
              <w:bottom w:val="single" w:color="000000" w:sz="4" w:space="0"/>
              <w:right w:val="single" w:color="000000" w:sz="4" w:space="0"/>
            </w:tcBorders>
            <w:noWrap w:val="0"/>
            <w:vAlign w:val="center"/>
          </w:tcPr>
          <w:p w14:paraId="7385CEE8">
            <w:pPr>
              <w:jc w:val="center"/>
              <w:rPr>
                <w:color w:val="000000"/>
                <w:szCs w:val="21"/>
              </w:rPr>
            </w:pPr>
          </w:p>
        </w:tc>
        <w:tc>
          <w:tcPr>
            <w:tcW w:w="1138" w:type="dxa"/>
            <w:vMerge w:val="continue"/>
            <w:tcBorders>
              <w:top w:val="nil"/>
              <w:left w:val="single" w:color="000000" w:sz="4" w:space="0"/>
              <w:bottom w:val="single" w:color="000000" w:sz="4" w:space="0"/>
              <w:right w:val="single" w:color="000000" w:sz="4" w:space="0"/>
            </w:tcBorders>
            <w:noWrap w:val="0"/>
            <w:vAlign w:val="center"/>
          </w:tcPr>
          <w:p w14:paraId="401E6957">
            <w:pPr>
              <w:jc w:val="center"/>
              <w:rPr>
                <w:rFonts w:hint="eastAsia"/>
                <w:color w:val="000000"/>
                <w:szCs w:val="21"/>
              </w:rPr>
            </w:pPr>
          </w:p>
        </w:tc>
        <w:tc>
          <w:tcPr>
            <w:tcW w:w="1453" w:type="dxa"/>
            <w:vMerge w:val="continue"/>
            <w:tcBorders>
              <w:top w:val="nil"/>
              <w:left w:val="single" w:color="000000" w:sz="4" w:space="0"/>
              <w:bottom w:val="single" w:color="000000" w:sz="4" w:space="0"/>
              <w:right w:val="single" w:color="000000" w:sz="4" w:space="0"/>
            </w:tcBorders>
            <w:noWrap w:val="0"/>
            <w:vAlign w:val="center"/>
          </w:tcPr>
          <w:p w14:paraId="42BE33CB">
            <w:pPr>
              <w:jc w:val="center"/>
              <w:rPr>
                <w:rFonts w:cs="宋体"/>
                <w:color w:val="000000"/>
                <w:szCs w:val="21"/>
              </w:rPr>
            </w:pP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7B94248D">
            <w:pPr>
              <w:jc w:val="center"/>
              <w:rPr>
                <w:rFonts w:hint="eastAsia"/>
                <w:color w:val="000000"/>
              </w:rPr>
            </w:pPr>
            <w:r>
              <w:rPr>
                <w:rFonts w:hint="eastAsia"/>
                <w:color w:val="000000"/>
              </w:rPr>
              <w:t>食堂油烟净化器</w:t>
            </w:r>
          </w:p>
        </w:tc>
        <w:tc>
          <w:tcPr>
            <w:tcW w:w="1330" w:type="dxa"/>
            <w:tcBorders>
              <w:top w:val="single" w:color="000000" w:sz="4" w:space="0"/>
              <w:left w:val="single" w:color="000000" w:sz="4" w:space="0"/>
              <w:bottom w:val="single" w:color="000000" w:sz="4" w:space="0"/>
              <w:right w:val="single" w:color="000000" w:sz="4" w:space="0"/>
            </w:tcBorders>
            <w:noWrap w:val="0"/>
            <w:vAlign w:val="center"/>
          </w:tcPr>
          <w:p w14:paraId="62EFB811">
            <w:pPr>
              <w:jc w:val="center"/>
              <w:rPr>
                <w:rFonts w:cs="宋体"/>
                <w:color w:val="000000"/>
                <w:szCs w:val="21"/>
              </w:rPr>
            </w:pPr>
            <w:r>
              <w:rPr>
                <w:rFonts w:cs="宋体"/>
                <w:color w:val="000000"/>
                <w:szCs w:val="21"/>
              </w:rPr>
              <w:t>10.0</w:t>
            </w:r>
          </w:p>
        </w:tc>
      </w:tr>
      <w:tr w14:paraId="21D2E14B">
        <w:tblPrEx>
          <w:tblCellMar>
            <w:top w:w="15" w:type="dxa"/>
            <w:left w:w="15" w:type="dxa"/>
            <w:bottom w:w="0" w:type="dxa"/>
            <w:right w:w="15" w:type="dxa"/>
          </w:tblCellMar>
        </w:tblPrEx>
        <w:trPr>
          <w:trHeight w:val="647" w:hRule="exact"/>
        </w:trPr>
        <w:tc>
          <w:tcPr>
            <w:tcW w:w="351" w:type="dxa"/>
            <w:vMerge w:val="restart"/>
            <w:tcBorders>
              <w:top w:val="single" w:color="000000" w:sz="4" w:space="0"/>
              <w:left w:val="single" w:color="000000" w:sz="4" w:space="0"/>
              <w:bottom w:val="single" w:color="000000" w:sz="4" w:space="0"/>
              <w:right w:val="single" w:color="000000" w:sz="4" w:space="0"/>
            </w:tcBorders>
            <w:noWrap w:val="0"/>
            <w:vAlign w:val="center"/>
          </w:tcPr>
          <w:p w14:paraId="5118F633">
            <w:pPr>
              <w:jc w:val="center"/>
              <w:rPr>
                <w:color w:val="000000"/>
                <w:szCs w:val="21"/>
              </w:rPr>
            </w:pPr>
            <w:r>
              <w:rPr>
                <w:color w:val="000000"/>
                <w:szCs w:val="21"/>
              </w:rPr>
              <w:t>8</w:t>
            </w:r>
          </w:p>
        </w:tc>
        <w:tc>
          <w:tcPr>
            <w:tcW w:w="1138" w:type="dxa"/>
            <w:tcBorders>
              <w:top w:val="single" w:color="000000" w:sz="4" w:space="0"/>
              <w:left w:val="single" w:color="000000" w:sz="4" w:space="0"/>
              <w:bottom w:val="single" w:color="000000" w:sz="4" w:space="0"/>
              <w:right w:val="single" w:color="000000" w:sz="4" w:space="0"/>
            </w:tcBorders>
            <w:noWrap w:val="0"/>
            <w:vAlign w:val="center"/>
          </w:tcPr>
          <w:p w14:paraId="4C5853D4">
            <w:pPr>
              <w:jc w:val="center"/>
              <w:rPr>
                <w:rFonts w:hint="eastAsia" w:cs="宋体"/>
                <w:color w:val="000000"/>
                <w:szCs w:val="21"/>
              </w:rPr>
            </w:pPr>
            <w:r>
              <w:rPr>
                <w:rFonts w:hint="eastAsia" w:cs="宋体"/>
                <w:color w:val="000000"/>
                <w:szCs w:val="21"/>
              </w:rPr>
              <w:t>整个妇幼保健院</w:t>
            </w:r>
          </w:p>
        </w:tc>
        <w:tc>
          <w:tcPr>
            <w:tcW w:w="1453" w:type="dxa"/>
            <w:tcBorders>
              <w:top w:val="single" w:color="000000" w:sz="4" w:space="0"/>
              <w:left w:val="single" w:color="000000" w:sz="4" w:space="0"/>
              <w:bottom w:val="single" w:color="000000" w:sz="4" w:space="0"/>
              <w:right w:val="single" w:color="000000" w:sz="4" w:space="0"/>
            </w:tcBorders>
            <w:noWrap w:val="0"/>
            <w:vAlign w:val="center"/>
          </w:tcPr>
          <w:p w14:paraId="044FF055">
            <w:pPr>
              <w:jc w:val="center"/>
              <w:rPr>
                <w:rFonts w:cs="宋体"/>
                <w:color w:val="000000"/>
                <w:szCs w:val="21"/>
              </w:rPr>
            </w:pPr>
            <w:r>
              <w:rPr>
                <w:rFonts w:cs="宋体"/>
                <w:color w:val="000000"/>
                <w:szCs w:val="21"/>
              </w:rPr>
              <w:t>设备噪声</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69A736FC">
            <w:pPr>
              <w:jc w:val="center"/>
              <w:rPr>
                <w:rFonts w:cs="宋体"/>
                <w:color w:val="000000"/>
                <w:szCs w:val="21"/>
              </w:rPr>
            </w:pPr>
            <w:r>
              <w:rPr>
                <w:rFonts w:cs="宋体"/>
                <w:color w:val="000000"/>
                <w:szCs w:val="21"/>
              </w:rPr>
              <w:t>降噪措施、置于设备房内</w:t>
            </w:r>
          </w:p>
        </w:tc>
        <w:tc>
          <w:tcPr>
            <w:tcW w:w="1330" w:type="dxa"/>
            <w:vMerge w:val="restart"/>
            <w:tcBorders>
              <w:top w:val="single" w:color="000000" w:sz="4" w:space="0"/>
              <w:left w:val="single" w:color="000000" w:sz="4" w:space="0"/>
              <w:bottom w:val="nil"/>
              <w:right w:val="single" w:color="000000" w:sz="4" w:space="0"/>
            </w:tcBorders>
            <w:noWrap w:val="0"/>
            <w:vAlign w:val="center"/>
          </w:tcPr>
          <w:p w14:paraId="23866F4B">
            <w:pPr>
              <w:jc w:val="center"/>
              <w:rPr>
                <w:rFonts w:hint="eastAsia" w:cs="宋体"/>
                <w:color w:val="000000"/>
                <w:szCs w:val="21"/>
              </w:rPr>
            </w:pPr>
            <w:r>
              <w:rPr>
                <w:rFonts w:hint="eastAsia" w:cs="宋体"/>
                <w:color w:val="000000"/>
                <w:szCs w:val="21"/>
              </w:rPr>
              <w:t>8.4</w:t>
            </w:r>
          </w:p>
        </w:tc>
      </w:tr>
      <w:tr w14:paraId="1ED621D1">
        <w:tblPrEx>
          <w:tblCellMar>
            <w:top w:w="15" w:type="dxa"/>
            <w:left w:w="15" w:type="dxa"/>
            <w:bottom w:w="0" w:type="dxa"/>
            <w:right w:w="15" w:type="dxa"/>
          </w:tblCellMar>
        </w:tblPrEx>
        <w:trPr>
          <w:trHeight w:val="397" w:hRule="exact"/>
        </w:trPr>
        <w:tc>
          <w:tcPr>
            <w:tcW w:w="351" w:type="dxa"/>
            <w:vMerge w:val="continue"/>
            <w:tcBorders>
              <w:top w:val="single" w:color="000000" w:sz="4" w:space="0"/>
              <w:left w:val="single" w:color="000000" w:sz="4" w:space="0"/>
              <w:bottom w:val="single" w:color="000000" w:sz="4" w:space="0"/>
              <w:right w:val="single" w:color="000000" w:sz="4" w:space="0"/>
            </w:tcBorders>
            <w:noWrap w:val="0"/>
            <w:vAlign w:val="center"/>
          </w:tcPr>
          <w:p w14:paraId="219D31E9">
            <w:pPr>
              <w:jc w:val="left"/>
              <w:rPr>
                <w:rFonts w:cs="宋体"/>
                <w:color w:val="000000"/>
                <w:szCs w:val="21"/>
              </w:rPr>
            </w:pPr>
          </w:p>
        </w:tc>
        <w:tc>
          <w:tcPr>
            <w:tcW w:w="1138" w:type="dxa"/>
            <w:tcBorders>
              <w:top w:val="single" w:color="000000" w:sz="4" w:space="0"/>
              <w:left w:val="single" w:color="000000" w:sz="4" w:space="0"/>
              <w:bottom w:val="single" w:color="000000" w:sz="4" w:space="0"/>
              <w:right w:val="single" w:color="000000" w:sz="4" w:space="0"/>
            </w:tcBorders>
            <w:noWrap w:val="0"/>
            <w:vAlign w:val="center"/>
          </w:tcPr>
          <w:p w14:paraId="2A662DF9">
            <w:pPr>
              <w:jc w:val="center"/>
              <w:rPr>
                <w:rFonts w:cs="宋体"/>
                <w:color w:val="000000"/>
                <w:szCs w:val="21"/>
              </w:rPr>
            </w:pPr>
            <w:r>
              <w:rPr>
                <w:rFonts w:cs="宋体"/>
                <w:color w:val="000000"/>
                <w:szCs w:val="21"/>
              </w:rPr>
              <w:t>汽车</w:t>
            </w:r>
          </w:p>
        </w:tc>
        <w:tc>
          <w:tcPr>
            <w:tcW w:w="1453" w:type="dxa"/>
            <w:tcBorders>
              <w:top w:val="single" w:color="000000" w:sz="4" w:space="0"/>
              <w:left w:val="single" w:color="000000" w:sz="4" w:space="0"/>
              <w:bottom w:val="single" w:color="000000" w:sz="4" w:space="0"/>
              <w:right w:val="single" w:color="000000" w:sz="4" w:space="0"/>
            </w:tcBorders>
            <w:noWrap w:val="0"/>
            <w:vAlign w:val="center"/>
          </w:tcPr>
          <w:p w14:paraId="37E7B5C1">
            <w:pPr>
              <w:jc w:val="center"/>
              <w:rPr>
                <w:rFonts w:cs="宋体"/>
                <w:color w:val="000000"/>
                <w:szCs w:val="21"/>
              </w:rPr>
            </w:pPr>
            <w:r>
              <w:rPr>
                <w:rFonts w:cs="宋体"/>
                <w:color w:val="000000"/>
                <w:szCs w:val="21"/>
              </w:rPr>
              <w:t>交通噪声</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48A83105">
            <w:pPr>
              <w:jc w:val="center"/>
              <w:rPr>
                <w:rFonts w:cs="宋体"/>
                <w:color w:val="000000"/>
                <w:szCs w:val="21"/>
              </w:rPr>
            </w:pPr>
            <w:r>
              <w:rPr>
                <w:rFonts w:cs="宋体"/>
                <w:color w:val="000000"/>
                <w:szCs w:val="21"/>
              </w:rPr>
              <w:t>禁鸣、减速标志</w:t>
            </w:r>
          </w:p>
        </w:tc>
        <w:tc>
          <w:tcPr>
            <w:tcW w:w="1330" w:type="dxa"/>
            <w:vMerge w:val="continue"/>
            <w:tcBorders>
              <w:top w:val="nil"/>
              <w:left w:val="single" w:color="000000" w:sz="4" w:space="0"/>
              <w:bottom w:val="single" w:color="000000" w:sz="4" w:space="0"/>
              <w:right w:val="single" w:color="000000" w:sz="4" w:space="0"/>
            </w:tcBorders>
            <w:noWrap w:val="0"/>
            <w:vAlign w:val="center"/>
          </w:tcPr>
          <w:p w14:paraId="2DD7BD12">
            <w:pPr>
              <w:jc w:val="left"/>
              <w:rPr>
                <w:rFonts w:cs="宋体"/>
                <w:color w:val="000000"/>
                <w:szCs w:val="21"/>
              </w:rPr>
            </w:pPr>
          </w:p>
        </w:tc>
      </w:tr>
      <w:tr w14:paraId="3CD5806B">
        <w:tblPrEx>
          <w:tblCellMar>
            <w:top w:w="15" w:type="dxa"/>
            <w:left w:w="15" w:type="dxa"/>
            <w:bottom w:w="0" w:type="dxa"/>
            <w:right w:w="15" w:type="dxa"/>
          </w:tblCellMar>
        </w:tblPrEx>
        <w:trPr>
          <w:trHeight w:val="599" w:hRule="exact"/>
        </w:trPr>
        <w:tc>
          <w:tcPr>
            <w:tcW w:w="351" w:type="dxa"/>
            <w:vMerge w:val="restart"/>
            <w:tcBorders>
              <w:top w:val="single" w:color="000000" w:sz="4" w:space="0"/>
              <w:left w:val="single" w:color="000000" w:sz="4" w:space="0"/>
              <w:bottom w:val="single" w:color="000000" w:sz="4" w:space="0"/>
              <w:right w:val="single" w:color="000000" w:sz="4" w:space="0"/>
            </w:tcBorders>
            <w:noWrap w:val="0"/>
            <w:vAlign w:val="center"/>
          </w:tcPr>
          <w:p w14:paraId="68151655">
            <w:pPr>
              <w:jc w:val="center"/>
              <w:rPr>
                <w:color w:val="000000"/>
                <w:szCs w:val="21"/>
              </w:rPr>
            </w:pPr>
            <w:r>
              <w:rPr>
                <w:color w:val="000000"/>
                <w:szCs w:val="21"/>
              </w:rPr>
              <w:t>9</w:t>
            </w:r>
          </w:p>
        </w:tc>
        <w:tc>
          <w:tcPr>
            <w:tcW w:w="1138" w:type="dxa"/>
            <w:tcBorders>
              <w:top w:val="single" w:color="000000" w:sz="4" w:space="0"/>
              <w:left w:val="single" w:color="000000" w:sz="4" w:space="0"/>
              <w:bottom w:val="single" w:color="000000" w:sz="4" w:space="0"/>
              <w:right w:val="single" w:color="000000" w:sz="4" w:space="0"/>
            </w:tcBorders>
            <w:noWrap w:val="0"/>
            <w:vAlign w:val="center"/>
          </w:tcPr>
          <w:p w14:paraId="314B82E5">
            <w:pPr>
              <w:jc w:val="center"/>
              <w:rPr>
                <w:rFonts w:cs="宋体"/>
                <w:color w:val="000000"/>
                <w:szCs w:val="21"/>
              </w:rPr>
            </w:pPr>
            <w:r>
              <w:rPr>
                <w:rFonts w:hint="eastAsia" w:ascii="宋体" w:hAnsi="宋体" w:cs="宋体"/>
                <w:color w:val="000000"/>
                <w:szCs w:val="21"/>
              </w:rPr>
              <w:t>职工及病人</w:t>
            </w:r>
          </w:p>
        </w:tc>
        <w:tc>
          <w:tcPr>
            <w:tcW w:w="1453" w:type="dxa"/>
            <w:tcBorders>
              <w:top w:val="single" w:color="000000" w:sz="4" w:space="0"/>
              <w:left w:val="single" w:color="000000" w:sz="4" w:space="0"/>
              <w:bottom w:val="single" w:color="000000" w:sz="4" w:space="0"/>
              <w:right w:val="single" w:color="000000" w:sz="4" w:space="0"/>
            </w:tcBorders>
            <w:noWrap w:val="0"/>
            <w:vAlign w:val="center"/>
          </w:tcPr>
          <w:p w14:paraId="57C8D068">
            <w:pPr>
              <w:jc w:val="center"/>
              <w:rPr>
                <w:rFonts w:cs="宋体"/>
                <w:color w:val="000000"/>
                <w:szCs w:val="21"/>
              </w:rPr>
            </w:pPr>
            <w:r>
              <w:rPr>
                <w:rFonts w:cs="宋体"/>
                <w:color w:val="000000"/>
                <w:szCs w:val="21"/>
              </w:rPr>
              <w:t>生活垃圾</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6C85C8A1">
            <w:pPr>
              <w:jc w:val="center"/>
              <w:rPr>
                <w:rFonts w:cs="宋体"/>
                <w:color w:val="000000"/>
                <w:szCs w:val="21"/>
              </w:rPr>
            </w:pPr>
            <w:r>
              <w:rPr>
                <w:rFonts w:cs="宋体"/>
                <w:color w:val="000000"/>
                <w:szCs w:val="21"/>
              </w:rPr>
              <w:t>设垃圾桶，交由环卫部门处置</w:t>
            </w:r>
          </w:p>
        </w:tc>
        <w:tc>
          <w:tcPr>
            <w:tcW w:w="1330" w:type="dxa"/>
            <w:vMerge w:val="restart"/>
            <w:tcBorders>
              <w:top w:val="single" w:color="000000" w:sz="4" w:space="0"/>
              <w:left w:val="single" w:color="000000" w:sz="4" w:space="0"/>
              <w:bottom w:val="nil"/>
              <w:right w:val="single" w:color="000000" w:sz="4" w:space="0"/>
            </w:tcBorders>
            <w:noWrap w:val="0"/>
            <w:vAlign w:val="center"/>
          </w:tcPr>
          <w:p w14:paraId="77A4DA05">
            <w:pPr>
              <w:jc w:val="center"/>
              <w:rPr>
                <w:rFonts w:hint="eastAsia" w:cs="宋体"/>
                <w:color w:val="000000"/>
                <w:szCs w:val="21"/>
              </w:rPr>
            </w:pPr>
            <w:r>
              <w:rPr>
                <w:rFonts w:hint="eastAsia" w:cs="宋体"/>
                <w:color w:val="000000"/>
                <w:szCs w:val="21"/>
              </w:rPr>
              <w:t>40</w:t>
            </w:r>
          </w:p>
        </w:tc>
      </w:tr>
      <w:tr w14:paraId="6EF84A50">
        <w:tblPrEx>
          <w:tblCellMar>
            <w:top w:w="15" w:type="dxa"/>
            <w:left w:w="15" w:type="dxa"/>
            <w:bottom w:w="0" w:type="dxa"/>
            <w:right w:w="15" w:type="dxa"/>
          </w:tblCellMar>
        </w:tblPrEx>
        <w:trPr>
          <w:trHeight w:val="759" w:hRule="exact"/>
        </w:trPr>
        <w:tc>
          <w:tcPr>
            <w:tcW w:w="351" w:type="dxa"/>
            <w:vMerge w:val="continue"/>
            <w:tcBorders>
              <w:top w:val="single" w:color="000000" w:sz="4" w:space="0"/>
              <w:left w:val="single" w:color="000000" w:sz="4" w:space="0"/>
              <w:bottom w:val="single" w:color="000000" w:sz="4" w:space="0"/>
              <w:right w:val="single" w:color="000000" w:sz="4" w:space="0"/>
            </w:tcBorders>
            <w:noWrap w:val="0"/>
            <w:vAlign w:val="center"/>
          </w:tcPr>
          <w:p w14:paraId="6A1FB03C">
            <w:pPr>
              <w:jc w:val="left"/>
              <w:rPr>
                <w:rFonts w:cs="宋体"/>
                <w:color w:val="000000"/>
                <w:szCs w:val="21"/>
              </w:rPr>
            </w:pPr>
          </w:p>
        </w:tc>
        <w:tc>
          <w:tcPr>
            <w:tcW w:w="1138" w:type="dxa"/>
            <w:tcBorders>
              <w:top w:val="single" w:color="000000" w:sz="4" w:space="0"/>
              <w:left w:val="single" w:color="000000" w:sz="4" w:space="0"/>
              <w:bottom w:val="single" w:color="000000" w:sz="4" w:space="0"/>
              <w:right w:val="single" w:color="000000" w:sz="4" w:space="0"/>
            </w:tcBorders>
            <w:noWrap w:val="0"/>
            <w:vAlign w:val="center"/>
          </w:tcPr>
          <w:p w14:paraId="00B0F769">
            <w:pPr>
              <w:jc w:val="center"/>
              <w:rPr>
                <w:rFonts w:cs="宋体"/>
                <w:color w:val="000000"/>
                <w:szCs w:val="21"/>
              </w:rPr>
            </w:pPr>
            <w:r>
              <w:rPr>
                <w:rFonts w:hint="eastAsia" w:ascii="宋体" w:hAnsi="宋体" w:cs="宋体"/>
                <w:color w:val="000000"/>
                <w:szCs w:val="21"/>
              </w:rPr>
              <w:t>病人治疗</w:t>
            </w:r>
          </w:p>
        </w:tc>
        <w:tc>
          <w:tcPr>
            <w:tcW w:w="1453" w:type="dxa"/>
            <w:tcBorders>
              <w:top w:val="single" w:color="000000" w:sz="4" w:space="0"/>
              <w:left w:val="single" w:color="000000" w:sz="4" w:space="0"/>
              <w:bottom w:val="single" w:color="000000" w:sz="4" w:space="0"/>
              <w:right w:val="single" w:color="000000" w:sz="4" w:space="0"/>
            </w:tcBorders>
            <w:noWrap w:val="0"/>
            <w:vAlign w:val="center"/>
          </w:tcPr>
          <w:p w14:paraId="3CA13AC4">
            <w:pPr>
              <w:jc w:val="center"/>
              <w:rPr>
                <w:rFonts w:ascii="宋体" w:hAnsi="宋体" w:cs="宋体"/>
                <w:color w:val="000000"/>
                <w:szCs w:val="21"/>
              </w:rPr>
            </w:pPr>
            <w:r>
              <w:rPr>
                <w:rFonts w:hint="eastAsia" w:ascii="宋体" w:hAnsi="宋体" w:cs="宋体"/>
                <w:color w:val="000000"/>
                <w:szCs w:val="21"/>
              </w:rPr>
              <w:t>医疗固废</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59731B09">
            <w:pPr>
              <w:jc w:val="center"/>
              <w:rPr>
                <w:rFonts w:hint="eastAsia" w:ascii="宋体" w:hAnsi="宋体" w:cs="宋体"/>
                <w:color w:val="000000"/>
                <w:szCs w:val="21"/>
              </w:rPr>
            </w:pPr>
            <w:r>
              <w:rPr>
                <w:rFonts w:ascii="宋体" w:hAnsi="宋体" w:cs="宋体"/>
                <w:color w:val="000000"/>
                <w:szCs w:val="21"/>
              </w:rPr>
              <w:t>设危废暂存间、</w:t>
            </w:r>
            <w:r>
              <w:rPr>
                <w:rFonts w:hint="eastAsia" w:ascii="宋体" w:hAnsi="宋体" w:cs="宋体"/>
                <w:color w:val="000000"/>
                <w:szCs w:val="21"/>
              </w:rPr>
              <w:t>医废垃圾桶，交德宏州医疗固废处置中心处置</w:t>
            </w:r>
          </w:p>
          <w:p w14:paraId="0629936A">
            <w:pPr>
              <w:jc w:val="center"/>
              <w:rPr>
                <w:rFonts w:hint="eastAsia" w:ascii="宋体" w:hAnsi="宋体" w:cs="宋体"/>
                <w:color w:val="000000"/>
                <w:szCs w:val="21"/>
              </w:rPr>
            </w:pPr>
          </w:p>
          <w:p w14:paraId="0132AA29">
            <w:pPr>
              <w:jc w:val="center"/>
              <w:rPr>
                <w:rFonts w:hint="eastAsia" w:ascii="宋体" w:hAnsi="宋体" w:cs="宋体"/>
                <w:color w:val="000000"/>
                <w:szCs w:val="21"/>
              </w:rPr>
            </w:pPr>
          </w:p>
          <w:p w14:paraId="205FBF16">
            <w:pPr>
              <w:jc w:val="center"/>
              <w:rPr>
                <w:rFonts w:hint="eastAsia" w:ascii="宋体" w:hAnsi="宋体" w:cs="宋体"/>
                <w:color w:val="000000"/>
                <w:szCs w:val="21"/>
              </w:rPr>
            </w:pPr>
          </w:p>
          <w:p w14:paraId="4E14B602">
            <w:pPr>
              <w:jc w:val="center"/>
              <w:rPr>
                <w:rFonts w:hint="eastAsia" w:ascii="宋体" w:hAnsi="宋体" w:cs="宋体"/>
                <w:color w:val="000000"/>
                <w:szCs w:val="21"/>
              </w:rPr>
            </w:pPr>
          </w:p>
          <w:p w14:paraId="2C612FBA">
            <w:pPr>
              <w:jc w:val="center"/>
              <w:rPr>
                <w:rFonts w:hint="eastAsia" w:ascii="宋体" w:hAnsi="宋体" w:cs="宋体"/>
                <w:color w:val="000000"/>
                <w:szCs w:val="21"/>
              </w:rPr>
            </w:pPr>
          </w:p>
          <w:p w14:paraId="28113E26">
            <w:pPr>
              <w:jc w:val="center"/>
              <w:rPr>
                <w:rFonts w:hint="eastAsia" w:ascii="宋体" w:hAnsi="宋体" w:cs="宋体"/>
                <w:color w:val="000000"/>
                <w:szCs w:val="21"/>
              </w:rPr>
            </w:pPr>
          </w:p>
        </w:tc>
        <w:tc>
          <w:tcPr>
            <w:tcW w:w="1330" w:type="dxa"/>
            <w:vMerge w:val="continue"/>
            <w:tcBorders>
              <w:top w:val="nil"/>
              <w:left w:val="single" w:color="000000" w:sz="4" w:space="0"/>
              <w:bottom w:val="single" w:color="000000" w:sz="4" w:space="0"/>
              <w:right w:val="single" w:color="000000" w:sz="4" w:space="0"/>
            </w:tcBorders>
            <w:noWrap w:val="0"/>
            <w:vAlign w:val="center"/>
          </w:tcPr>
          <w:p w14:paraId="15FAB330">
            <w:pPr>
              <w:jc w:val="left"/>
              <w:rPr>
                <w:rFonts w:cs="宋体"/>
                <w:color w:val="000000"/>
                <w:szCs w:val="21"/>
              </w:rPr>
            </w:pPr>
          </w:p>
        </w:tc>
      </w:tr>
      <w:tr w14:paraId="55CFDEBE">
        <w:tblPrEx>
          <w:tblCellMar>
            <w:top w:w="15" w:type="dxa"/>
            <w:left w:w="15" w:type="dxa"/>
            <w:bottom w:w="0" w:type="dxa"/>
            <w:right w:w="15" w:type="dxa"/>
          </w:tblCellMar>
        </w:tblPrEx>
        <w:trPr>
          <w:trHeight w:val="464" w:hRule="exact"/>
        </w:trPr>
        <w:tc>
          <w:tcPr>
            <w:tcW w:w="351" w:type="dxa"/>
            <w:tcBorders>
              <w:top w:val="single" w:color="000000" w:sz="4" w:space="0"/>
              <w:left w:val="single" w:color="000000" w:sz="4" w:space="0"/>
              <w:bottom w:val="single" w:color="000000" w:sz="4" w:space="0"/>
              <w:right w:val="single" w:color="000000" w:sz="4" w:space="0"/>
            </w:tcBorders>
            <w:noWrap w:val="0"/>
            <w:vAlign w:val="center"/>
          </w:tcPr>
          <w:p w14:paraId="208045BC">
            <w:pPr>
              <w:jc w:val="center"/>
              <w:rPr>
                <w:color w:val="000000"/>
                <w:szCs w:val="21"/>
              </w:rPr>
            </w:pPr>
            <w:r>
              <w:rPr>
                <w:color w:val="000000"/>
                <w:szCs w:val="21"/>
              </w:rPr>
              <w:t>10</w:t>
            </w:r>
          </w:p>
        </w:tc>
        <w:tc>
          <w:tcPr>
            <w:tcW w:w="6881" w:type="dxa"/>
            <w:gridSpan w:val="3"/>
            <w:tcBorders>
              <w:top w:val="single" w:color="000000" w:sz="4" w:space="0"/>
              <w:left w:val="single" w:color="000000" w:sz="4" w:space="0"/>
              <w:bottom w:val="single" w:color="000000" w:sz="4" w:space="0"/>
              <w:right w:val="single" w:color="000000" w:sz="4" w:space="0"/>
            </w:tcBorders>
            <w:noWrap w:val="0"/>
            <w:vAlign w:val="center"/>
          </w:tcPr>
          <w:p w14:paraId="0B22C8D6">
            <w:pPr>
              <w:jc w:val="center"/>
              <w:rPr>
                <w:color w:val="000000"/>
                <w:szCs w:val="21"/>
              </w:rPr>
            </w:pPr>
            <w:r>
              <w:rPr>
                <w:color w:val="000000"/>
                <w:szCs w:val="21"/>
              </w:rPr>
              <w:t>合计</w:t>
            </w:r>
          </w:p>
        </w:tc>
        <w:tc>
          <w:tcPr>
            <w:tcW w:w="1330" w:type="dxa"/>
            <w:tcBorders>
              <w:top w:val="single" w:color="000000" w:sz="4" w:space="0"/>
              <w:left w:val="single" w:color="000000" w:sz="4" w:space="0"/>
              <w:bottom w:val="single" w:color="000000" w:sz="4" w:space="0"/>
              <w:right w:val="single" w:color="000000" w:sz="4" w:space="0"/>
            </w:tcBorders>
            <w:noWrap w:val="0"/>
            <w:vAlign w:val="center"/>
          </w:tcPr>
          <w:p w14:paraId="7C786BAC">
            <w:pPr>
              <w:jc w:val="center"/>
              <w:rPr>
                <w:rFonts w:hint="eastAsia"/>
                <w:color w:val="000000"/>
                <w:szCs w:val="21"/>
              </w:rPr>
            </w:pPr>
            <w:r>
              <w:rPr>
                <w:rFonts w:hint="eastAsia"/>
                <w:color w:val="000000"/>
                <w:szCs w:val="21"/>
              </w:rPr>
              <w:t>684.9</w:t>
            </w:r>
          </w:p>
        </w:tc>
      </w:tr>
    </w:tbl>
    <w:p w14:paraId="5DF580FE">
      <w:pPr>
        <w:pStyle w:val="183"/>
        <w:ind w:firstLine="472"/>
        <w:rPr>
          <w:rFonts w:eastAsia="仿宋_GB2312"/>
          <w:color w:val="000000"/>
          <w:sz w:val="24"/>
          <w:szCs w:val="24"/>
        </w:rPr>
      </w:pPr>
      <w:bookmarkStart w:id="553" w:name="_Toc240180277"/>
      <w:bookmarkEnd w:id="553"/>
      <w:bookmarkStart w:id="554" w:name="_Toc241905067"/>
      <w:bookmarkEnd w:id="554"/>
      <w:bookmarkStart w:id="555" w:name="_Toc217800880"/>
      <w:bookmarkEnd w:id="555"/>
      <w:bookmarkStart w:id="556" w:name="_Toc495500153"/>
      <w:r>
        <w:rPr>
          <w:rFonts w:hint="eastAsia" w:eastAsia="仿宋_GB2312"/>
          <w:color w:val="000000"/>
          <w:sz w:val="24"/>
          <w:szCs w:val="24"/>
        </w:rPr>
        <w:t>11</w:t>
      </w:r>
      <w:r>
        <w:rPr>
          <w:rFonts w:eastAsia="仿宋_GB2312"/>
          <w:color w:val="000000"/>
          <w:sz w:val="24"/>
          <w:szCs w:val="24"/>
        </w:rPr>
        <w:t>.1.2项目环保投资运行费用估算</w:t>
      </w:r>
      <w:bookmarkEnd w:id="556"/>
    </w:p>
    <w:p w14:paraId="134A3C90">
      <w:pPr>
        <w:spacing w:line="360" w:lineRule="auto"/>
        <w:ind w:firstLine="480"/>
        <w:rPr>
          <w:color w:val="000000"/>
          <w:sz w:val="24"/>
        </w:rPr>
      </w:pPr>
      <w:r>
        <w:rPr>
          <w:color w:val="000000"/>
          <w:sz w:val="24"/>
        </w:rPr>
        <w:t>项目的相关环保设施投入后，需运行费用的主要为污水处理站。</w:t>
      </w:r>
      <w:r>
        <w:rPr>
          <w:rFonts w:hint="eastAsia" w:ascii="宋体" w:hAnsi="宋体"/>
          <w:color w:val="000000"/>
          <w:sz w:val="24"/>
        </w:rPr>
        <w:t>医疗区和非病区废水处理系统采用二级处理工艺进行处理，废水处理达到</w:t>
      </w:r>
      <w:r>
        <w:rPr>
          <w:rFonts w:hint="eastAsia"/>
          <w:color w:val="000000"/>
          <w:sz w:val="24"/>
        </w:rPr>
        <w:t>《医疗机构水污染物排放标准》（GB18466-2005）中表2</w:t>
      </w:r>
      <w:r>
        <w:rPr>
          <w:rFonts w:hAnsi="宋体"/>
          <w:color w:val="000000"/>
          <w:sz w:val="24"/>
        </w:rPr>
        <w:t>预处理标准</w:t>
      </w:r>
      <w:r>
        <w:rPr>
          <w:rFonts w:hint="eastAsia"/>
          <w:color w:val="000000"/>
          <w:sz w:val="24"/>
        </w:rPr>
        <w:t>后，</w:t>
      </w:r>
      <w:r>
        <w:rPr>
          <w:rFonts w:hint="eastAsia" w:ascii="宋体" w:hAnsi="宋体"/>
          <w:color w:val="000000"/>
          <w:sz w:val="24"/>
        </w:rPr>
        <w:t>排入市政污水管网；根据类比相关的处理设施，处理工艺的处理运行费用见表11.1-2。</w:t>
      </w:r>
    </w:p>
    <w:p w14:paraId="3E2221CA">
      <w:pPr>
        <w:spacing w:line="360" w:lineRule="auto"/>
        <w:ind w:firstLine="480"/>
        <w:jc w:val="center"/>
        <w:rPr>
          <w:b/>
          <w:color w:val="000000"/>
          <w:sz w:val="24"/>
        </w:rPr>
      </w:pPr>
      <w:r>
        <w:rPr>
          <w:b/>
          <w:color w:val="000000"/>
          <w:sz w:val="24"/>
        </w:rPr>
        <w:t>表11.1-2    项目污水处理站的运行费用</w:t>
      </w:r>
    </w:p>
    <w:tbl>
      <w:tblPr>
        <w:tblStyle w:val="27"/>
        <w:tblW w:w="0" w:type="auto"/>
        <w:tblInd w:w="0" w:type="dxa"/>
        <w:tblLayout w:type="fixed"/>
        <w:tblCellMar>
          <w:top w:w="0" w:type="dxa"/>
          <w:left w:w="108" w:type="dxa"/>
          <w:bottom w:w="0" w:type="dxa"/>
          <w:right w:w="108" w:type="dxa"/>
        </w:tblCellMar>
      </w:tblPr>
      <w:tblGrid>
        <w:gridCol w:w="4264"/>
        <w:gridCol w:w="4264"/>
      </w:tblGrid>
      <w:tr w14:paraId="2F431594">
        <w:tblPrEx>
          <w:tblCellMar>
            <w:top w:w="0" w:type="dxa"/>
            <w:left w:w="108" w:type="dxa"/>
            <w:bottom w:w="0" w:type="dxa"/>
            <w:right w:w="108" w:type="dxa"/>
          </w:tblCellMar>
        </w:tblPrEx>
        <w:trPr>
          <w:trHeight w:val="405" w:hRule="atLeast"/>
        </w:trPr>
        <w:tc>
          <w:tcPr>
            <w:tcW w:w="4264" w:type="dxa"/>
            <w:tcBorders>
              <w:top w:val="single" w:color="000000" w:sz="4" w:space="0"/>
              <w:left w:val="single" w:color="000000" w:sz="4" w:space="0"/>
              <w:bottom w:val="single" w:color="000000" w:sz="4" w:space="0"/>
              <w:right w:val="single" w:color="000000" w:sz="4" w:space="0"/>
            </w:tcBorders>
            <w:noWrap w:val="0"/>
            <w:vAlign w:val="top"/>
          </w:tcPr>
          <w:p w14:paraId="12B3ED8A">
            <w:pPr>
              <w:jc w:val="center"/>
              <w:rPr>
                <w:b/>
                <w:color w:val="000000"/>
                <w:szCs w:val="21"/>
              </w:rPr>
            </w:pPr>
            <w:r>
              <w:rPr>
                <w:b/>
                <w:color w:val="000000"/>
                <w:szCs w:val="21"/>
              </w:rPr>
              <w:t>项目</w:t>
            </w:r>
          </w:p>
        </w:tc>
        <w:tc>
          <w:tcPr>
            <w:tcW w:w="4264" w:type="dxa"/>
            <w:tcBorders>
              <w:top w:val="single" w:color="000000" w:sz="4" w:space="0"/>
              <w:left w:val="single" w:color="000000" w:sz="4" w:space="0"/>
              <w:bottom w:val="single" w:color="000000" w:sz="4" w:space="0"/>
              <w:right w:val="single" w:color="000000" w:sz="4" w:space="0"/>
            </w:tcBorders>
            <w:noWrap w:val="0"/>
            <w:vAlign w:val="top"/>
          </w:tcPr>
          <w:p w14:paraId="5A54BB6C">
            <w:pPr>
              <w:jc w:val="center"/>
              <w:rPr>
                <w:b/>
                <w:color w:val="000000"/>
                <w:szCs w:val="21"/>
              </w:rPr>
            </w:pPr>
            <w:r>
              <w:rPr>
                <w:b/>
                <w:color w:val="000000"/>
                <w:szCs w:val="21"/>
              </w:rPr>
              <w:t>废水处理</w:t>
            </w:r>
          </w:p>
        </w:tc>
      </w:tr>
      <w:tr w14:paraId="417D8BC9">
        <w:tblPrEx>
          <w:tblCellMar>
            <w:top w:w="0" w:type="dxa"/>
            <w:left w:w="108" w:type="dxa"/>
            <w:bottom w:w="0" w:type="dxa"/>
            <w:right w:w="108" w:type="dxa"/>
          </w:tblCellMar>
        </w:tblPrEx>
        <w:trPr>
          <w:trHeight w:val="405" w:hRule="atLeast"/>
        </w:trPr>
        <w:tc>
          <w:tcPr>
            <w:tcW w:w="4264" w:type="dxa"/>
            <w:tcBorders>
              <w:top w:val="single" w:color="000000" w:sz="4" w:space="0"/>
              <w:left w:val="single" w:color="000000" w:sz="4" w:space="0"/>
              <w:bottom w:val="single" w:color="000000" w:sz="4" w:space="0"/>
              <w:right w:val="single" w:color="000000" w:sz="4" w:space="0"/>
            </w:tcBorders>
            <w:noWrap w:val="0"/>
            <w:vAlign w:val="top"/>
          </w:tcPr>
          <w:p w14:paraId="490B63CC">
            <w:pPr>
              <w:jc w:val="center"/>
              <w:rPr>
                <w:color w:val="000000"/>
                <w:szCs w:val="21"/>
              </w:rPr>
            </w:pPr>
            <w:r>
              <w:rPr>
                <w:color w:val="000000"/>
                <w:szCs w:val="21"/>
              </w:rPr>
              <w:t>处理费用（元/吨）</w:t>
            </w:r>
          </w:p>
        </w:tc>
        <w:tc>
          <w:tcPr>
            <w:tcW w:w="4264" w:type="dxa"/>
            <w:tcBorders>
              <w:top w:val="single" w:color="000000" w:sz="4" w:space="0"/>
              <w:left w:val="single" w:color="000000" w:sz="4" w:space="0"/>
              <w:bottom w:val="single" w:color="000000" w:sz="4" w:space="0"/>
              <w:right w:val="single" w:color="000000" w:sz="4" w:space="0"/>
            </w:tcBorders>
            <w:noWrap w:val="0"/>
            <w:vAlign w:val="top"/>
          </w:tcPr>
          <w:p w14:paraId="612A7D55">
            <w:pPr>
              <w:jc w:val="center"/>
              <w:rPr>
                <w:color w:val="000000"/>
                <w:szCs w:val="21"/>
              </w:rPr>
            </w:pPr>
            <w:r>
              <w:rPr>
                <w:color w:val="000000"/>
                <w:szCs w:val="21"/>
              </w:rPr>
              <w:t>2.5</w:t>
            </w:r>
          </w:p>
        </w:tc>
      </w:tr>
      <w:tr w14:paraId="6D9F6074">
        <w:tblPrEx>
          <w:tblCellMar>
            <w:top w:w="0" w:type="dxa"/>
            <w:left w:w="108" w:type="dxa"/>
            <w:bottom w:w="0" w:type="dxa"/>
            <w:right w:w="108" w:type="dxa"/>
          </w:tblCellMar>
        </w:tblPrEx>
        <w:trPr>
          <w:trHeight w:val="405" w:hRule="atLeast"/>
        </w:trPr>
        <w:tc>
          <w:tcPr>
            <w:tcW w:w="4264" w:type="dxa"/>
            <w:tcBorders>
              <w:top w:val="single" w:color="000000" w:sz="4" w:space="0"/>
              <w:left w:val="single" w:color="000000" w:sz="4" w:space="0"/>
              <w:bottom w:val="single" w:color="000000" w:sz="4" w:space="0"/>
              <w:right w:val="single" w:color="000000" w:sz="4" w:space="0"/>
            </w:tcBorders>
            <w:noWrap w:val="0"/>
            <w:vAlign w:val="top"/>
          </w:tcPr>
          <w:p w14:paraId="65D9A20F">
            <w:pPr>
              <w:jc w:val="center"/>
              <w:rPr>
                <w:color w:val="000000"/>
                <w:szCs w:val="21"/>
              </w:rPr>
            </w:pPr>
            <w:r>
              <w:rPr>
                <w:color w:val="000000"/>
                <w:szCs w:val="21"/>
              </w:rPr>
              <w:t>处理量(万吨/年）</w:t>
            </w:r>
          </w:p>
        </w:tc>
        <w:tc>
          <w:tcPr>
            <w:tcW w:w="4264" w:type="dxa"/>
            <w:tcBorders>
              <w:top w:val="single" w:color="000000" w:sz="4" w:space="0"/>
              <w:left w:val="single" w:color="000000" w:sz="4" w:space="0"/>
              <w:bottom w:val="single" w:color="000000" w:sz="4" w:space="0"/>
              <w:right w:val="single" w:color="000000" w:sz="4" w:space="0"/>
            </w:tcBorders>
            <w:noWrap w:val="0"/>
            <w:vAlign w:val="top"/>
          </w:tcPr>
          <w:p w14:paraId="0EC3D6EC">
            <w:pPr>
              <w:jc w:val="center"/>
              <w:rPr>
                <w:color w:val="000000"/>
                <w:szCs w:val="21"/>
              </w:rPr>
            </w:pPr>
            <w:r>
              <w:rPr>
                <w:rFonts w:hint="eastAsia" w:ascii="宋体" w:hAnsi="宋体"/>
                <w:color w:val="000000"/>
                <w:szCs w:val="21"/>
              </w:rPr>
              <w:t>3.743</w:t>
            </w:r>
          </w:p>
        </w:tc>
      </w:tr>
      <w:tr w14:paraId="78CAA64C">
        <w:tblPrEx>
          <w:tblCellMar>
            <w:top w:w="0" w:type="dxa"/>
            <w:left w:w="108" w:type="dxa"/>
            <w:bottom w:w="0" w:type="dxa"/>
            <w:right w:w="108" w:type="dxa"/>
          </w:tblCellMar>
        </w:tblPrEx>
        <w:trPr>
          <w:trHeight w:val="329" w:hRule="atLeast"/>
        </w:trPr>
        <w:tc>
          <w:tcPr>
            <w:tcW w:w="4264" w:type="dxa"/>
            <w:tcBorders>
              <w:top w:val="single" w:color="000000" w:sz="4" w:space="0"/>
              <w:left w:val="single" w:color="000000" w:sz="4" w:space="0"/>
              <w:bottom w:val="single" w:color="000000" w:sz="4" w:space="0"/>
              <w:right w:val="single" w:color="000000" w:sz="4" w:space="0"/>
            </w:tcBorders>
            <w:noWrap w:val="0"/>
            <w:vAlign w:val="top"/>
          </w:tcPr>
          <w:p w14:paraId="53844370">
            <w:pPr>
              <w:jc w:val="center"/>
              <w:rPr>
                <w:color w:val="000000"/>
                <w:szCs w:val="21"/>
              </w:rPr>
            </w:pPr>
            <w:r>
              <w:rPr>
                <w:color w:val="000000"/>
                <w:szCs w:val="21"/>
              </w:rPr>
              <w:t>总处理费用（万元/年）</w:t>
            </w:r>
          </w:p>
        </w:tc>
        <w:tc>
          <w:tcPr>
            <w:tcW w:w="4264" w:type="dxa"/>
            <w:tcBorders>
              <w:top w:val="single" w:color="000000" w:sz="4" w:space="0"/>
              <w:left w:val="single" w:color="000000" w:sz="4" w:space="0"/>
              <w:bottom w:val="single" w:color="000000" w:sz="4" w:space="0"/>
              <w:right w:val="single" w:color="000000" w:sz="4" w:space="0"/>
            </w:tcBorders>
            <w:noWrap w:val="0"/>
            <w:vAlign w:val="top"/>
          </w:tcPr>
          <w:p w14:paraId="0168A4A2">
            <w:pPr>
              <w:tabs>
                <w:tab w:val="left" w:pos="1725"/>
                <w:tab w:val="center" w:pos="2022"/>
              </w:tabs>
              <w:ind w:firstLine="1785"/>
              <w:jc w:val="left"/>
              <w:rPr>
                <w:rFonts w:hint="eastAsia"/>
                <w:color w:val="000000"/>
                <w:szCs w:val="21"/>
              </w:rPr>
            </w:pPr>
            <w:r>
              <w:rPr>
                <w:rFonts w:hint="eastAsia"/>
                <w:color w:val="000000"/>
                <w:szCs w:val="21"/>
              </w:rPr>
              <w:t>9.3575</w:t>
            </w:r>
          </w:p>
        </w:tc>
      </w:tr>
    </w:tbl>
    <w:p w14:paraId="1FA8E3A1">
      <w:pPr>
        <w:pStyle w:val="183"/>
        <w:ind w:firstLine="472"/>
        <w:rPr>
          <w:rFonts w:eastAsia="仿宋_GB2312"/>
          <w:color w:val="000000"/>
          <w:sz w:val="24"/>
          <w:szCs w:val="24"/>
        </w:rPr>
      </w:pPr>
      <w:bookmarkStart w:id="557" w:name="_Toc217800879"/>
      <w:bookmarkEnd w:id="557"/>
      <w:bookmarkStart w:id="558" w:name="_Toc143085471"/>
      <w:bookmarkEnd w:id="558"/>
      <w:bookmarkStart w:id="559" w:name="_Toc495500154"/>
      <w:r>
        <w:rPr>
          <w:rFonts w:eastAsia="仿宋_GB2312"/>
          <w:color w:val="000000"/>
          <w:sz w:val="24"/>
          <w:szCs w:val="24"/>
        </w:rPr>
        <w:t>11.1.3环境损益分析</w:t>
      </w:r>
      <w:bookmarkEnd w:id="559"/>
    </w:p>
    <w:p w14:paraId="032C6F08">
      <w:pPr>
        <w:spacing w:line="360" w:lineRule="auto"/>
        <w:ind w:firstLine="480"/>
        <w:rPr>
          <w:color w:val="000000"/>
          <w:sz w:val="24"/>
        </w:rPr>
      </w:pPr>
      <w:r>
        <w:rPr>
          <w:color w:val="000000"/>
          <w:sz w:val="24"/>
        </w:rPr>
        <w:t>（1）由于项目建设地点位于</w:t>
      </w:r>
      <w:r>
        <w:rPr>
          <w:rFonts w:hint="eastAsia"/>
          <w:color w:val="000000"/>
          <w:sz w:val="24"/>
        </w:rPr>
        <w:t>芒市机场大道环岛南侧</w:t>
      </w:r>
      <w:r>
        <w:rPr>
          <w:color w:val="000000"/>
          <w:sz w:val="24"/>
        </w:rPr>
        <w:t xml:space="preserve">，周边有居民敏感点。施工期建筑施工噪声及扬尘对周围居民会带来一定负面影响，通过实施各种严格的环保措施，污染物排放量得到较好控制。 </w:t>
      </w:r>
    </w:p>
    <w:p w14:paraId="759EACE5">
      <w:pPr>
        <w:spacing w:line="360" w:lineRule="auto"/>
        <w:ind w:firstLine="480"/>
        <w:rPr>
          <w:color w:val="000000"/>
          <w:sz w:val="24"/>
        </w:rPr>
      </w:pPr>
      <w:r>
        <w:rPr>
          <w:color w:val="000000"/>
          <w:sz w:val="24"/>
        </w:rPr>
        <w:t>（2）</w:t>
      </w:r>
      <w:r>
        <w:rPr>
          <w:rFonts w:hint="eastAsia" w:ascii="宋体" w:hAnsi="宋体"/>
          <w:color w:val="000000"/>
          <w:sz w:val="24"/>
        </w:rPr>
        <w:t>生活垃圾与医疗垃圾分类收集，生活垃圾可由环卫部门定期统一清运处理，医疗废物按规定收集、贮存后，委托</w:t>
      </w:r>
      <w:r>
        <w:rPr>
          <w:color w:val="000000"/>
          <w:sz w:val="24"/>
        </w:rPr>
        <w:t>有资质的</w:t>
      </w:r>
      <w:r>
        <w:rPr>
          <w:rFonts w:hint="eastAsia"/>
          <w:color w:val="000000"/>
          <w:sz w:val="24"/>
        </w:rPr>
        <w:t>相关</w:t>
      </w:r>
      <w:r>
        <w:rPr>
          <w:color w:val="000000"/>
          <w:sz w:val="24"/>
        </w:rPr>
        <w:t>单位</w:t>
      </w:r>
      <w:r>
        <w:rPr>
          <w:rFonts w:hint="eastAsia" w:ascii="宋体" w:hAnsi="宋体"/>
          <w:color w:val="000000"/>
          <w:sz w:val="24"/>
        </w:rPr>
        <w:t>进行清运和处理，避免了固体废物污染和由固体废物引起的二次污染和交叉感染。</w:t>
      </w:r>
    </w:p>
    <w:p w14:paraId="5B782159">
      <w:pPr>
        <w:spacing w:line="360" w:lineRule="auto"/>
        <w:ind w:firstLine="480"/>
        <w:rPr>
          <w:color w:val="000000"/>
          <w:sz w:val="24"/>
        </w:rPr>
      </w:pPr>
      <w:r>
        <w:rPr>
          <w:color w:val="000000"/>
          <w:sz w:val="24"/>
        </w:rPr>
        <w:t>（3）生活污水和</w:t>
      </w:r>
      <w:r>
        <w:rPr>
          <w:rFonts w:hint="eastAsia"/>
          <w:color w:val="000000"/>
          <w:sz w:val="24"/>
        </w:rPr>
        <w:t>医疗废水</w:t>
      </w:r>
      <w:r>
        <w:rPr>
          <w:color w:val="000000"/>
          <w:sz w:val="24"/>
        </w:rPr>
        <w:t>经化粪池、污水处理站处理达《医疗机构水污染物排放标准》（GB18466-2005）中表2预处理标准后，排入市政管网进入</w:t>
      </w:r>
      <w:r>
        <w:rPr>
          <w:rFonts w:hint="eastAsia"/>
          <w:color w:val="000000"/>
          <w:sz w:val="24"/>
        </w:rPr>
        <w:t>芒市</w:t>
      </w:r>
      <w:r>
        <w:rPr>
          <w:color w:val="000000"/>
          <w:sz w:val="24"/>
        </w:rPr>
        <w:t>污水处理厂处理后排放。</w:t>
      </w:r>
    </w:p>
    <w:p w14:paraId="0C79BD32">
      <w:pPr>
        <w:spacing w:line="360" w:lineRule="auto"/>
        <w:ind w:firstLine="480"/>
        <w:rPr>
          <w:color w:val="000000"/>
          <w:sz w:val="24"/>
        </w:rPr>
      </w:pPr>
      <w:r>
        <w:rPr>
          <w:color w:val="000000"/>
          <w:sz w:val="24"/>
        </w:rPr>
        <w:t>因此，项目环保资金的投入环境效益明显。本项目运营过程中加强管理，保证环保设施的高效正常运转，做到达标排放，加强环保意识的宣传，认真落实各项环保措施就能把对环境的污染降低到最小程度。</w:t>
      </w:r>
    </w:p>
    <w:p w14:paraId="0E1BE39C">
      <w:pPr>
        <w:pStyle w:val="182"/>
        <w:ind w:firstLine="275"/>
        <w:rPr>
          <w:rFonts w:ascii="Times New Roman" w:hAnsi="Times New Roman" w:eastAsia="仿宋_GB2312" w:cs="Times New Roman"/>
          <w:color w:val="000000"/>
          <w:sz w:val="28"/>
          <w:szCs w:val="28"/>
        </w:rPr>
      </w:pPr>
      <w:bookmarkStart w:id="560" w:name="_Toc495500155"/>
      <w:r>
        <w:rPr>
          <w:rFonts w:ascii="Times New Roman" w:hAnsi="Times New Roman" w:eastAsia="仿宋_GB2312" w:cs="Times New Roman"/>
          <w:color w:val="000000"/>
          <w:sz w:val="28"/>
          <w:szCs w:val="28"/>
        </w:rPr>
        <w:t>11.2社会效益分析</w:t>
      </w:r>
      <w:bookmarkEnd w:id="560"/>
    </w:p>
    <w:p w14:paraId="35C5FE6D">
      <w:pPr>
        <w:spacing w:line="360" w:lineRule="auto"/>
        <w:ind w:firstLine="480"/>
        <w:rPr>
          <w:rFonts w:hint="eastAsia" w:ascii="宋体" w:hAnsi="宋体"/>
          <w:color w:val="000000"/>
          <w:sz w:val="24"/>
        </w:rPr>
      </w:pPr>
      <w:r>
        <w:rPr>
          <w:rFonts w:hint="eastAsia" w:ascii="宋体" w:hAnsi="宋体"/>
          <w:color w:val="000000"/>
          <w:sz w:val="24"/>
        </w:rPr>
        <w:t>芒市地处我国边陲，由于地域原因，少数民族众多，基础设施建设滞后，特别是对卫生基础设施建设投入严重不足，制约了芒市卫生基础设施建设的推进。本项目的建设属于公共卫生项目。公共卫生项目的特点有三：其一，受益面广，面向全社会的受益者不受年龄、阶层、文化和收入的限制；其二，收益率高，在公共项目中收益率属偏高水平，某些项目还具有盈利能力；其三，经济效益与社会效益并存，以社会效益为主。</w:t>
      </w:r>
    </w:p>
    <w:p w14:paraId="76D3D9EC">
      <w:pPr>
        <w:tabs>
          <w:tab w:val="left" w:pos="3345"/>
        </w:tabs>
        <w:spacing w:line="360" w:lineRule="auto"/>
        <w:ind w:firstLine="480"/>
        <w:rPr>
          <w:rFonts w:cs="宋体"/>
          <w:color w:val="000000"/>
          <w:sz w:val="24"/>
        </w:rPr>
      </w:pPr>
      <w:r>
        <w:rPr>
          <w:rFonts w:hint="eastAsia" w:ascii="宋体" w:hAnsi="宋体"/>
          <w:color w:val="000000"/>
          <w:sz w:val="24"/>
        </w:rPr>
        <w:t>由此可见，项目的建设对社会的影响是较大的。</w:t>
      </w:r>
    </w:p>
    <w:p w14:paraId="21BF129C">
      <w:pPr>
        <w:pStyle w:val="182"/>
        <w:ind w:firstLine="273"/>
        <w:rPr>
          <w:rFonts w:ascii="Times New Roman" w:hAnsi="Times New Roman" w:eastAsia="仿宋_GB2312" w:cs="Times New Roman"/>
          <w:color w:val="000000"/>
          <w:sz w:val="28"/>
          <w:szCs w:val="28"/>
        </w:rPr>
      </w:pPr>
      <w:bookmarkStart w:id="561" w:name="_Toc495500156"/>
      <w:r>
        <w:rPr>
          <w:rFonts w:ascii="Times New Roman" w:hAnsi="Times New Roman" w:eastAsia="仿宋_GB2312" w:cs="Times New Roman"/>
          <w:color w:val="000000"/>
          <w:sz w:val="28"/>
          <w:szCs w:val="28"/>
        </w:rPr>
        <w:t>11.3经济效益</w:t>
      </w:r>
      <w:bookmarkEnd w:id="561"/>
    </w:p>
    <w:p w14:paraId="536FD0CB">
      <w:pPr>
        <w:spacing w:line="360" w:lineRule="auto"/>
        <w:ind w:firstLine="480"/>
        <w:rPr>
          <w:rFonts w:hint="eastAsia" w:ascii="宋体" w:hAnsi="宋体"/>
          <w:color w:val="000000"/>
          <w:sz w:val="24"/>
        </w:rPr>
      </w:pPr>
      <w:r>
        <w:rPr>
          <w:rFonts w:hint="eastAsia" w:ascii="宋体" w:hAnsi="宋体"/>
          <w:color w:val="000000"/>
          <w:sz w:val="24"/>
        </w:rPr>
        <w:t>芒市妇幼保健院迁建项目的建成投入使用，不但极大改善了患者就医环境和条件，而且将增加业务用房，拓宽医院服务空间，有效诊治病人，提升医院的档次和品牌。根据目前发展趋势，医院建成后，它将吸引芒市人民乃至周边县各族干部群众前来就诊，项目建成后，必将产生显著的环境效益、社会效益和一定的经济效益。</w:t>
      </w:r>
    </w:p>
    <w:p w14:paraId="157B460E">
      <w:pPr>
        <w:pStyle w:val="181"/>
        <w:rPr>
          <w:rFonts w:eastAsia="仿宋_GB2312"/>
          <w:color w:val="000000"/>
          <w:sz w:val="30"/>
          <w:szCs w:val="30"/>
        </w:rPr>
      </w:pPr>
      <w:r>
        <w:rPr>
          <w:rFonts w:eastAsia="仿宋_GB2312"/>
          <w:color w:val="000000"/>
          <w:sz w:val="30"/>
          <w:szCs w:val="30"/>
        </w:rPr>
        <w:br w:type="page" w:clear="all"/>
      </w:r>
      <w:bookmarkStart w:id="562" w:name="_Toc495500157"/>
      <w:r>
        <w:rPr>
          <w:rFonts w:eastAsia="仿宋_GB2312"/>
          <w:color w:val="000000"/>
          <w:sz w:val="30"/>
          <w:szCs w:val="30"/>
        </w:rPr>
        <w:t>12、公众参与</w:t>
      </w:r>
      <w:bookmarkEnd w:id="562"/>
    </w:p>
    <w:p w14:paraId="225597E1">
      <w:pPr>
        <w:pStyle w:val="182"/>
        <w:tabs>
          <w:tab w:val="left" w:pos="5895"/>
        </w:tabs>
        <w:ind w:firstLine="275"/>
        <w:rPr>
          <w:rFonts w:hint="eastAsia" w:ascii="Times New Roman" w:hAnsi="Times New Roman" w:eastAsia="仿宋_GB2312" w:cs="Times New Roman"/>
          <w:color w:val="000000"/>
          <w:sz w:val="28"/>
          <w:szCs w:val="28"/>
        </w:rPr>
      </w:pPr>
      <w:bookmarkStart w:id="563" w:name="_Toc275357325"/>
      <w:bookmarkEnd w:id="563"/>
      <w:bookmarkStart w:id="564" w:name="_Toc217643211"/>
      <w:bookmarkEnd w:id="564"/>
      <w:bookmarkStart w:id="565" w:name="_Toc209843546"/>
      <w:bookmarkEnd w:id="565"/>
      <w:r>
        <w:rPr>
          <w:rFonts w:ascii="Times New Roman" w:hAnsi="Times New Roman" w:eastAsia="仿宋_GB2312" w:cs="Times New Roman"/>
          <w:color w:val="000000"/>
          <w:sz w:val="28"/>
          <w:szCs w:val="28"/>
        </w:rPr>
        <w:t>12.1 公众参与目的和意义</w:t>
      </w:r>
      <w:r>
        <w:rPr>
          <w:rFonts w:hint="eastAsia" w:ascii="Times New Roman" w:hAnsi="Times New Roman" w:eastAsia="仿宋_GB2312" w:cs="Times New Roman"/>
          <w:color w:val="000000"/>
          <w:sz w:val="28"/>
          <w:szCs w:val="28"/>
        </w:rPr>
        <w:t xml:space="preserve">        </w:t>
      </w:r>
      <w:r>
        <w:rPr>
          <w:rFonts w:ascii="Times New Roman" w:hAnsi="Times New Roman" w:eastAsia="仿宋_GB2312" w:cs="Times New Roman"/>
          <w:color w:val="000000"/>
          <w:sz w:val="28"/>
          <w:szCs w:val="28"/>
        </w:rPr>
        <w:tab/>
      </w:r>
    </w:p>
    <w:p w14:paraId="7375EEE5">
      <w:pPr>
        <w:tabs>
          <w:tab w:val="left" w:pos="6120"/>
        </w:tabs>
        <w:spacing w:line="360" w:lineRule="auto"/>
        <w:ind w:firstLine="465"/>
        <w:rPr>
          <w:color w:val="000000"/>
          <w:sz w:val="24"/>
        </w:rPr>
      </w:pPr>
      <w:r>
        <w:rPr>
          <w:color w:val="000000"/>
          <w:sz w:val="24"/>
        </w:rPr>
        <w:t>公众参与是环境影响评价的重要部分，一个建设项目的环境影响评价，首先考虑的是对区域环境质量的影响问题。但是，其开发建设对当地居民和公众的影响同样也十分重要。因为一个建设项目，对当地的经济结构、人们的生活方式、公众健康等方面都会产生深刻的、不可逆转的影响，而当地公众和社会团体是最直接的受影响者，并且他们还将成为开发建设活动的重要组成部分。因此，当地公众和社会团体对开发项目的态度是不容忽视的；因此，实施公众参与是必要的，它的作用在于：</w:t>
      </w:r>
    </w:p>
    <w:p w14:paraId="6807139B">
      <w:pPr>
        <w:tabs>
          <w:tab w:val="left" w:pos="6120"/>
        </w:tabs>
        <w:spacing w:line="360" w:lineRule="auto"/>
        <w:ind w:firstLine="465"/>
        <w:rPr>
          <w:color w:val="000000"/>
          <w:sz w:val="24"/>
        </w:rPr>
      </w:pPr>
      <w:r>
        <w:rPr>
          <w:color w:val="000000"/>
          <w:sz w:val="24"/>
        </w:rPr>
        <w:t>（1）公众参与过程中，把项目可能引起的有关环境问题告诉公众，可以让公众了解项目，获取公众的理解与支持，使项目能被公众充分认可，同时提高了公众的环境保护意识；</w:t>
      </w:r>
    </w:p>
    <w:p w14:paraId="69C6D134">
      <w:pPr>
        <w:tabs>
          <w:tab w:val="left" w:pos="6120"/>
        </w:tabs>
        <w:spacing w:line="360" w:lineRule="auto"/>
        <w:ind w:firstLine="465"/>
        <w:rPr>
          <w:color w:val="000000"/>
          <w:sz w:val="24"/>
        </w:rPr>
      </w:pPr>
      <w:r>
        <w:rPr>
          <w:color w:val="000000"/>
          <w:sz w:val="24"/>
        </w:rPr>
        <w:t>（2）公众，尤其是直接受项目建设影响的公众，他们对和项目有关的环境问题以及相应的环境影响的感受是直接的，也是较敏感的，往往会意识到某些重大环境问题和环境影响，会对环保措施的可行性提出有益的看法，有利于环境影响评价工作的进行；</w:t>
      </w:r>
    </w:p>
    <w:p w14:paraId="7BE1A11E">
      <w:pPr>
        <w:tabs>
          <w:tab w:val="left" w:pos="6120"/>
        </w:tabs>
        <w:spacing w:line="360" w:lineRule="auto"/>
        <w:ind w:firstLine="465"/>
        <w:rPr>
          <w:color w:val="000000"/>
          <w:sz w:val="24"/>
        </w:rPr>
      </w:pPr>
      <w:r>
        <w:rPr>
          <w:color w:val="000000"/>
          <w:sz w:val="24"/>
        </w:rPr>
        <w:t>（3）通过公众参与，可获知公众对项目的各种看法、意见，为维护公众的切身利益找到依据，在环评过程中充分采纳可行性建议，减少由于二者缺乏联系而使公众产生的担忧，尽可能降低对公众利益的不利影响，使之得到必要的补偿；</w:t>
      </w:r>
    </w:p>
    <w:p w14:paraId="3CB6C3AF">
      <w:pPr>
        <w:tabs>
          <w:tab w:val="left" w:pos="6120"/>
        </w:tabs>
        <w:spacing w:line="360" w:lineRule="auto"/>
        <w:ind w:firstLine="465"/>
        <w:rPr>
          <w:color w:val="000000"/>
          <w:sz w:val="24"/>
        </w:rPr>
      </w:pPr>
      <w:r>
        <w:rPr>
          <w:color w:val="000000"/>
          <w:sz w:val="24"/>
        </w:rPr>
        <w:t>（4）在环境影响评价后的评估工作中，主要依靠公众监督的作用，公众的积极参与，是环境管理机制的重要组成部分，有利于保护生态环境，提高项目的环境效益和经济效益，提高环境质量，确保可持续发展战略的实施。</w:t>
      </w:r>
    </w:p>
    <w:p w14:paraId="77493C77">
      <w:pPr>
        <w:pStyle w:val="204"/>
        <w:spacing w:after="0" w:line="360" w:lineRule="auto"/>
        <w:ind w:left="0" w:firstLine="480"/>
        <w:rPr>
          <w:rFonts w:hint="eastAsia"/>
          <w:color w:val="000000"/>
          <w:sz w:val="24"/>
        </w:rPr>
      </w:pPr>
      <w:r>
        <w:rPr>
          <w:color w:val="000000"/>
          <w:sz w:val="24"/>
        </w:rPr>
        <w:t>《中华人民共和国环境影响评价法》和《建设项目环境保护管理条例》中明确规定建设项目环境影响评价必须要进行公众参与调查，国家环保总局还出台了《公众参与暂行管理办法》，对公众参与的形式内容以及公示等进行了新的规定和要求。</w:t>
      </w:r>
    </w:p>
    <w:p w14:paraId="612DB0B1">
      <w:pPr>
        <w:pStyle w:val="182"/>
        <w:ind w:firstLine="275"/>
        <w:rPr>
          <w:rFonts w:hint="eastAsia" w:ascii="仿宋_GB2312" w:eastAsia="仿宋_GB2312"/>
          <w:color w:val="000000"/>
          <w:sz w:val="28"/>
          <w:szCs w:val="28"/>
        </w:rPr>
      </w:pPr>
      <w:r>
        <w:rPr>
          <w:rFonts w:hint="eastAsia" w:ascii="Times New Roman" w:hAnsi="Times New Roman" w:eastAsia="仿宋_GB2312" w:cs="Times New Roman"/>
          <w:color w:val="000000"/>
          <w:sz w:val="28"/>
          <w:szCs w:val="28"/>
        </w:rPr>
        <w:t>12</w:t>
      </w:r>
      <w:r>
        <w:rPr>
          <w:rFonts w:ascii="Times New Roman" w:hAnsi="Times New Roman" w:eastAsia="仿宋_GB2312" w:cs="Times New Roman"/>
          <w:color w:val="000000"/>
          <w:sz w:val="28"/>
          <w:szCs w:val="28"/>
        </w:rPr>
        <w:t>.</w:t>
      </w:r>
      <w:r>
        <w:rPr>
          <w:rFonts w:hint="eastAsia" w:ascii="Times New Roman" w:hAnsi="Times New Roman" w:eastAsia="仿宋_GB2312" w:cs="Times New Roman"/>
          <w:color w:val="000000"/>
          <w:sz w:val="28"/>
          <w:szCs w:val="28"/>
        </w:rPr>
        <w:t>2公众参与调查的范围</w:t>
      </w:r>
      <w:r>
        <w:rPr>
          <w:rFonts w:ascii="仿宋_GB2312" w:eastAsia="仿宋_GB2312"/>
          <w:color w:val="000000"/>
          <w:sz w:val="28"/>
          <w:szCs w:val="28"/>
        </w:rPr>
        <w:tab/>
      </w:r>
    </w:p>
    <w:p w14:paraId="6DEC5957">
      <w:pPr>
        <w:pStyle w:val="204"/>
        <w:spacing w:after="0" w:line="360" w:lineRule="auto"/>
        <w:ind w:left="0" w:firstLine="480"/>
        <w:rPr>
          <w:rFonts w:hint="eastAsia" w:ascii="宋体" w:hAnsi="宋体"/>
          <w:color w:val="000000"/>
          <w:sz w:val="24"/>
        </w:rPr>
      </w:pPr>
      <w:r>
        <w:rPr>
          <w:rFonts w:hint="eastAsia" w:ascii="宋体" w:hAnsi="宋体"/>
          <w:color w:val="000000"/>
          <w:sz w:val="24"/>
        </w:rPr>
        <w:t>建设单位于2017年6月对项目周边可能受影响的居民和单位进行了调查，发放公众调查表个人部分50份，收回43份。团体部分10份，收回10份。</w:t>
      </w:r>
    </w:p>
    <w:p w14:paraId="1A6D09F7">
      <w:pPr>
        <w:pStyle w:val="182"/>
        <w:ind w:firstLine="275"/>
        <w:rPr>
          <w:rFonts w:hint="eastAsia" w:ascii="Times New Roman" w:hAnsi="Times New Roman" w:eastAsia="仿宋_GB2312" w:cs="Times New Roman"/>
          <w:color w:val="000000"/>
          <w:sz w:val="28"/>
          <w:szCs w:val="28"/>
        </w:rPr>
      </w:pPr>
      <w:r>
        <w:rPr>
          <w:rFonts w:hint="eastAsia" w:ascii="Times New Roman" w:hAnsi="Times New Roman" w:eastAsia="仿宋_GB2312" w:cs="Times New Roman"/>
          <w:color w:val="000000"/>
          <w:sz w:val="28"/>
          <w:szCs w:val="28"/>
        </w:rPr>
        <w:t>12.3公众参与方式、内容</w:t>
      </w:r>
    </w:p>
    <w:p w14:paraId="134B91B0">
      <w:pPr>
        <w:pStyle w:val="204"/>
        <w:spacing w:line="360" w:lineRule="auto"/>
        <w:ind w:left="0" w:firstLine="480"/>
        <w:rPr>
          <w:rFonts w:hint="eastAsia" w:ascii="宋体" w:hAnsi="宋体"/>
          <w:color w:val="000000"/>
          <w:sz w:val="24"/>
        </w:rPr>
      </w:pPr>
      <w:r>
        <w:rPr>
          <w:rFonts w:hint="eastAsia" w:ascii="宋体" w:hAnsi="宋体"/>
          <w:color w:val="000000"/>
          <w:sz w:val="24"/>
        </w:rPr>
        <w:t>本项目公众参与的方式分为公告公示和问卷调查表两种。</w:t>
      </w:r>
    </w:p>
    <w:p w14:paraId="65A80097">
      <w:pPr>
        <w:pStyle w:val="183"/>
        <w:ind w:firstLine="472"/>
        <w:rPr>
          <w:rFonts w:hint="eastAsia" w:ascii="仿宋_GB2312" w:eastAsia="仿宋_GB2312"/>
          <w:color w:val="000000"/>
          <w:sz w:val="24"/>
          <w:szCs w:val="24"/>
        </w:rPr>
      </w:pPr>
      <w:r>
        <w:rPr>
          <w:rFonts w:hint="eastAsia" w:ascii="仿宋_GB2312" w:eastAsia="仿宋_GB2312"/>
          <w:color w:val="000000"/>
          <w:sz w:val="24"/>
          <w:szCs w:val="24"/>
        </w:rPr>
        <w:t>12.3.1 公众告示</w:t>
      </w:r>
    </w:p>
    <w:p w14:paraId="6D1589B4">
      <w:pPr>
        <w:pStyle w:val="204"/>
        <w:spacing w:after="0" w:line="360" w:lineRule="auto"/>
        <w:ind w:left="0" w:firstLine="480"/>
        <w:rPr>
          <w:rFonts w:hint="eastAsia" w:ascii="宋体" w:hAnsi="宋体"/>
          <w:color w:val="000000"/>
          <w:sz w:val="24"/>
        </w:rPr>
      </w:pPr>
      <w:r>
        <w:rPr>
          <w:rFonts w:ascii="宋体" w:hAnsi="宋体"/>
          <w:color w:val="000000"/>
          <w:sz w:val="24"/>
        </w:rPr>
        <w:t>根据《环境影响评价公众参与暂行办法》（国家环保总局2006年2月14日，环发2006[28号]）第八条规定：在《建设项目环境分类管理名录》规定的环境敏感区建设的需要编制环境影响报告书的项目，建设单位应当在确定了承担环境影响评价工作的环境影响评价机构后7日内，向公众公告项目信息。</w:t>
      </w:r>
    </w:p>
    <w:p w14:paraId="686EBC0C">
      <w:pPr>
        <w:pStyle w:val="204"/>
        <w:spacing w:after="0" w:line="360" w:lineRule="auto"/>
        <w:ind w:left="0" w:firstLine="480"/>
        <w:rPr>
          <w:rFonts w:hint="eastAsia" w:ascii="宋体" w:hAnsi="宋体"/>
          <w:color w:val="000000"/>
          <w:sz w:val="24"/>
        </w:rPr>
      </w:pPr>
      <w:r>
        <w:rPr>
          <w:rFonts w:hint="eastAsia" w:ascii="宋体" w:hAnsi="宋体"/>
          <w:color w:val="000000"/>
          <w:sz w:val="24"/>
        </w:rPr>
        <w:t>按照公众参与要求，本项目进行了两次信息公示。公示</w:t>
      </w:r>
      <w:r>
        <w:rPr>
          <w:rFonts w:ascii="宋体" w:hAnsi="宋体"/>
          <w:color w:val="000000"/>
          <w:sz w:val="24"/>
        </w:rPr>
        <w:t>于</w:t>
      </w:r>
      <w:r>
        <w:rPr>
          <w:rFonts w:hint="eastAsia" w:ascii="宋体" w:hAnsi="宋体"/>
          <w:color w:val="000000"/>
          <w:sz w:val="24"/>
        </w:rPr>
        <w:t>2017</w:t>
      </w:r>
      <w:r>
        <w:rPr>
          <w:rFonts w:ascii="宋体" w:hAnsi="宋体"/>
          <w:color w:val="000000"/>
          <w:sz w:val="24"/>
        </w:rPr>
        <w:t>年</w:t>
      </w:r>
      <w:r>
        <w:rPr>
          <w:rFonts w:hint="eastAsia" w:ascii="宋体" w:hAnsi="宋体"/>
          <w:color w:val="000000"/>
          <w:sz w:val="24"/>
        </w:rPr>
        <w:t>6</w:t>
      </w:r>
      <w:r>
        <w:rPr>
          <w:rFonts w:ascii="宋体" w:hAnsi="宋体"/>
          <w:color w:val="000000"/>
          <w:sz w:val="24"/>
        </w:rPr>
        <w:t>月</w:t>
      </w:r>
      <w:r>
        <w:rPr>
          <w:rFonts w:hint="eastAsia" w:ascii="宋体" w:hAnsi="宋体"/>
          <w:color w:val="000000"/>
          <w:sz w:val="24"/>
        </w:rPr>
        <w:t>5日在当地采取粘贴公告的方式行了公示，向公众公告建设项目的名称及概要、建设项目的建设单位名称和联系方式、承担评价工作的工作程序和主要工作内容、征求公众意见的主要事项、公众提出意见的主要方式等。第二次公示于2017年7月4日在环评爱好者网站进行了简本公示。</w:t>
      </w:r>
    </w:p>
    <w:p w14:paraId="4ADA3441">
      <w:pPr>
        <w:pStyle w:val="204"/>
        <w:spacing w:after="0" w:line="360" w:lineRule="auto"/>
        <w:ind w:left="0" w:firstLine="480"/>
        <w:rPr>
          <w:rFonts w:hint="eastAsia" w:ascii="宋体" w:hAnsi="宋体"/>
          <w:color w:val="000000"/>
          <w:sz w:val="24"/>
        </w:rPr>
      </w:pPr>
      <w:r>
        <w:rPr>
          <w:rFonts w:hint="eastAsia" w:ascii="宋体" w:hAnsi="宋体"/>
          <w:color w:val="000000"/>
          <w:sz w:val="24"/>
        </w:rPr>
        <w:t>公示主</w:t>
      </w:r>
      <w:r>
        <w:rPr>
          <w:rFonts w:ascii="宋体" w:hAnsi="宋体"/>
          <w:color w:val="000000"/>
          <w:sz w:val="24"/>
        </w:rPr>
        <w:t>要内容包括：</w:t>
      </w:r>
    </w:p>
    <w:p w14:paraId="4B69E9E1">
      <w:pPr>
        <w:pStyle w:val="221"/>
        <w:spacing w:after="0" w:line="360" w:lineRule="auto"/>
        <w:ind w:left="0" w:firstLine="480"/>
        <w:rPr>
          <w:rFonts w:ascii="宋体" w:hAnsi="宋体"/>
          <w:color w:val="000000"/>
          <w:sz w:val="24"/>
        </w:rPr>
      </w:pPr>
      <w:r>
        <w:rPr>
          <w:rFonts w:hint="eastAsia" w:ascii="宋体" w:hAnsi="宋体"/>
          <w:color w:val="000000"/>
          <w:sz w:val="24"/>
        </w:rPr>
        <w:t>（1）</w:t>
      </w:r>
      <w:r>
        <w:rPr>
          <w:rFonts w:ascii="宋体" w:hAnsi="宋体"/>
          <w:color w:val="000000"/>
          <w:sz w:val="24"/>
        </w:rPr>
        <w:t>建设项目的名称及概要</w:t>
      </w:r>
      <w:r>
        <w:rPr>
          <w:rFonts w:hint="eastAsia" w:ascii="宋体" w:hAnsi="宋体"/>
          <w:color w:val="000000"/>
          <w:sz w:val="24"/>
        </w:rPr>
        <w:t>；</w:t>
      </w:r>
    </w:p>
    <w:p w14:paraId="7D1076E1">
      <w:pPr>
        <w:pStyle w:val="221"/>
        <w:spacing w:after="0" w:line="360" w:lineRule="auto"/>
        <w:ind w:left="0" w:firstLine="480"/>
        <w:rPr>
          <w:rFonts w:ascii="宋体" w:hAnsi="宋体"/>
          <w:color w:val="000000"/>
          <w:sz w:val="24"/>
        </w:rPr>
      </w:pPr>
      <w:r>
        <w:rPr>
          <w:rFonts w:hint="eastAsia" w:ascii="宋体" w:hAnsi="宋体"/>
          <w:color w:val="000000"/>
          <w:sz w:val="24"/>
        </w:rPr>
        <w:t>（2）</w:t>
      </w:r>
      <w:r>
        <w:rPr>
          <w:rFonts w:ascii="宋体" w:hAnsi="宋体"/>
          <w:color w:val="000000"/>
          <w:sz w:val="24"/>
        </w:rPr>
        <w:t>建设项目的建设单位的名称和联系方式</w:t>
      </w:r>
      <w:r>
        <w:rPr>
          <w:rFonts w:hint="eastAsia" w:ascii="宋体" w:hAnsi="宋体"/>
          <w:color w:val="000000"/>
          <w:sz w:val="24"/>
        </w:rPr>
        <w:t>；</w:t>
      </w:r>
    </w:p>
    <w:p w14:paraId="3DB97AD2">
      <w:pPr>
        <w:pStyle w:val="221"/>
        <w:spacing w:after="0" w:line="360" w:lineRule="auto"/>
        <w:ind w:left="0" w:firstLine="480"/>
        <w:rPr>
          <w:rFonts w:ascii="宋体" w:hAnsi="宋体"/>
          <w:color w:val="000000"/>
          <w:sz w:val="24"/>
        </w:rPr>
      </w:pPr>
      <w:r>
        <w:rPr>
          <w:rFonts w:hint="eastAsia" w:ascii="宋体" w:hAnsi="宋体"/>
          <w:color w:val="000000"/>
          <w:sz w:val="24"/>
        </w:rPr>
        <w:t>（3）</w:t>
      </w:r>
      <w:r>
        <w:rPr>
          <w:rFonts w:ascii="宋体" w:hAnsi="宋体"/>
          <w:color w:val="000000"/>
          <w:sz w:val="24"/>
        </w:rPr>
        <w:t>承担评价工作的环境影响评价机构的名称和联系方式</w:t>
      </w:r>
      <w:r>
        <w:rPr>
          <w:rFonts w:hint="eastAsia" w:ascii="宋体" w:hAnsi="宋体"/>
          <w:color w:val="000000"/>
          <w:sz w:val="24"/>
        </w:rPr>
        <w:t>；</w:t>
      </w:r>
    </w:p>
    <w:p w14:paraId="6682FBBE">
      <w:pPr>
        <w:pStyle w:val="221"/>
        <w:spacing w:after="0" w:line="360" w:lineRule="auto"/>
        <w:ind w:left="0" w:firstLine="480"/>
        <w:rPr>
          <w:rFonts w:ascii="宋体" w:hAnsi="宋体"/>
          <w:color w:val="000000"/>
          <w:sz w:val="24"/>
        </w:rPr>
      </w:pPr>
      <w:r>
        <w:rPr>
          <w:rFonts w:hint="eastAsia" w:ascii="宋体" w:hAnsi="宋体"/>
          <w:color w:val="000000"/>
          <w:sz w:val="24"/>
        </w:rPr>
        <w:t>（4）</w:t>
      </w:r>
      <w:r>
        <w:rPr>
          <w:rFonts w:ascii="宋体" w:hAnsi="宋体"/>
          <w:color w:val="000000"/>
          <w:sz w:val="24"/>
        </w:rPr>
        <w:t>环境影响评价的主要工作内容</w:t>
      </w:r>
      <w:r>
        <w:rPr>
          <w:rFonts w:hint="eastAsia" w:ascii="宋体" w:hAnsi="宋体"/>
          <w:color w:val="000000"/>
          <w:sz w:val="24"/>
        </w:rPr>
        <w:t>；</w:t>
      </w:r>
    </w:p>
    <w:p w14:paraId="146B0DCE">
      <w:pPr>
        <w:pStyle w:val="221"/>
        <w:spacing w:after="0" w:line="360" w:lineRule="auto"/>
        <w:ind w:left="0" w:firstLine="480"/>
        <w:rPr>
          <w:rFonts w:hint="eastAsia" w:ascii="宋体" w:hAnsi="宋体"/>
          <w:color w:val="000000"/>
          <w:sz w:val="24"/>
        </w:rPr>
      </w:pPr>
      <w:r>
        <w:rPr>
          <w:rFonts w:hint="eastAsia" w:ascii="宋体" w:hAnsi="宋体"/>
          <w:color w:val="000000"/>
          <w:sz w:val="24"/>
        </w:rPr>
        <w:t>（5）</w:t>
      </w:r>
      <w:r>
        <w:rPr>
          <w:rFonts w:ascii="宋体" w:hAnsi="宋体"/>
          <w:color w:val="000000"/>
          <w:sz w:val="24"/>
        </w:rPr>
        <w:t>征求公众意见的主要事项</w:t>
      </w:r>
      <w:r>
        <w:rPr>
          <w:rFonts w:hint="eastAsia" w:ascii="宋体" w:hAnsi="宋体"/>
          <w:color w:val="000000"/>
          <w:sz w:val="24"/>
        </w:rPr>
        <w:t>；</w:t>
      </w:r>
    </w:p>
    <w:p w14:paraId="680CB5F2">
      <w:pPr>
        <w:pStyle w:val="221"/>
        <w:spacing w:after="0" w:line="360" w:lineRule="auto"/>
        <w:ind w:left="0" w:firstLine="480"/>
        <w:rPr>
          <w:rFonts w:hint="eastAsia" w:ascii="宋体" w:hAnsi="宋体"/>
          <w:color w:val="000000"/>
          <w:sz w:val="24"/>
        </w:rPr>
      </w:pPr>
      <w:r>
        <w:rPr>
          <w:rFonts w:hint="eastAsia" w:ascii="宋体" w:hAnsi="宋体"/>
          <w:color w:val="000000"/>
          <w:sz w:val="24"/>
        </w:rPr>
        <w:t>（6）</w:t>
      </w:r>
      <w:r>
        <w:rPr>
          <w:rFonts w:ascii="宋体" w:hAnsi="宋体"/>
          <w:color w:val="000000"/>
          <w:sz w:val="24"/>
        </w:rPr>
        <w:t>公众提出意见的主要方式</w:t>
      </w:r>
      <w:r>
        <w:rPr>
          <w:rFonts w:hint="eastAsia" w:ascii="宋体" w:hAnsi="宋体"/>
          <w:color w:val="000000"/>
          <w:sz w:val="24"/>
        </w:rPr>
        <w:t>。</w:t>
      </w:r>
    </w:p>
    <w:p w14:paraId="7691EB59">
      <w:pPr>
        <w:pStyle w:val="183"/>
        <w:ind w:firstLine="472"/>
        <w:rPr>
          <w:rFonts w:hint="eastAsia" w:ascii="仿宋_GB2312" w:eastAsia="仿宋_GB2312"/>
          <w:color w:val="000000"/>
          <w:sz w:val="24"/>
          <w:szCs w:val="24"/>
        </w:rPr>
      </w:pPr>
      <w:r>
        <w:rPr>
          <w:rFonts w:hint="eastAsia" w:ascii="仿宋_GB2312" w:eastAsia="仿宋_GB2312"/>
          <w:color w:val="000000"/>
          <w:sz w:val="24"/>
          <w:szCs w:val="24"/>
        </w:rPr>
        <w:t>12.3.2公众参与信息公示情况</w:t>
      </w:r>
    </w:p>
    <w:p w14:paraId="08227871">
      <w:pPr>
        <w:spacing w:line="360" w:lineRule="auto"/>
        <w:rPr>
          <w:rFonts w:hint="eastAsia"/>
          <w:color w:val="000000"/>
        </w:rPr>
      </w:pPr>
      <w:r>
        <w:rPr>
          <w:color w:val="000000"/>
        </w:rPr>
        <w:drawing>
          <wp:inline distT="0" distB="0" distL="0" distR="0">
            <wp:extent cx="5547995" cy="3260725"/>
            <wp:effectExtent l="0" t="0" r="0" b="0"/>
            <wp:docPr id="186" name="_x0000_i1385"/>
            <wp:cNvGraphicFramePr/>
            <a:graphic xmlns:a="http://schemas.openxmlformats.org/drawingml/2006/main">
              <a:graphicData uri="http://schemas.openxmlformats.org/drawingml/2006/picture">
                <pic:pic xmlns:pic="http://schemas.openxmlformats.org/drawingml/2006/picture">
                  <pic:nvPicPr>
                    <pic:cNvPr id="186" name="_x0000_i1385"/>
                    <pic:cNvPicPr/>
                  </pic:nvPicPr>
                  <pic:blipFill>
                    <a:blip r:embed="rId53"/>
                    <a:stretch>
                      <a:fillRect/>
                    </a:stretch>
                  </pic:blipFill>
                  <pic:spPr>
                    <a:xfrm>
                      <a:off x="0" y="0"/>
                      <a:ext cx="5548059" cy="3260750"/>
                    </a:xfrm>
                    <a:prstGeom prst="rect">
                      <a:avLst/>
                    </a:prstGeom>
                    <a:noFill/>
                    <a:ln>
                      <a:noFill/>
                      <a:bevel/>
                    </a:ln>
                  </pic:spPr>
                </pic:pic>
              </a:graphicData>
            </a:graphic>
          </wp:inline>
        </w:drawing>
      </w:r>
    </w:p>
    <w:p w14:paraId="68F9E774">
      <w:pPr>
        <w:pStyle w:val="192"/>
        <w:tabs>
          <w:tab w:val="center" w:pos="4397"/>
          <w:tab w:val="left" w:pos="6540"/>
        </w:tabs>
        <w:ind w:firstLine="482"/>
        <w:jc w:val="left"/>
        <w:rPr>
          <w:rFonts w:hint="eastAsia" w:ascii="宋体" w:hAnsi="宋体" w:eastAsia="宋体"/>
          <w:b/>
          <w:color w:val="000000"/>
        </w:rPr>
      </w:pPr>
      <w:r>
        <w:rPr>
          <w:rFonts w:ascii="宋体" w:hAnsi="宋体" w:eastAsia="宋体"/>
          <w:b/>
          <w:color w:val="000000"/>
        </w:rPr>
        <w:tab/>
      </w:r>
      <w:r>
        <w:rPr>
          <w:rFonts w:hint="eastAsia" w:ascii="宋体" w:hAnsi="宋体" w:eastAsia="宋体"/>
          <w:b/>
          <w:color w:val="000000"/>
        </w:rPr>
        <w:t>12.3-1  公众参与公示照片1</w:t>
      </w:r>
      <w:r>
        <w:rPr>
          <w:rFonts w:ascii="宋体" w:hAnsi="宋体" w:eastAsia="宋体"/>
          <w:b/>
          <w:color w:val="000000"/>
        </w:rPr>
        <w:tab/>
      </w:r>
    </w:p>
    <w:p w14:paraId="625E8FBE">
      <w:pPr>
        <w:rPr>
          <w:rFonts w:hint="eastAsia"/>
          <w:color w:val="000000"/>
        </w:rPr>
      </w:pPr>
      <w:r>
        <w:rPr>
          <w:rFonts w:hint="eastAsia"/>
          <w:color w:val="000000"/>
        </w:rPr>
        <w:drawing>
          <wp:inline distT="0" distB="0" distL="0" distR="0">
            <wp:extent cx="5273675" cy="3266440"/>
            <wp:effectExtent l="0" t="0" r="0" b="0"/>
            <wp:docPr id="187" name="_x0000_i1386"/>
            <wp:cNvGraphicFramePr/>
            <a:graphic xmlns:a="http://schemas.openxmlformats.org/drawingml/2006/main">
              <a:graphicData uri="http://schemas.openxmlformats.org/drawingml/2006/picture">
                <pic:pic xmlns:pic="http://schemas.openxmlformats.org/drawingml/2006/picture">
                  <pic:nvPicPr>
                    <pic:cNvPr id="187" name="_x0000_i1386"/>
                    <pic:cNvPicPr/>
                  </pic:nvPicPr>
                  <pic:blipFill>
                    <a:blip r:embed="rId54"/>
                    <a:stretch>
                      <a:fillRect/>
                    </a:stretch>
                  </pic:blipFill>
                  <pic:spPr>
                    <a:xfrm>
                      <a:off x="0" y="0"/>
                      <a:ext cx="5274259" cy="3266986"/>
                    </a:xfrm>
                    <a:prstGeom prst="rect">
                      <a:avLst/>
                    </a:prstGeom>
                    <a:noFill/>
                    <a:ln>
                      <a:noFill/>
                      <a:bevel/>
                    </a:ln>
                  </pic:spPr>
                </pic:pic>
              </a:graphicData>
            </a:graphic>
          </wp:inline>
        </w:drawing>
      </w:r>
    </w:p>
    <w:p w14:paraId="15BA67CE">
      <w:pPr>
        <w:pStyle w:val="221"/>
        <w:spacing w:after="0" w:line="360" w:lineRule="auto"/>
        <w:ind w:left="0" w:firstLine="0"/>
        <w:jc w:val="center"/>
        <w:rPr>
          <w:rFonts w:hint="eastAsia" w:ascii="宋体" w:hAnsi="宋体"/>
          <w:b/>
          <w:color w:val="000000"/>
          <w:sz w:val="24"/>
        </w:rPr>
      </w:pPr>
      <w:r>
        <w:rPr>
          <w:rFonts w:hint="eastAsia" w:ascii="宋体" w:hAnsi="宋体"/>
          <w:b/>
          <w:color w:val="000000"/>
          <w:sz w:val="24"/>
        </w:rPr>
        <w:t>12.3-2  公众参与公示照片2</w:t>
      </w:r>
    </w:p>
    <w:p w14:paraId="1EFFA0D0">
      <w:pPr>
        <w:pStyle w:val="183"/>
        <w:ind w:firstLine="472"/>
        <w:rPr>
          <w:rFonts w:hint="eastAsia" w:ascii="仿宋_GB2312" w:eastAsia="仿宋_GB2312"/>
          <w:color w:val="000000"/>
          <w:sz w:val="24"/>
          <w:szCs w:val="24"/>
        </w:rPr>
      </w:pPr>
      <w:r>
        <w:rPr>
          <w:rFonts w:hint="eastAsia" w:ascii="仿宋_GB2312" w:eastAsia="仿宋_GB2312"/>
          <w:color w:val="000000"/>
          <w:sz w:val="24"/>
          <w:szCs w:val="24"/>
        </w:rPr>
        <w:t>12.3.3公众参与问卷调查</w:t>
      </w:r>
    </w:p>
    <w:p w14:paraId="2437B9B5">
      <w:pPr>
        <w:pStyle w:val="204"/>
        <w:spacing w:after="0" w:line="360" w:lineRule="auto"/>
        <w:ind w:left="0" w:firstLine="480"/>
        <w:rPr>
          <w:rFonts w:hint="eastAsia" w:ascii="宋体" w:hAnsi="宋体"/>
          <w:color w:val="000000"/>
          <w:sz w:val="24"/>
        </w:rPr>
      </w:pPr>
      <w:r>
        <w:rPr>
          <w:rFonts w:ascii="宋体" w:hAnsi="宋体"/>
          <w:color w:val="000000"/>
          <w:sz w:val="24"/>
        </w:rPr>
        <w:t>本次公众参与采用发放调查表的方式。首先向被调查人员和团体介绍项目的</w:t>
      </w:r>
      <w:r>
        <w:rPr>
          <w:rFonts w:hint="eastAsia" w:ascii="宋体" w:hAnsi="宋体"/>
          <w:color w:val="000000"/>
          <w:sz w:val="24"/>
        </w:rPr>
        <w:t>背</w:t>
      </w:r>
      <w:r>
        <w:rPr>
          <w:rFonts w:ascii="宋体" w:hAnsi="宋体"/>
          <w:color w:val="000000"/>
          <w:sz w:val="24"/>
        </w:rPr>
        <w:t>景、建设地点、建设内容与规模、主要污染排放等情况后，然后询问被调查人员对本项目环境问题的有关意见（见附件），最后整理各位</w:t>
      </w:r>
      <w:r>
        <w:rPr>
          <w:rFonts w:hint="eastAsia" w:ascii="宋体" w:hAnsi="宋体"/>
          <w:color w:val="000000"/>
          <w:sz w:val="24"/>
        </w:rPr>
        <w:t>受</w:t>
      </w:r>
      <w:r>
        <w:rPr>
          <w:rFonts w:ascii="宋体" w:hAnsi="宋体"/>
          <w:color w:val="000000"/>
          <w:sz w:val="24"/>
        </w:rPr>
        <w:t>访人员和</w:t>
      </w:r>
      <w:r>
        <w:rPr>
          <w:rFonts w:hint="eastAsia" w:ascii="宋体" w:hAnsi="宋体"/>
          <w:color w:val="000000"/>
          <w:sz w:val="24"/>
        </w:rPr>
        <w:t>受访</w:t>
      </w:r>
      <w:r>
        <w:rPr>
          <w:rFonts w:ascii="宋体" w:hAnsi="宋体"/>
          <w:color w:val="000000"/>
          <w:sz w:val="24"/>
        </w:rPr>
        <w:t>团体</w:t>
      </w:r>
      <w:r>
        <w:rPr>
          <w:rFonts w:hint="eastAsia" w:ascii="宋体" w:hAnsi="宋体"/>
          <w:color w:val="000000"/>
          <w:sz w:val="24"/>
        </w:rPr>
        <w:t>填写的</w:t>
      </w:r>
      <w:r>
        <w:rPr>
          <w:rFonts w:ascii="宋体" w:hAnsi="宋体"/>
          <w:color w:val="000000"/>
          <w:sz w:val="24"/>
        </w:rPr>
        <w:t>公众参与调查表，获得公众对本项目环境影响的主要看法和建议。以供决策部门参考。</w:t>
      </w:r>
    </w:p>
    <w:p w14:paraId="51487965">
      <w:pPr>
        <w:pStyle w:val="182"/>
        <w:ind w:firstLine="275"/>
        <w:rPr>
          <w:rFonts w:hint="eastAsia" w:ascii="Times New Roman" w:hAnsi="Times New Roman" w:eastAsia="仿宋_GB2312" w:cs="Times New Roman"/>
          <w:color w:val="000000"/>
          <w:sz w:val="28"/>
          <w:szCs w:val="28"/>
        </w:rPr>
      </w:pPr>
      <w:r>
        <w:rPr>
          <w:rFonts w:hint="eastAsia" w:ascii="Times New Roman" w:hAnsi="Times New Roman" w:eastAsia="仿宋_GB2312" w:cs="Times New Roman"/>
          <w:color w:val="000000"/>
          <w:sz w:val="28"/>
          <w:szCs w:val="28"/>
        </w:rPr>
        <w:t>12.4公众告示结果</w:t>
      </w:r>
    </w:p>
    <w:p w14:paraId="69E7D202">
      <w:pPr>
        <w:pStyle w:val="204"/>
        <w:spacing w:after="0" w:line="360" w:lineRule="auto"/>
        <w:ind w:left="0" w:firstLine="480"/>
        <w:rPr>
          <w:rFonts w:hint="eastAsia" w:ascii="宋体" w:hAnsi="宋体"/>
          <w:color w:val="000000"/>
          <w:sz w:val="24"/>
        </w:rPr>
      </w:pPr>
      <w:r>
        <w:rPr>
          <w:rFonts w:hint="eastAsia" w:ascii="宋体" w:hAnsi="宋体"/>
          <w:color w:val="000000"/>
          <w:sz w:val="24"/>
        </w:rPr>
        <w:t>本项目</w:t>
      </w:r>
      <w:r>
        <w:rPr>
          <w:rFonts w:ascii="宋体" w:hAnsi="宋体"/>
          <w:color w:val="000000"/>
          <w:sz w:val="24"/>
        </w:rPr>
        <w:t>公示</w:t>
      </w:r>
      <w:r>
        <w:rPr>
          <w:rFonts w:hint="eastAsia" w:ascii="宋体" w:hAnsi="宋体"/>
          <w:color w:val="000000"/>
          <w:sz w:val="24"/>
        </w:rPr>
        <w:t>期</w:t>
      </w:r>
      <w:r>
        <w:rPr>
          <w:rFonts w:ascii="宋体" w:hAnsi="宋体"/>
          <w:color w:val="000000"/>
          <w:sz w:val="24"/>
        </w:rPr>
        <w:t>内，</w:t>
      </w:r>
      <w:r>
        <w:rPr>
          <w:rFonts w:hint="eastAsia" w:ascii="宋体" w:hAnsi="宋体"/>
          <w:color w:val="000000"/>
          <w:sz w:val="24"/>
        </w:rPr>
        <w:t>没有接到任何形式的意见，同时</w:t>
      </w:r>
      <w:r>
        <w:rPr>
          <w:rFonts w:ascii="宋体" w:hAnsi="宋体"/>
          <w:color w:val="000000"/>
          <w:sz w:val="24"/>
        </w:rPr>
        <w:t>未接到有关对本项目环境问题咨询的电话和信函、电子邮件等。</w:t>
      </w:r>
      <w:r>
        <w:rPr>
          <w:rFonts w:hint="eastAsia" w:ascii="宋体" w:hAnsi="宋体"/>
          <w:color w:val="000000"/>
          <w:sz w:val="24"/>
        </w:rPr>
        <w:t>公示现场照片见照片12.3-1，12.3-2。</w:t>
      </w:r>
    </w:p>
    <w:p w14:paraId="7E577812">
      <w:pPr>
        <w:pStyle w:val="182"/>
        <w:ind w:firstLine="275"/>
        <w:rPr>
          <w:rFonts w:hint="eastAsia" w:ascii="Times New Roman" w:hAnsi="Times New Roman" w:eastAsia="仿宋_GB2312" w:cs="Times New Roman"/>
          <w:color w:val="000000"/>
          <w:sz w:val="28"/>
          <w:szCs w:val="28"/>
        </w:rPr>
      </w:pPr>
      <w:r>
        <w:rPr>
          <w:rFonts w:hint="eastAsia" w:ascii="Times New Roman" w:hAnsi="Times New Roman" w:eastAsia="仿宋_GB2312" w:cs="Times New Roman"/>
          <w:color w:val="000000"/>
          <w:sz w:val="28"/>
          <w:szCs w:val="28"/>
        </w:rPr>
        <w:t>12.5公众参与问卷调查结果统计分析</w:t>
      </w:r>
    </w:p>
    <w:p w14:paraId="3978CF52">
      <w:pPr>
        <w:pStyle w:val="183"/>
        <w:ind w:firstLine="472"/>
        <w:rPr>
          <w:rFonts w:hint="eastAsia" w:ascii="仿宋_GB2312" w:eastAsia="仿宋_GB2312"/>
          <w:color w:val="000000"/>
          <w:sz w:val="24"/>
          <w:szCs w:val="24"/>
        </w:rPr>
      </w:pPr>
      <w:r>
        <w:rPr>
          <w:rFonts w:hint="eastAsia" w:ascii="仿宋_GB2312" w:eastAsia="仿宋_GB2312"/>
          <w:color w:val="000000"/>
          <w:sz w:val="24"/>
          <w:szCs w:val="24"/>
        </w:rPr>
        <w:t>12.5.1 社会团体</w:t>
      </w:r>
      <w:r>
        <w:rPr>
          <w:rFonts w:ascii="仿宋_GB2312" w:eastAsia="仿宋_GB2312"/>
          <w:color w:val="000000"/>
          <w:sz w:val="24"/>
          <w:szCs w:val="24"/>
        </w:rPr>
        <w:t>调查</w:t>
      </w:r>
      <w:r>
        <w:rPr>
          <w:rFonts w:hint="eastAsia" w:ascii="仿宋_GB2312" w:eastAsia="仿宋_GB2312"/>
          <w:color w:val="000000"/>
          <w:sz w:val="24"/>
          <w:szCs w:val="24"/>
        </w:rPr>
        <w:t>内容、</w:t>
      </w:r>
      <w:r>
        <w:rPr>
          <w:rFonts w:ascii="仿宋_GB2312" w:eastAsia="仿宋_GB2312"/>
          <w:color w:val="000000"/>
          <w:sz w:val="24"/>
          <w:szCs w:val="24"/>
        </w:rPr>
        <w:t>结果</w:t>
      </w:r>
      <w:r>
        <w:rPr>
          <w:rFonts w:hint="eastAsia" w:ascii="仿宋_GB2312" w:eastAsia="仿宋_GB2312"/>
          <w:color w:val="000000"/>
          <w:sz w:val="24"/>
          <w:szCs w:val="24"/>
        </w:rPr>
        <w:t>统计分析</w:t>
      </w:r>
    </w:p>
    <w:p w14:paraId="247D306B">
      <w:pPr>
        <w:spacing w:line="360" w:lineRule="auto"/>
        <w:ind w:firstLine="482"/>
        <w:rPr>
          <w:rFonts w:ascii="宋体" w:hAnsi="宋体"/>
          <w:b/>
          <w:color w:val="000000"/>
          <w:sz w:val="24"/>
        </w:rPr>
      </w:pPr>
      <w:r>
        <w:rPr>
          <w:rFonts w:hint="eastAsia" w:ascii="宋体" w:hAnsi="宋体"/>
          <w:b/>
          <w:color w:val="000000"/>
          <w:sz w:val="24"/>
        </w:rPr>
        <w:t>（1）调查结果统计</w:t>
      </w:r>
    </w:p>
    <w:p w14:paraId="162B0457">
      <w:pPr>
        <w:spacing w:line="360" w:lineRule="auto"/>
        <w:ind w:firstLine="480"/>
        <w:rPr>
          <w:rFonts w:hint="eastAsia" w:ascii="宋体" w:hAnsi="宋体"/>
          <w:color w:val="000000"/>
          <w:sz w:val="24"/>
        </w:rPr>
      </w:pPr>
      <w:r>
        <w:rPr>
          <w:rFonts w:hint="eastAsia" w:ascii="宋体" w:hAnsi="宋体"/>
          <w:color w:val="000000"/>
          <w:sz w:val="24"/>
        </w:rPr>
        <w:t>本次调查对政府机构、社会团体及企事业单位共发放了团体部分10份，收回10份，回收问卷均加盖公章。被访单位为：芒市住房和城乡规划建设局、芒市国土资源局、芒市人力资源和社会保障局、芒市环境保护局、芒市百年宾馆、芒市卫生和计划生育局、芒市唐阿姨餐馆、芒市勐焕街道办事处城西社区居民委员会、云南德风茶叶有限公司、芒市司法局。</w:t>
      </w:r>
    </w:p>
    <w:p w14:paraId="441034C7">
      <w:pPr>
        <w:spacing w:line="360" w:lineRule="auto"/>
        <w:ind w:firstLine="482"/>
        <w:rPr>
          <w:rFonts w:ascii="宋体" w:hAnsi="宋体"/>
          <w:b/>
          <w:color w:val="000000"/>
          <w:sz w:val="24"/>
        </w:rPr>
      </w:pPr>
      <w:r>
        <w:rPr>
          <w:rFonts w:hint="eastAsia" w:ascii="宋体" w:hAnsi="宋体"/>
          <w:b/>
          <w:color w:val="000000"/>
          <w:sz w:val="24"/>
        </w:rPr>
        <w:t>（2）社会团体卷内容</w:t>
      </w:r>
    </w:p>
    <w:p w14:paraId="29480598">
      <w:pPr>
        <w:spacing w:before="240"/>
        <w:jc w:val="center"/>
        <w:rPr>
          <w:rFonts w:hint="eastAsia"/>
          <w:b/>
          <w:bCs/>
          <w:color w:val="000000"/>
          <w:sz w:val="24"/>
        </w:rPr>
      </w:pPr>
      <w:r>
        <w:rPr>
          <w:b/>
          <w:bCs/>
          <w:color w:val="000000"/>
          <w:sz w:val="24"/>
        </w:rPr>
        <w:t>表</w:t>
      </w:r>
      <w:r>
        <w:rPr>
          <w:rFonts w:hint="eastAsia"/>
          <w:b/>
          <w:bCs/>
          <w:color w:val="000000"/>
          <w:sz w:val="24"/>
        </w:rPr>
        <w:t>12.5</w:t>
      </w:r>
      <w:r>
        <w:rPr>
          <w:b/>
          <w:bCs/>
          <w:color w:val="000000"/>
          <w:sz w:val="24"/>
        </w:rPr>
        <w:t>-</w:t>
      </w:r>
      <w:r>
        <w:rPr>
          <w:rFonts w:hint="eastAsia"/>
          <w:b/>
          <w:bCs/>
          <w:color w:val="000000"/>
          <w:sz w:val="24"/>
        </w:rPr>
        <w:t>1</w:t>
      </w:r>
      <w:r>
        <w:rPr>
          <w:b/>
          <w:bCs/>
          <w:color w:val="000000"/>
          <w:sz w:val="24"/>
        </w:rPr>
        <w:t xml:space="preserve">  公众意见汇总表</w:t>
      </w:r>
    </w:p>
    <w:tbl>
      <w:tblPr>
        <w:tblStyle w:val="27"/>
        <w:tblW w:w="0" w:type="auto"/>
        <w:tblInd w:w="-10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
      <w:tblGrid>
        <w:gridCol w:w="821"/>
        <w:gridCol w:w="3696"/>
        <w:gridCol w:w="2204"/>
        <w:gridCol w:w="866"/>
        <w:gridCol w:w="941"/>
      </w:tblGrid>
      <w:tr w14:paraId="4ED5BD66">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58" w:hRule="atLeast"/>
        </w:trPr>
        <w:tc>
          <w:tcPr>
            <w:tcW w:w="821" w:type="dxa"/>
            <w:noWrap w:val="0"/>
            <w:vAlign w:val="top"/>
          </w:tcPr>
          <w:p w14:paraId="194FEA79">
            <w:pPr>
              <w:widowControl/>
              <w:rPr>
                <w:rFonts w:cs="宋体"/>
                <w:color w:val="000000"/>
                <w:szCs w:val="21"/>
              </w:rPr>
            </w:pPr>
            <w:r>
              <w:rPr>
                <w:rFonts w:hint="eastAsia" w:cs="宋体"/>
                <w:color w:val="000000"/>
                <w:szCs w:val="21"/>
              </w:rPr>
              <w:t>序号</w:t>
            </w:r>
          </w:p>
        </w:tc>
        <w:tc>
          <w:tcPr>
            <w:tcW w:w="3696" w:type="dxa"/>
            <w:noWrap w:val="0"/>
            <w:vAlign w:val="top"/>
          </w:tcPr>
          <w:p w14:paraId="1A0E7407">
            <w:pPr>
              <w:widowControl/>
              <w:rPr>
                <w:rFonts w:cs="宋体"/>
                <w:color w:val="000000"/>
                <w:szCs w:val="21"/>
              </w:rPr>
            </w:pPr>
            <w:r>
              <w:rPr>
                <w:rFonts w:hint="eastAsia" w:cs="宋体"/>
                <w:color w:val="000000"/>
                <w:szCs w:val="21"/>
              </w:rPr>
              <w:t>主要调查内容</w:t>
            </w:r>
          </w:p>
        </w:tc>
        <w:tc>
          <w:tcPr>
            <w:tcW w:w="2204" w:type="dxa"/>
            <w:noWrap w:val="0"/>
            <w:vAlign w:val="top"/>
          </w:tcPr>
          <w:p w14:paraId="21B0EB7C">
            <w:pPr>
              <w:widowControl/>
              <w:jc w:val="center"/>
              <w:rPr>
                <w:rFonts w:cs="宋体"/>
                <w:color w:val="000000"/>
                <w:szCs w:val="21"/>
              </w:rPr>
            </w:pPr>
            <w:r>
              <w:rPr>
                <w:rFonts w:hint="eastAsia" w:cs="宋体"/>
                <w:color w:val="000000"/>
                <w:szCs w:val="21"/>
              </w:rPr>
              <w:t>意见</w:t>
            </w:r>
          </w:p>
        </w:tc>
        <w:tc>
          <w:tcPr>
            <w:tcW w:w="866" w:type="dxa"/>
            <w:noWrap w:val="0"/>
            <w:vAlign w:val="top"/>
          </w:tcPr>
          <w:p w14:paraId="336F4AF5">
            <w:pPr>
              <w:widowControl/>
              <w:jc w:val="center"/>
              <w:rPr>
                <w:rFonts w:cs="宋体"/>
                <w:color w:val="000000"/>
                <w:szCs w:val="21"/>
              </w:rPr>
            </w:pPr>
            <w:r>
              <w:rPr>
                <w:rFonts w:hint="eastAsia" w:cs="宋体"/>
                <w:color w:val="000000"/>
                <w:szCs w:val="21"/>
              </w:rPr>
              <w:t>人数</w:t>
            </w:r>
          </w:p>
        </w:tc>
        <w:tc>
          <w:tcPr>
            <w:tcW w:w="941" w:type="dxa"/>
            <w:noWrap w:val="0"/>
            <w:vAlign w:val="top"/>
          </w:tcPr>
          <w:p w14:paraId="2326E6C2">
            <w:pPr>
              <w:widowControl/>
              <w:jc w:val="center"/>
              <w:rPr>
                <w:rFonts w:cs="宋体"/>
                <w:color w:val="000000"/>
                <w:szCs w:val="21"/>
              </w:rPr>
            </w:pPr>
            <w:r>
              <w:rPr>
                <w:rFonts w:hint="eastAsia" w:cs="宋体"/>
                <w:color w:val="000000"/>
                <w:szCs w:val="21"/>
              </w:rPr>
              <w:t>比例</w:t>
            </w:r>
          </w:p>
        </w:tc>
      </w:tr>
      <w:tr w14:paraId="37AE3332">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04" w:hRule="atLeast"/>
        </w:trPr>
        <w:tc>
          <w:tcPr>
            <w:tcW w:w="821" w:type="dxa"/>
            <w:vMerge w:val="restart"/>
            <w:noWrap w:val="0"/>
            <w:vAlign w:val="top"/>
          </w:tcPr>
          <w:p w14:paraId="2CD56E44">
            <w:pPr>
              <w:widowControl/>
              <w:jc w:val="center"/>
              <w:rPr>
                <w:color w:val="000000"/>
                <w:szCs w:val="21"/>
              </w:rPr>
            </w:pPr>
            <w:r>
              <w:rPr>
                <w:color w:val="000000"/>
                <w:szCs w:val="21"/>
              </w:rPr>
              <w:t>1</w:t>
            </w:r>
          </w:p>
        </w:tc>
        <w:tc>
          <w:tcPr>
            <w:tcW w:w="3696" w:type="dxa"/>
            <w:vMerge w:val="restart"/>
            <w:noWrap w:val="0"/>
            <w:vAlign w:val="top"/>
          </w:tcPr>
          <w:p w14:paraId="227D4266">
            <w:pPr>
              <w:widowControl/>
              <w:rPr>
                <w:rFonts w:cs="宋体"/>
                <w:color w:val="000000"/>
                <w:szCs w:val="21"/>
              </w:rPr>
            </w:pPr>
            <w:r>
              <w:rPr>
                <w:rFonts w:hint="eastAsia"/>
                <w:color w:val="000000"/>
                <w:szCs w:val="21"/>
              </w:rPr>
              <w:t>在此之前贵单位是否知道“</w:t>
            </w:r>
            <w:r>
              <w:rPr>
                <w:rFonts w:hint="eastAsia" w:ascii="宋体" w:hAnsi="宋体"/>
                <w:bCs/>
                <w:color w:val="000000"/>
                <w:szCs w:val="21"/>
              </w:rPr>
              <w:t>芒市妇幼保健院迁建</w:t>
            </w:r>
            <w:r>
              <w:rPr>
                <w:rFonts w:hint="eastAsia" w:ascii="宋体" w:hAnsi="宋体"/>
                <w:color w:val="000000"/>
                <w:szCs w:val="21"/>
              </w:rPr>
              <w:t>项目</w:t>
            </w:r>
            <w:r>
              <w:rPr>
                <w:rFonts w:hint="eastAsia"/>
                <w:color w:val="000000"/>
                <w:szCs w:val="21"/>
              </w:rPr>
              <w:t>”</w:t>
            </w:r>
          </w:p>
        </w:tc>
        <w:tc>
          <w:tcPr>
            <w:tcW w:w="2204" w:type="dxa"/>
            <w:noWrap w:val="0"/>
            <w:vAlign w:val="top"/>
          </w:tcPr>
          <w:p w14:paraId="54DEF92F">
            <w:pPr>
              <w:widowControl/>
              <w:jc w:val="center"/>
              <w:rPr>
                <w:rFonts w:cs="宋体"/>
                <w:color w:val="000000"/>
                <w:szCs w:val="21"/>
              </w:rPr>
            </w:pPr>
            <w:r>
              <w:rPr>
                <w:rFonts w:hint="eastAsia" w:cs="宋体"/>
                <w:color w:val="000000"/>
                <w:szCs w:val="21"/>
              </w:rPr>
              <w:t>知道</w:t>
            </w:r>
          </w:p>
        </w:tc>
        <w:tc>
          <w:tcPr>
            <w:tcW w:w="866" w:type="dxa"/>
            <w:noWrap w:val="0"/>
            <w:vAlign w:val="top"/>
          </w:tcPr>
          <w:p w14:paraId="16AE3DB0">
            <w:pPr>
              <w:widowControl/>
              <w:jc w:val="center"/>
              <w:rPr>
                <w:rFonts w:hint="eastAsia"/>
                <w:color w:val="000000"/>
                <w:szCs w:val="21"/>
              </w:rPr>
            </w:pPr>
            <w:r>
              <w:rPr>
                <w:rFonts w:hint="eastAsia"/>
                <w:color w:val="000000"/>
                <w:szCs w:val="21"/>
              </w:rPr>
              <w:t>9</w:t>
            </w:r>
          </w:p>
        </w:tc>
        <w:tc>
          <w:tcPr>
            <w:tcW w:w="941" w:type="dxa"/>
            <w:noWrap w:val="0"/>
            <w:vAlign w:val="top"/>
          </w:tcPr>
          <w:p w14:paraId="452D7096">
            <w:pPr>
              <w:widowControl/>
              <w:jc w:val="center"/>
              <w:rPr>
                <w:rFonts w:hint="eastAsia"/>
                <w:color w:val="000000"/>
                <w:szCs w:val="21"/>
              </w:rPr>
            </w:pPr>
            <w:r>
              <w:rPr>
                <w:rFonts w:hint="eastAsia"/>
                <w:color w:val="000000"/>
                <w:szCs w:val="21"/>
              </w:rPr>
              <w:t>90%</w:t>
            </w:r>
          </w:p>
        </w:tc>
      </w:tr>
      <w:tr w14:paraId="63EF2503">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13" w:hRule="atLeast"/>
        </w:trPr>
        <w:tc>
          <w:tcPr>
            <w:tcW w:w="821" w:type="dxa"/>
            <w:vMerge w:val="continue"/>
            <w:noWrap w:val="0"/>
            <w:vAlign w:val="top"/>
          </w:tcPr>
          <w:p w14:paraId="47C65E03">
            <w:pPr>
              <w:widowControl/>
              <w:jc w:val="center"/>
              <w:rPr>
                <w:color w:val="000000"/>
                <w:szCs w:val="21"/>
              </w:rPr>
            </w:pPr>
          </w:p>
        </w:tc>
        <w:tc>
          <w:tcPr>
            <w:tcW w:w="3696" w:type="dxa"/>
            <w:vMerge w:val="continue"/>
            <w:noWrap w:val="0"/>
            <w:vAlign w:val="top"/>
          </w:tcPr>
          <w:p w14:paraId="5221063B">
            <w:pPr>
              <w:widowControl/>
              <w:rPr>
                <w:rFonts w:cs="宋体"/>
                <w:color w:val="000000"/>
                <w:szCs w:val="21"/>
              </w:rPr>
            </w:pPr>
          </w:p>
        </w:tc>
        <w:tc>
          <w:tcPr>
            <w:tcW w:w="2204" w:type="dxa"/>
            <w:noWrap w:val="0"/>
            <w:vAlign w:val="top"/>
          </w:tcPr>
          <w:p w14:paraId="2603AFE9">
            <w:pPr>
              <w:widowControl/>
              <w:jc w:val="center"/>
              <w:rPr>
                <w:rFonts w:cs="宋体"/>
                <w:color w:val="000000"/>
                <w:szCs w:val="21"/>
              </w:rPr>
            </w:pPr>
            <w:r>
              <w:rPr>
                <w:rFonts w:hint="eastAsia" w:cs="宋体"/>
                <w:color w:val="000000"/>
                <w:szCs w:val="21"/>
              </w:rPr>
              <w:t>不知道</w:t>
            </w:r>
          </w:p>
        </w:tc>
        <w:tc>
          <w:tcPr>
            <w:tcW w:w="866" w:type="dxa"/>
            <w:noWrap w:val="0"/>
            <w:vAlign w:val="top"/>
          </w:tcPr>
          <w:p w14:paraId="24BAF2B2">
            <w:pPr>
              <w:widowControl/>
              <w:jc w:val="center"/>
              <w:rPr>
                <w:rFonts w:hint="eastAsia"/>
                <w:color w:val="000000"/>
                <w:szCs w:val="21"/>
              </w:rPr>
            </w:pPr>
            <w:r>
              <w:rPr>
                <w:rFonts w:hint="eastAsia"/>
                <w:color w:val="000000"/>
                <w:szCs w:val="21"/>
              </w:rPr>
              <w:t>1</w:t>
            </w:r>
          </w:p>
        </w:tc>
        <w:tc>
          <w:tcPr>
            <w:tcW w:w="941" w:type="dxa"/>
            <w:noWrap w:val="0"/>
            <w:vAlign w:val="top"/>
          </w:tcPr>
          <w:p w14:paraId="6F45E54B">
            <w:pPr>
              <w:widowControl/>
              <w:jc w:val="center"/>
              <w:rPr>
                <w:rFonts w:hint="eastAsia"/>
                <w:color w:val="000000"/>
                <w:szCs w:val="21"/>
              </w:rPr>
            </w:pPr>
            <w:r>
              <w:rPr>
                <w:rFonts w:hint="eastAsia"/>
                <w:color w:val="000000"/>
                <w:szCs w:val="21"/>
              </w:rPr>
              <w:t>10%</w:t>
            </w:r>
          </w:p>
        </w:tc>
      </w:tr>
      <w:tr w14:paraId="4C3DAD7C">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72" w:hRule="atLeast"/>
        </w:trPr>
        <w:tc>
          <w:tcPr>
            <w:tcW w:w="821" w:type="dxa"/>
            <w:vMerge w:val="restart"/>
            <w:noWrap w:val="0"/>
            <w:vAlign w:val="top"/>
          </w:tcPr>
          <w:p w14:paraId="05186C50">
            <w:pPr>
              <w:widowControl/>
              <w:jc w:val="center"/>
              <w:rPr>
                <w:color w:val="000000"/>
                <w:szCs w:val="21"/>
              </w:rPr>
            </w:pPr>
            <w:r>
              <w:rPr>
                <w:color w:val="000000"/>
                <w:szCs w:val="21"/>
              </w:rPr>
              <w:t>2</w:t>
            </w:r>
          </w:p>
        </w:tc>
        <w:tc>
          <w:tcPr>
            <w:tcW w:w="3696" w:type="dxa"/>
            <w:vMerge w:val="restart"/>
            <w:noWrap w:val="0"/>
            <w:vAlign w:val="top"/>
          </w:tcPr>
          <w:p w14:paraId="10F9F1CD">
            <w:pPr>
              <w:widowControl/>
              <w:rPr>
                <w:rFonts w:cs="宋体"/>
                <w:color w:val="000000"/>
                <w:szCs w:val="21"/>
              </w:rPr>
            </w:pPr>
            <w:r>
              <w:rPr>
                <w:rFonts w:hint="eastAsia"/>
                <w:color w:val="000000"/>
                <w:szCs w:val="21"/>
              </w:rPr>
              <w:t>贵单位对环境质量现状是否满意</w:t>
            </w:r>
          </w:p>
        </w:tc>
        <w:tc>
          <w:tcPr>
            <w:tcW w:w="2204" w:type="dxa"/>
            <w:noWrap w:val="0"/>
            <w:vAlign w:val="top"/>
          </w:tcPr>
          <w:p w14:paraId="2DE98A83">
            <w:pPr>
              <w:widowControl/>
              <w:jc w:val="center"/>
              <w:rPr>
                <w:rFonts w:hint="eastAsia" w:cs="宋体"/>
                <w:color w:val="000000"/>
                <w:szCs w:val="21"/>
              </w:rPr>
            </w:pPr>
            <w:r>
              <w:rPr>
                <w:rFonts w:hint="eastAsia" w:cs="宋体"/>
                <w:color w:val="000000"/>
                <w:szCs w:val="21"/>
              </w:rPr>
              <w:t>满意</w:t>
            </w:r>
          </w:p>
        </w:tc>
        <w:tc>
          <w:tcPr>
            <w:tcW w:w="866" w:type="dxa"/>
            <w:noWrap w:val="0"/>
            <w:vAlign w:val="top"/>
          </w:tcPr>
          <w:p w14:paraId="5E2E71F3">
            <w:pPr>
              <w:widowControl/>
              <w:jc w:val="center"/>
              <w:rPr>
                <w:rFonts w:hint="eastAsia"/>
                <w:color w:val="000000"/>
                <w:szCs w:val="21"/>
              </w:rPr>
            </w:pPr>
            <w:r>
              <w:rPr>
                <w:rFonts w:hint="eastAsia"/>
                <w:color w:val="000000"/>
                <w:szCs w:val="21"/>
              </w:rPr>
              <w:t>10</w:t>
            </w:r>
          </w:p>
        </w:tc>
        <w:tc>
          <w:tcPr>
            <w:tcW w:w="941" w:type="dxa"/>
            <w:noWrap w:val="0"/>
            <w:vAlign w:val="top"/>
          </w:tcPr>
          <w:p w14:paraId="1DCDADC4">
            <w:pPr>
              <w:widowControl/>
              <w:jc w:val="center"/>
              <w:rPr>
                <w:rFonts w:hint="eastAsia"/>
                <w:color w:val="000000"/>
                <w:szCs w:val="21"/>
              </w:rPr>
            </w:pPr>
            <w:r>
              <w:rPr>
                <w:rFonts w:hint="eastAsia"/>
                <w:color w:val="000000"/>
                <w:szCs w:val="21"/>
              </w:rPr>
              <w:t>100%</w:t>
            </w:r>
          </w:p>
        </w:tc>
      </w:tr>
      <w:tr w14:paraId="76FF498B">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13" w:hRule="atLeast"/>
        </w:trPr>
        <w:tc>
          <w:tcPr>
            <w:tcW w:w="821" w:type="dxa"/>
            <w:vMerge w:val="continue"/>
            <w:noWrap w:val="0"/>
            <w:vAlign w:val="top"/>
          </w:tcPr>
          <w:p w14:paraId="35D3626D">
            <w:pPr>
              <w:widowControl/>
              <w:jc w:val="center"/>
              <w:rPr>
                <w:color w:val="000000"/>
                <w:szCs w:val="21"/>
              </w:rPr>
            </w:pPr>
          </w:p>
        </w:tc>
        <w:tc>
          <w:tcPr>
            <w:tcW w:w="3696" w:type="dxa"/>
            <w:vMerge w:val="continue"/>
            <w:noWrap w:val="0"/>
            <w:vAlign w:val="top"/>
          </w:tcPr>
          <w:p w14:paraId="11F41610">
            <w:pPr>
              <w:widowControl/>
              <w:rPr>
                <w:rFonts w:cs="宋体"/>
                <w:color w:val="000000"/>
                <w:szCs w:val="21"/>
              </w:rPr>
            </w:pPr>
          </w:p>
        </w:tc>
        <w:tc>
          <w:tcPr>
            <w:tcW w:w="2204" w:type="dxa"/>
            <w:noWrap w:val="0"/>
            <w:vAlign w:val="top"/>
          </w:tcPr>
          <w:p w14:paraId="308718C9">
            <w:pPr>
              <w:widowControl/>
              <w:jc w:val="center"/>
              <w:rPr>
                <w:rFonts w:hint="eastAsia" w:cs="宋体"/>
                <w:color w:val="000000"/>
                <w:szCs w:val="21"/>
              </w:rPr>
            </w:pPr>
            <w:r>
              <w:rPr>
                <w:rFonts w:hint="eastAsia" w:cs="宋体"/>
                <w:color w:val="000000"/>
                <w:szCs w:val="21"/>
              </w:rPr>
              <w:t>不满意</w:t>
            </w:r>
          </w:p>
        </w:tc>
        <w:tc>
          <w:tcPr>
            <w:tcW w:w="866" w:type="dxa"/>
            <w:noWrap w:val="0"/>
            <w:vAlign w:val="top"/>
          </w:tcPr>
          <w:p w14:paraId="4A8DBF7A">
            <w:pPr>
              <w:widowControl/>
              <w:jc w:val="center"/>
              <w:rPr>
                <w:rFonts w:hint="eastAsia"/>
                <w:color w:val="000000"/>
                <w:szCs w:val="21"/>
              </w:rPr>
            </w:pPr>
            <w:r>
              <w:rPr>
                <w:rFonts w:hint="eastAsia"/>
                <w:color w:val="000000"/>
                <w:szCs w:val="21"/>
              </w:rPr>
              <w:t>0</w:t>
            </w:r>
          </w:p>
        </w:tc>
        <w:tc>
          <w:tcPr>
            <w:tcW w:w="941" w:type="dxa"/>
            <w:noWrap w:val="0"/>
            <w:vAlign w:val="top"/>
          </w:tcPr>
          <w:p w14:paraId="1526CF2B">
            <w:pPr>
              <w:widowControl/>
              <w:jc w:val="center"/>
              <w:rPr>
                <w:rFonts w:hint="eastAsia"/>
                <w:color w:val="000000"/>
                <w:szCs w:val="21"/>
              </w:rPr>
            </w:pPr>
            <w:r>
              <w:rPr>
                <w:rFonts w:hint="eastAsia"/>
                <w:color w:val="000000"/>
                <w:szCs w:val="21"/>
              </w:rPr>
              <w:t>0</w:t>
            </w:r>
          </w:p>
        </w:tc>
      </w:tr>
      <w:tr w14:paraId="357141F2">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13" w:hRule="atLeast"/>
        </w:trPr>
        <w:tc>
          <w:tcPr>
            <w:tcW w:w="821" w:type="dxa"/>
            <w:vMerge w:val="restart"/>
            <w:noWrap w:val="0"/>
            <w:vAlign w:val="top"/>
          </w:tcPr>
          <w:p w14:paraId="55562A10">
            <w:pPr>
              <w:widowControl/>
              <w:jc w:val="center"/>
              <w:rPr>
                <w:color w:val="000000"/>
                <w:szCs w:val="21"/>
              </w:rPr>
            </w:pPr>
            <w:r>
              <w:rPr>
                <w:color w:val="000000"/>
                <w:szCs w:val="21"/>
              </w:rPr>
              <w:t>3</w:t>
            </w:r>
          </w:p>
        </w:tc>
        <w:tc>
          <w:tcPr>
            <w:tcW w:w="3696" w:type="dxa"/>
            <w:vMerge w:val="restart"/>
            <w:noWrap w:val="0"/>
            <w:vAlign w:val="top"/>
          </w:tcPr>
          <w:p w14:paraId="668516AF">
            <w:pPr>
              <w:widowControl/>
              <w:rPr>
                <w:rFonts w:cs="宋体"/>
                <w:color w:val="000000"/>
                <w:szCs w:val="21"/>
              </w:rPr>
            </w:pPr>
            <w:r>
              <w:rPr>
                <w:rFonts w:hint="eastAsia"/>
                <w:color w:val="000000"/>
                <w:szCs w:val="21"/>
              </w:rPr>
              <w:t>贵单位认</w:t>
            </w:r>
            <w:r>
              <w:rPr>
                <w:rFonts w:ascii="Verdana" w:hAnsi="Verdana"/>
                <w:color w:val="000000"/>
                <w:szCs w:val="21"/>
              </w:rPr>
              <w:t>为所处地区最严重的环境问题是</w:t>
            </w:r>
          </w:p>
        </w:tc>
        <w:tc>
          <w:tcPr>
            <w:tcW w:w="2204" w:type="dxa"/>
            <w:noWrap w:val="0"/>
            <w:vAlign w:val="top"/>
          </w:tcPr>
          <w:p w14:paraId="4EAACE44">
            <w:pPr>
              <w:widowControl/>
              <w:jc w:val="center"/>
              <w:rPr>
                <w:rFonts w:hint="eastAsia" w:cs="宋体"/>
                <w:color w:val="000000"/>
                <w:szCs w:val="21"/>
              </w:rPr>
            </w:pPr>
            <w:r>
              <w:rPr>
                <w:rFonts w:hint="eastAsia" w:cs="宋体"/>
                <w:color w:val="000000"/>
                <w:szCs w:val="21"/>
              </w:rPr>
              <w:t>大气</w:t>
            </w:r>
          </w:p>
        </w:tc>
        <w:tc>
          <w:tcPr>
            <w:tcW w:w="866" w:type="dxa"/>
            <w:noWrap w:val="0"/>
            <w:vAlign w:val="top"/>
          </w:tcPr>
          <w:p w14:paraId="47BE9164">
            <w:pPr>
              <w:widowControl/>
              <w:jc w:val="center"/>
              <w:rPr>
                <w:rFonts w:hint="eastAsia"/>
                <w:color w:val="000000"/>
                <w:szCs w:val="21"/>
              </w:rPr>
            </w:pPr>
            <w:r>
              <w:rPr>
                <w:rFonts w:hint="eastAsia"/>
                <w:color w:val="000000"/>
                <w:szCs w:val="21"/>
              </w:rPr>
              <w:t>3</w:t>
            </w:r>
          </w:p>
        </w:tc>
        <w:tc>
          <w:tcPr>
            <w:tcW w:w="941" w:type="dxa"/>
            <w:noWrap w:val="0"/>
            <w:vAlign w:val="top"/>
          </w:tcPr>
          <w:p w14:paraId="6525B11E">
            <w:pPr>
              <w:tabs>
                <w:tab w:val="left" w:pos="240"/>
                <w:tab w:val="center" w:pos="362"/>
              </w:tabs>
              <w:jc w:val="left"/>
              <w:rPr>
                <w:rFonts w:hint="eastAsia"/>
                <w:color w:val="000000"/>
                <w:szCs w:val="21"/>
              </w:rPr>
            </w:pPr>
            <w:r>
              <w:rPr>
                <w:color w:val="000000"/>
                <w:szCs w:val="21"/>
              </w:rPr>
              <w:tab/>
            </w:r>
            <w:r>
              <w:rPr>
                <w:rFonts w:hint="eastAsia"/>
                <w:color w:val="000000"/>
                <w:szCs w:val="21"/>
              </w:rPr>
              <w:t>27%</w:t>
            </w:r>
          </w:p>
        </w:tc>
      </w:tr>
      <w:tr w14:paraId="26D2D627">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13" w:hRule="atLeast"/>
        </w:trPr>
        <w:tc>
          <w:tcPr>
            <w:tcW w:w="821" w:type="dxa"/>
            <w:vMerge w:val="continue"/>
            <w:noWrap w:val="0"/>
            <w:vAlign w:val="top"/>
          </w:tcPr>
          <w:p w14:paraId="077935E6">
            <w:pPr>
              <w:widowControl/>
              <w:jc w:val="center"/>
              <w:rPr>
                <w:color w:val="000000"/>
                <w:szCs w:val="21"/>
              </w:rPr>
            </w:pPr>
          </w:p>
        </w:tc>
        <w:tc>
          <w:tcPr>
            <w:tcW w:w="3696" w:type="dxa"/>
            <w:vMerge w:val="continue"/>
            <w:noWrap w:val="0"/>
            <w:vAlign w:val="top"/>
          </w:tcPr>
          <w:p w14:paraId="5C986B9D">
            <w:pPr>
              <w:widowControl/>
              <w:rPr>
                <w:rFonts w:cs="宋体"/>
                <w:color w:val="000000"/>
                <w:szCs w:val="21"/>
              </w:rPr>
            </w:pPr>
          </w:p>
        </w:tc>
        <w:tc>
          <w:tcPr>
            <w:tcW w:w="2204" w:type="dxa"/>
            <w:noWrap w:val="0"/>
            <w:vAlign w:val="top"/>
          </w:tcPr>
          <w:p w14:paraId="11AC2952">
            <w:pPr>
              <w:widowControl/>
              <w:jc w:val="center"/>
              <w:rPr>
                <w:rFonts w:hint="eastAsia" w:cs="宋体"/>
                <w:color w:val="000000"/>
                <w:szCs w:val="21"/>
              </w:rPr>
            </w:pPr>
            <w:r>
              <w:rPr>
                <w:rFonts w:hint="eastAsia" w:cs="宋体"/>
                <w:color w:val="000000"/>
                <w:szCs w:val="21"/>
              </w:rPr>
              <w:t>水</w:t>
            </w:r>
          </w:p>
        </w:tc>
        <w:tc>
          <w:tcPr>
            <w:tcW w:w="866" w:type="dxa"/>
            <w:noWrap w:val="0"/>
            <w:vAlign w:val="top"/>
          </w:tcPr>
          <w:p w14:paraId="46FAE693">
            <w:pPr>
              <w:widowControl/>
              <w:jc w:val="center"/>
              <w:rPr>
                <w:rFonts w:hint="eastAsia"/>
                <w:color w:val="000000"/>
                <w:szCs w:val="21"/>
              </w:rPr>
            </w:pPr>
            <w:r>
              <w:rPr>
                <w:rFonts w:hint="eastAsia"/>
                <w:color w:val="000000"/>
                <w:szCs w:val="21"/>
              </w:rPr>
              <w:t>3</w:t>
            </w:r>
          </w:p>
        </w:tc>
        <w:tc>
          <w:tcPr>
            <w:tcW w:w="941" w:type="dxa"/>
            <w:noWrap w:val="0"/>
            <w:vAlign w:val="top"/>
          </w:tcPr>
          <w:p w14:paraId="5A10514D">
            <w:pPr>
              <w:jc w:val="center"/>
              <w:rPr>
                <w:rFonts w:hint="eastAsia"/>
                <w:color w:val="000000"/>
                <w:szCs w:val="21"/>
              </w:rPr>
            </w:pPr>
            <w:r>
              <w:rPr>
                <w:rFonts w:hint="eastAsia"/>
                <w:color w:val="000000"/>
                <w:szCs w:val="21"/>
              </w:rPr>
              <w:t>27%</w:t>
            </w:r>
          </w:p>
        </w:tc>
      </w:tr>
      <w:tr w14:paraId="2FC7DFC2">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13" w:hRule="atLeast"/>
        </w:trPr>
        <w:tc>
          <w:tcPr>
            <w:tcW w:w="821" w:type="dxa"/>
            <w:vMerge w:val="continue"/>
            <w:noWrap w:val="0"/>
            <w:vAlign w:val="top"/>
          </w:tcPr>
          <w:p w14:paraId="7E839EEB">
            <w:pPr>
              <w:widowControl/>
              <w:jc w:val="center"/>
              <w:rPr>
                <w:color w:val="000000"/>
                <w:szCs w:val="21"/>
              </w:rPr>
            </w:pPr>
          </w:p>
        </w:tc>
        <w:tc>
          <w:tcPr>
            <w:tcW w:w="3696" w:type="dxa"/>
            <w:vMerge w:val="continue"/>
            <w:noWrap w:val="0"/>
            <w:vAlign w:val="top"/>
          </w:tcPr>
          <w:p w14:paraId="7ADB22FB">
            <w:pPr>
              <w:widowControl/>
              <w:rPr>
                <w:rFonts w:cs="宋体"/>
                <w:color w:val="000000"/>
                <w:szCs w:val="21"/>
              </w:rPr>
            </w:pPr>
          </w:p>
        </w:tc>
        <w:tc>
          <w:tcPr>
            <w:tcW w:w="2204" w:type="dxa"/>
            <w:noWrap w:val="0"/>
            <w:vAlign w:val="top"/>
          </w:tcPr>
          <w:p w14:paraId="16FDE5CA">
            <w:pPr>
              <w:jc w:val="center"/>
              <w:rPr>
                <w:rFonts w:hint="eastAsia" w:cs="宋体"/>
                <w:color w:val="000000"/>
                <w:szCs w:val="21"/>
              </w:rPr>
            </w:pPr>
            <w:r>
              <w:rPr>
                <w:rFonts w:hint="eastAsia" w:cs="宋体"/>
                <w:color w:val="000000"/>
                <w:szCs w:val="21"/>
              </w:rPr>
              <w:t>噪声</w:t>
            </w:r>
          </w:p>
        </w:tc>
        <w:tc>
          <w:tcPr>
            <w:tcW w:w="866" w:type="dxa"/>
            <w:noWrap w:val="0"/>
            <w:vAlign w:val="top"/>
          </w:tcPr>
          <w:p w14:paraId="5288F125">
            <w:pPr>
              <w:widowControl/>
              <w:jc w:val="center"/>
              <w:rPr>
                <w:rFonts w:hint="eastAsia"/>
                <w:color w:val="000000"/>
                <w:szCs w:val="21"/>
              </w:rPr>
            </w:pPr>
            <w:r>
              <w:rPr>
                <w:rFonts w:hint="eastAsia"/>
                <w:color w:val="000000"/>
                <w:szCs w:val="21"/>
              </w:rPr>
              <w:t>3</w:t>
            </w:r>
          </w:p>
        </w:tc>
        <w:tc>
          <w:tcPr>
            <w:tcW w:w="941" w:type="dxa"/>
            <w:noWrap w:val="0"/>
            <w:vAlign w:val="top"/>
          </w:tcPr>
          <w:p w14:paraId="2B90C09B">
            <w:pPr>
              <w:jc w:val="center"/>
              <w:rPr>
                <w:rFonts w:hint="eastAsia"/>
                <w:color w:val="000000"/>
                <w:szCs w:val="21"/>
              </w:rPr>
            </w:pPr>
            <w:r>
              <w:rPr>
                <w:rFonts w:hint="eastAsia"/>
                <w:color w:val="000000"/>
                <w:szCs w:val="21"/>
              </w:rPr>
              <w:t>27%</w:t>
            </w:r>
          </w:p>
        </w:tc>
      </w:tr>
      <w:tr w14:paraId="5A14B499">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87" w:hRule="atLeast"/>
        </w:trPr>
        <w:tc>
          <w:tcPr>
            <w:tcW w:w="821" w:type="dxa"/>
            <w:vMerge w:val="continue"/>
            <w:noWrap w:val="0"/>
            <w:vAlign w:val="top"/>
          </w:tcPr>
          <w:p w14:paraId="4CBC2DCD">
            <w:pPr>
              <w:widowControl/>
              <w:jc w:val="center"/>
              <w:rPr>
                <w:color w:val="000000"/>
                <w:szCs w:val="21"/>
              </w:rPr>
            </w:pPr>
          </w:p>
        </w:tc>
        <w:tc>
          <w:tcPr>
            <w:tcW w:w="3696" w:type="dxa"/>
            <w:vMerge w:val="continue"/>
            <w:noWrap w:val="0"/>
            <w:vAlign w:val="top"/>
          </w:tcPr>
          <w:p w14:paraId="38AC8FFA">
            <w:pPr>
              <w:widowControl/>
              <w:rPr>
                <w:rFonts w:cs="宋体"/>
                <w:color w:val="000000"/>
                <w:szCs w:val="21"/>
              </w:rPr>
            </w:pPr>
          </w:p>
        </w:tc>
        <w:tc>
          <w:tcPr>
            <w:tcW w:w="2204" w:type="dxa"/>
            <w:noWrap w:val="0"/>
            <w:vAlign w:val="top"/>
          </w:tcPr>
          <w:p w14:paraId="32EE9F66">
            <w:pPr>
              <w:jc w:val="center"/>
              <w:rPr>
                <w:rFonts w:hint="eastAsia" w:cs="宋体"/>
                <w:color w:val="000000"/>
                <w:szCs w:val="21"/>
              </w:rPr>
            </w:pPr>
            <w:r>
              <w:rPr>
                <w:rFonts w:hint="eastAsia" w:cs="宋体"/>
                <w:color w:val="000000"/>
                <w:szCs w:val="21"/>
              </w:rPr>
              <w:t>固体废弃物</w:t>
            </w:r>
          </w:p>
        </w:tc>
        <w:tc>
          <w:tcPr>
            <w:tcW w:w="866" w:type="dxa"/>
            <w:noWrap w:val="0"/>
            <w:vAlign w:val="top"/>
          </w:tcPr>
          <w:p w14:paraId="5BBFC9DF">
            <w:pPr>
              <w:widowControl/>
              <w:jc w:val="center"/>
              <w:rPr>
                <w:rFonts w:hint="eastAsia"/>
                <w:color w:val="000000"/>
                <w:szCs w:val="21"/>
              </w:rPr>
            </w:pPr>
            <w:r>
              <w:rPr>
                <w:rFonts w:hint="eastAsia"/>
                <w:color w:val="000000"/>
                <w:szCs w:val="21"/>
              </w:rPr>
              <w:t>2</w:t>
            </w:r>
          </w:p>
        </w:tc>
        <w:tc>
          <w:tcPr>
            <w:tcW w:w="941" w:type="dxa"/>
            <w:noWrap w:val="0"/>
            <w:vAlign w:val="top"/>
          </w:tcPr>
          <w:p w14:paraId="1EEE7E19">
            <w:pPr>
              <w:jc w:val="center"/>
              <w:rPr>
                <w:rFonts w:hint="eastAsia"/>
                <w:color w:val="000000"/>
                <w:szCs w:val="21"/>
              </w:rPr>
            </w:pPr>
            <w:r>
              <w:rPr>
                <w:rFonts w:hint="eastAsia"/>
                <w:color w:val="000000"/>
                <w:szCs w:val="21"/>
              </w:rPr>
              <w:t>19%</w:t>
            </w:r>
          </w:p>
        </w:tc>
      </w:tr>
      <w:tr w14:paraId="0E5C47E5">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03" w:hRule="atLeast"/>
        </w:trPr>
        <w:tc>
          <w:tcPr>
            <w:tcW w:w="821" w:type="dxa"/>
            <w:vMerge w:val="continue"/>
            <w:noWrap w:val="0"/>
            <w:vAlign w:val="top"/>
          </w:tcPr>
          <w:p w14:paraId="5F02983F">
            <w:pPr>
              <w:widowControl/>
              <w:jc w:val="center"/>
              <w:rPr>
                <w:color w:val="000000"/>
                <w:szCs w:val="21"/>
              </w:rPr>
            </w:pPr>
          </w:p>
        </w:tc>
        <w:tc>
          <w:tcPr>
            <w:tcW w:w="3696" w:type="dxa"/>
            <w:vMerge w:val="continue"/>
            <w:noWrap w:val="0"/>
            <w:vAlign w:val="top"/>
          </w:tcPr>
          <w:p w14:paraId="291366CF">
            <w:pPr>
              <w:widowControl/>
              <w:rPr>
                <w:rFonts w:cs="宋体"/>
                <w:color w:val="000000"/>
                <w:szCs w:val="21"/>
              </w:rPr>
            </w:pPr>
          </w:p>
        </w:tc>
        <w:tc>
          <w:tcPr>
            <w:tcW w:w="2204" w:type="dxa"/>
            <w:noWrap w:val="0"/>
            <w:vAlign w:val="top"/>
          </w:tcPr>
          <w:p w14:paraId="4AC9C244">
            <w:pPr>
              <w:jc w:val="center"/>
              <w:rPr>
                <w:rFonts w:hint="eastAsia" w:cs="宋体"/>
                <w:color w:val="000000"/>
                <w:szCs w:val="21"/>
              </w:rPr>
            </w:pPr>
            <w:r>
              <w:rPr>
                <w:rFonts w:hint="eastAsia" w:cs="宋体"/>
                <w:color w:val="000000"/>
                <w:szCs w:val="21"/>
              </w:rPr>
              <w:t>其他（水土流失）</w:t>
            </w:r>
          </w:p>
        </w:tc>
        <w:tc>
          <w:tcPr>
            <w:tcW w:w="866" w:type="dxa"/>
            <w:noWrap w:val="0"/>
            <w:vAlign w:val="top"/>
          </w:tcPr>
          <w:p w14:paraId="5D810BB1">
            <w:pPr>
              <w:widowControl/>
              <w:jc w:val="center"/>
              <w:rPr>
                <w:rFonts w:hint="eastAsia"/>
                <w:color w:val="000000"/>
                <w:szCs w:val="21"/>
              </w:rPr>
            </w:pPr>
            <w:r>
              <w:rPr>
                <w:rFonts w:hint="eastAsia"/>
                <w:color w:val="000000"/>
                <w:szCs w:val="21"/>
              </w:rPr>
              <w:t>0</w:t>
            </w:r>
          </w:p>
        </w:tc>
        <w:tc>
          <w:tcPr>
            <w:tcW w:w="941" w:type="dxa"/>
            <w:noWrap w:val="0"/>
            <w:vAlign w:val="top"/>
          </w:tcPr>
          <w:p w14:paraId="55DD055B">
            <w:pPr>
              <w:jc w:val="center"/>
              <w:rPr>
                <w:color w:val="000000"/>
                <w:szCs w:val="21"/>
              </w:rPr>
            </w:pPr>
            <w:r>
              <w:rPr>
                <w:rFonts w:hint="eastAsia"/>
                <w:color w:val="000000"/>
                <w:szCs w:val="21"/>
              </w:rPr>
              <w:t>0</w:t>
            </w:r>
          </w:p>
        </w:tc>
      </w:tr>
      <w:tr w14:paraId="292FB3EC">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13" w:hRule="atLeast"/>
        </w:trPr>
        <w:tc>
          <w:tcPr>
            <w:tcW w:w="821" w:type="dxa"/>
            <w:vMerge w:val="restart"/>
            <w:noWrap w:val="0"/>
            <w:vAlign w:val="top"/>
          </w:tcPr>
          <w:p w14:paraId="7414E936">
            <w:pPr>
              <w:widowControl/>
              <w:jc w:val="center"/>
              <w:rPr>
                <w:color w:val="000000"/>
                <w:szCs w:val="21"/>
              </w:rPr>
            </w:pPr>
            <w:r>
              <w:rPr>
                <w:color w:val="000000"/>
                <w:szCs w:val="21"/>
              </w:rPr>
              <w:t>4</w:t>
            </w:r>
          </w:p>
        </w:tc>
        <w:tc>
          <w:tcPr>
            <w:tcW w:w="3696" w:type="dxa"/>
            <w:vMerge w:val="restart"/>
            <w:noWrap w:val="0"/>
            <w:vAlign w:val="top"/>
          </w:tcPr>
          <w:p w14:paraId="283D268E">
            <w:pPr>
              <w:widowControl/>
              <w:rPr>
                <w:rFonts w:cs="宋体"/>
                <w:color w:val="000000"/>
                <w:szCs w:val="21"/>
              </w:rPr>
            </w:pPr>
            <w:r>
              <w:rPr>
                <w:rFonts w:hint="eastAsia"/>
                <w:color w:val="000000"/>
                <w:szCs w:val="21"/>
              </w:rPr>
              <w:t>贵单位</w:t>
            </w:r>
            <w:r>
              <w:rPr>
                <w:rFonts w:ascii="Verdana" w:hAnsi="Verdana"/>
                <w:color w:val="000000"/>
                <w:szCs w:val="21"/>
              </w:rPr>
              <w:t>在</w:t>
            </w:r>
            <w:r>
              <w:rPr>
                <w:rFonts w:hint="eastAsia" w:ascii="Verdana" w:hAnsi="Verdana"/>
                <w:color w:val="000000"/>
                <w:szCs w:val="21"/>
              </w:rPr>
              <w:t>项目施工</w:t>
            </w:r>
            <w:r>
              <w:rPr>
                <w:rFonts w:ascii="Verdana" w:hAnsi="Verdana"/>
                <w:color w:val="000000"/>
                <w:szCs w:val="21"/>
              </w:rPr>
              <w:t>建设过程中最关心的问题是</w:t>
            </w:r>
            <w:r>
              <w:rPr>
                <w:color w:val="000000"/>
                <w:szCs w:val="21"/>
              </w:rPr>
              <w:t xml:space="preserve">   </w:t>
            </w:r>
          </w:p>
        </w:tc>
        <w:tc>
          <w:tcPr>
            <w:tcW w:w="2204" w:type="dxa"/>
            <w:noWrap w:val="0"/>
            <w:vAlign w:val="top"/>
          </w:tcPr>
          <w:p w14:paraId="762788C6">
            <w:pPr>
              <w:widowControl/>
              <w:jc w:val="center"/>
              <w:rPr>
                <w:rFonts w:hint="eastAsia" w:cs="宋体"/>
                <w:color w:val="000000"/>
                <w:szCs w:val="21"/>
              </w:rPr>
            </w:pPr>
            <w:r>
              <w:rPr>
                <w:rFonts w:hint="eastAsia" w:cs="宋体"/>
                <w:color w:val="000000"/>
                <w:szCs w:val="21"/>
              </w:rPr>
              <w:t>大气</w:t>
            </w:r>
          </w:p>
        </w:tc>
        <w:tc>
          <w:tcPr>
            <w:tcW w:w="866" w:type="dxa"/>
            <w:noWrap w:val="0"/>
            <w:vAlign w:val="top"/>
          </w:tcPr>
          <w:p w14:paraId="40D6CAE4">
            <w:pPr>
              <w:widowControl/>
              <w:jc w:val="center"/>
              <w:rPr>
                <w:rFonts w:hint="eastAsia"/>
                <w:color w:val="000000"/>
                <w:szCs w:val="21"/>
              </w:rPr>
            </w:pPr>
            <w:r>
              <w:rPr>
                <w:rFonts w:hint="eastAsia"/>
                <w:color w:val="000000"/>
                <w:szCs w:val="21"/>
              </w:rPr>
              <w:t>1</w:t>
            </w:r>
          </w:p>
        </w:tc>
        <w:tc>
          <w:tcPr>
            <w:tcW w:w="941" w:type="dxa"/>
            <w:noWrap w:val="0"/>
            <w:vAlign w:val="top"/>
          </w:tcPr>
          <w:p w14:paraId="5DE4BB4E">
            <w:pPr>
              <w:jc w:val="center"/>
              <w:rPr>
                <w:rFonts w:hint="eastAsia"/>
                <w:color w:val="000000"/>
                <w:szCs w:val="21"/>
              </w:rPr>
            </w:pPr>
            <w:r>
              <w:rPr>
                <w:rFonts w:hint="eastAsia"/>
                <w:color w:val="000000"/>
                <w:szCs w:val="21"/>
              </w:rPr>
              <w:t>6%</w:t>
            </w:r>
          </w:p>
        </w:tc>
      </w:tr>
      <w:tr w14:paraId="266A1C26">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13" w:hRule="atLeast"/>
        </w:trPr>
        <w:tc>
          <w:tcPr>
            <w:tcW w:w="821" w:type="dxa"/>
            <w:vMerge w:val="continue"/>
            <w:noWrap w:val="0"/>
            <w:vAlign w:val="top"/>
          </w:tcPr>
          <w:p w14:paraId="666E8D9C">
            <w:pPr>
              <w:widowControl/>
              <w:jc w:val="center"/>
              <w:rPr>
                <w:color w:val="000000"/>
                <w:szCs w:val="21"/>
              </w:rPr>
            </w:pPr>
          </w:p>
        </w:tc>
        <w:tc>
          <w:tcPr>
            <w:tcW w:w="3696" w:type="dxa"/>
            <w:vMerge w:val="continue"/>
            <w:noWrap w:val="0"/>
            <w:vAlign w:val="top"/>
          </w:tcPr>
          <w:p w14:paraId="1A6D59E8">
            <w:pPr>
              <w:widowControl/>
              <w:rPr>
                <w:rFonts w:cs="宋体"/>
                <w:color w:val="000000"/>
                <w:szCs w:val="21"/>
              </w:rPr>
            </w:pPr>
          </w:p>
        </w:tc>
        <w:tc>
          <w:tcPr>
            <w:tcW w:w="2204" w:type="dxa"/>
            <w:noWrap w:val="0"/>
            <w:vAlign w:val="top"/>
          </w:tcPr>
          <w:p w14:paraId="2917C98B">
            <w:pPr>
              <w:widowControl/>
              <w:jc w:val="center"/>
              <w:rPr>
                <w:rFonts w:hint="eastAsia" w:cs="宋体"/>
                <w:color w:val="000000"/>
                <w:szCs w:val="21"/>
              </w:rPr>
            </w:pPr>
            <w:r>
              <w:rPr>
                <w:rFonts w:hint="eastAsia" w:cs="宋体"/>
                <w:color w:val="000000"/>
                <w:szCs w:val="21"/>
              </w:rPr>
              <w:t>水</w:t>
            </w:r>
          </w:p>
        </w:tc>
        <w:tc>
          <w:tcPr>
            <w:tcW w:w="866" w:type="dxa"/>
            <w:noWrap w:val="0"/>
            <w:vAlign w:val="top"/>
          </w:tcPr>
          <w:p w14:paraId="486D5800">
            <w:pPr>
              <w:widowControl/>
              <w:jc w:val="center"/>
              <w:rPr>
                <w:rFonts w:hint="eastAsia"/>
                <w:color w:val="000000"/>
                <w:szCs w:val="21"/>
              </w:rPr>
            </w:pPr>
            <w:r>
              <w:rPr>
                <w:rFonts w:hint="eastAsia"/>
                <w:color w:val="000000"/>
                <w:szCs w:val="21"/>
              </w:rPr>
              <w:t>1</w:t>
            </w:r>
          </w:p>
        </w:tc>
        <w:tc>
          <w:tcPr>
            <w:tcW w:w="941" w:type="dxa"/>
            <w:noWrap w:val="0"/>
            <w:vAlign w:val="top"/>
          </w:tcPr>
          <w:p w14:paraId="1C580E94">
            <w:pPr>
              <w:jc w:val="center"/>
              <w:rPr>
                <w:rFonts w:hint="eastAsia"/>
                <w:color w:val="000000"/>
                <w:szCs w:val="21"/>
              </w:rPr>
            </w:pPr>
            <w:r>
              <w:rPr>
                <w:rFonts w:hint="eastAsia"/>
                <w:color w:val="000000"/>
                <w:szCs w:val="21"/>
              </w:rPr>
              <w:t>6%</w:t>
            </w:r>
          </w:p>
        </w:tc>
      </w:tr>
      <w:tr w14:paraId="2C771C76">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56" w:hRule="atLeast"/>
        </w:trPr>
        <w:tc>
          <w:tcPr>
            <w:tcW w:w="821" w:type="dxa"/>
            <w:vMerge w:val="continue"/>
            <w:noWrap w:val="0"/>
            <w:vAlign w:val="top"/>
          </w:tcPr>
          <w:p w14:paraId="348AD838">
            <w:pPr>
              <w:widowControl/>
              <w:jc w:val="center"/>
              <w:rPr>
                <w:color w:val="000000"/>
                <w:szCs w:val="21"/>
              </w:rPr>
            </w:pPr>
          </w:p>
        </w:tc>
        <w:tc>
          <w:tcPr>
            <w:tcW w:w="3696" w:type="dxa"/>
            <w:vMerge w:val="continue"/>
            <w:noWrap w:val="0"/>
            <w:vAlign w:val="top"/>
          </w:tcPr>
          <w:p w14:paraId="355B3B82">
            <w:pPr>
              <w:widowControl/>
              <w:rPr>
                <w:rFonts w:cs="宋体"/>
                <w:color w:val="000000"/>
                <w:szCs w:val="21"/>
              </w:rPr>
            </w:pPr>
          </w:p>
        </w:tc>
        <w:tc>
          <w:tcPr>
            <w:tcW w:w="2204" w:type="dxa"/>
            <w:noWrap w:val="0"/>
            <w:vAlign w:val="top"/>
          </w:tcPr>
          <w:p w14:paraId="571853F3">
            <w:pPr>
              <w:jc w:val="center"/>
              <w:rPr>
                <w:rFonts w:hint="eastAsia" w:cs="宋体"/>
                <w:color w:val="000000"/>
                <w:szCs w:val="21"/>
              </w:rPr>
            </w:pPr>
            <w:r>
              <w:rPr>
                <w:rFonts w:hint="eastAsia" w:cs="宋体"/>
                <w:color w:val="000000"/>
                <w:szCs w:val="21"/>
              </w:rPr>
              <w:t>噪声</w:t>
            </w:r>
          </w:p>
        </w:tc>
        <w:tc>
          <w:tcPr>
            <w:tcW w:w="866" w:type="dxa"/>
            <w:noWrap w:val="0"/>
            <w:vAlign w:val="top"/>
          </w:tcPr>
          <w:p w14:paraId="40A5BCC0">
            <w:pPr>
              <w:widowControl/>
              <w:jc w:val="center"/>
              <w:rPr>
                <w:rFonts w:hint="eastAsia"/>
                <w:color w:val="000000"/>
                <w:szCs w:val="21"/>
              </w:rPr>
            </w:pPr>
            <w:r>
              <w:rPr>
                <w:rFonts w:hint="eastAsia"/>
                <w:color w:val="000000"/>
                <w:szCs w:val="21"/>
              </w:rPr>
              <w:t>9</w:t>
            </w:r>
          </w:p>
        </w:tc>
        <w:tc>
          <w:tcPr>
            <w:tcW w:w="941" w:type="dxa"/>
            <w:noWrap w:val="0"/>
            <w:vAlign w:val="top"/>
          </w:tcPr>
          <w:p w14:paraId="58A2A566">
            <w:pPr>
              <w:jc w:val="center"/>
              <w:rPr>
                <w:rFonts w:hint="eastAsia"/>
                <w:color w:val="000000"/>
                <w:szCs w:val="21"/>
              </w:rPr>
            </w:pPr>
            <w:r>
              <w:rPr>
                <w:rFonts w:hint="eastAsia"/>
                <w:color w:val="000000"/>
                <w:szCs w:val="21"/>
              </w:rPr>
              <w:t>57%</w:t>
            </w:r>
          </w:p>
        </w:tc>
      </w:tr>
      <w:tr w14:paraId="4937F471">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4" w:hRule="atLeast"/>
        </w:trPr>
        <w:tc>
          <w:tcPr>
            <w:tcW w:w="821" w:type="dxa"/>
            <w:vMerge w:val="continue"/>
            <w:noWrap w:val="0"/>
            <w:vAlign w:val="top"/>
          </w:tcPr>
          <w:p w14:paraId="34960C2C">
            <w:pPr>
              <w:widowControl/>
              <w:jc w:val="center"/>
              <w:rPr>
                <w:color w:val="000000"/>
                <w:szCs w:val="21"/>
              </w:rPr>
            </w:pPr>
          </w:p>
        </w:tc>
        <w:tc>
          <w:tcPr>
            <w:tcW w:w="3696" w:type="dxa"/>
            <w:vMerge w:val="continue"/>
            <w:noWrap w:val="0"/>
            <w:vAlign w:val="top"/>
          </w:tcPr>
          <w:p w14:paraId="4F9E72F4">
            <w:pPr>
              <w:widowControl/>
              <w:rPr>
                <w:rFonts w:cs="宋体"/>
                <w:color w:val="000000"/>
                <w:szCs w:val="21"/>
              </w:rPr>
            </w:pPr>
          </w:p>
        </w:tc>
        <w:tc>
          <w:tcPr>
            <w:tcW w:w="2204" w:type="dxa"/>
            <w:noWrap w:val="0"/>
            <w:vAlign w:val="top"/>
          </w:tcPr>
          <w:p w14:paraId="1FBAC1FA">
            <w:pPr>
              <w:jc w:val="center"/>
              <w:rPr>
                <w:rFonts w:hint="eastAsia" w:cs="宋体"/>
                <w:color w:val="000000"/>
                <w:szCs w:val="21"/>
              </w:rPr>
            </w:pPr>
            <w:r>
              <w:rPr>
                <w:rFonts w:hint="eastAsia" w:cs="宋体"/>
                <w:color w:val="000000"/>
                <w:szCs w:val="21"/>
              </w:rPr>
              <w:t>固体废弃物</w:t>
            </w:r>
          </w:p>
        </w:tc>
        <w:tc>
          <w:tcPr>
            <w:tcW w:w="866" w:type="dxa"/>
            <w:noWrap w:val="0"/>
            <w:vAlign w:val="top"/>
          </w:tcPr>
          <w:p w14:paraId="1AC2BCE5">
            <w:pPr>
              <w:widowControl/>
              <w:jc w:val="center"/>
              <w:rPr>
                <w:rFonts w:hint="eastAsia"/>
                <w:color w:val="000000"/>
                <w:szCs w:val="21"/>
              </w:rPr>
            </w:pPr>
            <w:r>
              <w:rPr>
                <w:rFonts w:hint="eastAsia"/>
                <w:color w:val="000000"/>
                <w:szCs w:val="21"/>
              </w:rPr>
              <w:t>5</w:t>
            </w:r>
          </w:p>
        </w:tc>
        <w:tc>
          <w:tcPr>
            <w:tcW w:w="941" w:type="dxa"/>
            <w:noWrap w:val="0"/>
            <w:vAlign w:val="top"/>
          </w:tcPr>
          <w:p w14:paraId="66642C32">
            <w:pPr>
              <w:jc w:val="center"/>
              <w:rPr>
                <w:rFonts w:hint="eastAsia"/>
                <w:color w:val="000000"/>
                <w:szCs w:val="21"/>
              </w:rPr>
            </w:pPr>
            <w:r>
              <w:rPr>
                <w:rFonts w:hint="eastAsia"/>
                <w:color w:val="000000"/>
                <w:szCs w:val="21"/>
              </w:rPr>
              <w:t>31%</w:t>
            </w:r>
          </w:p>
        </w:tc>
      </w:tr>
      <w:tr w14:paraId="61B4474F">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97" w:hRule="atLeast"/>
        </w:trPr>
        <w:tc>
          <w:tcPr>
            <w:tcW w:w="821" w:type="dxa"/>
            <w:vMerge w:val="continue"/>
            <w:noWrap w:val="0"/>
            <w:vAlign w:val="top"/>
          </w:tcPr>
          <w:p w14:paraId="3757C398">
            <w:pPr>
              <w:widowControl/>
              <w:jc w:val="center"/>
              <w:rPr>
                <w:color w:val="000000"/>
                <w:szCs w:val="21"/>
              </w:rPr>
            </w:pPr>
          </w:p>
        </w:tc>
        <w:tc>
          <w:tcPr>
            <w:tcW w:w="3696" w:type="dxa"/>
            <w:vMerge w:val="continue"/>
            <w:noWrap w:val="0"/>
            <w:vAlign w:val="top"/>
          </w:tcPr>
          <w:p w14:paraId="6BD926D9">
            <w:pPr>
              <w:widowControl/>
              <w:rPr>
                <w:rFonts w:cs="宋体"/>
                <w:color w:val="000000"/>
                <w:szCs w:val="21"/>
              </w:rPr>
            </w:pPr>
          </w:p>
        </w:tc>
        <w:tc>
          <w:tcPr>
            <w:tcW w:w="2204" w:type="dxa"/>
            <w:noWrap w:val="0"/>
            <w:vAlign w:val="top"/>
          </w:tcPr>
          <w:p w14:paraId="1EBBEA74">
            <w:pPr>
              <w:jc w:val="center"/>
              <w:rPr>
                <w:rFonts w:hint="eastAsia" w:cs="宋体"/>
                <w:color w:val="000000"/>
                <w:szCs w:val="21"/>
              </w:rPr>
            </w:pPr>
            <w:r>
              <w:rPr>
                <w:rFonts w:hint="eastAsia" w:cs="宋体"/>
                <w:color w:val="000000"/>
                <w:szCs w:val="21"/>
              </w:rPr>
              <w:t>其他（水土流失）</w:t>
            </w:r>
          </w:p>
        </w:tc>
        <w:tc>
          <w:tcPr>
            <w:tcW w:w="866" w:type="dxa"/>
            <w:noWrap w:val="0"/>
            <w:vAlign w:val="top"/>
          </w:tcPr>
          <w:p w14:paraId="08D74DFF">
            <w:pPr>
              <w:widowControl/>
              <w:jc w:val="center"/>
              <w:rPr>
                <w:rFonts w:hint="eastAsia"/>
                <w:color w:val="000000"/>
                <w:szCs w:val="21"/>
              </w:rPr>
            </w:pPr>
            <w:r>
              <w:rPr>
                <w:rFonts w:hint="eastAsia"/>
                <w:color w:val="000000"/>
                <w:szCs w:val="21"/>
              </w:rPr>
              <w:t>0</w:t>
            </w:r>
          </w:p>
        </w:tc>
        <w:tc>
          <w:tcPr>
            <w:tcW w:w="941" w:type="dxa"/>
            <w:noWrap w:val="0"/>
            <w:vAlign w:val="top"/>
          </w:tcPr>
          <w:p w14:paraId="12A33C41">
            <w:pPr>
              <w:jc w:val="center"/>
              <w:rPr>
                <w:rFonts w:hint="eastAsia"/>
                <w:color w:val="000000"/>
                <w:szCs w:val="21"/>
              </w:rPr>
            </w:pPr>
            <w:r>
              <w:rPr>
                <w:rFonts w:hint="eastAsia"/>
                <w:color w:val="000000"/>
                <w:szCs w:val="21"/>
              </w:rPr>
              <w:t>0</w:t>
            </w:r>
          </w:p>
        </w:tc>
      </w:tr>
      <w:tr w14:paraId="70ADFC2F">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13" w:hRule="atLeast"/>
        </w:trPr>
        <w:tc>
          <w:tcPr>
            <w:tcW w:w="821" w:type="dxa"/>
            <w:vMerge w:val="restart"/>
            <w:noWrap w:val="0"/>
            <w:vAlign w:val="top"/>
          </w:tcPr>
          <w:p w14:paraId="7F1673FA">
            <w:pPr>
              <w:widowControl/>
              <w:jc w:val="center"/>
              <w:rPr>
                <w:color w:val="000000"/>
                <w:szCs w:val="21"/>
              </w:rPr>
            </w:pPr>
            <w:r>
              <w:rPr>
                <w:color w:val="000000"/>
                <w:szCs w:val="21"/>
              </w:rPr>
              <w:t>5</w:t>
            </w:r>
          </w:p>
        </w:tc>
        <w:tc>
          <w:tcPr>
            <w:tcW w:w="3696" w:type="dxa"/>
            <w:vMerge w:val="restart"/>
            <w:noWrap w:val="0"/>
            <w:vAlign w:val="top"/>
          </w:tcPr>
          <w:p w14:paraId="2174B38F">
            <w:pPr>
              <w:widowControl/>
              <w:rPr>
                <w:rFonts w:cs="宋体"/>
                <w:color w:val="000000"/>
                <w:szCs w:val="21"/>
              </w:rPr>
            </w:pPr>
            <w:r>
              <w:rPr>
                <w:rFonts w:hint="eastAsia" w:hAnsi="宋体"/>
                <w:color w:val="000000"/>
                <w:szCs w:val="21"/>
              </w:rPr>
              <w:t>项目建成后，贵单位所关心的问题是</w:t>
            </w:r>
            <w:r>
              <w:rPr>
                <w:rFonts w:hint="eastAsia" w:cs="宋体"/>
                <w:color w:val="000000"/>
                <w:szCs w:val="21"/>
              </w:rPr>
              <w:t>　</w:t>
            </w:r>
            <w:r>
              <w:rPr>
                <w:color w:val="000000"/>
                <w:szCs w:val="21"/>
              </w:rPr>
              <w:t xml:space="preserve">   </w:t>
            </w:r>
            <w:r>
              <w:rPr>
                <w:rFonts w:hint="eastAsia" w:cs="宋体"/>
                <w:color w:val="000000"/>
                <w:szCs w:val="21"/>
              </w:rPr>
              <w:t>　　</w:t>
            </w:r>
            <w:r>
              <w:rPr>
                <w:color w:val="000000"/>
                <w:szCs w:val="21"/>
              </w:rPr>
              <w:t xml:space="preserve"> </w:t>
            </w:r>
          </w:p>
        </w:tc>
        <w:tc>
          <w:tcPr>
            <w:tcW w:w="2204" w:type="dxa"/>
            <w:noWrap w:val="0"/>
            <w:vAlign w:val="top"/>
          </w:tcPr>
          <w:p w14:paraId="310D3D4C">
            <w:pPr>
              <w:widowControl/>
              <w:jc w:val="center"/>
              <w:rPr>
                <w:rFonts w:hint="eastAsia" w:cs="宋体"/>
                <w:color w:val="000000"/>
                <w:szCs w:val="21"/>
              </w:rPr>
            </w:pPr>
            <w:r>
              <w:rPr>
                <w:rFonts w:hint="eastAsia" w:cs="宋体"/>
                <w:color w:val="000000"/>
                <w:szCs w:val="21"/>
              </w:rPr>
              <w:t>大气</w:t>
            </w:r>
          </w:p>
        </w:tc>
        <w:tc>
          <w:tcPr>
            <w:tcW w:w="866" w:type="dxa"/>
            <w:noWrap w:val="0"/>
            <w:vAlign w:val="top"/>
          </w:tcPr>
          <w:p w14:paraId="1603ECF6">
            <w:pPr>
              <w:widowControl/>
              <w:jc w:val="center"/>
              <w:rPr>
                <w:rFonts w:hint="eastAsia"/>
                <w:color w:val="000000"/>
                <w:szCs w:val="21"/>
              </w:rPr>
            </w:pPr>
            <w:r>
              <w:rPr>
                <w:rFonts w:hint="eastAsia"/>
                <w:color w:val="000000"/>
                <w:szCs w:val="21"/>
              </w:rPr>
              <w:t>0</w:t>
            </w:r>
          </w:p>
        </w:tc>
        <w:tc>
          <w:tcPr>
            <w:tcW w:w="941" w:type="dxa"/>
            <w:noWrap w:val="0"/>
            <w:vAlign w:val="top"/>
          </w:tcPr>
          <w:p w14:paraId="69B05912">
            <w:pPr>
              <w:jc w:val="center"/>
              <w:rPr>
                <w:rFonts w:hint="eastAsia"/>
                <w:color w:val="000000"/>
                <w:szCs w:val="21"/>
              </w:rPr>
            </w:pPr>
            <w:r>
              <w:rPr>
                <w:rFonts w:hint="eastAsia"/>
                <w:color w:val="000000"/>
                <w:szCs w:val="21"/>
              </w:rPr>
              <w:t>0</w:t>
            </w:r>
          </w:p>
        </w:tc>
      </w:tr>
      <w:tr w14:paraId="713B3177">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13" w:hRule="atLeast"/>
        </w:trPr>
        <w:tc>
          <w:tcPr>
            <w:tcW w:w="821" w:type="dxa"/>
            <w:vMerge w:val="continue"/>
            <w:noWrap w:val="0"/>
            <w:vAlign w:val="top"/>
          </w:tcPr>
          <w:p w14:paraId="752DD2AB">
            <w:pPr>
              <w:widowControl/>
              <w:jc w:val="center"/>
              <w:rPr>
                <w:color w:val="000000"/>
                <w:szCs w:val="21"/>
              </w:rPr>
            </w:pPr>
          </w:p>
        </w:tc>
        <w:tc>
          <w:tcPr>
            <w:tcW w:w="3696" w:type="dxa"/>
            <w:vMerge w:val="continue"/>
            <w:noWrap w:val="0"/>
            <w:vAlign w:val="top"/>
          </w:tcPr>
          <w:p w14:paraId="3CAF98B3">
            <w:pPr>
              <w:widowControl/>
              <w:rPr>
                <w:rFonts w:cs="宋体"/>
                <w:color w:val="000000"/>
                <w:szCs w:val="21"/>
              </w:rPr>
            </w:pPr>
          </w:p>
        </w:tc>
        <w:tc>
          <w:tcPr>
            <w:tcW w:w="2204" w:type="dxa"/>
            <w:noWrap w:val="0"/>
            <w:vAlign w:val="top"/>
          </w:tcPr>
          <w:p w14:paraId="315B5D1D">
            <w:pPr>
              <w:widowControl/>
              <w:jc w:val="center"/>
              <w:rPr>
                <w:rFonts w:hint="eastAsia" w:cs="宋体"/>
                <w:color w:val="000000"/>
                <w:szCs w:val="21"/>
              </w:rPr>
            </w:pPr>
            <w:r>
              <w:rPr>
                <w:rFonts w:hint="eastAsia" w:cs="宋体"/>
                <w:color w:val="000000"/>
                <w:szCs w:val="21"/>
              </w:rPr>
              <w:t>水</w:t>
            </w:r>
          </w:p>
        </w:tc>
        <w:tc>
          <w:tcPr>
            <w:tcW w:w="866" w:type="dxa"/>
            <w:noWrap w:val="0"/>
            <w:vAlign w:val="top"/>
          </w:tcPr>
          <w:p w14:paraId="127C7055">
            <w:pPr>
              <w:widowControl/>
              <w:jc w:val="center"/>
              <w:rPr>
                <w:rFonts w:hint="eastAsia"/>
                <w:color w:val="000000"/>
                <w:szCs w:val="21"/>
              </w:rPr>
            </w:pPr>
            <w:r>
              <w:rPr>
                <w:rFonts w:hint="eastAsia"/>
                <w:color w:val="000000"/>
                <w:szCs w:val="21"/>
              </w:rPr>
              <w:t>3</w:t>
            </w:r>
          </w:p>
        </w:tc>
        <w:tc>
          <w:tcPr>
            <w:tcW w:w="941" w:type="dxa"/>
            <w:noWrap w:val="0"/>
            <w:vAlign w:val="top"/>
          </w:tcPr>
          <w:p w14:paraId="300465E7">
            <w:pPr>
              <w:jc w:val="center"/>
              <w:rPr>
                <w:rFonts w:hint="eastAsia"/>
                <w:color w:val="000000"/>
                <w:szCs w:val="21"/>
              </w:rPr>
            </w:pPr>
            <w:r>
              <w:rPr>
                <w:rFonts w:hint="eastAsia"/>
                <w:color w:val="000000"/>
                <w:szCs w:val="21"/>
              </w:rPr>
              <w:t>25%</w:t>
            </w:r>
          </w:p>
        </w:tc>
      </w:tr>
      <w:tr w14:paraId="3AAE2C08">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13" w:hRule="atLeast"/>
        </w:trPr>
        <w:tc>
          <w:tcPr>
            <w:tcW w:w="821" w:type="dxa"/>
            <w:vMerge w:val="continue"/>
            <w:noWrap w:val="0"/>
            <w:vAlign w:val="top"/>
          </w:tcPr>
          <w:p w14:paraId="57B2FDE0">
            <w:pPr>
              <w:widowControl/>
              <w:jc w:val="center"/>
              <w:rPr>
                <w:color w:val="000000"/>
                <w:szCs w:val="21"/>
              </w:rPr>
            </w:pPr>
          </w:p>
        </w:tc>
        <w:tc>
          <w:tcPr>
            <w:tcW w:w="3696" w:type="dxa"/>
            <w:vMerge w:val="continue"/>
            <w:noWrap w:val="0"/>
            <w:vAlign w:val="top"/>
          </w:tcPr>
          <w:p w14:paraId="0435AD22">
            <w:pPr>
              <w:widowControl/>
              <w:rPr>
                <w:rFonts w:cs="宋体"/>
                <w:color w:val="000000"/>
                <w:szCs w:val="21"/>
              </w:rPr>
            </w:pPr>
          </w:p>
        </w:tc>
        <w:tc>
          <w:tcPr>
            <w:tcW w:w="2204" w:type="dxa"/>
            <w:noWrap w:val="0"/>
            <w:vAlign w:val="top"/>
          </w:tcPr>
          <w:p w14:paraId="7A0575EF">
            <w:pPr>
              <w:jc w:val="center"/>
              <w:rPr>
                <w:rFonts w:hint="eastAsia" w:cs="宋体"/>
                <w:color w:val="000000"/>
                <w:szCs w:val="21"/>
              </w:rPr>
            </w:pPr>
            <w:r>
              <w:rPr>
                <w:rFonts w:hint="eastAsia" w:cs="宋体"/>
                <w:color w:val="000000"/>
                <w:szCs w:val="21"/>
              </w:rPr>
              <w:t>噪声</w:t>
            </w:r>
          </w:p>
        </w:tc>
        <w:tc>
          <w:tcPr>
            <w:tcW w:w="866" w:type="dxa"/>
            <w:noWrap w:val="0"/>
            <w:vAlign w:val="top"/>
          </w:tcPr>
          <w:p w14:paraId="6AD668A1">
            <w:pPr>
              <w:widowControl/>
              <w:jc w:val="center"/>
              <w:rPr>
                <w:rFonts w:hint="eastAsia"/>
                <w:color w:val="000000"/>
                <w:szCs w:val="21"/>
              </w:rPr>
            </w:pPr>
            <w:r>
              <w:rPr>
                <w:rFonts w:hint="eastAsia"/>
                <w:color w:val="000000"/>
                <w:szCs w:val="21"/>
              </w:rPr>
              <w:t>1</w:t>
            </w:r>
          </w:p>
        </w:tc>
        <w:tc>
          <w:tcPr>
            <w:tcW w:w="941" w:type="dxa"/>
            <w:noWrap w:val="0"/>
            <w:vAlign w:val="top"/>
          </w:tcPr>
          <w:p w14:paraId="54CCBD92">
            <w:pPr>
              <w:jc w:val="center"/>
              <w:rPr>
                <w:rFonts w:hint="eastAsia"/>
                <w:color w:val="000000"/>
                <w:szCs w:val="21"/>
              </w:rPr>
            </w:pPr>
            <w:r>
              <w:rPr>
                <w:rFonts w:hint="eastAsia"/>
                <w:color w:val="000000"/>
                <w:szCs w:val="21"/>
              </w:rPr>
              <w:t>8%</w:t>
            </w:r>
          </w:p>
        </w:tc>
      </w:tr>
      <w:tr w14:paraId="52B2B813">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19" w:hRule="atLeast"/>
        </w:trPr>
        <w:tc>
          <w:tcPr>
            <w:tcW w:w="821" w:type="dxa"/>
            <w:vMerge w:val="continue"/>
            <w:noWrap w:val="0"/>
            <w:vAlign w:val="top"/>
          </w:tcPr>
          <w:p w14:paraId="562BA688">
            <w:pPr>
              <w:widowControl/>
              <w:jc w:val="center"/>
              <w:rPr>
                <w:color w:val="000000"/>
                <w:szCs w:val="21"/>
              </w:rPr>
            </w:pPr>
          </w:p>
        </w:tc>
        <w:tc>
          <w:tcPr>
            <w:tcW w:w="3696" w:type="dxa"/>
            <w:vMerge w:val="continue"/>
            <w:noWrap w:val="0"/>
            <w:vAlign w:val="top"/>
          </w:tcPr>
          <w:p w14:paraId="068953AB">
            <w:pPr>
              <w:widowControl/>
              <w:rPr>
                <w:rFonts w:cs="宋体"/>
                <w:color w:val="000000"/>
                <w:szCs w:val="21"/>
              </w:rPr>
            </w:pPr>
          </w:p>
        </w:tc>
        <w:tc>
          <w:tcPr>
            <w:tcW w:w="2204" w:type="dxa"/>
            <w:noWrap w:val="0"/>
            <w:vAlign w:val="top"/>
          </w:tcPr>
          <w:p w14:paraId="2A84C51B">
            <w:pPr>
              <w:jc w:val="center"/>
              <w:rPr>
                <w:rFonts w:hint="eastAsia" w:cs="宋体"/>
                <w:color w:val="000000"/>
                <w:szCs w:val="21"/>
              </w:rPr>
            </w:pPr>
            <w:r>
              <w:rPr>
                <w:rFonts w:hint="eastAsia" w:cs="宋体"/>
                <w:color w:val="000000"/>
                <w:szCs w:val="21"/>
              </w:rPr>
              <w:t>固体废弃物</w:t>
            </w:r>
          </w:p>
        </w:tc>
        <w:tc>
          <w:tcPr>
            <w:tcW w:w="866" w:type="dxa"/>
            <w:noWrap w:val="0"/>
            <w:vAlign w:val="top"/>
          </w:tcPr>
          <w:p w14:paraId="5D58B71C">
            <w:pPr>
              <w:widowControl/>
              <w:jc w:val="center"/>
              <w:rPr>
                <w:rFonts w:hint="eastAsia"/>
                <w:color w:val="000000"/>
                <w:szCs w:val="21"/>
              </w:rPr>
            </w:pPr>
            <w:r>
              <w:rPr>
                <w:rFonts w:hint="eastAsia"/>
                <w:color w:val="000000"/>
                <w:szCs w:val="21"/>
              </w:rPr>
              <w:t>8</w:t>
            </w:r>
          </w:p>
        </w:tc>
        <w:tc>
          <w:tcPr>
            <w:tcW w:w="941" w:type="dxa"/>
            <w:noWrap w:val="0"/>
            <w:vAlign w:val="top"/>
          </w:tcPr>
          <w:p w14:paraId="119A180D">
            <w:pPr>
              <w:jc w:val="center"/>
              <w:rPr>
                <w:rFonts w:hint="eastAsia"/>
                <w:color w:val="000000"/>
                <w:szCs w:val="21"/>
              </w:rPr>
            </w:pPr>
            <w:r>
              <w:rPr>
                <w:rFonts w:hint="eastAsia"/>
                <w:color w:val="000000"/>
                <w:szCs w:val="21"/>
              </w:rPr>
              <w:t>67%</w:t>
            </w:r>
          </w:p>
        </w:tc>
      </w:tr>
      <w:tr w14:paraId="5362E452">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52" w:hRule="atLeast"/>
        </w:trPr>
        <w:tc>
          <w:tcPr>
            <w:tcW w:w="821" w:type="dxa"/>
            <w:vMerge w:val="continue"/>
            <w:noWrap w:val="0"/>
            <w:vAlign w:val="top"/>
          </w:tcPr>
          <w:p w14:paraId="4BBEBA52">
            <w:pPr>
              <w:widowControl/>
              <w:jc w:val="center"/>
              <w:rPr>
                <w:color w:val="000000"/>
                <w:szCs w:val="21"/>
              </w:rPr>
            </w:pPr>
          </w:p>
        </w:tc>
        <w:tc>
          <w:tcPr>
            <w:tcW w:w="3696" w:type="dxa"/>
            <w:vMerge w:val="continue"/>
            <w:noWrap w:val="0"/>
            <w:vAlign w:val="top"/>
          </w:tcPr>
          <w:p w14:paraId="2F41D7D1">
            <w:pPr>
              <w:widowControl/>
              <w:rPr>
                <w:rFonts w:cs="宋体"/>
                <w:color w:val="000000"/>
                <w:szCs w:val="21"/>
              </w:rPr>
            </w:pPr>
          </w:p>
        </w:tc>
        <w:tc>
          <w:tcPr>
            <w:tcW w:w="2204" w:type="dxa"/>
            <w:noWrap w:val="0"/>
            <w:vAlign w:val="top"/>
          </w:tcPr>
          <w:p w14:paraId="72056729">
            <w:pPr>
              <w:jc w:val="center"/>
              <w:rPr>
                <w:rFonts w:hint="eastAsia" w:cs="宋体"/>
                <w:color w:val="000000"/>
                <w:szCs w:val="21"/>
              </w:rPr>
            </w:pPr>
            <w:r>
              <w:rPr>
                <w:rFonts w:hint="eastAsia" w:cs="宋体"/>
                <w:color w:val="000000"/>
                <w:szCs w:val="21"/>
              </w:rPr>
              <w:t>其他（水土流失）</w:t>
            </w:r>
          </w:p>
        </w:tc>
        <w:tc>
          <w:tcPr>
            <w:tcW w:w="866" w:type="dxa"/>
            <w:noWrap w:val="0"/>
            <w:vAlign w:val="top"/>
          </w:tcPr>
          <w:p w14:paraId="7A575ACB">
            <w:pPr>
              <w:widowControl/>
              <w:jc w:val="center"/>
              <w:rPr>
                <w:rFonts w:hint="eastAsia"/>
                <w:color w:val="000000"/>
                <w:szCs w:val="21"/>
              </w:rPr>
            </w:pPr>
            <w:r>
              <w:rPr>
                <w:rFonts w:hint="eastAsia"/>
                <w:color w:val="000000"/>
                <w:szCs w:val="21"/>
              </w:rPr>
              <w:t>0</w:t>
            </w:r>
          </w:p>
        </w:tc>
        <w:tc>
          <w:tcPr>
            <w:tcW w:w="941" w:type="dxa"/>
            <w:noWrap w:val="0"/>
            <w:vAlign w:val="top"/>
          </w:tcPr>
          <w:p w14:paraId="0540E41B">
            <w:pPr>
              <w:widowControl/>
              <w:jc w:val="center"/>
              <w:rPr>
                <w:rFonts w:hint="eastAsia"/>
                <w:color w:val="000000"/>
                <w:szCs w:val="21"/>
              </w:rPr>
            </w:pPr>
            <w:r>
              <w:rPr>
                <w:rFonts w:hint="eastAsia"/>
                <w:color w:val="000000"/>
                <w:szCs w:val="21"/>
              </w:rPr>
              <w:t>0</w:t>
            </w:r>
          </w:p>
        </w:tc>
      </w:tr>
      <w:tr w14:paraId="7880A4B0">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79" w:hRule="atLeast"/>
        </w:trPr>
        <w:tc>
          <w:tcPr>
            <w:tcW w:w="821" w:type="dxa"/>
            <w:vMerge w:val="restart"/>
            <w:noWrap w:val="0"/>
            <w:vAlign w:val="top"/>
          </w:tcPr>
          <w:p w14:paraId="078300D4">
            <w:pPr>
              <w:widowControl/>
              <w:jc w:val="center"/>
              <w:rPr>
                <w:color w:val="000000"/>
                <w:szCs w:val="21"/>
              </w:rPr>
            </w:pPr>
            <w:r>
              <w:rPr>
                <w:color w:val="000000"/>
                <w:szCs w:val="21"/>
              </w:rPr>
              <w:t>6</w:t>
            </w:r>
          </w:p>
        </w:tc>
        <w:tc>
          <w:tcPr>
            <w:tcW w:w="3696" w:type="dxa"/>
            <w:vMerge w:val="restart"/>
            <w:noWrap w:val="0"/>
            <w:vAlign w:val="top"/>
          </w:tcPr>
          <w:p w14:paraId="1C0A895B">
            <w:pPr>
              <w:widowControl/>
              <w:rPr>
                <w:rFonts w:cs="宋体"/>
                <w:color w:val="000000"/>
                <w:szCs w:val="21"/>
              </w:rPr>
            </w:pPr>
            <w:r>
              <w:rPr>
                <w:rFonts w:hint="eastAsia"/>
                <w:color w:val="000000"/>
                <w:szCs w:val="21"/>
              </w:rPr>
              <w:t>贵单位认为拟建项目对当地医疗会起到的作用</w:t>
            </w:r>
          </w:p>
        </w:tc>
        <w:tc>
          <w:tcPr>
            <w:tcW w:w="2204" w:type="dxa"/>
            <w:noWrap w:val="0"/>
            <w:vAlign w:val="top"/>
          </w:tcPr>
          <w:p w14:paraId="3BE26063">
            <w:pPr>
              <w:widowControl/>
              <w:jc w:val="center"/>
              <w:rPr>
                <w:rFonts w:hint="eastAsia" w:cs="宋体"/>
                <w:color w:val="000000"/>
                <w:szCs w:val="21"/>
              </w:rPr>
            </w:pPr>
            <w:r>
              <w:rPr>
                <w:rFonts w:hint="eastAsia" w:cs="宋体"/>
                <w:color w:val="000000"/>
                <w:szCs w:val="21"/>
              </w:rPr>
              <w:t>有利</w:t>
            </w:r>
          </w:p>
        </w:tc>
        <w:tc>
          <w:tcPr>
            <w:tcW w:w="866" w:type="dxa"/>
            <w:noWrap w:val="0"/>
            <w:vAlign w:val="top"/>
          </w:tcPr>
          <w:p w14:paraId="471278F8">
            <w:pPr>
              <w:widowControl/>
              <w:jc w:val="center"/>
              <w:rPr>
                <w:rFonts w:hint="eastAsia"/>
                <w:color w:val="000000"/>
                <w:szCs w:val="21"/>
              </w:rPr>
            </w:pPr>
            <w:r>
              <w:rPr>
                <w:rFonts w:hint="eastAsia"/>
                <w:color w:val="000000"/>
                <w:szCs w:val="21"/>
              </w:rPr>
              <w:t>10</w:t>
            </w:r>
          </w:p>
        </w:tc>
        <w:tc>
          <w:tcPr>
            <w:tcW w:w="941" w:type="dxa"/>
            <w:noWrap w:val="0"/>
            <w:vAlign w:val="top"/>
          </w:tcPr>
          <w:p w14:paraId="67FF6467">
            <w:pPr>
              <w:widowControl/>
              <w:jc w:val="center"/>
              <w:rPr>
                <w:rFonts w:hint="eastAsia"/>
                <w:color w:val="000000"/>
                <w:szCs w:val="21"/>
              </w:rPr>
            </w:pPr>
            <w:r>
              <w:rPr>
                <w:rFonts w:hint="eastAsia"/>
                <w:color w:val="000000"/>
                <w:szCs w:val="21"/>
              </w:rPr>
              <w:t>100%</w:t>
            </w:r>
          </w:p>
        </w:tc>
      </w:tr>
      <w:tr w14:paraId="1ABA070F">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13" w:hRule="atLeast"/>
        </w:trPr>
        <w:tc>
          <w:tcPr>
            <w:tcW w:w="821" w:type="dxa"/>
            <w:vMerge w:val="continue"/>
            <w:noWrap w:val="0"/>
            <w:vAlign w:val="top"/>
          </w:tcPr>
          <w:p w14:paraId="4690E157">
            <w:pPr>
              <w:widowControl/>
              <w:jc w:val="center"/>
              <w:rPr>
                <w:color w:val="000000"/>
                <w:szCs w:val="21"/>
              </w:rPr>
            </w:pPr>
          </w:p>
        </w:tc>
        <w:tc>
          <w:tcPr>
            <w:tcW w:w="3696" w:type="dxa"/>
            <w:vMerge w:val="continue"/>
            <w:noWrap w:val="0"/>
            <w:vAlign w:val="top"/>
          </w:tcPr>
          <w:p w14:paraId="55467EC7">
            <w:pPr>
              <w:widowControl/>
              <w:rPr>
                <w:rFonts w:cs="宋体"/>
                <w:color w:val="000000"/>
                <w:szCs w:val="21"/>
              </w:rPr>
            </w:pPr>
          </w:p>
        </w:tc>
        <w:tc>
          <w:tcPr>
            <w:tcW w:w="2204" w:type="dxa"/>
            <w:noWrap w:val="0"/>
            <w:vAlign w:val="top"/>
          </w:tcPr>
          <w:p w14:paraId="5B66E8E9">
            <w:pPr>
              <w:widowControl/>
              <w:jc w:val="center"/>
              <w:rPr>
                <w:rFonts w:hint="eastAsia" w:cs="宋体"/>
                <w:color w:val="000000"/>
                <w:szCs w:val="21"/>
              </w:rPr>
            </w:pPr>
            <w:r>
              <w:rPr>
                <w:rFonts w:hint="eastAsia" w:cs="宋体"/>
                <w:color w:val="000000"/>
                <w:szCs w:val="21"/>
              </w:rPr>
              <w:t>一般</w:t>
            </w:r>
          </w:p>
        </w:tc>
        <w:tc>
          <w:tcPr>
            <w:tcW w:w="866" w:type="dxa"/>
            <w:noWrap w:val="0"/>
            <w:vAlign w:val="top"/>
          </w:tcPr>
          <w:p w14:paraId="13FA1841">
            <w:pPr>
              <w:widowControl/>
              <w:jc w:val="center"/>
              <w:rPr>
                <w:rFonts w:hint="eastAsia"/>
                <w:color w:val="000000"/>
                <w:szCs w:val="21"/>
              </w:rPr>
            </w:pPr>
            <w:r>
              <w:rPr>
                <w:rFonts w:hint="eastAsia"/>
                <w:color w:val="000000"/>
                <w:szCs w:val="21"/>
              </w:rPr>
              <w:t>0</w:t>
            </w:r>
          </w:p>
        </w:tc>
        <w:tc>
          <w:tcPr>
            <w:tcW w:w="941" w:type="dxa"/>
            <w:noWrap w:val="0"/>
            <w:vAlign w:val="top"/>
          </w:tcPr>
          <w:p w14:paraId="1D4B694D">
            <w:pPr>
              <w:widowControl/>
              <w:jc w:val="center"/>
              <w:rPr>
                <w:rFonts w:hint="eastAsia"/>
                <w:color w:val="000000"/>
                <w:szCs w:val="21"/>
              </w:rPr>
            </w:pPr>
            <w:r>
              <w:rPr>
                <w:rFonts w:hint="eastAsia"/>
                <w:color w:val="000000"/>
                <w:szCs w:val="21"/>
              </w:rPr>
              <w:t>0</w:t>
            </w:r>
          </w:p>
        </w:tc>
      </w:tr>
      <w:tr w14:paraId="0345374E">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13" w:hRule="atLeast"/>
        </w:trPr>
        <w:tc>
          <w:tcPr>
            <w:tcW w:w="821" w:type="dxa"/>
            <w:vMerge w:val="continue"/>
            <w:noWrap w:val="0"/>
            <w:vAlign w:val="top"/>
          </w:tcPr>
          <w:p w14:paraId="50C59F23">
            <w:pPr>
              <w:widowControl/>
              <w:jc w:val="center"/>
              <w:rPr>
                <w:color w:val="000000"/>
                <w:szCs w:val="21"/>
              </w:rPr>
            </w:pPr>
          </w:p>
        </w:tc>
        <w:tc>
          <w:tcPr>
            <w:tcW w:w="3696" w:type="dxa"/>
            <w:vMerge w:val="continue"/>
            <w:noWrap w:val="0"/>
            <w:vAlign w:val="top"/>
          </w:tcPr>
          <w:p w14:paraId="0B1C6252">
            <w:pPr>
              <w:widowControl/>
              <w:rPr>
                <w:rFonts w:cs="宋体"/>
                <w:color w:val="000000"/>
                <w:szCs w:val="21"/>
              </w:rPr>
            </w:pPr>
          </w:p>
        </w:tc>
        <w:tc>
          <w:tcPr>
            <w:tcW w:w="2204" w:type="dxa"/>
            <w:noWrap w:val="0"/>
            <w:vAlign w:val="top"/>
          </w:tcPr>
          <w:p w14:paraId="457DE2F3">
            <w:pPr>
              <w:widowControl/>
              <w:jc w:val="center"/>
              <w:rPr>
                <w:rFonts w:hint="eastAsia" w:cs="宋体"/>
                <w:color w:val="000000"/>
                <w:szCs w:val="21"/>
              </w:rPr>
            </w:pPr>
            <w:r>
              <w:rPr>
                <w:rFonts w:hint="eastAsia" w:cs="宋体"/>
                <w:color w:val="000000"/>
                <w:szCs w:val="21"/>
              </w:rPr>
              <w:t>不利</w:t>
            </w:r>
          </w:p>
        </w:tc>
        <w:tc>
          <w:tcPr>
            <w:tcW w:w="866" w:type="dxa"/>
            <w:noWrap w:val="0"/>
            <w:vAlign w:val="top"/>
          </w:tcPr>
          <w:p w14:paraId="0C7A4478">
            <w:pPr>
              <w:widowControl/>
              <w:jc w:val="center"/>
              <w:rPr>
                <w:rFonts w:hint="eastAsia"/>
                <w:color w:val="000000"/>
                <w:szCs w:val="21"/>
              </w:rPr>
            </w:pPr>
            <w:r>
              <w:rPr>
                <w:rFonts w:hint="eastAsia"/>
                <w:color w:val="000000"/>
                <w:szCs w:val="21"/>
              </w:rPr>
              <w:t>0</w:t>
            </w:r>
          </w:p>
        </w:tc>
        <w:tc>
          <w:tcPr>
            <w:tcW w:w="941" w:type="dxa"/>
            <w:noWrap w:val="0"/>
            <w:vAlign w:val="top"/>
          </w:tcPr>
          <w:p w14:paraId="49B3FEC2">
            <w:pPr>
              <w:widowControl/>
              <w:jc w:val="center"/>
              <w:rPr>
                <w:rFonts w:hint="eastAsia"/>
                <w:color w:val="000000"/>
                <w:szCs w:val="21"/>
              </w:rPr>
            </w:pPr>
            <w:r>
              <w:rPr>
                <w:rFonts w:hint="eastAsia"/>
                <w:color w:val="000000"/>
                <w:szCs w:val="21"/>
              </w:rPr>
              <w:t>0</w:t>
            </w:r>
          </w:p>
        </w:tc>
      </w:tr>
      <w:tr w14:paraId="61207533">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13" w:hRule="atLeast"/>
        </w:trPr>
        <w:tc>
          <w:tcPr>
            <w:tcW w:w="821" w:type="dxa"/>
            <w:vMerge w:val="continue"/>
            <w:noWrap w:val="0"/>
            <w:vAlign w:val="top"/>
          </w:tcPr>
          <w:p w14:paraId="57AD03C4">
            <w:pPr>
              <w:widowControl/>
              <w:jc w:val="center"/>
              <w:rPr>
                <w:color w:val="000000"/>
                <w:szCs w:val="21"/>
              </w:rPr>
            </w:pPr>
          </w:p>
        </w:tc>
        <w:tc>
          <w:tcPr>
            <w:tcW w:w="3696" w:type="dxa"/>
            <w:vMerge w:val="continue"/>
            <w:noWrap w:val="0"/>
            <w:vAlign w:val="top"/>
          </w:tcPr>
          <w:p w14:paraId="1C57FE33">
            <w:pPr>
              <w:widowControl/>
              <w:rPr>
                <w:rFonts w:cs="宋体"/>
                <w:color w:val="000000"/>
                <w:szCs w:val="21"/>
              </w:rPr>
            </w:pPr>
          </w:p>
        </w:tc>
        <w:tc>
          <w:tcPr>
            <w:tcW w:w="2204" w:type="dxa"/>
            <w:noWrap w:val="0"/>
            <w:vAlign w:val="top"/>
          </w:tcPr>
          <w:p w14:paraId="2B128CE2">
            <w:pPr>
              <w:widowControl/>
              <w:jc w:val="center"/>
              <w:rPr>
                <w:rFonts w:hint="eastAsia" w:cs="宋体"/>
                <w:color w:val="000000"/>
                <w:szCs w:val="21"/>
              </w:rPr>
            </w:pPr>
            <w:r>
              <w:rPr>
                <w:rFonts w:hint="eastAsia" w:cs="宋体"/>
                <w:color w:val="000000"/>
                <w:szCs w:val="21"/>
              </w:rPr>
              <w:t>不知道</w:t>
            </w:r>
          </w:p>
        </w:tc>
        <w:tc>
          <w:tcPr>
            <w:tcW w:w="866" w:type="dxa"/>
            <w:noWrap w:val="0"/>
            <w:vAlign w:val="top"/>
          </w:tcPr>
          <w:p w14:paraId="18127557">
            <w:pPr>
              <w:widowControl/>
              <w:jc w:val="center"/>
              <w:rPr>
                <w:rFonts w:hint="eastAsia"/>
                <w:color w:val="000000"/>
                <w:szCs w:val="21"/>
              </w:rPr>
            </w:pPr>
            <w:r>
              <w:rPr>
                <w:rFonts w:hint="eastAsia"/>
                <w:color w:val="000000"/>
                <w:szCs w:val="21"/>
              </w:rPr>
              <w:t>0</w:t>
            </w:r>
          </w:p>
        </w:tc>
        <w:tc>
          <w:tcPr>
            <w:tcW w:w="941" w:type="dxa"/>
            <w:noWrap w:val="0"/>
            <w:vAlign w:val="top"/>
          </w:tcPr>
          <w:p w14:paraId="2AE81109">
            <w:pPr>
              <w:widowControl/>
              <w:jc w:val="center"/>
              <w:rPr>
                <w:rFonts w:hint="eastAsia"/>
                <w:color w:val="000000"/>
                <w:szCs w:val="21"/>
              </w:rPr>
            </w:pPr>
            <w:r>
              <w:rPr>
                <w:rFonts w:hint="eastAsia"/>
                <w:color w:val="000000"/>
                <w:szCs w:val="21"/>
              </w:rPr>
              <w:t>0</w:t>
            </w:r>
          </w:p>
        </w:tc>
      </w:tr>
      <w:tr w14:paraId="02FC4E46">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29" w:hRule="atLeast"/>
        </w:trPr>
        <w:tc>
          <w:tcPr>
            <w:tcW w:w="821" w:type="dxa"/>
            <w:vMerge w:val="restart"/>
            <w:noWrap w:val="0"/>
            <w:vAlign w:val="top"/>
          </w:tcPr>
          <w:p w14:paraId="35195E35">
            <w:pPr>
              <w:widowControl/>
              <w:jc w:val="center"/>
              <w:rPr>
                <w:color w:val="000000"/>
                <w:szCs w:val="21"/>
              </w:rPr>
            </w:pPr>
            <w:r>
              <w:rPr>
                <w:color w:val="000000"/>
                <w:szCs w:val="21"/>
              </w:rPr>
              <w:t>7</w:t>
            </w:r>
          </w:p>
        </w:tc>
        <w:tc>
          <w:tcPr>
            <w:tcW w:w="3696" w:type="dxa"/>
            <w:vMerge w:val="restart"/>
            <w:noWrap w:val="0"/>
            <w:vAlign w:val="top"/>
          </w:tcPr>
          <w:p w14:paraId="5BFD13BA">
            <w:pPr>
              <w:widowControl/>
              <w:rPr>
                <w:rFonts w:cs="宋体"/>
                <w:color w:val="000000"/>
                <w:szCs w:val="21"/>
              </w:rPr>
            </w:pPr>
            <w:r>
              <w:rPr>
                <w:rFonts w:hint="eastAsia"/>
                <w:color w:val="000000"/>
                <w:szCs w:val="21"/>
              </w:rPr>
              <w:t>贵单位认为拟建项目的地址选址是否合理</w:t>
            </w:r>
          </w:p>
        </w:tc>
        <w:tc>
          <w:tcPr>
            <w:tcW w:w="2204" w:type="dxa"/>
            <w:noWrap w:val="0"/>
            <w:vAlign w:val="top"/>
          </w:tcPr>
          <w:p w14:paraId="0BD63944">
            <w:pPr>
              <w:jc w:val="center"/>
              <w:rPr>
                <w:rFonts w:hint="eastAsia" w:cs="宋体"/>
                <w:color w:val="000000"/>
                <w:szCs w:val="21"/>
              </w:rPr>
            </w:pPr>
            <w:r>
              <w:rPr>
                <w:rFonts w:hint="eastAsia" w:cs="宋体"/>
                <w:color w:val="000000"/>
                <w:szCs w:val="21"/>
              </w:rPr>
              <w:t>合理</w:t>
            </w:r>
          </w:p>
        </w:tc>
        <w:tc>
          <w:tcPr>
            <w:tcW w:w="866" w:type="dxa"/>
            <w:noWrap w:val="0"/>
            <w:vAlign w:val="top"/>
          </w:tcPr>
          <w:p w14:paraId="06A40475">
            <w:pPr>
              <w:widowControl/>
              <w:jc w:val="center"/>
              <w:rPr>
                <w:rFonts w:hint="eastAsia"/>
                <w:color w:val="000000"/>
                <w:szCs w:val="21"/>
              </w:rPr>
            </w:pPr>
            <w:r>
              <w:rPr>
                <w:rFonts w:hint="eastAsia"/>
                <w:color w:val="000000"/>
                <w:szCs w:val="21"/>
              </w:rPr>
              <w:t>10</w:t>
            </w:r>
          </w:p>
        </w:tc>
        <w:tc>
          <w:tcPr>
            <w:tcW w:w="941" w:type="dxa"/>
            <w:noWrap w:val="0"/>
            <w:vAlign w:val="top"/>
          </w:tcPr>
          <w:p w14:paraId="0BEF764B">
            <w:pPr>
              <w:widowControl/>
              <w:jc w:val="center"/>
              <w:rPr>
                <w:rFonts w:hint="eastAsia"/>
                <w:color w:val="000000"/>
                <w:szCs w:val="21"/>
              </w:rPr>
            </w:pPr>
            <w:r>
              <w:rPr>
                <w:rFonts w:hint="eastAsia"/>
                <w:color w:val="000000"/>
                <w:szCs w:val="21"/>
              </w:rPr>
              <w:t>100%</w:t>
            </w:r>
          </w:p>
        </w:tc>
      </w:tr>
      <w:tr w14:paraId="44A16494">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13" w:hRule="atLeast"/>
        </w:trPr>
        <w:tc>
          <w:tcPr>
            <w:tcW w:w="821" w:type="dxa"/>
            <w:vMerge w:val="continue"/>
            <w:noWrap w:val="0"/>
            <w:vAlign w:val="top"/>
          </w:tcPr>
          <w:p w14:paraId="7662AB91">
            <w:pPr>
              <w:widowControl/>
              <w:jc w:val="center"/>
              <w:rPr>
                <w:color w:val="000000"/>
                <w:szCs w:val="21"/>
              </w:rPr>
            </w:pPr>
          </w:p>
        </w:tc>
        <w:tc>
          <w:tcPr>
            <w:tcW w:w="3696" w:type="dxa"/>
            <w:vMerge w:val="continue"/>
            <w:noWrap w:val="0"/>
            <w:vAlign w:val="top"/>
          </w:tcPr>
          <w:p w14:paraId="258B89BA">
            <w:pPr>
              <w:widowControl/>
              <w:rPr>
                <w:rFonts w:hint="eastAsia"/>
                <w:color w:val="000000"/>
                <w:szCs w:val="21"/>
              </w:rPr>
            </w:pPr>
          </w:p>
        </w:tc>
        <w:tc>
          <w:tcPr>
            <w:tcW w:w="2204" w:type="dxa"/>
            <w:noWrap w:val="0"/>
            <w:vAlign w:val="top"/>
          </w:tcPr>
          <w:p w14:paraId="72A6B337">
            <w:pPr>
              <w:jc w:val="center"/>
              <w:rPr>
                <w:rFonts w:hint="eastAsia" w:cs="宋体"/>
                <w:color w:val="000000"/>
                <w:szCs w:val="21"/>
              </w:rPr>
            </w:pPr>
            <w:r>
              <w:rPr>
                <w:rFonts w:hint="eastAsia" w:cs="宋体"/>
                <w:color w:val="000000"/>
                <w:szCs w:val="21"/>
              </w:rPr>
              <w:t>不合理</w:t>
            </w:r>
          </w:p>
        </w:tc>
        <w:tc>
          <w:tcPr>
            <w:tcW w:w="866" w:type="dxa"/>
            <w:noWrap w:val="0"/>
            <w:vAlign w:val="top"/>
          </w:tcPr>
          <w:p w14:paraId="5AC62FBE">
            <w:pPr>
              <w:widowControl/>
              <w:jc w:val="center"/>
              <w:rPr>
                <w:rFonts w:hint="eastAsia"/>
                <w:color w:val="000000"/>
                <w:szCs w:val="21"/>
              </w:rPr>
            </w:pPr>
            <w:r>
              <w:rPr>
                <w:rFonts w:hint="eastAsia"/>
                <w:color w:val="000000"/>
                <w:szCs w:val="21"/>
              </w:rPr>
              <w:t>0</w:t>
            </w:r>
          </w:p>
        </w:tc>
        <w:tc>
          <w:tcPr>
            <w:tcW w:w="941" w:type="dxa"/>
            <w:noWrap w:val="0"/>
            <w:vAlign w:val="top"/>
          </w:tcPr>
          <w:p w14:paraId="24F02A54">
            <w:pPr>
              <w:widowControl/>
              <w:jc w:val="center"/>
              <w:rPr>
                <w:rFonts w:hint="eastAsia"/>
                <w:color w:val="000000"/>
                <w:szCs w:val="21"/>
              </w:rPr>
            </w:pPr>
            <w:r>
              <w:rPr>
                <w:rFonts w:hint="eastAsia"/>
                <w:color w:val="000000"/>
                <w:szCs w:val="21"/>
              </w:rPr>
              <w:t>0</w:t>
            </w:r>
          </w:p>
        </w:tc>
      </w:tr>
      <w:tr w14:paraId="4D03D360">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29" w:hRule="atLeast"/>
        </w:trPr>
        <w:tc>
          <w:tcPr>
            <w:tcW w:w="821" w:type="dxa"/>
            <w:vMerge w:val="continue"/>
            <w:noWrap w:val="0"/>
            <w:vAlign w:val="top"/>
          </w:tcPr>
          <w:p w14:paraId="7988144D">
            <w:pPr>
              <w:widowControl/>
              <w:jc w:val="center"/>
              <w:rPr>
                <w:color w:val="000000"/>
                <w:szCs w:val="21"/>
              </w:rPr>
            </w:pPr>
          </w:p>
        </w:tc>
        <w:tc>
          <w:tcPr>
            <w:tcW w:w="3696" w:type="dxa"/>
            <w:vMerge w:val="continue"/>
            <w:noWrap w:val="0"/>
            <w:vAlign w:val="top"/>
          </w:tcPr>
          <w:p w14:paraId="168E2404">
            <w:pPr>
              <w:widowControl/>
              <w:rPr>
                <w:rFonts w:hint="eastAsia"/>
                <w:color w:val="000000"/>
                <w:szCs w:val="21"/>
              </w:rPr>
            </w:pPr>
          </w:p>
        </w:tc>
        <w:tc>
          <w:tcPr>
            <w:tcW w:w="2204" w:type="dxa"/>
            <w:noWrap w:val="0"/>
            <w:vAlign w:val="top"/>
          </w:tcPr>
          <w:p w14:paraId="5FF93C2D">
            <w:pPr>
              <w:jc w:val="center"/>
              <w:rPr>
                <w:rFonts w:hint="eastAsia" w:cs="宋体"/>
                <w:color w:val="000000"/>
                <w:szCs w:val="21"/>
              </w:rPr>
            </w:pPr>
            <w:r>
              <w:rPr>
                <w:rFonts w:hint="eastAsia" w:cs="宋体"/>
                <w:color w:val="000000"/>
                <w:szCs w:val="21"/>
              </w:rPr>
              <w:t>不知道</w:t>
            </w:r>
          </w:p>
        </w:tc>
        <w:tc>
          <w:tcPr>
            <w:tcW w:w="866" w:type="dxa"/>
            <w:noWrap w:val="0"/>
            <w:vAlign w:val="top"/>
          </w:tcPr>
          <w:p w14:paraId="322DEEF8">
            <w:pPr>
              <w:widowControl/>
              <w:jc w:val="center"/>
              <w:rPr>
                <w:rFonts w:hint="eastAsia"/>
                <w:color w:val="000000"/>
                <w:szCs w:val="21"/>
              </w:rPr>
            </w:pPr>
            <w:r>
              <w:rPr>
                <w:rFonts w:hint="eastAsia"/>
                <w:color w:val="000000"/>
                <w:szCs w:val="21"/>
              </w:rPr>
              <w:t>0</w:t>
            </w:r>
          </w:p>
        </w:tc>
        <w:tc>
          <w:tcPr>
            <w:tcW w:w="941" w:type="dxa"/>
            <w:noWrap w:val="0"/>
            <w:vAlign w:val="top"/>
          </w:tcPr>
          <w:p w14:paraId="7AB35993">
            <w:pPr>
              <w:widowControl/>
              <w:jc w:val="center"/>
              <w:rPr>
                <w:rFonts w:hint="eastAsia"/>
                <w:color w:val="000000"/>
                <w:szCs w:val="21"/>
              </w:rPr>
            </w:pPr>
            <w:r>
              <w:rPr>
                <w:rFonts w:hint="eastAsia"/>
                <w:color w:val="000000"/>
                <w:szCs w:val="21"/>
              </w:rPr>
              <w:t>0</w:t>
            </w:r>
          </w:p>
        </w:tc>
      </w:tr>
      <w:tr w14:paraId="520E6456">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4" w:hRule="atLeast"/>
        </w:trPr>
        <w:tc>
          <w:tcPr>
            <w:tcW w:w="821" w:type="dxa"/>
            <w:vMerge w:val="restart"/>
            <w:noWrap w:val="0"/>
            <w:vAlign w:val="top"/>
          </w:tcPr>
          <w:p w14:paraId="73B18862">
            <w:pPr>
              <w:widowControl/>
              <w:jc w:val="center"/>
              <w:rPr>
                <w:color w:val="000000"/>
                <w:szCs w:val="21"/>
              </w:rPr>
            </w:pPr>
            <w:r>
              <w:rPr>
                <w:rFonts w:hint="eastAsia"/>
                <w:color w:val="000000"/>
                <w:szCs w:val="21"/>
              </w:rPr>
              <w:t>8</w:t>
            </w:r>
          </w:p>
        </w:tc>
        <w:tc>
          <w:tcPr>
            <w:tcW w:w="3696" w:type="dxa"/>
            <w:vMerge w:val="restart"/>
            <w:noWrap w:val="0"/>
            <w:vAlign w:val="top"/>
          </w:tcPr>
          <w:p w14:paraId="75451DFD">
            <w:pPr>
              <w:widowControl/>
              <w:rPr>
                <w:rFonts w:cs="宋体"/>
                <w:color w:val="000000"/>
                <w:szCs w:val="21"/>
              </w:rPr>
            </w:pPr>
            <w:r>
              <w:rPr>
                <w:rFonts w:hint="eastAsia"/>
                <w:color w:val="000000"/>
                <w:szCs w:val="21"/>
              </w:rPr>
              <w:t>贵单位对拟建项目持何种态度</w:t>
            </w:r>
          </w:p>
        </w:tc>
        <w:tc>
          <w:tcPr>
            <w:tcW w:w="2204" w:type="dxa"/>
            <w:noWrap w:val="0"/>
            <w:vAlign w:val="top"/>
          </w:tcPr>
          <w:p w14:paraId="1FCF004F">
            <w:pPr>
              <w:widowControl/>
              <w:jc w:val="center"/>
              <w:rPr>
                <w:rFonts w:cs="宋体"/>
                <w:color w:val="000000"/>
                <w:szCs w:val="21"/>
              </w:rPr>
            </w:pPr>
            <w:r>
              <w:rPr>
                <w:rFonts w:hint="eastAsia" w:cs="宋体"/>
                <w:color w:val="000000"/>
                <w:szCs w:val="21"/>
              </w:rPr>
              <w:t>赞成</w:t>
            </w:r>
          </w:p>
        </w:tc>
        <w:tc>
          <w:tcPr>
            <w:tcW w:w="866" w:type="dxa"/>
            <w:noWrap w:val="0"/>
            <w:vAlign w:val="top"/>
          </w:tcPr>
          <w:p w14:paraId="143DF8C2">
            <w:pPr>
              <w:widowControl/>
              <w:jc w:val="center"/>
              <w:rPr>
                <w:rFonts w:hint="eastAsia"/>
                <w:color w:val="000000"/>
                <w:szCs w:val="21"/>
              </w:rPr>
            </w:pPr>
            <w:r>
              <w:rPr>
                <w:rFonts w:hint="eastAsia"/>
                <w:color w:val="000000"/>
                <w:szCs w:val="21"/>
              </w:rPr>
              <w:t>10</w:t>
            </w:r>
          </w:p>
        </w:tc>
        <w:tc>
          <w:tcPr>
            <w:tcW w:w="941" w:type="dxa"/>
            <w:noWrap w:val="0"/>
            <w:vAlign w:val="top"/>
          </w:tcPr>
          <w:p w14:paraId="4A7FE2F5">
            <w:pPr>
              <w:widowControl/>
              <w:jc w:val="center"/>
              <w:rPr>
                <w:rFonts w:hint="eastAsia"/>
                <w:color w:val="000000"/>
                <w:szCs w:val="21"/>
              </w:rPr>
            </w:pPr>
            <w:r>
              <w:rPr>
                <w:rFonts w:hint="eastAsia"/>
                <w:color w:val="000000"/>
                <w:szCs w:val="21"/>
              </w:rPr>
              <w:t>100%</w:t>
            </w:r>
          </w:p>
        </w:tc>
      </w:tr>
      <w:tr w14:paraId="2DAF34C3">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13" w:hRule="atLeast"/>
        </w:trPr>
        <w:tc>
          <w:tcPr>
            <w:tcW w:w="821" w:type="dxa"/>
            <w:vMerge w:val="continue"/>
            <w:noWrap w:val="0"/>
            <w:vAlign w:val="top"/>
          </w:tcPr>
          <w:p w14:paraId="1942114C">
            <w:pPr>
              <w:widowControl/>
              <w:jc w:val="center"/>
              <w:rPr>
                <w:color w:val="000000"/>
                <w:szCs w:val="21"/>
              </w:rPr>
            </w:pPr>
          </w:p>
        </w:tc>
        <w:tc>
          <w:tcPr>
            <w:tcW w:w="3696" w:type="dxa"/>
            <w:vMerge w:val="continue"/>
            <w:noWrap w:val="0"/>
            <w:vAlign w:val="top"/>
          </w:tcPr>
          <w:p w14:paraId="66EC04F7">
            <w:pPr>
              <w:widowControl/>
              <w:rPr>
                <w:rFonts w:cs="宋体"/>
                <w:color w:val="000000"/>
                <w:szCs w:val="21"/>
              </w:rPr>
            </w:pPr>
          </w:p>
        </w:tc>
        <w:tc>
          <w:tcPr>
            <w:tcW w:w="2204" w:type="dxa"/>
            <w:noWrap w:val="0"/>
            <w:vAlign w:val="top"/>
          </w:tcPr>
          <w:p w14:paraId="50B9B64E">
            <w:pPr>
              <w:widowControl/>
              <w:jc w:val="center"/>
              <w:rPr>
                <w:rFonts w:cs="宋体"/>
                <w:color w:val="000000"/>
                <w:szCs w:val="21"/>
              </w:rPr>
            </w:pPr>
            <w:r>
              <w:rPr>
                <w:rFonts w:hint="eastAsia" w:cs="宋体"/>
                <w:color w:val="000000"/>
                <w:szCs w:val="21"/>
              </w:rPr>
              <w:t>不赞成</w:t>
            </w:r>
          </w:p>
        </w:tc>
        <w:tc>
          <w:tcPr>
            <w:tcW w:w="866" w:type="dxa"/>
            <w:noWrap w:val="0"/>
            <w:vAlign w:val="top"/>
          </w:tcPr>
          <w:p w14:paraId="2EA2ED19">
            <w:pPr>
              <w:widowControl/>
              <w:jc w:val="center"/>
              <w:rPr>
                <w:rFonts w:hint="eastAsia"/>
                <w:color w:val="000000"/>
                <w:szCs w:val="21"/>
              </w:rPr>
            </w:pPr>
            <w:r>
              <w:rPr>
                <w:rFonts w:hint="eastAsia"/>
                <w:color w:val="000000"/>
                <w:szCs w:val="21"/>
              </w:rPr>
              <w:t>0</w:t>
            </w:r>
          </w:p>
        </w:tc>
        <w:tc>
          <w:tcPr>
            <w:tcW w:w="941" w:type="dxa"/>
            <w:noWrap w:val="0"/>
            <w:vAlign w:val="top"/>
          </w:tcPr>
          <w:p w14:paraId="49C4B6BA">
            <w:pPr>
              <w:widowControl/>
              <w:jc w:val="center"/>
              <w:rPr>
                <w:rFonts w:hint="eastAsia"/>
                <w:color w:val="000000"/>
                <w:szCs w:val="21"/>
              </w:rPr>
            </w:pPr>
            <w:r>
              <w:rPr>
                <w:rFonts w:hint="eastAsia"/>
                <w:color w:val="000000"/>
                <w:szCs w:val="21"/>
              </w:rPr>
              <w:t>0</w:t>
            </w:r>
          </w:p>
        </w:tc>
      </w:tr>
      <w:tr w14:paraId="6953CE91">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13" w:hRule="atLeast"/>
        </w:trPr>
        <w:tc>
          <w:tcPr>
            <w:tcW w:w="821" w:type="dxa"/>
            <w:vMerge w:val="continue"/>
            <w:noWrap w:val="0"/>
            <w:vAlign w:val="top"/>
          </w:tcPr>
          <w:p w14:paraId="3032EE88">
            <w:pPr>
              <w:widowControl/>
              <w:jc w:val="center"/>
              <w:rPr>
                <w:color w:val="000000"/>
                <w:szCs w:val="21"/>
              </w:rPr>
            </w:pPr>
          </w:p>
        </w:tc>
        <w:tc>
          <w:tcPr>
            <w:tcW w:w="3696" w:type="dxa"/>
            <w:vMerge w:val="continue"/>
            <w:noWrap w:val="0"/>
            <w:vAlign w:val="top"/>
          </w:tcPr>
          <w:p w14:paraId="1FD2ECCB">
            <w:pPr>
              <w:widowControl/>
              <w:rPr>
                <w:rFonts w:cs="宋体"/>
                <w:color w:val="000000"/>
                <w:szCs w:val="21"/>
              </w:rPr>
            </w:pPr>
          </w:p>
        </w:tc>
        <w:tc>
          <w:tcPr>
            <w:tcW w:w="2204" w:type="dxa"/>
            <w:noWrap w:val="0"/>
            <w:vAlign w:val="top"/>
          </w:tcPr>
          <w:p w14:paraId="006A0D09">
            <w:pPr>
              <w:widowControl/>
              <w:jc w:val="center"/>
              <w:rPr>
                <w:rFonts w:cs="宋体"/>
                <w:color w:val="000000"/>
                <w:szCs w:val="21"/>
              </w:rPr>
            </w:pPr>
            <w:r>
              <w:rPr>
                <w:rFonts w:hint="eastAsia" w:cs="宋体"/>
                <w:color w:val="000000"/>
                <w:szCs w:val="21"/>
              </w:rPr>
              <w:t>无所谓</w:t>
            </w:r>
          </w:p>
        </w:tc>
        <w:tc>
          <w:tcPr>
            <w:tcW w:w="866" w:type="dxa"/>
            <w:noWrap w:val="0"/>
            <w:vAlign w:val="top"/>
          </w:tcPr>
          <w:p w14:paraId="6104AB98">
            <w:pPr>
              <w:widowControl/>
              <w:jc w:val="center"/>
              <w:rPr>
                <w:rFonts w:hint="eastAsia"/>
                <w:color w:val="000000"/>
                <w:szCs w:val="21"/>
              </w:rPr>
            </w:pPr>
            <w:r>
              <w:rPr>
                <w:rFonts w:hint="eastAsia"/>
                <w:color w:val="000000"/>
                <w:szCs w:val="21"/>
              </w:rPr>
              <w:t>0</w:t>
            </w:r>
          </w:p>
        </w:tc>
        <w:tc>
          <w:tcPr>
            <w:tcW w:w="941" w:type="dxa"/>
            <w:noWrap w:val="0"/>
            <w:vAlign w:val="top"/>
          </w:tcPr>
          <w:p w14:paraId="02CECB99">
            <w:pPr>
              <w:widowControl/>
              <w:jc w:val="center"/>
              <w:rPr>
                <w:rFonts w:hint="eastAsia"/>
                <w:color w:val="000000"/>
                <w:szCs w:val="21"/>
              </w:rPr>
            </w:pPr>
            <w:r>
              <w:rPr>
                <w:rFonts w:hint="eastAsia"/>
                <w:color w:val="000000"/>
                <w:szCs w:val="21"/>
              </w:rPr>
              <w:t>0</w:t>
            </w:r>
          </w:p>
        </w:tc>
      </w:tr>
      <w:tr w14:paraId="7484BF80">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60" w:hRule="atLeast"/>
        </w:trPr>
        <w:tc>
          <w:tcPr>
            <w:tcW w:w="821" w:type="dxa"/>
            <w:noWrap w:val="0"/>
            <w:vAlign w:val="top"/>
          </w:tcPr>
          <w:p w14:paraId="66F6AF43">
            <w:pPr>
              <w:widowControl/>
              <w:jc w:val="center"/>
              <w:rPr>
                <w:rFonts w:hint="eastAsia"/>
                <w:color w:val="000000"/>
                <w:szCs w:val="21"/>
              </w:rPr>
            </w:pPr>
            <w:r>
              <w:rPr>
                <w:rFonts w:hint="eastAsia"/>
                <w:color w:val="000000"/>
                <w:szCs w:val="21"/>
              </w:rPr>
              <w:t>9</w:t>
            </w:r>
          </w:p>
        </w:tc>
        <w:tc>
          <w:tcPr>
            <w:tcW w:w="3696" w:type="dxa"/>
            <w:noWrap w:val="0"/>
            <w:vAlign w:val="top"/>
          </w:tcPr>
          <w:p w14:paraId="73D0531D">
            <w:pPr>
              <w:widowControl/>
              <w:rPr>
                <w:rFonts w:cs="宋体"/>
                <w:color w:val="000000"/>
                <w:szCs w:val="21"/>
              </w:rPr>
            </w:pPr>
            <w:r>
              <w:rPr>
                <w:rFonts w:hint="eastAsia"/>
                <w:color w:val="000000"/>
                <w:szCs w:val="21"/>
              </w:rPr>
              <w:t>其他意见及建议</w:t>
            </w:r>
          </w:p>
        </w:tc>
        <w:tc>
          <w:tcPr>
            <w:tcW w:w="4011" w:type="dxa"/>
            <w:gridSpan w:val="3"/>
            <w:noWrap w:val="0"/>
            <w:vAlign w:val="top"/>
          </w:tcPr>
          <w:p w14:paraId="317E2CA5">
            <w:pPr>
              <w:widowControl/>
              <w:jc w:val="center"/>
              <w:rPr>
                <w:rFonts w:cs="宋体"/>
                <w:color w:val="000000"/>
                <w:szCs w:val="21"/>
              </w:rPr>
            </w:pPr>
            <w:r>
              <w:rPr>
                <w:rFonts w:hint="eastAsia" w:cs="宋体"/>
                <w:color w:val="000000"/>
                <w:szCs w:val="21"/>
              </w:rPr>
              <w:t>无</w:t>
            </w:r>
          </w:p>
        </w:tc>
      </w:tr>
    </w:tbl>
    <w:p w14:paraId="1215B2DD">
      <w:pPr>
        <w:spacing w:line="360" w:lineRule="auto"/>
        <w:rPr>
          <w:rFonts w:hint="eastAsia"/>
          <w:b/>
          <w:color w:val="000000"/>
          <w:sz w:val="24"/>
        </w:rPr>
      </w:pPr>
      <w:r>
        <w:rPr>
          <w:color w:val="000000"/>
          <w:szCs w:val="21"/>
        </w:rPr>
        <w:t xml:space="preserve"> [注] 有的选项被多选了。</w:t>
      </w:r>
    </w:p>
    <w:p w14:paraId="4188172B">
      <w:pPr>
        <w:spacing w:line="360" w:lineRule="auto"/>
        <w:ind w:firstLine="482"/>
        <w:rPr>
          <w:rFonts w:ascii="宋体" w:hAnsi="宋体"/>
          <w:b/>
          <w:color w:val="000000"/>
          <w:sz w:val="24"/>
        </w:rPr>
      </w:pPr>
      <w:r>
        <w:rPr>
          <w:rFonts w:hint="eastAsia" w:ascii="宋体" w:hAnsi="宋体"/>
          <w:b/>
          <w:color w:val="000000"/>
          <w:sz w:val="24"/>
        </w:rPr>
        <w:t>（3）</w:t>
      </w:r>
      <w:r>
        <w:rPr>
          <w:rFonts w:ascii="宋体" w:hAnsi="宋体"/>
          <w:b/>
          <w:color w:val="000000"/>
          <w:sz w:val="24"/>
        </w:rPr>
        <w:t>调查</w:t>
      </w:r>
      <w:r>
        <w:rPr>
          <w:rFonts w:hint="eastAsia" w:ascii="宋体" w:hAnsi="宋体"/>
          <w:b/>
          <w:color w:val="000000"/>
          <w:sz w:val="24"/>
        </w:rPr>
        <w:t>结果统计分析</w:t>
      </w:r>
    </w:p>
    <w:p w14:paraId="7411C312">
      <w:pPr>
        <w:pStyle w:val="204"/>
        <w:spacing w:after="0" w:line="360" w:lineRule="auto"/>
        <w:ind w:left="0" w:firstLine="480"/>
        <w:rPr>
          <w:rFonts w:hint="eastAsia" w:ascii="宋体" w:hAnsi="宋体"/>
          <w:color w:val="000000"/>
          <w:sz w:val="24"/>
        </w:rPr>
      </w:pPr>
      <w:r>
        <w:rPr>
          <w:rFonts w:hint="eastAsia" w:ascii="宋体" w:hAnsi="宋体"/>
          <w:color w:val="000000"/>
          <w:sz w:val="24"/>
        </w:rPr>
        <w:t>由上表可以看出，受访团体中有90%表示知道本项目的建设，100%对目前的环境质量现状表示满意，100%认为本项目的建设对当地医疗起到积极有利的作用，100%本项目的选址是合理的，100%单位团体赞成本项目的建设。受访团体（57%）项目建设阶段的噪声影响最为关心，其次是固废影响（31%），受访团体（67%）对项目建成运营阶段产生的固体废弃物最为关心，其次是对废水（25%）及噪声（8%）的影响。</w:t>
      </w:r>
    </w:p>
    <w:p w14:paraId="1132B271">
      <w:pPr>
        <w:spacing w:line="360" w:lineRule="auto"/>
        <w:ind w:firstLine="480"/>
        <w:rPr>
          <w:rFonts w:hint="eastAsia" w:ascii="宋体" w:hAnsi="宋体"/>
          <w:color w:val="000000"/>
          <w:sz w:val="24"/>
        </w:rPr>
      </w:pPr>
      <w:r>
        <w:rPr>
          <w:rFonts w:hint="eastAsia" w:ascii="宋体" w:hAnsi="宋体"/>
          <w:color w:val="000000"/>
          <w:sz w:val="24"/>
        </w:rPr>
        <w:t>调查结果表明：</w:t>
      </w:r>
      <w:r>
        <w:rPr>
          <w:rFonts w:ascii="宋体" w:hAnsi="宋体"/>
          <w:color w:val="000000"/>
          <w:sz w:val="24"/>
        </w:rPr>
        <w:t>当地政府及社会团体对于</w:t>
      </w:r>
      <w:r>
        <w:rPr>
          <w:rFonts w:hint="eastAsia" w:ascii="宋体" w:hAnsi="宋体"/>
          <w:color w:val="000000"/>
          <w:sz w:val="24"/>
        </w:rPr>
        <w:t>本项目建设</w:t>
      </w:r>
      <w:r>
        <w:rPr>
          <w:rFonts w:ascii="宋体" w:hAnsi="宋体"/>
          <w:color w:val="000000"/>
          <w:sz w:val="24"/>
        </w:rPr>
        <w:t>可能对</w:t>
      </w:r>
      <w:r>
        <w:rPr>
          <w:rFonts w:hint="eastAsia" w:ascii="宋体" w:hAnsi="宋体"/>
          <w:color w:val="000000"/>
          <w:sz w:val="24"/>
        </w:rPr>
        <w:t>社会经济和</w:t>
      </w:r>
      <w:r>
        <w:rPr>
          <w:rFonts w:ascii="宋体" w:hAnsi="宋体"/>
          <w:color w:val="000000"/>
          <w:sz w:val="24"/>
        </w:rPr>
        <w:t>环境产生的有利及不利影响，均有一定程度的了解和认识。</w:t>
      </w:r>
      <w:r>
        <w:rPr>
          <w:rFonts w:hint="eastAsia" w:ascii="宋体" w:hAnsi="宋体"/>
          <w:color w:val="000000"/>
          <w:sz w:val="24"/>
        </w:rPr>
        <w:t>在项目实施和运营过程中</w:t>
      </w:r>
      <w:r>
        <w:rPr>
          <w:rFonts w:ascii="宋体" w:hAnsi="宋体"/>
          <w:color w:val="000000"/>
          <w:sz w:val="24"/>
        </w:rPr>
        <w:t>他们关心的主要</w:t>
      </w:r>
      <w:r>
        <w:rPr>
          <w:rFonts w:hint="eastAsia" w:ascii="宋体" w:hAnsi="宋体"/>
          <w:color w:val="000000"/>
          <w:sz w:val="24"/>
        </w:rPr>
        <w:t>是噪声、固体废物及大气对环境所造成</w:t>
      </w:r>
      <w:r>
        <w:rPr>
          <w:rFonts w:ascii="宋体" w:hAnsi="宋体"/>
          <w:color w:val="000000"/>
          <w:sz w:val="24"/>
        </w:rPr>
        <w:t>的影响</w:t>
      </w:r>
      <w:r>
        <w:rPr>
          <w:rFonts w:hint="eastAsia" w:ascii="宋体" w:hAnsi="宋体"/>
          <w:color w:val="000000"/>
          <w:sz w:val="24"/>
        </w:rPr>
        <w:t>；所有单位均表示本项目的建设</w:t>
      </w:r>
      <w:r>
        <w:rPr>
          <w:rFonts w:hint="eastAsia" w:ascii="宋体" w:hAnsi="宋体"/>
          <w:color w:val="000000"/>
          <w:sz w:val="24"/>
          <w:lang w:eastAsia="zh-CN"/>
        </w:rPr>
        <w:t>对</w:t>
      </w:r>
      <w:r>
        <w:rPr>
          <w:rFonts w:hint="eastAsia" w:ascii="宋体" w:hAnsi="宋体"/>
          <w:color w:val="000000"/>
          <w:sz w:val="24"/>
        </w:rPr>
        <w:t>当地的医疗起到积极有利的作用，对本项目的建设也表示支持</w:t>
      </w:r>
      <w:r>
        <w:rPr>
          <w:rFonts w:hint="eastAsia" w:ascii="宋体" w:hAnsi="宋体" w:cs="宋体"/>
          <w:color w:val="000000"/>
          <w:sz w:val="24"/>
        </w:rPr>
        <w:t>。</w:t>
      </w:r>
    </w:p>
    <w:p w14:paraId="172348BC">
      <w:pPr>
        <w:pStyle w:val="183"/>
        <w:ind w:firstLine="472"/>
        <w:rPr>
          <w:rFonts w:hint="eastAsia" w:ascii="仿宋_GB2312" w:eastAsia="仿宋_GB2312"/>
          <w:color w:val="000000"/>
          <w:sz w:val="24"/>
          <w:szCs w:val="24"/>
        </w:rPr>
      </w:pPr>
      <w:r>
        <w:rPr>
          <w:rFonts w:hint="eastAsia" w:ascii="仿宋_GB2312" w:eastAsia="仿宋_GB2312"/>
          <w:color w:val="000000"/>
          <w:sz w:val="24"/>
          <w:szCs w:val="24"/>
        </w:rPr>
        <w:t>12.5.2 个人卷</w:t>
      </w:r>
      <w:r>
        <w:rPr>
          <w:rFonts w:ascii="仿宋_GB2312" w:eastAsia="仿宋_GB2312"/>
          <w:color w:val="000000"/>
          <w:sz w:val="24"/>
          <w:szCs w:val="24"/>
        </w:rPr>
        <w:t>调查结果</w:t>
      </w:r>
      <w:r>
        <w:rPr>
          <w:rFonts w:hint="eastAsia" w:ascii="仿宋_GB2312" w:eastAsia="仿宋_GB2312"/>
          <w:color w:val="000000"/>
          <w:sz w:val="24"/>
          <w:szCs w:val="24"/>
        </w:rPr>
        <w:t>与分析</w:t>
      </w:r>
    </w:p>
    <w:p w14:paraId="45C80BCA">
      <w:pPr>
        <w:spacing w:line="360" w:lineRule="auto"/>
        <w:ind w:firstLine="482"/>
        <w:rPr>
          <w:rFonts w:ascii="宋体" w:hAnsi="宋体"/>
          <w:b/>
          <w:color w:val="000000"/>
          <w:sz w:val="24"/>
        </w:rPr>
      </w:pPr>
      <w:r>
        <w:rPr>
          <w:rFonts w:hint="eastAsia" w:ascii="宋体" w:hAnsi="宋体"/>
          <w:b/>
          <w:color w:val="000000"/>
          <w:sz w:val="24"/>
        </w:rPr>
        <w:t>（1）</w:t>
      </w:r>
      <w:r>
        <w:rPr>
          <w:rFonts w:ascii="宋体" w:hAnsi="宋体"/>
          <w:b/>
          <w:color w:val="000000"/>
          <w:sz w:val="24"/>
        </w:rPr>
        <w:t>调查内容</w:t>
      </w:r>
    </w:p>
    <w:p w14:paraId="6859EBF9">
      <w:pPr>
        <w:pStyle w:val="204"/>
        <w:spacing w:after="0" w:line="360" w:lineRule="auto"/>
        <w:ind w:left="0" w:firstLine="480"/>
        <w:rPr>
          <w:rFonts w:hint="eastAsia" w:ascii="宋体" w:hAnsi="宋体"/>
          <w:color w:val="000000"/>
          <w:sz w:val="24"/>
        </w:rPr>
      </w:pPr>
      <w:r>
        <w:rPr>
          <w:rFonts w:hint="eastAsia" w:ascii="宋体" w:hAnsi="宋体"/>
          <w:color w:val="000000"/>
          <w:sz w:val="24"/>
        </w:rPr>
        <w:t>建设单位于2017年6月</w:t>
      </w:r>
      <w:r>
        <w:rPr>
          <w:rFonts w:ascii="宋体" w:hAnsi="宋体"/>
          <w:color w:val="000000"/>
          <w:sz w:val="24"/>
        </w:rPr>
        <w:t>对</w:t>
      </w:r>
      <w:r>
        <w:rPr>
          <w:rFonts w:hint="eastAsia" w:ascii="宋体" w:hAnsi="宋体"/>
          <w:color w:val="000000"/>
          <w:sz w:val="24"/>
        </w:rPr>
        <w:t>评价区域内</w:t>
      </w:r>
      <w:r>
        <w:rPr>
          <w:rFonts w:ascii="宋体" w:hAnsi="宋体"/>
          <w:color w:val="000000"/>
          <w:sz w:val="24"/>
        </w:rPr>
        <w:t>的</w:t>
      </w:r>
      <w:r>
        <w:rPr>
          <w:rFonts w:hint="eastAsia" w:ascii="宋体" w:hAnsi="宋体"/>
          <w:color w:val="000000"/>
          <w:sz w:val="24"/>
        </w:rPr>
        <w:t>43名</w:t>
      </w:r>
      <w:r>
        <w:rPr>
          <w:rFonts w:ascii="宋体" w:hAnsi="宋体"/>
          <w:color w:val="000000"/>
          <w:sz w:val="24"/>
        </w:rPr>
        <w:t>当地</w:t>
      </w:r>
      <w:r>
        <w:rPr>
          <w:rFonts w:hint="eastAsia" w:ascii="宋体" w:hAnsi="宋体"/>
          <w:color w:val="000000"/>
          <w:sz w:val="24"/>
        </w:rPr>
        <w:t>居民（何胜、张自海、李健辉、王光武、张顺财、郑云亮、杨先强等）</w:t>
      </w:r>
      <w:r>
        <w:rPr>
          <w:rFonts w:ascii="宋体" w:hAnsi="宋体"/>
          <w:color w:val="000000"/>
          <w:sz w:val="24"/>
        </w:rPr>
        <w:t>进行了抽样调查，</w:t>
      </w:r>
      <w:r>
        <w:rPr>
          <w:rFonts w:hint="eastAsia" w:ascii="宋体" w:hAnsi="宋体"/>
          <w:color w:val="000000"/>
          <w:sz w:val="24"/>
        </w:rPr>
        <w:t>发放调查问卷50份，收回43份，回收率为86%。具体问卷调查表见附件。部分基本情况见表12.5-2。</w:t>
      </w:r>
    </w:p>
    <w:p w14:paraId="60E8770D">
      <w:pPr>
        <w:pStyle w:val="204"/>
        <w:spacing w:after="0" w:line="360" w:lineRule="auto"/>
        <w:ind w:left="0"/>
        <w:jc w:val="center"/>
        <w:rPr>
          <w:rFonts w:hint="eastAsia" w:ascii="宋体" w:hAnsi="宋体"/>
          <w:color w:val="000000"/>
          <w:sz w:val="24"/>
        </w:rPr>
      </w:pPr>
      <w:r>
        <w:rPr>
          <w:rFonts w:hint="eastAsia" w:ascii="宋体" w:hAnsi="宋体" w:cs="Arial"/>
          <w:b/>
          <w:color w:val="000000"/>
          <w:sz w:val="24"/>
        </w:rPr>
        <w:t>表12.5-2  公众参与答卷部分个人基本情况表</w:t>
      </w:r>
    </w:p>
    <w:tbl>
      <w:tblPr>
        <w:tblStyle w:val="27"/>
        <w:tblW w:w="0" w:type="auto"/>
        <w:tblInd w:w="-108"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64"/>
        <w:gridCol w:w="1229"/>
        <w:gridCol w:w="1289"/>
        <w:gridCol w:w="1060"/>
        <w:gridCol w:w="2272"/>
        <w:gridCol w:w="1359"/>
        <w:gridCol w:w="884"/>
      </w:tblGrid>
      <w:tr w14:paraId="35406C4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664" w:type="dxa"/>
            <w:noWrap w:val="0"/>
            <w:vAlign w:val="top"/>
          </w:tcPr>
          <w:p w14:paraId="04621CB3">
            <w:pPr>
              <w:pStyle w:val="204"/>
              <w:spacing w:after="0" w:line="360" w:lineRule="auto"/>
              <w:ind w:left="0"/>
              <w:jc w:val="center"/>
              <w:rPr>
                <w:rFonts w:hint="eastAsia" w:ascii="宋体" w:hAnsi="宋体"/>
                <w:color w:val="000000"/>
                <w:szCs w:val="21"/>
              </w:rPr>
            </w:pPr>
            <w:r>
              <w:rPr>
                <w:rFonts w:hint="eastAsia" w:ascii="宋体" w:hAnsi="宋体"/>
                <w:color w:val="000000"/>
                <w:szCs w:val="21"/>
              </w:rPr>
              <w:t>序号</w:t>
            </w:r>
          </w:p>
        </w:tc>
        <w:tc>
          <w:tcPr>
            <w:tcW w:w="1229" w:type="dxa"/>
            <w:noWrap w:val="0"/>
            <w:vAlign w:val="top"/>
          </w:tcPr>
          <w:p w14:paraId="07F23F07">
            <w:pPr>
              <w:pStyle w:val="204"/>
              <w:spacing w:after="0" w:line="360" w:lineRule="auto"/>
              <w:ind w:left="0"/>
              <w:jc w:val="center"/>
              <w:rPr>
                <w:rFonts w:hint="eastAsia" w:ascii="宋体" w:hAnsi="宋体"/>
                <w:color w:val="000000"/>
                <w:szCs w:val="21"/>
              </w:rPr>
            </w:pPr>
            <w:r>
              <w:rPr>
                <w:rFonts w:hint="eastAsia" w:ascii="宋体" w:hAnsi="宋体"/>
                <w:color w:val="000000"/>
                <w:szCs w:val="21"/>
              </w:rPr>
              <w:t>姓名</w:t>
            </w:r>
          </w:p>
        </w:tc>
        <w:tc>
          <w:tcPr>
            <w:tcW w:w="1289" w:type="dxa"/>
            <w:noWrap w:val="0"/>
            <w:vAlign w:val="top"/>
          </w:tcPr>
          <w:p w14:paraId="719A441C">
            <w:pPr>
              <w:pStyle w:val="204"/>
              <w:spacing w:after="0" w:line="360" w:lineRule="auto"/>
              <w:ind w:left="0"/>
              <w:jc w:val="center"/>
              <w:rPr>
                <w:rFonts w:hint="eastAsia" w:ascii="宋体" w:hAnsi="宋体"/>
                <w:color w:val="000000"/>
                <w:szCs w:val="21"/>
              </w:rPr>
            </w:pPr>
            <w:r>
              <w:rPr>
                <w:rFonts w:hint="eastAsia" w:ascii="宋体" w:hAnsi="宋体"/>
                <w:color w:val="000000"/>
                <w:szCs w:val="21"/>
              </w:rPr>
              <w:t>年龄</w:t>
            </w:r>
          </w:p>
        </w:tc>
        <w:tc>
          <w:tcPr>
            <w:tcW w:w="1060" w:type="dxa"/>
            <w:noWrap w:val="0"/>
            <w:vAlign w:val="top"/>
          </w:tcPr>
          <w:p w14:paraId="0A5565E1">
            <w:pPr>
              <w:pStyle w:val="204"/>
              <w:spacing w:after="0" w:line="360" w:lineRule="auto"/>
              <w:ind w:left="0"/>
              <w:jc w:val="center"/>
              <w:rPr>
                <w:rFonts w:hint="eastAsia" w:ascii="宋体" w:hAnsi="宋体"/>
                <w:color w:val="000000"/>
                <w:szCs w:val="21"/>
              </w:rPr>
            </w:pPr>
            <w:r>
              <w:rPr>
                <w:rFonts w:hint="eastAsia" w:ascii="宋体" w:hAnsi="宋体"/>
                <w:color w:val="000000"/>
                <w:szCs w:val="21"/>
              </w:rPr>
              <w:t>性别</w:t>
            </w:r>
          </w:p>
        </w:tc>
        <w:tc>
          <w:tcPr>
            <w:tcW w:w="2272" w:type="dxa"/>
            <w:noWrap w:val="0"/>
            <w:vAlign w:val="top"/>
          </w:tcPr>
          <w:p w14:paraId="6F7E3155">
            <w:pPr>
              <w:pStyle w:val="204"/>
              <w:spacing w:after="0" w:line="360" w:lineRule="auto"/>
              <w:ind w:left="0"/>
              <w:jc w:val="center"/>
              <w:rPr>
                <w:rFonts w:hint="eastAsia" w:ascii="宋体" w:hAnsi="宋体"/>
                <w:color w:val="000000"/>
                <w:szCs w:val="21"/>
              </w:rPr>
            </w:pPr>
            <w:r>
              <w:rPr>
                <w:rFonts w:hint="eastAsia" w:ascii="宋体" w:hAnsi="宋体"/>
                <w:color w:val="000000"/>
                <w:szCs w:val="21"/>
              </w:rPr>
              <w:t>家庭住址或单位地址</w:t>
            </w:r>
          </w:p>
        </w:tc>
        <w:tc>
          <w:tcPr>
            <w:tcW w:w="1359" w:type="dxa"/>
            <w:noWrap w:val="0"/>
            <w:vAlign w:val="top"/>
          </w:tcPr>
          <w:p w14:paraId="1B986090">
            <w:pPr>
              <w:pStyle w:val="204"/>
              <w:spacing w:after="0" w:line="360" w:lineRule="auto"/>
              <w:ind w:left="0"/>
              <w:jc w:val="center"/>
              <w:rPr>
                <w:rFonts w:hint="eastAsia" w:ascii="宋体" w:hAnsi="宋体"/>
                <w:color w:val="000000"/>
                <w:szCs w:val="21"/>
              </w:rPr>
            </w:pPr>
            <w:r>
              <w:rPr>
                <w:rFonts w:hint="eastAsia" w:ascii="宋体" w:hAnsi="宋体"/>
                <w:color w:val="000000"/>
                <w:szCs w:val="21"/>
              </w:rPr>
              <w:t>距离本项目</w:t>
            </w:r>
          </w:p>
        </w:tc>
        <w:tc>
          <w:tcPr>
            <w:tcW w:w="884" w:type="dxa"/>
            <w:noWrap w:val="0"/>
            <w:vAlign w:val="top"/>
          </w:tcPr>
          <w:p w14:paraId="261C90C1">
            <w:pPr>
              <w:pStyle w:val="204"/>
              <w:spacing w:after="0" w:line="360" w:lineRule="auto"/>
              <w:ind w:left="0"/>
              <w:jc w:val="center"/>
              <w:rPr>
                <w:rFonts w:hint="eastAsia" w:ascii="宋体" w:hAnsi="宋体"/>
                <w:color w:val="000000"/>
                <w:szCs w:val="21"/>
              </w:rPr>
            </w:pPr>
            <w:r>
              <w:rPr>
                <w:rFonts w:hint="eastAsia" w:ascii="宋体" w:hAnsi="宋体"/>
                <w:color w:val="000000"/>
                <w:szCs w:val="21"/>
              </w:rPr>
              <w:t>态度</w:t>
            </w:r>
          </w:p>
        </w:tc>
      </w:tr>
      <w:tr w14:paraId="4790EB1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664" w:type="dxa"/>
            <w:noWrap w:val="0"/>
            <w:vAlign w:val="top"/>
          </w:tcPr>
          <w:p w14:paraId="7F8AC219">
            <w:pPr>
              <w:pStyle w:val="204"/>
              <w:spacing w:after="0" w:line="360" w:lineRule="auto"/>
              <w:ind w:left="0"/>
              <w:jc w:val="center"/>
              <w:rPr>
                <w:rFonts w:hint="eastAsia" w:ascii="宋体" w:hAnsi="宋体"/>
                <w:color w:val="000000"/>
                <w:szCs w:val="21"/>
              </w:rPr>
            </w:pPr>
            <w:r>
              <w:rPr>
                <w:rFonts w:hint="eastAsia" w:ascii="宋体" w:hAnsi="宋体"/>
                <w:color w:val="000000"/>
                <w:szCs w:val="21"/>
              </w:rPr>
              <w:t>1</w:t>
            </w:r>
          </w:p>
        </w:tc>
        <w:tc>
          <w:tcPr>
            <w:tcW w:w="1229" w:type="dxa"/>
            <w:noWrap w:val="0"/>
            <w:vAlign w:val="top"/>
          </w:tcPr>
          <w:p w14:paraId="5E8771E2">
            <w:pPr>
              <w:pStyle w:val="204"/>
              <w:spacing w:after="0" w:line="360" w:lineRule="auto"/>
              <w:ind w:left="0"/>
              <w:jc w:val="center"/>
              <w:rPr>
                <w:rFonts w:hint="eastAsia" w:ascii="宋体" w:hAnsi="宋体"/>
                <w:color w:val="000000"/>
                <w:szCs w:val="21"/>
              </w:rPr>
            </w:pPr>
            <w:r>
              <w:rPr>
                <w:rFonts w:hint="eastAsia" w:ascii="宋体" w:hAnsi="宋体"/>
                <w:color w:val="000000"/>
                <w:szCs w:val="21"/>
              </w:rPr>
              <w:t>杨先强</w:t>
            </w:r>
          </w:p>
        </w:tc>
        <w:tc>
          <w:tcPr>
            <w:tcW w:w="1289" w:type="dxa"/>
            <w:noWrap w:val="0"/>
            <w:vAlign w:val="top"/>
          </w:tcPr>
          <w:p w14:paraId="144A214D">
            <w:pPr>
              <w:pStyle w:val="204"/>
              <w:spacing w:after="0" w:line="360" w:lineRule="auto"/>
              <w:ind w:left="0"/>
              <w:jc w:val="center"/>
              <w:rPr>
                <w:rFonts w:hint="eastAsia" w:ascii="宋体" w:hAnsi="宋体"/>
                <w:color w:val="000000"/>
                <w:szCs w:val="21"/>
              </w:rPr>
            </w:pPr>
            <w:r>
              <w:rPr>
                <w:rFonts w:hint="eastAsia" w:ascii="宋体" w:hAnsi="宋体"/>
                <w:color w:val="000000"/>
                <w:szCs w:val="21"/>
              </w:rPr>
              <w:t>60岁以上</w:t>
            </w:r>
          </w:p>
        </w:tc>
        <w:tc>
          <w:tcPr>
            <w:tcW w:w="1060" w:type="dxa"/>
            <w:noWrap w:val="0"/>
            <w:vAlign w:val="top"/>
          </w:tcPr>
          <w:p w14:paraId="4B41CE82">
            <w:pPr>
              <w:pStyle w:val="204"/>
              <w:spacing w:after="0" w:line="360" w:lineRule="auto"/>
              <w:ind w:left="0"/>
              <w:jc w:val="center"/>
              <w:rPr>
                <w:rFonts w:hint="eastAsia" w:ascii="宋体" w:hAnsi="宋体"/>
                <w:color w:val="000000"/>
                <w:szCs w:val="21"/>
              </w:rPr>
            </w:pPr>
            <w:r>
              <w:rPr>
                <w:rFonts w:hint="eastAsia" w:ascii="宋体" w:hAnsi="宋体"/>
                <w:color w:val="000000"/>
                <w:szCs w:val="21"/>
              </w:rPr>
              <w:t>男</w:t>
            </w:r>
          </w:p>
        </w:tc>
        <w:tc>
          <w:tcPr>
            <w:tcW w:w="2272" w:type="dxa"/>
            <w:noWrap w:val="0"/>
            <w:vAlign w:val="top"/>
          </w:tcPr>
          <w:p w14:paraId="0FC26B04">
            <w:pPr>
              <w:pStyle w:val="204"/>
              <w:spacing w:after="0" w:line="360" w:lineRule="auto"/>
              <w:ind w:left="0"/>
              <w:jc w:val="center"/>
              <w:rPr>
                <w:rFonts w:hint="eastAsia" w:ascii="宋体" w:hAnsi="宋体"/>
                <w:color w:val="000000"/>
                <w:szCs w:val="21"/>
              </w:rPr>
            </w:pPr>
            <w:r>
              <w:rPr>
                <w:rFonts w:hint="eastAsia" w:ascii="宋体" w:hAnsi="宋体"/>
                <w:color w:val="000000"/>
                <w:szCs w:val="21"/>
              </w:rPr>
              <w:t>团结大街225-89</w:t>
            </w:r>
          </w:p>
        </w:tc>
        <w:tc>
          <w:tcPr>
            <w:tcW w:w="1359" w:type="dxa"/>
            <w:noWrap w:val="0"/>
            <w:vAlign w:val="top"/>
          </w:tcPr>
          <w:p w14:paraId="5C0A64F9">
            <w:pPr>
              <w:pStyle w:val="204"/>
              <w:spacing w:after="0" w:line="360" w:lineRule="auto"/>
              <w:ind w:left="0"/>
              <w:jc w:val="center"/>
              <w:rPr>
                <w:rFonts w:hint="eastAsia" w:ascii="宋体" w:hAnsi="宋体"/>
                <w:color w:val="000000"/>
                <w:szCs w:val="21"/>
              </w:rPr>
            </w:pPr>
            <w:r>
              <w:rPr>
                <w:rFonts w:hint="eastAsia" w:ascii="宋体" w:hAnsi="宋体"/>
                <w:color w:val="000000"/>
                <w:szCs w:val="21"/>
              </w:rPr>
              <w:t>400m</w:t>
            </w:r>
          </w:p>
        </w:tc>
        <w:tc>
          <w:tcPr>
            <w:tcW w:w="884" w:type="dxa"/>
            <w:noWrap w:val="0"/>
            <w:vAlign w:val="top"/>
          </w:tcPr>
          <w:p w14:paraId="7DC6D590">
            <w:pPr>
              <w:pStyle w:val="204"/>
              <w:spacing w:after="0" w:line="360" w:lineRule="auto"/>
              <w:ind w:left="0"/>
              <w:jc w:val="center"/>
              <w:rPr>
                <w:rFonts w:hint="eastAsia" w:ascii="宋体" w:hAnsi="宋体"/>
                <w:color w:val="000000"/>
                <w:szCs w:val="21"/>
              </w:rPr>
            </w:pPr>
            <w:r>
              <w:rPr>
                <w:rFonts w:hint="eastAsia" w:ascii="宋体" w:hAnsi="宋体"/>
                <w:color w:val="000000"/>
                <w:szCs w:val="21"/>
              </w:rPr>
              <w:t>赞成</w:t>
            </w:r>
          </w:p>
        </w:tc>
      </w:tr>
      <w:tr w14:paraId="510C1A0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664" w:type="dxa"/>
            <w:noWrap w:val="0"/>
            <w:vAlign w:val="top"/>
          </w:tcPr>
          <w:p w14:paraId="35551497">
            <w:pPr>
              <w:pStyle w:val="204"/>
              <w:spacing w:after="0" w:line="360" w:lineRule="auto"/>
              <w:ind w:left="0"/>
              <w:jc w:val="center"/>
              <w:rPr>
                <w:rFonts w:hint="eastAsia" w:ascii="宋体" w:hAnsi="宋体"/>
                <w:color w:val="000000"/>
                <w:szCs w:val="21"/>
              </w:rPr>
            </w:pPr>
            <w:r>
              <w:rPr>
                <w:rFonts w:hint="eastAsia" w:ascii="宋体" w:hAnsi="宋体"/>
                <w:color w:val="000000"/>
                <w:szCs w:val="21"/>
              </w:rPr>
              <w:t>2</w:t>
            </w:r>
          </w:p>
        </w:tc>
        <w:tc>
          <w:tcPr>
            <w:tcW w:w="1229" w:type="dxa"/>
            <w:noWrap w:val="0"/>
            <w:vAlign w:val="top"/>
          </w:tcPr>
          <w:p w14:paraId="3EDEC008">
            <w:pPr>
              <w:pStyle w:val="204"/>
              <w:spacing w:after="0" w:line="360" w:lineRule="auto"/>
              <w:ind w:left="0"/>
              <w:jc w:val="center"/>
              <w:rPr>
                <w:rFonts w:hint="eastAsia" w:ascii="宋体" w:hAnsi="宋体"/>
                <w:color w:val="000000"/>
                <w:szCs w:val="21"/>
              </w:rPr>
            </w:pPr>
            <w:r>
              <w:rPr>
                <w:rFonts w:hint="eastAsia" w:ascii="宋体" w:hAnsi="宋体"/>
                <w:color w:val="000000"/>
                <w:szCs w:val="21"/>
              </w:rPr>
              <w:t>何胜</w:t>
            </w:r>
          </w:p>
        </w:tc>
        <w:tc>
          <w:tcPr>
            <w:tcW w:w="1289" w:type="dxa"/>
            <w:noWrap w:val="0"/>
            <w:vAlign w:val="top"/>
          </w:tcPr>
          <w:p w14:paraId="20061B3E">
            <w:pPr>
              <w:pStyle w:val="204"/>
              <w:spacing w:after="0" w:line="360" w:lineRule="auto"/>
              <w:ind w:left="0"/>
              <w:jc w:val="center"/>
              <w:rPr>
                <w:rFonts w:hint="eastAsia" w:ascii="宋体" w:hAnsi="宋体"/>
                <w:color w:val="000000"/>
                <w:szCs w:val="21"/>
              </w:rPr>
            </w:pPr>
            <w:r>
              <w:rPr>
                <w:rFonts w:hint="eastAsia" w:ascii="宋体" w:hAnsi="宋体"/>
                <w:color w:val="000000"/>
                <w:szCs w:val="21"/>
              </w:rPr>
              <w:t>41-60岁</w:t>
            </w:r>
          </w:p>
        </w:tc>
        <w:tc>
          <w:tcPr>
            <w:tcW w:w="1060" w:type="dxa"/>
            <w:noWrap w:val="0"/>
            <w:vAlign w:val="top"/>
          </w:tcPr>
          <w:p w14:paraId="178894AD">
            <w:pPr>
              <w:pStyle w:val="204"/>
              <w:spacing w:after="0" w:line="360" w:lineRule="auto"/>
              <w:ind w:left="0"/>
              <w:jc w:val="center"/>
              <w:rPr>
                <w:rFonts w:hint="eastAsia" w:ascii="宋体" w:hAnsi="宋体"/>
                <w:color w:val="000000"/>
                <w:szCs w:val="21"/>
              </w:rPr>
            </w:pPr>
            <w:r>
              <w:rPr>
                <w:rFonts w:hint="eastAsia" w:ascii="宋体" w:hAnsi="宋体"/>
                <w:color w:val="000000"/>
                <w:szCs w:val="21"/>
              </w:rPr>
              <w:t>男</w:t>
            </w:r>
          </w:p>
        </w:tc>
        <w:tc>
          <w:tcPr>
            <w:tcW w:w="2272" w:type="dxa"/>
            <w:noWrap w:val="0"/>
            <w:vAlign w:val="top"/>
          </w:tcPr>
          <w:p w14:paraId="4FECCCAA">
            <w:pPr>
              <w:pStyle w:val="204"/>
              <w:spacing w:after="0" w:line="360" w:lineRule="auto"/>
              <w:ind w:left="0"/>
              <w:jc w:val="center"/>
              <w:rPr>
                <w:rFonts w:hint="eastAsia" w:ascii="宋体" w:hAnsi="宋体"/>
                <w:color w:val="000000"/>
                <w:szCs w:val="21"/>
              </w:rPr>
            </w:pPr>
            <w:r>
              <w:rPr>
                <w:rFonts w:hint="eastAsia" w:ascii="宋体" w:hAnsi="宋体"/>
                <w:color w:val="000000"/>
                <w:szCs w:val="21"/>
              </w:rPr>
              <w:t>团结大街225-86</w:t>
            </w:r>
          </w:p>
        </w:tc>
        <w:tc>
          <w:tcPr>
            <w:tcW w:w="1359" w:type="dxa"/>
            <w:noWrap w:val="0"/>
            <w:vAlign w:val="top"/>
          </w:tcPr>
          <w:p w14:paraId="3CA13074">
            <w:pPr>
              <w:pStyle w:val="204"/>
              <w:spacing w:after="0" w:line="360" w:lineRule="auto"/>
              <w:ind w:left="0"/>
              <w:jc w:val="center"/>
              <w:rPr>
                <w:rFonts w:hint="eastAsia" w:ascii="宋体" w:hAnsi="宋体"/>
                <w:color w:val="000000"/>
                <w:szCs w:val="21"/>
              </w:rPr>
            </w:pPr>
            <w:r>
              <w:rPr>
                <w:rFonts w:hint="eastAsia" w:ascii="宋体" w:hAnsi="宋体"/>
                <w:color w:val="000000"/>
                <w:szCs w:val="21"/>
              </w:rPr>
              <w:t>400m</w:t>
            </w:r>
          </w:p>
        </w:tc>
        <w:tc>
          <w:tcPr>
            <w:tcW w:w="884" w:type="dxa"/>
            <w:noWrap w:val="0"/>
            <w:vAlign w:val="top"/>
          </w:tcPr>
          <w:p w14:paraId="1577E934">
            <w:pPr>
              <w:pStyle w:val="204"/>
              <w:spacing w:after="0" w:line="360" w:lineRule="auto"/>
              <w:ind w:left="0"/>
              <w:jc w:val="center"/>
              <w:rPr>
                <w:rFonts w:hint="eastAsia" w:ascii="宋体" w:hAnsi="宋体"/>
                <w:color w:val="000000"/>
                <w:szCs w:val="21"/>
              </w:rPr>
            </w:pPr>
            <w:r>
              <w:rPr>
                <w:rFonts w:hint="eastAsia" w:ascii="宋体" w:hAnsi="宋体"/>
                <w:color w:val="000000"/>
                <w:szCs w:val="21"/>
              </w:rPr>
              <w:t>赞成</w:t>
            </w:r>
          </w:p>
        </w:tc>
      </w:tr>
      <w:tr w14:paraId="35A9E86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664" w:type="dxa"/>
            <w:noWrap w:val="0"/>
            <w:vAlign w:val="top"/>
          </w:tcPr>
          <w:p w14:paraId="3E4ABE0B">
            <w:pPr>
              <w:pStyle w:val="204"/>
              <w:spacing w:after="0" w:line="360" w:lineRule="auto"/>
              <w:ind w:left="0"/>
              <w:jc w:val="center"/>
              <w:rPr>
                <w:rFonts w:hint="eastAsia" w:ascii="宋体" w:hAnsi="宋体"/>
                <w:color w:val="000000"/>
                <w:szCs w:val="21"/>
              </w:rPr>
            </w:pPr>
            <w:r>
              <w:rPr>
                <w:rFonts w:hint="eastAsia" w:ascii="宋体" w:hAnsi="宋体"/>
                <w:color w:val="000000"/>
                <w:szCs w:val="21"/>
              </w:rPr>
              <w:t>3</w:t>
            </w:r>
          </w:p>
        </w:tc>
        <w:tc>
          <w:tcPr>
            <w:tcW w:w="1229" w:type="dxa"/>
            <w:noWrap w:val="0"/>
            <w:vAlign w:val="top"/>
          </w:tcPr>
          <w:p w14:paraId="55B454E7">
            <w:pPr>
              <w:pStyle w:val="204"/>
              <w:spacing w:after="0" w:line="360" w:lineRule="auto"/>
              <w:ind w:left="0"/>
              <w:jc w:val="center"/>
              <w:rPr>
                <w:rFonts w:hint="eastAsia" w:ascii="宋体" w:hAnsi="宋体"/>
                <w:color w:val="000000"/>
                <w:szCs w:val="21"/>
              </w:rPr>
            </w:pPr>
            <w:r>
              <w:rPr>
                <w:rFonts w:hint="eastAsia" w:ascii="宋体" w:hAnsi="宋体"/>
                <w:color w:val="000000"/>
                <w:szCs w:val="21"/>
              </w:rPr>
              <w:t>李健辉</w:t>
            </w:r>
          </w:p>
        </w:tc>
        <w:tc>
          <w:tcPr>
            <w:tcW w:w="1289" w:type="dxa"/>
            <w:noWrap w:val="0"/>
            <w:vAlign w:val="top"/>
          </w:tcPr>
          <w:p w14:paraId="0B90FC24">
            <w:pPr>
              <w:pStyle w:val="204"/>
              <w:spacing w:after="0" w:line="360" w:lineRule="auto"/>
              <w:ind w:left="0"/>
              <w:jc w:val="center"/>
              <w:rPr>
                <w:rFonts w:hint="eastAsia" w:ascii="宋体" w:hAnsi="宋体"/>
                <w:color w:val="000000"/>
                <w:szCs w:val="21"/>
              </w:rPr>
            </w:pPr>
            <w:r>
              <w:rPr>
                <w:rFonts w:hint="eastAsia" w:ascii="宋体" w:hAnsi="宋体"/>
                <w:color w:val="000000"/>
                <w:szCs w:val="21"/>
              </w:rPr>
              <w:t>41-60岁</w:t>
            </w:r>
          </w:p>
        </w:tc>
        <w:tc>
          <w:tcPr>
            <w:tcW w:w="1060" w:type="dxa"/>
            <w:noWrap w:val="0"/>
            <w:vAlign w:val="top"/>
          </w:tcPr>
          <w:p w14:paraId="73174813">
            <w:pPr>
              <w:pStyle w:val="204"/>
              <w:spacing w:after="0" w:line="360" w:lineRule="auto"/>
              <w:ind w:left="0"/>
              <w:jc w:val="center"/>
              <w:rPr>
                <w:rFonts w:hint="eastAsia" w:ascii="宋体" w:hAnsi="宋体"/>
                <w:color w:val="000000"/>
                <w:szCs w:val="21"/>
              </w:rPr>
            </w:pPr>
            <w:r>
              <w:rPr>
                <w:rFonts w:hint="eastAsia" w:ascii="宋体" w:hAnsi="宋体"/>
                <w:color w:val="000000"/>
                <w:szCs w:val="21"/>
              </w:rPr>
              <w:t>女</w:t>
            </w:r>
          </w:p>
        </w:tc>
        <w:tc>
          <w:tcPr>
            <w:tcW w:w="2272" w:type="dxa"/>
            <w:noWrap w:val="0"/>
            <w:vAlign w:val="top"/>
          </w:tcPr>
          <w:p w14:paraId="07F0982E">
            <w:pPr>
              <w:pStyle w:val="204"/>
              <w:spacing w:after="0" w:line="360" w:lineRule="auto"/>
              <w:ind w:left="0"/>
              <w:jc w:val="center"/>
              <w:rPr>
                <w:rFonts w:hint="eastAsia" w:ascii="宋体" w:hAnsi="宋体"/>
                <w:color w:val="000000"/>
                <w:szCs w:val="21"/>
              </w:rPr>
            </w:pPr>
            <w:r>
              <w:rPr>
                <w:rFonts w:hint="eastAsia" w:ascii="宋体" w:hAnsi="宋体"/>
                <w:color w:val="000000"/>
                <w:szCs w:val="21"/>
              </w:rPr>
              <w:t>团结大街221-145</w:t>
            </w:r>
          </w:p>
        </w:tc>
        <w:tc>
          <w:tcPr>
            <w:tcW w:w="1359" w:type="dxa"/>
            <w:noWrap w:val="0"/>
            <w:vAlign w:val="top"/>
          </w:tcPr>
          <w:p w14:paraId="53C70557">
            <w:pPr>
              <w:pStyle w:val="204"/>
              <w:spacing w:after="0" w:line="360" w:lineRule="auto"/>
              <w:ind w:left="0"/>
              <w:jc w:val="center"/>
              <w:rPr>
                <w:rFonts w:hint="eastAsia" w:ascii="宋体" w:hAnsi="宋体"/>
                <w:color w:val="000000"/>
                <w:szCs w:val="21"/>
              </w:rPr>
            </w:pPr>
            <w:r>
              <w:rPr>
                <w:rFonts w:hint="eastAsia" w:ascii="宋体" w:hAnsi="宋体"/>
                <w:color w:val="000000"/>
                <w:szCs w:val="21"/>
              </w:rPr>
              <w:t>300m</w:t>
            </w:r>
          </w:p>
        </w:tc>
        <w:tc>
          <w:tcPr>
            <w:tcW w:w="884" w:type="dxa"/>
            <w:noWrap w:val="0"/>
            <w:vAlign w:val="top"/>
          </w:tcPr>
          <w:p w14:paraId="1B606196">
            <w:pPr>
              <w:pStyle w:val="204"/>
              <w:spacing w:after="0" w:line="360" w:lineRule="auto"/>
              <w:ind w:left="0"/>
              <w:jc w:val="center"/>
              <w:rPr>
                <w:rFonts w:hint="eastAsia" w:ascii="宋体" w:hAnsi="宋体"/>
                <w:color w:val="000000"/>
                <w:szCs w:val="21"/>
              </w:rPr>
            </w:pPr>
            <w:r>
              <w:rPr>
                <w:rFonts w:hint="eastAsia" w:ascii="宋体" w:hAnsi="宋体"/>
                <w:color w:val="000000"/>
                <w:szCs w:val="21"/>
              </w:rPr>
              <w:t>赞成</w:t>
            </w:r>
          </w:p>
        </w:tc>
      </w:tr>
      <w:tr w14:paraId="34473D2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664" w:type="dxa"/>
            <w:noWrap w:val="0"/>
            <w:vAlign w:val="top"/>
          </w:tcPr>
          <w:p w14:paraId="56760F41">
            <w:pPr>
              <w:pStyle w:val="204"/>
              <w:spacing w:after="0" w:line="360" w:lineRule="auto"/>
              <w:ind w:left="0"/>
              <w:jc w:val="center"/>
              <w:rPr>
                <w:rFonts w:hint="eastAsia" w:ascii="宋体" w:hAnsi="宋体"/>
                <w:color w:val="000000"/>
                <w:szCs w:val="21"/>
              </w:rPr>
            </w:pPr>
            <w:r>
              <w:rPr>
                <w:rFonts w:hint="eastAsia" w:ascii="宋体" w:hAnsi="宋体"/>
                <w:color w:val="000000"/>
                <w:szCs w:val="21"/>
              </w:rPr>
              <w:t>4</w:t>
            </w:r>
          </w:p>
        </w:tc>
        <w:tc>
          <w:tcPr>
            <w:tcW w:w="1229" w:type="dxa"/>
            <w:noWrap w:val="0"/>
            <w:vAlign w:val="top"/>
          </w:tcPr>
          <w:p w14:paraId="11100ABD">
            <w:pPr>
              <w:pStyle w:val="204"/>
              <w:spacing w:after="0" w:line="360" w:lineRule="auto"/>
              <w:ind w:left="0"/>
              <w:jc w:val="center"/>
              <w:rPr>
                <w:rFonts w:hint="eastAsia" w:ascii="宋体" w:hAnsi="宋体"/>
                <w:color w:val="000000"/>
                <w:szCs w:val="21"/>
              </w:rPr>
            </w:pPr>
            <w:r>
              <w:rPr>
                <w:rFonts w:hint="eastAsia" w:ascii="宋体" w:hAnsi="宋体"/>
                <w:color w:val="000000"/>
                <w:szCs w:val="21"/>
              </w:rPr>
              <w:t>马红梅</w:t>
            </w:r>
          </w:p>
        </w:tc>
        <w:tc>
          <w:tcPr>
            <w:tcW w:w="1289" w:type="dxa"/>
            <w:noWrap w:val="0"/>
            <w:vAlign w:val="top"/>
          </w:tcPr>
          <w:p w14:paraId="055C7026">
            <w:pPr>
              <w:pStyle w:val="204"/>
              <w:spacing w:after="0" w:line="360" w:lineRule="auto"/>
              <w:ind w:left="0"/>
              <w:jc w:val="center"/>
              <w:rPr>
                <w:rFonts w:hint="eastAsia" w:ascii="宋体" w:hAnsi="宋体"/>
                <w:color w:val="000000"/>
                <w:szCs w:val="21"/>
              </w:rPr>
            </w:pPr>
            <w:r>
              <w:rPr>
                <w:rFonts w:hint="eastAsia" w:ascii="宋体" w:hAnsi="宋体"/>
                <w:color w:val="000000"/>
                <w:szCs w:val="21"/>
              </w:rPr>
              <w:t>41-60岁</w:t>
            </w:r>
          </w:p>
        </w:tc>
        <w:tc>
          <w:tcPr>
            <w:tcW w:w="1060" w:type="dxa"/>
            <w:noWrap w:val="0"/>
            <w:vAlign w:val="top"/>
          </w:tcPr>
          <w:p w14:paraId="447E611A">
            <w:pPr>
              <w:pStyle w:val="204"/>
              <w:spacing w:after="0" w:line="360" w:lineRule="auto"/>
              <w:ind w:left="0"/>
              <w:jc w:val="center"/>
              <w:rPr>
                <w:rFonts w:hint="eastAsia" w:ascii="宋体" w:hAnsi="宋体"/>
                <w:color w:val="000000"/>
                <w:szCs w:val="21"/>
              </w:rPr>
            </w:pPr>
            <w:r>
              <w:rPr>
                <w:rFonts w:hint="eastAsia" w:ascii="宋体" w:hAnsi="宋体"/>
                <w:color w:val="000000"/>
                <w:szCs w:val="21"/>
              </w:rPr>
              <w:t>女</w:t>
            </w:r>
          </w:p>
        </w:tc>
        <w:tc>
          <w:tcPr>
            <w:tcW w:w="2272" w:type="dxa"/>
            <w:noWrap w:val="0"/>
            <w:vAlign w:val="top"/>
          </w:tcPr>
          <w:p w14:paraId="5C9E081E">
            <w:pPr>
              <w:pStyle w:val="204"/>
              <w:spacing w:after="0" w:line="360" w:lineRule="auto"/>
              <w:ind w:left="0"/>
              <w:jc w:val="center"/>
              <w:rPr>
                <w:rFonts w:hint="eastAsia" w:ascii="宋体" w:hAnsi="宋体"/>
                <w:color w:val="000000"/>
                <w:szCs w:val="21"/>
              </w:rPr>
            </w:pPr>
            <w:r>
              <w:rPr>
                <w:rFonts w:hint="eastAsia" w:ascii="宋体" w:hAnsi="宋体"/>
                <w:color w:val="000000"/>
                <w:szCs w:val="21"/>
              </w:rPr>
              <w:t>团结大街225</w:t>
            </w:r>
          </w:p>
        </w:tc>
        <w:tc>
          <w:tcPr>
            <w:tcW w:w="1359" w:type="dxa"/>
            <w:noWrap w:val="0"/>
            <w:vAlign w:val="top"/>
          </w:tcPr>
          <w:p w14:paraId="0B31A553">
            <w:pPr>
              <w:pStyle w:val="204"/>
              <w:spacing w:after="0" w:line="360" w:lineRule="auto"/>
              <w:ind w:left="0"/>
              <w:jc w:val="center"/>
              <w:rPr>
                <w:rFonts w:hint="eastAsia" w:ascii="宋体" w:hAnsi="宋体"/>
                <w:color w:val="000000"/>
                <w:szCs w:val="21"/>
              </w:rPr>
            </w:pPr>
            <w:r>
              <w:rPr>
                <w:rFonts w:hint="eastAsia" w:ascii="宋体" w:hAnsi="宋体"/>
                <w:color w:val="000000"/>
                <w:szCs w:val="21"/>
              </w:rPr>
              <w:t>200m</w:t>
            </w:r>
          </w:p>
        </w:tc>
        <w:tc>
          <w:tcPr>
            <w:tcW w:w="884" w:type="dxa"/>
            <w:noWrap w:val="0"/>
            <w:vAlign w:val="top"/>
          </w:tcPr>
          <w:p w14:paraId="765906DE">
            <w:pPr>
              <w:pStyle w:val="204"/>
              <w:spacing w:after="0" w:line="360" w:lineRule="auto"/>
              <w:ind w:left="0"/>
              <w:jc w:val="center"/>
              <w:rPr>
                <w:rFonts w:hint="eastAsia" w:ascii="宋体" w:hAnsi="宋体"/>
                <w:color w:val="000000"/>
                <w:szCs w:val="21"/>
              </w:rPr>
            </w:pPr>
            <w:r>
              <w:rPr>
                <w:rFonts w:hint="eastAsia" w:ascii="宋体" w:hAnsi="宋体"/>
                <w:color w:val="000000"/>
                <w:szCs w:val="21"/>
              </w:rPr>
              <w:t>赞成</w:t>
            </w:r>
          </w:p>
        </w:tc>
      </w:tr>
      <w:tr w14:paraId="4E6079D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664" w:type="dxa"/>
            <w:noWrap w:val="0"/>
            <w:vAlign w:val="top"/>
          </w:tcPr>
          <w:p w14:paraId="3F5E5EB0">
            <w:pPr>
              <w:pStyle w:val="204"/>
              <w:spacing w:after="0" w:line="360" w:lineRule="auto"/>
              <w:ind w:left="0"/>
              <w:jc w:val="center"/>
              <w:rPr>
                <w:rFonts w:hint="eastAsia" w:ascii="宋体" w:hAnsi="宋体"/>
                <w:color w:val="000000"/>
                <w:szCs w:val="21"/>
              </w:rPr>
            </w:pPr>
            <w:r>
              <w:rPr>
                <w:rFonts w:hint="eastAsia" w:ascii="宋体" w:hAnsi="宋体"/>
                <w:color w:val="000000"/>
                <w:szCs w:val="21"/>
              </w:rPr>
              <w:t>5</w:t>
            </w:r>
          </w:p>
        </w:tc>
        <w:tc>
          <w:tcPr>
            <w:tcW w:w="1229" w:type="dxa"/>
            <w:noWrap w:val="0"/>
            <w:vAlign w:val="top"/>
          </w:tcPr>
          <w:p w14:paraId="54582CC2">
            <w:pPr>
              <w:pStyle w:val="204"/>
              <w:spacing w:after="0" w:line="360" w:lineRule="auto"/>
              <w:ind w:left="0"/>
              <w:jc w:val="center"/>
              <w:rPr>
                <w:rFonts w:hint="eastAsia" w:ascii="宋体" w:hAnsi="宋体"/>
                <w:color w:val="000000"/>
                <w:szCs w:val="21"/>
              </w:rPr>
            </w:pPr>
            <w:r>
              <w:rPr>
                <w:rFonts w:hint="eastAsia" w:ascii="宋体" w:hAnsi="宋体"/>
                <w:color w:val="000000"/>
                <w:szCs w:val="21"/>
              </w:rPr>
              <w:t>唐逢春</w:t>
            </w:r>
          </w:p>
        </w:tc>
        <w:tc>
          <w:tcPr>
            <w:tcW w:w="1289" w:type="dxa"/>
            <w:noWrap w:val="0"/>
            <w:vAlign w:val="top"/>
          </w:tcPr>
          <w:p w14:paraId="7B4C8CC8">
            <w:pPr>
              <w:pStyle w:val="204"/>
              <w:spacing w:after="0" w:line="360" w:lineRule="auto"/>
              <w:ind w:left="0"/>
              <w:jc w:val="center"/>
              <w:rPr>
                <w:rFonts w:hint="eastAsia" w:ascii="宋体" w:hAnsi="宋体"/>
                <w:color w:val="000000"/>
                <w:szCs w:val="21"/>
              </w:rPr>
            </w:pPr>
            <w:r>
              <w:rPr>
                <w:rFonts w:hint="eastAsia" w:ascii="宋体" w:hAnsi="宋体"/>
                <w:color w:val="000000"/>
                <w:szCs w:val="21"/>
              </w:rPr>
              <w:t>41-60岁</w:t>
            </w:r>
          </w:p>
        </w:tc>
        <w:tc>
          <w:tcPr>
            <w:tcW w:w="1060" w:type="dxa"/>
            <w:noWrap w:val="0"/>
            <w:vAlign w:val="top"/>
          </w:tcPr>
          <w:p w14:paraId="5009DE8A">
            <w:pPr>
              <w:pStyle w:val="204"/>
              <w:spacing w:after="0" w:line="360" w:lineRule="auto"/>
              <w:ind w:left="0"/>
              <w:jc w:val="center"/>
              <w:rPr>
                <w:rFonts w:hint="eastAsia" w:ascii="宋体" w:hAnsi="宋体"/>
                <w:color w:val="000000"/>
                <w:szCs w:val="21"/>
              </w:rPr>
            </w:pPr>
            <w:r>
              <w:rPr>
                <w:rFonts w:hint="eastAsia" w:ascii="宋体" w:hAnsi="宋体"/>
                <w:color w:val="000000"/>
                <w:szCs w:val="21"/>
              </w:rPr>
              <w:t>南</w:t>
            </w:r>
          </w:p>
        </w:tc>
        <w:tc>
          <w:tcPr>
            <w:tcW w:w="2272" w:type="dxa"/>
            <w:noWrap w:val="0"/>
            <w:vAlign w:val="top"/>
          </w:tcPr>
          <w:p w14:paraId="7B361A10">
            <w:pPr>
              <w:pStyle w:val="204"/>
              <w:spacing w:after="0" w:line="360" w:lineRule="auto"/>
              <w:ind w:left="0"/>
              <w:jc w:val="center"/>
              <w:rPr>
                <w:rFonts w:hint="eastAsia" w:ascii="宋体" w:hAnsi="宋体"/>
                <w:color w:val="000000"/>
                <w:szCs w:val="21"/>
              </w:rPr>
            </w:pPr>
            <w:r>
              <w:rPr>
                <w:rFonts w:hint="eastAsia" w:ascii="宋体" w:hAnsi="宋体"/>
                <w:color w:val="000000"/>
                <w:szCs w:val="21"/>
              </w:rPr>
              <w:t>团结大街22-32</w:t>
            </w:r>
          </w:p>
        </w:tc>
        <w:tc>
          <w:tcPr>
            <w:tcW w:w="1359" w:type="dxa"/>
            <w:noWrap w:val="0"/>
            <w:vAlign w:val="top"/>
          </w:tcPr>
          <w:p w14:paraId="461E99FB">
            <w:pPr>
              <w:pStyle w:val="204"/>
              <w:spacing w:after="0" w:line="360" w:lineRule="auto"/>
              <w:ind w:left="0"/>
              <w:jc w:val="center"/>
              <w:rPr>
                <w:rFonts w:hint="eastAsia" w:ascii="宋体" w:hAnsi="宋体"/>
                <w:color w:val="000000"/>
                <w:szCs w:val="21"/>
              </w:rPr>
            </w:pPr>
            <w:r>
              <w:rPr>
                <w:rFonts w:hint="eastAsia" w:ascii="宋体" w:hAnsi="宋体"/>
                <w:color w:val="000000"/>
                <w:szCs w:val="21"/>
              </w:rPr>
              <w:t>200m</w:t>
            </w:r>
          </w:p>
        </w:tc>
        <w:tc>
          <w:tcPr>
            <w:tcW w:w="884" w:type="dxa"/>
            <w:noWrap w:val="0"/>
            <w:vAlign w:val="top"/>
          </w:tcPr>
          <w:p w14:paraId="660B7365">
            <w:pPr>
              <w:pStyle w:val="204"/>
              <w:spacing w:after="0" w:line="360" w:lineRule="auto"/>
              <w:ind w:left="0"/>
              <w:jc w:val="center"/>
              <w:rPr>
                <w:rFonts w:hint="eastAsia" w:ascii="宋体" w:hAnsi="宋体"/>
                <w:color w:val="000000"/>
                <w:szCs w:val="21"/>
              </w:rPr>
            </w:pPr>
            <w:r>
              <w:rPr>
                <w:rFonts w:hint="eastAsia" w:ascii="宋体" w:hAnsi="宋体"/>
                <w:color w:val="000000"/>
                <w:szCs w:val="21"/>
              </w:rPr>
              <w:t>赞成</w:t>
            </w:r>
          </w:p>
        </w:tc>
      </w:tr>
      <w:tr w14:paraId="494CA14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664" w:type="dxa"/>
            <w:noWrap w:val="0"/>
            <w:vAlign w:val="top"/>
          </w:tcPr>
          <w:p w14:paraId="3A6253A9">
            <w:pPr>
              <w:pStyle w:val="204"/>
              <w:spacing w:after="0" w:line="360" w:lineRule="auto"/>
              <w:ind w:left="0"/>
              <w:jc w:val="center"/>
              <w:rPr>
                <w:rFonts w:hint="eastAsia" w:ascii="宋体" w:hAnsi="宋体"/>
                <w:color w:val="000000"/>
                <w:szCs w:val="21"/>
              </w:rPr>
            </w:pPr>
            <w:r>
              <w:rPr>
                <w:rFonts w:hint="eastAsia" w:ascii="宋体" w:hAnsi="宋体"/>
                <w:color w:val="000000"/>
                <w:szCs w:val="21"/>
              </w:rPr>
              <w:t>6</w:t>
            </w:r>
          </w:p>
        </w:tc>
        <w:tc>
          <w:tcPr>
            <w:tcW w:w="1229" w:type="dxa"/>
            <w:noWrap w:val="0"/>
            <w:vAlign w:val="top"/>
          </w:tcPr>
          <w:p w14:paraId="2CA65CFC">
            <w:pPr>
              <w:pStyle w:val="204"/>
              <w:spacing w:after="0" w:line="360" w:lineRule="auto"/>
              <w:ind w:left="0"/>
              <w:jc w:val="center"/>
              <w:rPr>
                <w:rFonts w:hint="eastAsia" w:ascii="宋体" w:hAnsi="宋体"/>
                <w:color w:val="000000"/>
                <w:szCs w:val="21"/>
              </w:rPr>
            </w:pPr>
            <w:r>
              <w:rPr>
                <w:rFonts w:hint="eastAsia" w:ascii="宋体" w:hAnsi="宋体"/>
                <w:color w:val="000000"/>
                <w:szCs w:val="21"/>
              </w:rPr>
              <w:t>杨会萍</w:t>
            </w:r>
          </w:p>
        </w:tc>
        <w:tc>
          <w:tcPr>
            <w:tcW w:w="1289" w:type="dxa"/>
            <w:noWrap w:val="0"/>
            <w:vAlign w:val="top"/>
          </w:tcPr>
          <w:p w14:paraId="1188E015">
            <w:pPr>
              <w:pStyle w:val="204"/>
              <w:spacing w:after="0" w:line="360" w:lineRule="auto"/>
              <w:ind w:left="0"/>
              <w:jc w:val="center"/>
              <w:rPr>
                <w:rFonts w:hint="eastAsia" w:ascii="宋体" w:hAnsi="宋体"/>
                <w:color w:val="000000"/>
                <w:szCs w:val="21"/>
              </w:rPr>
            </w:pPr>
            <w:r>
              <w:rPr>
                <w:rFonts w:hint="eastAsia" w:ascii="宋体" w:hAnsi="宋体"/>
                <w:color w:val="000000"/>
                <w:szCs w:val="21"/>
              </w:rPr>
              <w:t>41-60岁</w:t>
            </w:r>
          </w:p>
        </w:tc>
        <w:tc>
          <w:tcPr>
            <w:tcW w:w="1060" w:type="dxa"/>
            <w:noWrap w:val="0"/>
            <w:vAlign w:val="top"/>
          </w:tcPr>
          <w:p w14:paraId="37E69EBD">
            <w:pPr>
              <w:pStyle w:val="204"/>
              <w:spacing w:after="0" w:line="360" w:lineRule="auto"/>
              <w:ind w:left="0"/>
              <w:jc w:val="center"/>
              <w:rPr>
                <w:rFonts w:hint="eastAsia" w:ascii="宋体" w:hAnsi="宋体"/>
                <w:color w:val="000000"/>
                <w:szCs w:val="21"/>
              </w:rPr>
            </w:pPr>
            <w:r>
              <w:rPr>
                <w:rFonts w:hint="eastAsia" w:ascii="宋体" w:hAnsi="宋体"/>
                <w:color w:val="000000"/>
                <w:szCs w:val="21"/>
              </w:rPr>
              <w:t>女</w:t>
            </w:r>
          </w:p>
        </w:tc>
        <w:tc>
          <w:tcPr>
            <w:tcW w:w="2272" w:type="dxa"/>
            <w:noWrap w:val="0"/>
            <w:vAlign w:val="top"/>
          </w:tcPr>
          <w:p w14:paraId="2F72218F">
            <w:pPr>
              <w:pStyle w:val="204"/>
              <w:spacing w:after="0" w:line="360" w:lineRule="auto"/>
              <w:ind w:left="0"/>
              <w:jc w:val="center"/>
              <w:rPr>
                <w:rFonts w:hint="eastAsia" w:ascii="宋体" w:hAnsi="宋体"/>
                <w:color w:val="000000"/>
                <w:szCs w:val="21"/>
              </w:rPr>
            </w:pPr>
            <w:r>
              <w:rPr>
                <w:rFonts w:hint="eastAsia" w:ascii="宋体" w:hAnsi="宋体"/>
                <w:color w:val="000000"/>
                <w:szCs w:val="21"/>
              </w:rPr>
              <w:t>团结大街221</w:t>
            </w:r>
          </w:p>
        </w:tc>
        <w:tc>
          <w:tcPr>
            <w:tcW w:w="1359" w:type="dxa"/>
            <w:noWrap w:val="0"/>
            <w:vAlign w:val="top"/>
          </w:tcPr>
          <w:p w14:paraId="22CFA8AA">
            <w:pPr>
              <w:pStyle w:val="204"/>
              <w:spacing w:after="0" w:line="360" w:lineRule="auto"/>
              <w:ind w:left="0"/>
              <w:jc w:val="center"/>
              <w:rPr>
                <w:rFonts w:hint="eastAsia" w:ascii="宋体" w:hAnsi="宋体"/>
                <w:color w:val="000000"/>
                <w:szCs w:val="21"/>
              </w:rPr>
            </w:pPr>
            <w:r>
              <w:rPr>
                <w:rFonts w:hint="eastAsia" w:ascii="宋体" w:hAnsi="宋体"/>
                <w:color w:val="000000"/>
                <w:szCs w:val="21"/>
              </w:rPr>
              <w:t>200m</w:t>
            </w:r>
          </w:p>
        </w:tc>
        <w:tc>
          <w:tcPr>
            <w:tcW w:w="884" w:type="dxa"/>
            <w:noWrap w:val="0"/>
            <w:vAlign w:val="top"/>
          </w:tcPr>
          <w:p w14:paraId="466A7797">
            <w:pPr>
              <w:pStyle w:val="204"/>
              <w:spacing w:after="0" w:line="360" w:lineRule="auto"/>
              <w:ind w:left="0"/>
              <w:jc w:val="center"/>
              <w:rPr>
                <w:rFonts w:hint="eastAsia" w:ascii="宋体" w:hAnsi="宋体"/>
                <w:color w:val="000000"/>
                <w:szCs w:val="21"/>
              </w:rPr>
            </w:pPr>
            <w:r>
              <w:rPr>
                <w:rFonts w:hint="eastAsia" w:ascii="宋体" w:hAnsi="宋体"/>
                <w:color w:val="000000"/>
                <w:szCs w:val="21"/>
              </w:rPr>
              <w:t>赞成</w:t>
            </w:r>
          </w:p>
        </w:tc>
      </w:tr>
      <w:tr w14:paraId="005A682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664" w:type="dxa"/>
            <w:noWrap w:val="0"/>
            <w:vAlign w:val="top"/>
          </w:tcPr>
          <w:p w14:paraId="6B1548AE">
            <w:pPr>
              <w:pStyle w:val="204"/>
              <w:spacing w:after="0" w:line="360" w:lineRule="auto"/>
              <w:ind w:left="0"/>
              <w:jc w:val="center"/>
              <w:rPr>
                <w:rFonts w:hint="eastAsia" w:ascii="宋体" w:hAnsi="宋体"/>
                <w:color w:val="000000"/>
                <w:szCs w:val="21"/>
              </w:rPr>
            </w:pPr>
            <w:r>
              <w:rPr>
                <w:rFonts w:hint="eastAsia" w:ascii="宋体" w:hAnsi="宋体"/>
                <w:color w:val="000000"/>
                <w:szCs w:val="21"/>
              </w:rPr>
              <w:t>7</w:t>
            </w:r>
          </w:p>
        </w:tc>
        <w:tc>
          <w:tcPr>
            <w:tcW w:w="1229" w:type="dxa"/>
            <w:noWrap w:val="0"/>
            <w:vAlign w:val="top"/>
          </w:tcPr>
          <w:p w14:paraId="0B6D0EF4">
            <w:pPr>
              <w:pStyle w:val="204"/>
              <w:spacing w:after="0" w:line="360" w:lineRule="auto"/>
              <w:ind w:left="0"/>
              <w:jc w:val="center"/>
              <w:rPr>
                <w:rFonts w:hint="eastAsia" w:ascii="宋体" w:hAnsi="宋体"/>
                <w:color w:val="000000"/>
                <w:szCs w:val="21"/>
              </w:rPr>
            </w:pPr>
            <w:r>
              <w:rPr>
                <w:rFonts w:hint="eastAsia" w:ascii="宋体" w:hAnsi="宋体"/>
                <w:color w:val="000000"/>
                <w:szCs w:val="21"/>
              </w:rPr>
              <w:t>陈家家</w:t>
            </w:r>
          </w:p>
        </w:tc>
        <w:tc>
          <w:tcPr>
            <w:tcW w:w="1289" w:type="dxa"/>
            <w:noWrap w:val="0"/>
            <w:vAlign w:val="top"/>
          </w:tcPr>
          <w:p w14:paraId="77BE18C2">
            <w:pPr>
              <w:pStyle w:val="204"/>
              <w:spacing w:after="0" w:line="360" w:lineRule="auto"/>
              <w:ind w:left="0"/>
              <w:jc w:val="center"/>
              <w:rPr>
                <w:rFonts w:hint="eastAsia" w:ascii="宋体" w:hAnsi="宋体"/>
                <w:color w:val="000000"/>
                <w:szCs w:val="21"/>
              </w:rPr>
            </w:pPr>
            <w:r>
              <w:rPr>
                <w:rFonts w:hint="eastAsia" w:ascii="宋体" w:hAnsi="宋体"/>
                <w:color w:val="000000"/>
                <w:szCs w:val="21"/>
              </w:rPr>
              <w:t>60岁以上</w:t>
            </w:r>
          </w:p>
        </w:tc>
        <w:tc>
          <w:tcPr>
            <w:tcW w:w="1060" w:type="dxa"/>
            <w:noWrap w:val="0"/>
            <w:vAlign w:val="top"/>
          </w:tcPr>
          <w:p w14:paraId="737010EE">
            <w:pPr>
              <w:pStyle w:val="204"/>
              <w:spacing w:after="0" w:line="360" w:lineRule="auto"/>
              <w:ind w:left="0"/>
              <w:jc w:val="center"/>
              <w:rPr>
                <w:rFonts w:hint="eastAsia" w:ascii="宋体" w:hAnsi="宋体"/>
                <w:color w:val="000000"/>
                <w:szCs w:val="21"/>
              </w:rPr>
            </w:pPr>
            <w:r>
              <w:rPr>
                <w:rFonts w:hint="eastAsia" w:ascii="宋体" w:hAnsi="宋体"/>
                <w:color w:val="000000"/>
                <w:szCs w:val="21"/>
              </w:rPr>
              <w:t>男</w:t>
            </w:r>
          </w:p>
        </w:tc>
        <w:tc>
          <w:tcPr>
            <w:tcW w:w="2272" w:type="dxa"/>
            <w:noWrap w:val="0"/>
            <w:vAlign w:val="top"/>
          </w:tcPr>
          <w:p w14:paraId="34CB83A5">
            <w:pPr>
              <w:pStyle w:val="204"/>
              <w:spacing w:after="0" w:line="360" w:lineRule="auto"/>
              <w:ind w:left="0"/>
              <w:jc w:val="center"/>
              <w:rPr>
                <w:rFonts w:hint="eastAsia" w:ascii="宋体" w:hAnsi="宋体"/>
                <w:color w:val="000000"/>
                <w:szCs w:val="21"/>
              </w:rPr>
            </w:pPr>
            <w:r>
              <w:rPr>
                <w:rFonts w:hint="eastAsia" w:ascii="宋体" w:hAnsi="宋体"/>
                <w:color w:val="000000"/>
                <w:szCs w:val="21"/>
              </w:rPr>
              <w:t>团结大街221-97</w:t>
            </w:r>
          </w:p>
        </w:tc>
        <w:tc>
          <w:tcPr>
            <w:tcW w:w="1359" w:type="dxa"/>
            <w:noWrap w:val="0"/>
            <w:vAlign w:val="top"/>
          </w:tcPr>
          <w:p w14:paraId="7833E94D">
            <w:pPr>
              <w:pStyle w:val="204"/>
              <w:spacing w:after="0" w:line="360" w:lineRule="auto"/>
              <w:ind w:left="0"/>
              <w:jc w:val="center"/>
              <w:rPr>
                <w:rFonts w:hint="eastAsia" w:ascii="宋体" w:hAnsi="宋体"/>
                <w:color w:val="000000"/>
                <w:szCs w:val="21"/>
              </w:rPr>
            </w:pPr>
            <w:r>
              <w:rPr>
                <w:rFonts w:hint="eastAsia" w:ascii="宋体" w:hAnsi="宋体"/>
                <w:color w:val="000000"/>
                <w:szCs w:val="21"/>
              </w:rPr>
              <w:t>150m</w:t>
            </w:r>
          </w:p>
        </w:tc>
        <w:tc>
          <w:tcPr>
            <w:tcW w:w="884" w:type="dxa"/>
            <w:noWrap w:val="0"/>
            <w:vAlign w:val="top"/>
          </w:tcPr>
          <w:p w14:paraId="03E6B425">
            <w:pPr>
              <w:pStyle w:val="204"/>
              <w:spacing w:after="0" w:line="360" w:lineRule="auto"/>
              <w:ind w:left="0"/>
              <w:jc w:val="center"/>
              <w:rPr>
                <w:rFonts w:hint="eastAsia" w:ascii="宋体" w:hAnsi="宋体"/>
                <w:color w:val="000000"/>
                <w:szCs w:val="21"/>
              </w:rPr>
            </w:pPr>
            <w:r>
              <w:rPr>
                <w:rFonts w:hint="eastAsia" w:ascii="宋体" w:hAnsi="宋体"/>
                <w:color w:val="000000"/>
                <w:szCs w:val="21"/>
              </w:rPr>
              <w:t>赞成</w:t>
            </w:r>
          </w:p>
        </w:tc>
      </w:tr>
      <w:tr w14:paraId="65B8AB3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664" w:type="dxa"/>
            <w:noWrap w:val="0"/>
            <w:vAlign w:val="top"/>
          </w:tcPr>
          <w:p w14:paraId="3FC3CA8A">
            <w:pPr>
              <w:pStyle w:val="204"/>
              <w:spacing w:after="0" w:line="360" w:lineRule="auto"/>
              <w:ind w:left="0"/>
              <w:jc w:val="center"/>
              <w:rPr>
                <w:rFonts w:hint="eastAsia" w:ascii="宋体" w:hAnsi="宋体"/>
                <w:color w:val="000000"/>
                <w:szCs w:val="21"/>
              </w:rPr>
            </w:pPr>
            <w:r>
              <w:rPr>
                <w:rFonts w:hint="eastAsia" w:ascii="宋体" w:hAnsi="宋体"/>
                <w:color w:val="000000"/>
                <w:szCs w:val="21"/>
              </w:rPr>
              <w:t>8</w:t>
            </w:r>
          </w:p>
        </w:tc>
        <w:tc>
          <w:tcPr>
            <w:tcW w:w="1229" w:type="dxa"/>
            <w:noWrap w:val="0"/>
            <w:vAlign w:val="top"/>
          </w:tcPr>
          <w:p w14:paraId="31EFF735">
            <w:pPr>
              <w:pStyle w:val="204"/>
              <w:spacing w:after="0" w:line="360" w:lineRule="auto"/>
              <w:ind w:left="0"/>
              <w:jc w:val="center"/>
              <w:rPr>
                <w:rFonts w:hint="eastAsia" w:ascii="宋体" w:hAnsi="宋体"/>
                <w:color w:val="000000"/>
                <w:szCs w:val="21"/>
              </w:rPr>
            </w:pPr>
            <w:r>
              <w:rPr>
                <w:rFonts w:hint="eastAsia" w:ascii="宋体" w:hAnsi="宋体"/>
                <w:color w:val="000000"/>
                <w:szCs w:val="21"/>
              </w:rPr>
              <w:t>杨林香</w:t>
            </w:r>
          </w:p>
        </w:tc>
        <w:tc>
          <w:tcPr>
            <w:tcW w:w="1289" w:type="dxa"/>
            <w:noWrap w:val="0"/>
            <w:vAlign w:val="top"/>
          </w:tcPr>
          <w:p w14:paraId="3611FCEB">
            <w:pPr>
              <w:pStyle w:val="204"/>
              <w:spacing w:after="0" w:line="360" w:lineRule="auto"/>
              <w:ind w:left="0"/>
              <w:jc w:val="center"/>
              <w:rPr>
                <w:rFonts w:hint="eastAsia" w:ascii="宋体" w:hAnsi="宋体"/>
                <w:color w:val="000000"/>
                <w:szCs w:val="21"/>
              </w:rPr>
            </w:pPr>
            <w:r>
              <w:rPr>
                <w:rFonts w:hint="eastAsia" w:ascii="宋体" w:hAnsi="宋体"/>
                <w:color w:val="000000"/>
                <w:szCs w:val="21"/>
              </w:rPr>
              <w:t>26-40岁</w:t>
            </w:r>
          </w:p>
        </w:tc>
        <w:tc>
          <w:tcPr>
            <w:tcW w:w="1060" w:type="dxa"/>
            <w:noWrap w:val="0"/>
            <w:vAlign w:val="top"/>
          </w:tcPr>
          <w:p w14:paraId="5349ACFA">
            <w:pPr>
              <w:pStyle w:val="204"/>
              <w:spacing w:after="0" w:line="360" w:lineRule="auto"/>
              <w:ind w:left="0"/>
              <w:jc w:val="center"/>
              <w:rPr>
                <w:rFonts w:hint="eastAsia" w:ascii="宋体" w:hAnsi="宋体"/>
                <w:color w:val="000000"/>
                <w:szCs w:val="21"/>
              </w:rPr>
            </w:pPr>
            <w:r>
              <w:rPr>
                <w:rFonts w:hint="eastAsia" w:ascii="宋体" w:hAnsi="宋体"/>
                <w:color w:val="000000"/>
                <w:szCs w:val="21"/>
              </w:rPr>
              <w:t>女</w:t>
            </w:r>
          </w:p>
        </w:tc>
        <w:tc>
          <w:tcPr>
            <w:tcW w:w="2272" w:type="dxa"/>
            <w:noWrap w:val="0"/>
            <w:vAlign w:val="top"/>
          </w:tcPr>
          <w:p w14:paraId="1B79C096">
            <w:pPr>
              <w:pStyle w:val="204"/>
              <w:spacing w:after="0" w:line="360" w:lineRule="auto"/>
              <w:ind w:left="0"/>
              <w:jc w:val="center"/>
              <w:rPr>
                <w:rFonts w:hint="eastAsia" w:ascii="宋体" w:hAnsi="宋体"/>
                <w:color w:val="000000"/>
                <w:szCs w:val="21"/>
              </w:rPr>
            </w:pPr>
            <w:r>
              <w:rPr>
                <w:rFonts w:hint="eastAsia" w:ascii="宋体" w:hAnsi="宋体"/>
                <w:color w:val="000000"/>
                <w:szCs w:val="21"/>
              </w:rPr>
              <w:t>泛亚壹城</w:t>
            </w:r>
          </w:p>
        </w:tc>
        <w:tc>
          <w:tcPr>
            <w:tcW w:w="1359" w:type="dxa"/>
            <w:noWrap w:val="0"/>
            <w:vAlign w:val="top"/>
          </w:tcPr>
          <w:p w14:paraId="6A9B65F2">
            <w:pPr>
              <w:pStyle w:val="204"/>
              <w:spacing w:after="0" w:line="360" w:lineRule="auto"/>
              <w:ind w:left="0"/>
              <w:jc w:val="center"/>
              <w:rPr>
                <w:rFonts w:hint="eastAsia" w:ascii="宋体" w:hAnsi="宋体"/>
                <w:color w:val="000000"/>
                <w:szCs w:val="21"/>
              </w:rPr>
            </w:pPr>
            <w:r>
              <w:rPr>
                <w:rFonts w:hint="eastAsia" w:ascii="宋体" w:hAnsi="宋体"/>
                <w:color w:val="000000"/>
                <w:szCs w:val="21"/>
              </w:rPr>
              <w:t>35m</w:t>
            </w:r>
          </w:p>
        </w:tc>
        <w:tc>
          <w:tcPr>
            <w:tcW w:w="884" w:type="dxa"/>
            <w:noWrap w:val="0"/>
            <w:vAlign w:val="top"/>
          </w:tcPr>
          <w:p w14:paraId="2A86B557">
            <w:pPr>
              <w:pStyle w:val="204"/>
              <w:spacing w:after="0" w:line="360" w:lineRule="auto"/>
              <w:ind w:left="0"/>
              <w:jc w:val="center"/>
              <w:rPr>
                <w:rFonts w:hint="eastAsia" w:ascii="宋体" w:hAnsi="宋体"/>
                <w:color w:val="000000"/>
                <w:szCs w:val="21"/>
              </w:rPr>
            </w:pPr>
            <w:r>
              <w:rPr>
                <w:rFonts w:hint="eastAsia" w:ascii="宋体" w:hAnsi="宋体"/>
                <w:color w:val="000000"/>
                <w:szCs w:val="21"/>
              </w:rPr>
              <w:t>赞成</w:t>
            </w:r>
          </w:p>
        </w:tc>
      </w:tr>
      <w:tr w14:paraId="7844E39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664" w:type="dxa"/>
            <w:noWrap w:val="0"/>
            <w:vAlign w:val="top"/>
          </w:tcPr>
          <w:p w14:paraId="0CBCA4F9">
            <w:pPr>
              <w:pStyle w:val="204"/>
              <w:spacing w:after="0" w:line="360" w:lineRule="auto"/>
              <w:ind w:left="0"/>
              <w:jc w:val="center"/>
              <w:rPr>
                <w:rFonts w:hint="eastAsia" w:ascii="宋体" w:hAnsi="宋体"/>
                <w:color w:val="000000"/>
                <w:szCs w:val="21"/>
              </w:rPr>
            </w:pPr>
            <w:r>
              <w:rPr>
                <w:rFonts w:hint="eastAsia" w:ascii="宋体" w:hAnsi="宋体"/>
                <w:color w:val="000000"/>
                <w:szCs w:val="21"/>
              </w:rPr>
              <w:t>9</w:t>
            </w:r>
          </w:p>
        </w:tc>
        <w:tc>
          <w:tcPr>
            <w:tcW w:w="1229" w:type="dxa"/>
            <w:noWrap w:val="0"/>
            <w:vAlign w:val="top"/>
          </w:tcPr>
          <w:p w14:paraId="11A3C9D6">
            <w:pPr>
              <w:pStyle w:val="204"/>
              <w:spacing w:after="0" w:line="360" w:lineRule="auto"/>
              <w:ind w:left="0"/>
              <w:jc w:val="center"/>
              <w:rPr>
                <w:rFonts w:hint="eastAsia" w:ascii="宋体" w:hAnsi="宋体"/>
                <w:color w:val="000000"/>
                <w:szCs w:val="21"/>
              </w:rPr>
            </w:pPr>
            <w:r>
              <w:rPr>
                <w:rFonts w:hint="eastAsia" w:ascii="宋体" w:hAnsi="宋体"/>
                <w:color w:val="000000"/>
                <w:szCs w:val="21"/>
              </w:rPr>
              <w:t>李志清</w:t>
            </w:r>
          </w:p>
        </w:tc>
        <w:tc>
          <w:tcPr>
            <w:tcW w:w="1289" w:type="dxa"/>
            <w:noWrap w:val="0"/>
            <w:vAlign w:val="top"/>
          </w:tcPr>
          <w:p w14:paraId="543045F0">
            <w:pPr>
              <w:pStyle w:val="204"/>
              <w:spacing w:after="0" w:line="360" w:lineRule="auto"/>
              <w:ind w:left="0"/>
              <w:jc w:val="center"/>
              <w:rPr>
                <w:rFonts w:hint="eastAsia" w:ascii="宋体" w:hAnsi="宋体"/>
                <w:color w:val="000000"/>
                <w:szCs w:val="21"/>
              </w:rPr>
            </w:pPr>
            <w:r>
              <w:rPr>
                <w:rFonts w:hint="eastAsia" w:ascii="宋体" w:hAnsi="宋体"/>
                <w:color w:val="000000"/>
                <w:szCs w:val="21"/>
              </w:rPr>
              <w:t>26-40岁</w:t>
            </w:r>
          </w:p>
        </w:tc>
        <w:tc>
          <w:tcPr>
            <w:tcW w:w="1060" w:type="dxa"/>
            <w:noWrap w:val="0"/>
            <w:vAlign w:val="top"/>
          </w:tcPr>
          <w:p w14:paraId="10B7DE2A">
            <w:pPr>
              <w:pStyle w:val="204"/>
              <w:spacing w:after="0" w:line="360" w:lineRule="auto"/>
              <w:ind w:left="0"/>
              <w:jc w:val="center"/>
              <w:rPr>
                <w:rFonts w:hint="eastAsia" w:ascii="宋体" w:hAnsi="宋体"/>
                <w:color w:val="000000"/>
                <w:szCs w:val="21"/>
              </w:rPr>
            </w:pPr>
            <w:r>
              <w:rPr>
                <w:rFonts w:hint="eastAsia" w:ascii="宋体" w:hAnsi="宋体"/>
                <w:color w:val="000000"/>
                <w:szCs w:val="21"/>
              </w:rPr>
              <w:t>女</w:t>
            </w:r>
          </w:p>
        </w:tc>
        <w:tc>
          <w:tcPr>
            <w:tcW w:w="2272" w:type="dxa"/>
            <w:noWrap w:val="0"/>
            <w:vAlign w:val="top"/>
          </w:tcPr>
          <w:p w14:paraId="24A9A74A">
            <w:pPr>
              <w:pStyle w:val="204"/>
              <w:spacing w:after="0" w:line="360" w:lineRule="auto"/>
              <w:ind w:left="0"/>
              <w:jc w:val="center"/>
              <w:rPr>
                <w:rFonts w:hint="eastAsia" w:ascii="宋体" w:hAnsi="宋体"/>
                <w:color w:val="000000"/>
                <w:szCs w:val="21"/>
              </w:rPr>
            </w:pPr>
            <w:r>
              <w:rPr>
                <w:rFonts w:hint="eastAsia" w:ascii="宋体" w:hAnsi="宋体"/>
                <w:color w:val="000000"/>
                <w:szCs w:val="21"/>
              </w:rPr>
              <w:t>泛亚壹城</w:t>
            </w:r>
          </w:p>
        </w:tc>
        <w:tc>
          <w:tcPr>
            <w:tcW w:w="1359" w:type="dxa"/>
            <w:noWrap w:val="0"/>
            <w:vAlign w:val="top"/>
          </w:tcPr>
          <w:p w14:paraId="60952263">
            <w:pPr>
              <w:pStyle w:val="204"/>
              <w:spacing w:after="0" w:line="360" w:lineRule="auto"/>
              <w:ind w:left="0"/>
              <w:jc w:val="center"/>
              <w:rPr>
                <w:rFonts w:hint="eastAsia" w:ascii="宋体" w:hAnsi="宋体"/>
                <w:color w:val="000000"/>
                <w:szCs w:val="21"/>
              </w:rPr>
            </w:pPr>
            <w:r>
              <w:rPr>
                <w:rFonts w:hint="eastAsia" w:ascii="宋体" w:hAnsi="宋体"/>
                <w:color w:val="000000"/>
                <w:szCs w:val="21"/>
              </w:rPr>
              <w:t>30m</w:t>
            </w:r>
          </w:p>
        </w:tc>
        <w:tc>
          <w:tcPr>
            <w:tcW w:w="884" w:type="dxa"/>
            <w:noWrap w:val="0"/>
            <w:vAlign w:val="top"/>
          </w:tcPr>
          <w:p w14:paraId="58CE206C">
            <w:pPr>
              <w:pStyle w:val="204"/>
              <w:spacing w:after="0" w:line="360" w:lineRule="auto"/>
              <w:ind w:left="0"/>
              <w:jc w:val="center"/>
              <w:rPr>
                <w:rFonts w:hint="eastAsia" w:ascii="宋体" w:hAnsi="宋体"/>
                <w:color w:val="000000"/>
                <w:szCs w:val="21"/>
              </w:rPr>
            </w:pPr>
            <w:r>
              <w:rPr>
                <w:rFonts w:hint="eastAsia" w:ascii="宋体" w:hAnsi="宋体"/>
                <w:color w:val="000000"/>
                <w:szCs w:val="21"/>
              </w:rPr>
              <w:t>赞成</w:t>
            </w:r>
          </w:p>
        </w:tc>
      </w:tr>
      <w:tr w14:paraId="338762D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664" w:type="dxa"/>
            <w:noWrap w:val="0"/>
            <w:vAlign w:val="top"/>
          </w:tcPr>
          <w:p w14:paraId="1A85E1C8">
            <w:pPr>
              <w:pStyle w:val="204"/>
              <w:spacing w:after="0" w:line="360" w:lineRule="auto"/>
              <w:ind w:left="0"/>
              <w:jc w:val="center"/>
              <w:rPr>
                <w:rFonts w:hint="eastAsia" w:ascii="宋体" w:hAnsi="宋体"/>
                <w:color w:val="000000"/>
                <w:szCs w:val="21"/>
              </w:rPr>
            </w:pPr>
            <w:r>
              <w:rPr>
                <w:rFonts w:hint="eastAsia" w:ascii="宋体" w:hAnsi="宋体"/>
                <w:color w:val="000000"/>
                <w:szCs w:val="21"/>
              </w:rPr>
              <w:t>10</w:t>
            </w:r>
          </w:p>
        </w:tc>
        <w:tc>
          <w:tcPr>
            <w:tcW w:w="1229" w:type="dxa"/>
            <w:noWrap w:val="0"/>
            <w:vAlign w:val="top"/>
          </w:tcPr>
          <w:p w14:paraId="3075761A">
            <w:pPr>
              <w:pStyle w:val="204"/>
              <w:spacing w:after="0" w:line="360" w:lineRule="auto"/>
              <w:ind w:left="0"/>
              <w:jc w:val="center"/>
              <w:rPr>
                <w:rFonts w:hint="eastAsia" w:ascii="宋体" w:hAnsi="宋体"/>
                <w:color w:val="000000"/>
                <w:szCs w:val="21"/>
              </w:rPr>
            </w:pPr>
            <w:r>
              <w:rPr>
                <w:rFonts w:hint="eastAsia" w:ascii="宋体" w:hAnsi="宋体"/>
                <w:color w:val="000000"/>
                <w:szCs w:val="21"/>
              </w:rPr>
              <w:t>杨丽</w:t>
            </w:r>
          </w:p>
        </w:tc>
        <w:tc>
          <w:tcPr>
            <w:tcW w:w="1289" w:type="dxa"/>
            <w:noWrap w:val="0"/>
            <w:vAlign w:val="top"/>
          </w:tcPr>
          <w:p w14:paraId="367315F1">
            <w:pPr>
              <w:pStyle w:val="204"/>
              <w:spacing w:after="0" w:line="360" w:lineRule="auto"/>
              <w:ind w:left="0"/>
              <w:jc w:val="center"/>
              <w:rPr>
                <w:rFonts w:hint="eastAsia" w:ascii="宋体" w:hAnsi="宋体"/>
                <w:color w:val="000000"/>
                <w:szCs w:val="21"/>
              </w:rPr>
            </w:pPr>
            <w:r>
              <w:rPr>
                <w:rFonts w:hint="eastAsia" w:ascii="宋体" w:hAnsi="宋体"/>
                <w:color w:val="000000"/>
                <w:szCs w:val="21"/>
              </w:rPr>
              <w:t>26-40岁</w:t>
            </w:r>
          </w:p>
        </w:tc>
        <w:tc>
          <w:tcPr>
            <w:tcW w:w="1060" w:type="dxa"/>
            <w:noWrap w:val="0"/>
            <w:vAlign w:val="top"/>
          </w:tcPr>
          <w:p w14:paraId="0C4BB3BF">
            <w:pPr>
              <w:pStyle w:val="204"/>
              <w:spacing w:after="0" w:line="360" w:lineRule="auto"/>
              <w:ind w:left="0"/>
              <w:jc w:val="center"/>
              <w:rPr>
                <w:rFonts w:hint="eastAsia" w:ascii="宋体" w:hAnsi="宋体"/>
                <w:color w:val="000000"/>
                <w:szCs w:val="21"/>
              </w:rPr>
            </w:pPr>
            <w:r>
              <w:rPr>
                <w:rFonts w:hint="eastAsia" w:ascii="宋体" w:hAnsi="宋体"/>
                <w:color w:val="000000"/>
                <w:szCs w:val="21"/>
              </w:rPr>
              <w:t>女</w:t>
            </w:r>
          </w:p>
        </w:tc>
        <w:tc>
          <w:tcPr>
            <w:tcW w:w="2272" w:type="dxa"/>
            <w:noWrap w:val="0"/>
            <w:vAlign w:val="top"/>
          </w:tcPr>
          <w:p w14:paraId="55966CE4">
            <w:pPr>
              <w:pStyle w:val="204"/>
              <w:spacing w:after="0" w:line="360" w:lineRule="auto"/>
              <w:ind w:left="0"/>
              <w:jc w:val="center"/>
              <w:rPr>
                <w:rFonts w:hint="eastAsia" w:ascii="宋体" w:hAnsi="宋体"/>
                <w:color w:val="000000"/>
                <w:szCs w:val="21"/>
              </w:rPr>
            </w:pPr>
            <w:r>
              <w:rPr>
                <w:rFonts w:hint="eastAsia" w:ascii="宋体" w:hAnsi="宋体"/>
                <w:color w:val="000000"/>
                <w:szCs w:val="21"/>
              </w:rPr>
              <w:t>泛亚壹城</w:t>
            </w:r>
          </w:p>
        </w:tc>
        <w:tc>
          <w:tcPr>
            <w:tcW w:w="1359" w:type="dxa"/>
            <w:noWrap w:val="0"/>
            <w:vAlign w:val="top"/>
          </w:tcPr>
          <w:p w14:paraId="68219753">
            <w:pPr>
              <w:pStyle w:val="204"/>
              <w:spacing w:after="0" w:line="360" w:lineRule="auto"/>
              <w:ind w:left="0"/>
              <w:jc w:val="center"/>
              <w:rPr>
                <w:rFonts w:hint="eastAsia" w:ascii="宋体" w:hAnsi="宋体"/>
                <w:color w:val="000000"/>
                <w:szCs w:val="21"/>
              </w:rPr>
            </w:pPr>
            <w:r>
              <w:rPr>
                <w:rFonts w:hint="eastAsia" w:ascii="宋体" w:hAnsi="宋体"/>
                <w:color w:val="000000"/>
                <w:szCs w:val="21"/>
              </w:rPr>
              <w:t>200m</w:t>
            </w:r>
          </w:p>
        </w:tc>
        <w:tc>
          <w:tcPr>
            <w:tcW w:w="884" w:type="dxa"/>
            <w:noWrap w:val="0"/>
            <w:vAlign w:val="top"/>
          </w:tcPr>
          <w:p w14:paraId="3B6945C1">
            <w:pPr>
              <w:pStyle w:val="204"/>
              <w:spacing w:after="0" w:line="360" w:lineRule="auto"/>
              <w:ind w:left="0"/>
              <w:jc w:val="center"/>
              <w:rPr>
                <w:rFonts w:hint="eastAsia" w:ascii="宋体" w:hAnsi="宋体"/>
                <w:color w:val="000000"/>
                <w:szCs w:val="21"/>
              </w:rPr>
            </w:pPr>
            <w:r>
              <w:rPr>
                <w:rFonts w:hint="eastAsia" w:ascii="宋体" w:hAnsi="宋体"/>
                <w:color w:val="000000"/>
                <w:szCs w:val="21"/>
              </w:rPr>
              <w:t>赞成</w:t>
            </w:r>
          </w:p>
        </w:tc>
      </w:tr>
    </w:tbl>
    <w:p w14:paraId="4E7797D0">
      <w:pPr>
        <w:pStyle w:val="204"/>
        <w:spacing w:after="0" w:line="360" w:lineRule="auto"/>
        <w:ind w:left="0" w:firstLine="480"/>
        <w:rPr>
          <w:rFonts w:hint="eastAsia" w:ascii="宋体" w:hAnsi="宋体"/>
          <w:color w:val="000000"/>
          <w:sz w:val="24"/>
        </w:rPr>
      </w:pPr>
      <w:r>
        <w:rPr>
          <w:rFonts w:hint="eastAsia" w:ascii="宋体" w:hAnsi="宋体"/>
          <w:color w:val="000000"/>
          <w:sz w:val="24"/>
        </w:rPr>
        <w:t>调查的内容涉及以下十一个方面：</w:t>
      </w:r>
    </w:p>
    <w:p w14:paraId="7678D6F4">
      <w:pPr>
        <w:pStyle w:val="221"/>
        <w:spacing w:after="0" w:line="360" w:lineRule="auto"/>
        <w:ind w:left="0" w:firstLine="480"/>
        <w:rPr>
          <w:rFonts w:hint="eastAsia" w:ascii="宋体" w:hAnsi="宋体"/>
          <w:color w:val="000000"/>
          <w:sz w:val="24"/>
        </w:rPr>
      </w:pPr>
      <w:r>
        <w:rPr>
          <w:rFonts w:hint="eastAsia" w:ascii="宋体" w:hAnsi="宋体"/>
          <w:color w:val="000000"/>
          <w:sz w:val="24"/>
        </w:rPr>
        <w:t>（1）您是否知道“芒市妇幼保健院迁建项目”；</w:t>
      </w:r>
    </w:p>
    <w:p w14:paraId="5FF7B43F">
      <w:pPr>
        <w:pStyle w:val="221"/>
        <w:spacing w:after="0" w:line="360" w:lineRule="auto"/>
        <w:ind w:left="0" w:firstLine="480"/>
        <w:rPr>
          <w:rFonts w:hint="eastAsia" w:ascii="宋体" w:hAnsi="宋体"/>
          <w:color w:val="000000"/>
          <w:sz w:val="24"/>
        </w:rPr>
      </w:pPr>
      <w:r>
        <w:rPr>
          <w:rFonts w:hint="eastAsia" w:ascii="宋体" w:hAnsi="宋体"/>
          <w:color w:val="000000"/>
          <w:sz w:val="24"/>
        </w:rPr>
        <w:t>（2）您对环境质量现状是否满意；</w:t>
      </w:r>
    </w:p>
    <w:p w14:paraId="2BDE30D8">
      <w:pPr>
        <w:pStyle w:val="221"/>
        <w:spacing w:after="0" w:line="360" w:lineRule="auto"/>
        <w:ind w:left="0" w:firstLine="480"/>
        <w:rPr>
          <w:rFonts w:hint="eastAsia" w:ascii="宋体" w:hAnsi="宋体"/>
          <w:color w:val="000000"/>
          <w:sz w:val="24"/>
        </w:rPr>
      </w:pPr>
      <w:r>
        <w:rPr>
          <w:rFonts w:hint="eastAsia" w:ascii="宋体" w:hAnsi="宋体"/>
          <w:color w:val="000000"/>
          <w:sz w:val="24"/>
        </w:rPr>
        <w:t>（3）您认</w:t>
      </w:r>
      <w:r>
        <w:rPr>
          <w:rFonts w:ascii="宋体" w:hAnsi="宋体"/>
          <w:color w:val="000000"/>
          <w:sz w:val="24"/>
        </w:rPr>
        <w:t>为</w:t>
      </w:r>
      <w:r>
        <w:rPr>
          <w:rFonts w:hint="eastAsia" w:ascii="宋体" w:hAnsi="宋体"/>
          <w:color w:val="000000"/>
          <w:sz w:val="24"/>
        </w:rPr>
        <w:t>您</w:t>
      </w:r>
      <w:r>
        <w:rPr>
          <w:rFonts w:ascii="宋体" w:hAnsi="宋体"/>
          <w:color w:val="000000"/>
          <w:sz w:val="24"/>
        </w:rPr>
        <w:t>所处地区最严重的环境问题</w:t>
      </w:r>
      <w:r>
        <w:rPr>
          <w:rFonts w:hint="eastAsia" w:ascii="宋体" w:hAnsi="宋体"/>
          <w:color w:val="000000"/>
          <w:sz w:val="24"/>
        </w:rPr>
        <w:t>；</w:t>
      </w:r>
    </w:p>
    <w:p w14:paraId="7E2604FD">
      <w:pPr>
        <w:pStyle w:val="221"/>
        <w:spacing w:after="0" w:line="360" w:lineRule="auto"/>
        <w:ind w:left="0" w:firstLine="480"/>
        <w:rPr>
          <w:rFonts w:hint="eastAsia" w:ascii="宋体" w:hAnsi="宋体"/>
          <w:color w:val="000000"/>
          <w:sz w:val="24"/>
        </w:rPr>
      </w:pPr>
      <w:r>
        <w:rPr>
          <w:rFonts w:hint="eastAsia" w:ascii="宋体" w:hAnsi="宋体"/>
          <w:color w:val="000000"/>
          <w:sz w:val="24"/>
        </w:rPr>
        <w:t>（4）您</w:t>
      </w:r>
      <w:r>
        <w:rPr>
          <w:rFonts w:ascii="宋体" w:hAnsi="宋体"/>
          <w:color w:val="000000"/>
          <w:sz w:val="24"/>
        </w:rPr>
        <w:t>在</w:t>
      </w:r>
      <w:r>
        <w:rPr>
          <w:rFonts w:hint="eastAsia" w:ascii="宋体" w:hAnsi="宋体"/>
          <w:color w:val="000000"/>
          <w:sz w:val="24"/>
        </w:rPr>
        <w:t>项目施工</w:t>
      </w:r>
      <w:r>
        <w:rPr>
          <w:rFonts w:ascii="宋体" w:hAnsi="宋体"/>
          <w:color w:val="000000"/>
          <w:sz w:val="24"/>
        </w:rPr>
        <w:t>建设过程中最关心的问题</w:t>
      </w:r>
      <w:r>
        <w:rPr>
          <w:rFonts w:hint="eastAsia" w:ascii="宋体" w:hAnsi="宋体"/>
          <w:color w:val="000000"/>
          <w:sz w:val="24"/>
        </w:rPr>
        <w:t>；</w:t>
      </w:r>
    </w:p>
    <w:p w14:paraId="1818FBDC">
      <w:pPr>
        <w:pStyle w:val="221"/>
        <w:spacing w:after="0" w:line="360" w:lineRule="auto"/>
        <w:ind w:left="0" w:firstLine="480"/>
        <w:rPr>
          <w:rFonts w:hint="eastAsia" w:ascii="宋体" w:hAnsi="宋体"/>
          <w:color w:val="000000"/>
          <w:sz w:val="24"/>
        </w:rPr>
      </w:pPr>
      <w:r>
        <w:rPr>
          <w:rFonts w:hint="eastAsia" w:ascii="宋体" w:hAnsi="宋体"/>
          <w:color w:val="000000"/>
          <w:sz w:val="24"/>
        </w:rPr>
        <w:t>（5）项目建成后，您所关心的问题；</w:t>
      </w:r>
    </w:p>
    <w:p w14:paraId="324515BB">
      <w:pPr>
        <w:pStyle w:val="221"/>
        <w:spacing w:after="0" w:line="360" w:lineRule="auto"/>
        <w:ind w:left="0" w:firstLine="480"/>
        <w:rPr>
          <w:rFonts w:hint="eastAsia" w:ascii="宋体" w:hAnsi="宋体"/>
          <w:color w:val="000000"/>
          <w:sz w:val="24"/>
        </w:rPr>
      </w:pPr>
      <w:r>
        <w:rPr>
          <w:rFonts w:hint="eastAsia" w:ascii="宋体" w:hAnsi="宋体"/>
          <w:color w:val="000000"/>
          <w:sz w:val="24"/>
        </w:rPr>
        <w:t>（6）您认为拟建项目对当地医疗会起到的作用；</w:t>
      </w:r>
    </w:p>
    <w:p w14:paraId="4B7702AD">
      <w:pPr>
        <w:pStyle w:val="221"/>
        <w:spacing w:after="0" w:line="360" w:lineRule="auto"/>
        <w:ind w:left="0" w:firstLine="480"/>
        <w:rPr>
          <w:rFonts w:hint="eastAsia" w:ascii="宋体" w:hAnsi="宋体"/>
          <w:color w:val="000000"/>
          <w:sz w:val="24"/>
        </w:rPr>
      </w:pPr>
      <w:r>
        <w:rPr>
          <w:rFonts w:hint="eastAsia" w:ascii="宋体" w:hAnsi="宋体"/>
          <w:color w:val="000000"/>
          <w:sz w:val="24"/>
        </w:rPr>
        <w:t>（7）您认为拟建项目的地址选址是否合理；</w:t>
      </w:r>
    </w:p>
    <w:p w14:paraId="689519B4">
      <w:pPr>
        <w:pStyle w:val="221"/>
        <w:spacing w:after="0" w:line="360" w:lineRule="auto"/>
        <w:ind w:left="0" w:firstLine="480"/>
        <w:rPr>
          <w:rFonts w:hint="eastAsia" w:ascii="宋体" w:hAnsi="宋体"/>
          <w:color w:val="000000"/>
          <w:sz w:val="24"/>
        </w:rPr>
      </w:pPr>
      <w:r>
        <w:rPr>
          <w:rFonts w:hint="eastAsia" w:ascii="宋体" w:hAnsi="宋体"/>
          <w:color w:val="000000"/>
          <w:sz w:val="24"/>
        </w:rPr>
        <w:t>（8）您对拟建项目持何种态度；</w:t>
      </w:r>
    </w:p>
    <w:p w14:paraId="009E8AE5">
      <w:pPr>
        <w:pStyle w:val="221"/>
        <w:spacing w:after="0" w:line="360" w:lineRule="auto"/>
        <w:ind w:left="0" w:firstLine="480"/>
        <w:rPr>
          <w:rFonts w:hint="eastAsia" w:ascii="宋体" w:hAnsi="宋体"/>
          <w:color w:val="000000"/>
          <w:sz w:val="24"/>
        </w:rPr>
      </w:pPr>
      <w:r>
        <w:rPr>
          <w:rFonts w:hint="eastAsia" w:ascii="宋体" w:hAnsi="宋体"/>
          <w:color w:val="000000"/>
          <w:sz w:val="24"/>
        </w:rPr>
        <w:t>（9）您对本工程的实施有何合理化建议。</w:t>
      </w:r>
    </w:p>
    <w:p w14:paraId="559395DC">
      <w:pPr>
        <w:spacing w:line="360" w:lineRule="auto"/>
        <w:ind w:firstLine="482"/>
        <w:rPr>
          <w:rFonts w:ascii="宋体" w:hAnsi="宋体"/>
          <w:b/>
          <w:color w:val="000000"/>
          <w:sz w:val="24"/>
        </w:rPr>
      </w:pPr>
      <w:r>
        <w:rPr>
          <w:rFonts w:hint="eastAsia" w:ascii="宋体" w:hAnsi="宋体"/>
          <w:b/>
          <w:color w:val="000000"/>
          <w:sz w:val="24"/>
        </w:rPr>
        <w:t>（2）调查结果统计</w:t>
      </w:r>
    </w:p>
    <w:p w14:paraId="7D8EB5D9">
      <w:pPr>
        <w:spacing w:line="360" w:lineRule="auto"/>
        <w:ind w:firstLine="480"/>
        <w:rPr>
          <w:rFonts w:hint="eastAsia" w:ascii="宋体" w:hAnsi="宋体"/>
          <w:color w:val="000000"/>
          <w:sz w:val="24"/>
        </w:rPr>
      </w:pPr>
      <w:r>
        <w:rPr>
          <w:rFonts w:hint="eastAsia" w:ascii="宋体" w:hAnsi="宋体"/>
          <w:color w:val="000000"/>
          <w:sz w:val="24"/>
        </w:rPr>
        <w:t>个人</w:t>
      </w:r>
      <w:r>
        <w:rPr>
          <w:rFonts w:ascii="宋体" w:hAnsi="宋体"/>
          <w:color w:val="000000"/>
          <w:sz w:val="24"/>
        </w:rPr>
        <w:t>公众参与调查结</w:t>
      </w:r>
      <w:r>
        <w:rPr>
          <w:rFonts w:hint="eastAsia" w:ascii="宋体" w:hAnsi="宋体"/>
          <w:color w:val="000000"/>
          <w:sz w:val="24"/>
        </w:rPr>
        <w:t>果基本情况统计见表12.5-3，</w:t>
      </w:r>
      <w:r>
        <w:rPr>
          <w:rFonts w:ascii="宋体" w:hAnsi="宋体"/>
          <w:color w:val="000000"/>
          <w:sz w:val="24"/>
        </w:rPr>
        <w:t>公众意见汇总表</w:t>
      </w:r>
      <w:r>
        <w:rPr>
          <w:rFonts w:hint="eastAsia" w:ascii="宋体" w:hAnsi="宋体"/>
          <w:color w:val="000000"/>
          <w:sz w:val="24"/>
        </w:rPr>
        <w:t>见12.5-4。由表12.5-3可见，被调查对象的性别、年龄、职业和文化程度的分布层次比较全面，调查结果具有较好的代表性。</w:t>
      </w:r>
    </w:p>
    <w:p w14:paraId="6C663C32">
      <w:pPr>
        <w:spacing w:line="360" w:lineRule="auto"/>
        <w:jc w:val="center"/>
        <w:rPr>
          <w:rFonts w:hint="eastAsia" w:cs="Arial"/>
          <w:b/>
          <w:color w:val="000000"/>
          <w:sz w:val="24"/>
        </w:rPr>
      </w:pPr>
      <w:r>
        <w:rPr>
          <w:rFonts w:hint="eastAsia" w:cs="Arial"/>
          <w:b/>
          <w:color w:val="000000"/>
          <w:sz w:val="24"/>
        </w:rPr>
        <w:t>表12.5-3  公众参与答卷人基本情况统计表</w:t>
      </w:r>
    </w:p>
    <w:tbl>
      <w:tblPr>
        <w:tblStyle w:val="27"/>
        <w:tblW w:w="0" w:type="auto"/>
        <w:tblInd w:w="-108"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2132"/>
        <w:gridCol w:w="2132"/>
        <w:gridCol w:w="2132"/>
        <w:gridCol w:w="2132"/>
      </w:tblGrid>
      <w:tr w14:paraId="2F73230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132" w:type="dxa"/>
            <w:vMerge w:val="restart"/>
            <w:noWrap w:val="0"/>
            <w:vAlign w:val="center"/>
          </w:tcPr>
          <w:p w14:paraId="55C5B869">
            <w:pPr>
              <w:jc w:val="center"/>
              <w:rPr>
                <w:rFonts w:hint="eastAsia" w:ascii="宋体" w:hAnsi="宋体"/>
                <w:color w:val="000000"/>
                <w:szCs w:val="21"/>
              </w:rPr>
            </w:pPr>
            <w:r>
              <w:rPr>
                <w:rFonts w:hint="eastAsia" w:ascii="宋体" w:hAnsi="宋体"/>
                <w:color w:val="000000"/>
                <w:szCs w:val="21"/>
              </w:rPr>
              <w:t>内容</w:t>
            </w:r>
          </w:p>
        </w:tc>
        <w:tc>
          <w:tcPr>
            <w:tcW w:w="2132" w:type="dxa"/>
            <w:vMerge w:val="restart"/>
            <w:noWrap w:val="0"/>
            <w:vAlign w:val="center"/>
          </w:tcPr>
          <w:p w14:paraId="4DD13DB4">
            <w:pPr>
              <w:jc w:val="center"/>
              <w:rPr>
                <w:rFonts w:hint="eastAsia" w:ascii="宋体" w:hAnsi="宋体"/>
                <w:color w:val="000000"/>
                <w:szCs w:val="21"/>
              </w:rPr>
            </w:pPr>
            <w:r>
              <w:rPr>
                <w:rFonts w:hint="eastAsia" w:ascii="宋体" w:hAnsi="宋体"/>
                <w:color w:val="000000"/>
                <w:szCs w:val="21"/>
              </w:rPr>
              <w:t>分类</w:t>
            </w:r>
          </w:p>
        </w:tc>
        <w:tc>
          <w:tcPr>
            <w:tcW w:w="4264" w:type="dxa"/>
            <w:gridSpan w:val="2"/>
            <w:noWrap w:val="0"/>
            <w:vAlign w:val="center"/>
          </w:tcPr>
          <w:p w14:paraId="32E01793">
            <w:pPr>
              <w:jc w:val="center"/>
              <w:rPr>
                <w:rFonts w:hint="eastAsia" w:ascii="宋体" w:hAnsi="宋体"/>
                <w:color w:val="000000"/>
                <w:szCs w:val="21"/>
              </w:rPr>
            </w:pPr>
            <w:r>
              <w:rPr>
                <w:rFonts w:hint="eastAsia" w:ascii="宋体" w:hAnsi="宋体"/>
                <w:color w:val="000000"/>
                <w:szCs w:val="21"/>
              </w:rPr>
              <w:t>统计结果</w:t>
            </w:r>
          </w:p>
        </w:tc>
      </w:tr>
      <w:tr w14:paraId="0DD1F11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132" w:type="dxa"/>
            <w:vMerge w:val="continue"/>
            <w:noWrap w:val="0"/>
            <w:vAlign w:val="top"/>
          </w:tcPr>
          <w:p w14:paraId="0D495759">
            <w:pPr>
              <w:rPr>
                <w:rFonts w:hint="eastAsia" w:ascii="宋体" w:hAnsi="宋体"/>
                <w:color w:val="000000"/>
                <w:szCs w:val="21"/>
              </w:rPr>
            </w:pPr>
          </w:p>
        </w:tc>
        <w:tc>
          <w:tcPr>
            <w:tcW w:w="2132" w:type="dxa"/>
            <w:vMerge w:val="continue"/>
            <w:noWrap w:val="0"/>
            <w:vAlign w:val="top"/>
          </w:tcPr>
          <w:p w14:paraId="57CD7C24">
            <w:pPr>
              <w:rPr>
                <w:rFonts w:hint="eastAsia" w:ascii="宋体" w:hAnsi="宋体"/>
                <w:color w:val="000000"/>
                <w:szCs w:val="21"/>
              </w:rPr>
            </w:pPr>
          </w:p>
        </w:tc>
        <w:tc>
          <w:tcPr>
            <w:tcW w:w="2132" w:type="dxa"/>
            <w:noWrap w:val="0"/>
            <w:vAlign w:val="center"/>
          </w:tcPr>
          <w:p w14:paraId="273D3A3E">
            <w:pPr>
              <w:jc w:val="center"/>
              <w:rPr>
                <w:rFonts w:hint="eastAsia" w:ascii="宋体" w:hAnsi="宋体"/>
                <w:color w:val="000000"/>
                <w:szCs w:val="21"/>
              </w:rPr>
            </w:pPr>
            <w:r>
              <w:rPr>
                <w:rFonts w:hint="eastAsia" w:ascii="宋体" w:hAnsi="宋体"/>
                <w:color w:val="000000"/>
                <w:szCs w:val="21"/>
              </w:rPr>
              <w:t>人数（人）</w:t>
            </w:r>
          </w:p>
        </w:tc>
        <w:tc>
          <w:tcPr>
            <w:tcW w:w="2132" w:type="dxa"/>
            <w:noWrap w:val="0"/>
            <w:vAlign w:val="center"/>
          </w:tcPr>
          <w:p w14:paraId="6CF08101">
            <w:pPr>
              <w:jc w:val="center"/>
              <w:rPr>
                <w:rFonts w:hint="eastAsia" w:ascii="宋体" w:hAnsi="宋体"/>
                <w:color w:val="000000"/>
                <w:szCs w:val="21"/>
              </w:rPr>
            </w:pPr>
            <w:r>
              <w:rPr>
                <w:rFonts w:hint="eastAsia" w:ascii="宋体" w:hAnsi="宋体"/>
                <w:color w:val="000000"/>
                <w:szCs w:val="21"/>
              </w:rPr>
              <w:t>比例（%）</w:t>
            </w:r>
          </w:p>
        </w:tc>
      </w:tr>
      <w:tr w14:paraId="4F6C086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132" w:type="dxa"/>
            <w:vMerge w:val="restart"/>
            <w:noWrap w:val="0"/>
            <w:vAlign w:val="center"/>
          </w:tcPr>
          <w:p w14:paraId="0153B15C">
            <w:pPr>
              <w:jc w:val="center"/>
              <w:rPr>
                <w:rFonts w:hint="eastAsia" w:ascii="宋体" w:hAnsi="宋体"/>
                <w:color w:val="000000"/>
                <w:szCs w:val="21"/>
              </w:rPr>
            </w:pPr>
            <w:r>
              <w:rPr>
                <w:rFonts w:hint="eastAsia" w:ascii="宋体" w:hAnsi="宋体"/>
                <w:color w:val="000000"/>
                <w:szCs w:val="21"/>
              </w:rPr>
              <w:t>性别</w:t>
            </w:r>
          </w:p>
        </w:tc>
        <w:tc>
          <w:tcPr>
            <w:tcW w:w="2132" w:type="dxa"/>
            <w:noWrap w:val="0"/>
            <w:vAlign w:val="center"/>
          </w:tcPr>
          <w:p w14:paraId="7449ED68">
            <w:pPr>
              <w:jc w:val="center"/>
              <w:rPr>
                <w:rFonts w:hint="eastAsia" w:ascii="宋体" w:hAnsi="宋体"/>
                <w:color w:val="000000"/>
                <w:szCs w:val="21"/>
              </w:rPr>
            </w:pPr>
            <w:r>
              <w:rPr>
                <w:rFonts w:hint="eastAsia" w:ascii="宋体" w:hAnsi="宋体"/>
                <w:color w:val="000000"/>
                <w:szCs w:val="21"/>
              </w:rPr>
              <w:t>男</w:t>
            </w:r>
          </w:p>
        </w:tc>
        <w:tc>
          <w:tcPr>
            <w:tcW w:w="2132" w:type="dxa"/>
            <w:noWrap w:val="0"/>
            <w:vAlign w:val="center"/>
          </w:tcPr>
          <w:p w14:paraId="3AA55463">
            <w:pPr>
              <w:jc w:val="center"/>
              <w:rPr>
                <w:rFonts w:hint="eastAsia" w:ascii="宋体" w:hAnsi="宋体"/>
                <w:color w:val="000000"/>
                <w:szCs w:val="21"/>
              </w:rPr>
            </w:pPr>
            <w:r>
              <w:rPr>
                <w:rFonts w:hint="eastAsia" w:ascii="宋体" w:hAnsi="宋体"/>
                <w:color w:val="000000"/>
                <w:szCs w:val="21"/>
              </w:rPr>
              <w:t>27</w:t>
            </w:r>
          </w:p>
        </w:tc>
        <w:tc>
          <w:tcPr>
            <w:tcW w:w="2132" w:type="dxa"/>
            <w:noWrap w:val="0"/>
            <w:vAlign w:val="center"/>
          </w:tcPr>
          <w:p w14:paraId="4FAA894B">
            <w:pPr>
              <w:jc w:val="center"/>
              <w:rPr>
                <w:rFonts w:ascii="宋体" w:hAnsi="宋体"/>
                <w:color w:val="000000"/>
                <w:szCs w:val="21"/>
              </w:rPr>
            </w:pPr>
            <w:r>
              <w:rPr>
                <w:rFonts w:hint="eastAsia" w:ascii="宋体" w:hAnsi="宋体"/>
                <w:color w:val="000000"/>
                <w:szCs w:val="21"/>
              </w:rPr>
              <w:t>63</w:t>
            </w:r>
            <w:r>
              <w:rPr>
                <w:rFonts w:ascii="宋体" w:hAnsi="宋体"/>
                <w:color w:val="000000"/>
                <w:szCs w:val="21"/>
              </w:rPr>
              <w:t>%</w:t>
            </w:r>
          </w:p>
        </w:tc>
      </w:tr>
      <w:tr w14:paraId="60156EC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132" w:type="dxa"/>
            <w:vMerge w:val="continue"/>
            <w:noWrap w:val="0"/>
            <w:vAlign w:val="center"/>
          </w:tcPr>
          <w:p w14:paraId="6D5979F4">
            <w:pPr>
              <w:jc w:val="center"/>
              <w:rPr>
                <w:rFonts w:hint="eastAsia" w:ascii="宋体" w:hAnsi="宋体"/>
                <w:color w:val="000000"/>
                <w:szCs w:val="21"/>
              </w:rPr>
            </w:pPr>
          </w:p>
        </w:tc>
        <w:tc>
          <w:tcPr>
            <w:tcW w:w="2132" w:type="dxa"/>
            <w:noWrap w:val="0"/>
            <w:vAlign w:val="center"/>
          </w:tcPr>
          <w:p w14:paraId="2F30D117">
            <w:pPr>
              <w:jc w:val="center"/>
              <w:rPr>
                <w:rFonts w:hint="eastAsia" w:ascii="宋体" w:hAnsi="宋体"/>
                <w:color w:val="000000"/>
                <w:szCs w:val="21"/>
              </w:rPr>
            </w:pPr>
            <w:r>
              <w:rPr>
                <w:rFonts w:hint="eastAsia" w:ascii="宋体" w:hAnsi="宋体"/>
                <w:color w:val="000000"/>
                <w:szCs w:val="21"/>
              </w:rPr>
              <w:t>女</w:t>
            </w:r>
          </w:p>
        </w:tc>
        <w:tc>
          <w:tcPr>
            <w:tcW w:w="2132" w:type="dxa"/>
            <w:noWrap w:val="0"/>
            <w:vAlign w:val="center"/>
          </w:tcPr>
          <w:p w14:paraId="32C57812">
            <w:pPr>
              <w:jc w:val="center"/>
              <w:rPr>
                <w:rFonts w:hint="eastAsia" w:ascii="宋体" w:hAnsi="宋体"/>
                <w:color w:val="000000"/>
                <w:szCs w:val="21"/>
              </w:rPr>
            </w:pPr>
            <w:r>
              <w:rPr>
                <w:rFonts w:hint="eastAsia" w:ascii="宋体" w:hAnsi="宋体"/>
                <w:color w:val="000000"/>
                <w:szCs w:val="21"/>
              </w:rPr>
              <w:t>16</w:t>
            </w:r>
          </w:p>
        </w:tc>
        <w:tc>
          <w:tcPr>
            <w:tcW w:w="2132" w:type="dxa"/>
            <w:noWrap w:val="0"/>
            <w:vAlign w:val="center"/>
          </w:tcPr>
          <w:p w14:paraId="7753C426">
            <w:pPr>
              <w:jc w:val="center"/>
              <w:rPr>
                <w:rFonts w:ascii="宋体" w:hAnsi="宋体"/>
                <w:color w:val="000000"/>
                <w:szCs w:val="21"/>
              </w:rPr>
            </w:pPr>
            <w:r>
              <w:rPr>
                <w:rFonts w:hint="eastAsia" w:ascii="宋体" w:hAnsi="宋体"/>
                <w:color w:val="000000"/>
                <w:szCs w:val="21"/>
              </w:rPr>
              <w:t>37</w:t>
            </w:r>
            <w:r>
              <w:rPr>
                <w:rFonts w:ascii="宋体" w:hAnsi="宋体"/>
                <w:color w:val="000000"/>
                <w:szCs w:val="21"/>
              </w:rPr>
              <w:t>%</w:t>
            </w:r>
          </w:p>
        </w:tc>
      </w:tr>
      <w:tr w14:paraId="47EE59B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132" w:type="dxa"/>
            <w:vMerge w:val="restart"/>
            <w:noWrap w:val="0"/>
            <w:vAlign w:val="center"/>
          </w:tcPr>
          <w:p w14:paraId="0B00EE6B">
            <w:pPr>
              <w:jc w:val="center"/>
              <w:rPr>
                <w:rFonts w:hint="eastAsia" w:ascii="宋体" w:hAnsi="宋体"/>
                <w:color w:val="000000"/>
                <w:szCs w:val="21"/>
              </w:rPr>
            </w:pPr>
            <w:r>
              <w:rPr>
                <w:rFonts w:hint="eastAsia" w:ascii="宋体" w:hAnsi="宋体"/>
                <w:color w:val="000000"/>
                <w:szCs w:val="21"/>
              </w:rPr>
              <w:t>文化程度</w:t>
            </w:r>
          </w:p>
        </w:tc>
        <w:tc>
          <w:tcPr>
            <w:tcW w:w="2132" w:type="dxa"/>
            <w:noWrap w:val="0"/>
            <w:vAlign w:val="center"/>
          </w:tcPr>
          <w:p w14:paraId="004FCBF5">
            <w:pPr>
              <w:jc w:val="center"/>
              <w:rPr>
                <w:rFonts w:hint="eastAsia" w:ascii="宋体" w:hAnsi="宋体"/>
                <w:color w:val="000000"/>
                <w:szCs w:val="21"/>
              </w:rPr>
            </w:pPr>
            <w:r>
              <w:rPr>
                <w:rFonts w:hint="eastAsia" w:ascii="宋体" w:hAnsi="宋体"/>
                <w:color w:val="000000"/>
                <w:szCs w:val="21"/>
              </w:rPr>
              <w:t>小学以下</w:t>
            </w:r>
          </w:p>
        </w:tc>
        <w:tc>
          <w:tcPr>
            <w:tcW w:w="2132" w:type="dxa"/>
            <w:noWrap w:val="0"/>
            <w:vAlign w:val="center"/>
          </w:tcPr>
          <w:p w14:paraId="5536B8C7">
            <w:pPr>
              <w:jc w:val="center"/>
              <w:rPr>
                <w:rFonts w:hint="eastAsia" w:ascii="宋体" w:hAnsi="宋体"/>
                <w:color w:val="000000"/>
                <w:szCs w:val="21"/>
              </w:rPr>
            </w:pPr>
            <w:r>
              <w:rPr>
                <w:rFonts w:hint="eastAsia" w:ascii="宋体" w:hAnsi="宋体"/>
                <w:color w:val="000000"/>
                <w:szCs w:val="21"/>
              </w:rPr>
              <w:t>5</w:t>
            </w:r>
          </w:p>
        </w:tc>
        <w:tc>
          <w:tcPr>
            <w:tcW w:w="2132" w:type="dxa"/>
            <w:noWrap w:val="0"/>
            <w:vAlign w:val="center"/>
          </w:tcPr>
          <w:p w14:paraId="6E790365">
            <w:pPr>
              <w:jc w:val="center"/>
              <w:rPr>
                <w:rFonts w:ascii="宋体" w:hAnsi="宋体"/>
                <w:color w:val="000000"/>
                <w:szCs w:val="21"/>
              </w:rPr>
            </w:pPr>
            <w:r>
              <w:rPr>
                <w:rFonts w:hint="eastAsia" w:ascii="宋体" w:hAnsi="宋体"/>
                <w:color w:val="000000"/>
                <w:szCs w:val="21"/>
              </w:rPr>
              <w:t>12</w:t>
            </w:r>
            <w:r>
              <w:rPr>
                <w:rFonts w:ascii="宋体" w:hAnsi="宋体"/>
                <w:color w:val="000000"/>
                <w:szCs w:val="21"/>
              </w:rPr>
              <w:t>%</w:t>
            </w:r>
          </w:p>
        </w:tc>
      </w:tr>
      <w:tr w14:paraId="3C786C5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132" w:type="dxa"/>
            <w:vMerge w:val="continue"/>
            <w:noWrap w:val="0"/>
            <w:vAlign w:val="center"/>
          </w:tcPr>
          <w:p w14:paraId="7ABC373C">
            <w:pPr>
              <w:jc w:val="center"/>
              <w:rPr>
                <w:rFonts w:hint="eastAsia" w:ascii="宋体" w:hAnsi="宋体"/>
                <w:color w:val="000000"/>
                <w:szCs w:val="21"/>
              </w:rPr>
            </w:pPr>
          </w:p>
        </w:tc>
        <w:tc>
          <w:tcPr>
            <w:tcW w:w="2132" w:type="dxa"/>
            <w:noWrap w:val="0"/>
            <w:vAlign w:val="center"/>
          </w:tcPr>
          <w:p w14:paraId="5A528A94">
            <w:pPr>
              <w:jc w:val="center"/>
              <w:rPr>
                <w:rFonts w:hint="eastAsia" w:ascii="宋体" w:hAnsi="宋体"/>
                <w:color w:val="000000"/>
                <w:szCs w:val="21"/>
              </w:rPr>
            </w:pPr>
            <w:r>
              <w:rPr>
                <w:rFonts w:hint="eastAsia" w:ascii="宋体" w:hAnsi="宋体"/>
                <w:color w:val="000000"/>
                <w:szCs w:val="21"/>
              </w:rPr>
              <w:t>中小学</w:t>
            </w:r>
          </w:p>
        </w:tc>
        <w:tc>
          <w:tcPr>
            <w:tcW w:w="2132" w:type="dxa"/>
            <w:noWrap w:val="0"/>
            <w:vAlign w:val="center"/>
          </w:tcPr>
          <w:p w14:paraId="2B8AE21A">
            <w:pPr>
              <w:jc w:val="center"/>
              <w:rPr>
                <w:rFonts w:hint="eastAsia" w:ascii="宋体" w:hAnsi="宋体"/>
                <w:color w:val="000000"/>
                <w:szCs w:val="21"/>
              </w:rPr>
            </w:pPr>
            <w:r>
              <w:rPr>
                <w:rFonts w:hint="eastAsia" w:ascii="宋体" w:hAnsi="宋体"/>
                <w:color w:val="000000"/>
                <w:szCs w:val="21"/>
              </w:rPr>
              <w:t>23</w:t>
            </w:r>
          </w:p>
        </w:tc>
        <w:tc>
          <w:tcPr>
            <w:tcW w:w="2132" w:type="dxa"/>
            <w:noWrap w:val="0"/>
            <w:vAlign w:val="center"/>
          </w:tcPr>
          <w:p w14:paraId="641D9844">
            <w:pPr>
              <w:jc w:val="center"/>
              <w:rPr>
                <w:rFonts w:hint="eastAsia" w:ascii="宋体" w:hAnsi="宋体"/>
                <w:color w:val="000000"/>
                <w:szCs w:val="21"/>
              </w:rPr>
            </w:pPr>
            <w:r>
              <w:rPr>
                <w:rFonts w:hint="eastAsia" w:ascii="宋体" w:hAnsi="宋体"/>
                <w:color w:val="000000"/>
                <w:szCs w:val="21"/>
              </w:rPr>
              <w:t>53%</w:t>
            </w:r>
          </w:p>
        </w:tc>
      </w:tr>
      <w:tr w14:paraId="21E2F7B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132" w:type="dxa"/>
            <w:vMerge w:val="continue"/>
            <w:noWrap w:val="0"/>
            <w:vAlign w:val="top"/>
          </w:tcPr>
          <w:p w14:paraId="60664308">
            <w:pPr>
              <w:rPr>
                <w:rFonts w:hint="eastAsia" w:ascii="宋体" w:hAnsi="宋体"/>
                <w:b/>
                <w:color w:val="000000"/>
                <w:szCs w:val="21"/>
              </w:rPr>
            </w:pPr>
          </w:p>
        </w:tc>
        <w:tc>
          <w:tcPr>
            <w:tcW w:w="2132" w:type="dxa"/>
            <w:noWrap w:val="0"/>
            <w:vAlign w:val="center"/>
          </w:tcPr>
          <w:p w14:paraId="05A6EDCC">
            <w:pPr>
              <w:jc w:val="center"/>
              <w:rPr>
                <w:rFonts w:hint="eastAsia" w:ascii="宋体" w:hAnsi="宋体"/>
                <w:color w:val="000000"/>
                <w:szCs w:val="21"/>
              </w:rPr>
            </w:pPr>
            <w:r>
              <w:rPr>
                <w:rFonts w:hint="eastAsia" w:ascii="宋体" w:hAnsi="宋体"/>
                <w:color w:val="000000"/>
                <w:szCs w:val="21"/>
              </w:rPr>
              <w:t>高中</w:t>
            </w:r>
          </w:p>
        </w:tc>
        <w:tc>
          <w:tcPr>
            <w:tcW w:w="2132" w:type="dxa"/>
            <w:noWrap w:val="0"/>
            <w:vAlign w:val="center"/>
          </w:tcPr>
          <w:p w14:paraId="5B780577">
            <w:pPr>
              <w:jc w:val="center"/>
              <w:rPr>
                <w:rFonts w:hint="eastAsia" w:ascii="宋体" w:hAnsi="宋体"/>
                <w:color w:val="000000"/>
                <w:szCs w:val="21"/>
              </w:rPr>
            </w:pPr>
            <w:r>
              <w:rPr>
                <w:rFonts w:hint="eastAsia" w:ascii="宋体" w:hAnsi="宋体"/>
                <w:color w:val="000000"/>
                <w:szCs w:val="21"/>
              </w:rPr>
              <w:t>13</w:t>
            </w:r>
          </w:p>
        </w:tc>
        <w:tc>
          <w:tcPr>
            <w:tcW w:w="2132" w:type="dxa"/>
            <w:noWrap w:val="0"/>
            <w:vAlign w:val="center"/>
          </w:tcPr>
          <w:p w14:paraId="02CB1199">
            <w:pPr>
              <w:jc w:val="center"/>
              <w:rPr>
                <w:rFonts w:ascii="宋体" w:hAnsi="宋体"/>
                <w:color w:val="000000"/>
                <w:szCs w:val="21"/>
              </w:rPr>
            </w:pPr>
            <w:r>
              <w:rPr>
                <w:rFonts w:hint="eastAsia" w:ascii="宋体" w:hAnsi="宋体"/>
                <w:color w:val="000000"/>
                <w:szCs w:val="21"/>
              </w:rPr>
              <w:t>30</w:t>
            </w:r>
            <w:r>
              <w:rPr>
                <w:rFonts w:ascii="宋体" w:hAnsi="宋体"/>
                <w:color w:val="000000"/>
                <w:szCs w:val="21"/>
              </w:rPr>
              <w:t>%</w:t>
            </w:r>
          </w:p>
        </w:tc>
      </w:tr>
      <w:tr w14:paraId="01256C9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132" w:type="dxa"/>
            <w:vMerge w:val="continue"/>
            <w:noWrap w:val="0"/>
            <w:vAlign w:val="top"/>
          </w:tcPr>
          <w:p w14:paraId="29EC25C0">
            <w:pPr>
              <w:rPr>
                <w:rFonts w:hint="eastAsia" w:ascii="宋体" w:hAnsi="宋体"/>
                <w:b/>
                <w:color w:val="000000"/>
                <w:szCs w:val="21"/>
              </w:rPr>
            </w:pPr>
          </w:p>
        </w:tc>
        <w:tc>
          <w:tcPr>
            <w:tcW w:w="2132" w:type="dxa"/>
            <w:noWrap w:val="0"/>
            <w:vAlign w:val="center"/>
          </w:tcPr>
          <w:p w14:paraId="50EC9BD6">
            <w:pPr>
              <w:jc w:val="center"/>
              <w:rPr>
                <w:rFonts w:hint="eastAsia" w:ascii="宋体" w:hAnsi="宋体"/>
                <w:color w:val="000000"/>
                <w:szCs w:val="21"/>
              </w:rPr>
            </w:pPr>
            <w:r>
              <w:rPr>
                <w:rFonts w:hint="eastAsia" w:ascii="宋体" w:hAnsi="宋体"/>
                <w:color w:val="000000"/>
                <w:szCs w:val="21"/>
              </w:rPr>
              <w:t>大学及以上</w:t>
            </w:r>
          </w:p>
        </w:tc>
        <w:tc>
          <w:tcPr>
            <w:tcW w:w="2132" w:type="dxa"/>
            <w:noWrap w:val="0"/>
            <w:vAlign w:val="center"/>
          </w:tcPr>
          <w:p w14:paraId="416F4464">
            <w:pPr>
              <w:jc w:val="center"/>
              <w:rPr>
                <w:rFonts w:hint="eastAsia" w:ascii="宋体" w:hAnsi="宋体"/>
                <w:color w:val="000000"/>
                <w:szCs w:val="21"/>
              </w:rPr>
            </w:pPr>
            <w:r>
              <w:rPr>
                <w:rFonts w:hint="eastAsia" w:ascii="宋体" w:hAnsi="宋体"/>
                <w:color w:val="000000"/>
                <w:szCs w:val="21"/>
              </w:rPr>
              <w:t>2</w:t>
            </w:r>
          </w:p>
        </w:tc>
        <w:tc>
          <w:tcPr>
            <w:tcW w:w="2132" w:type="dxa"/>
            <w:noWrap w:val="0"/>
            <w:vAlign w:val="center"/>
          </w:tcPr>
          <w:p w14:paraId="7A82B3AB">
            <w:pPr>
              <w:jc w:val="center"/>
              <w:rPr>
                <w:rFonts w:ascii="宋体" w:hAnsi="宋体"/>
                <w:color w:val="000000"/>
                <w:szCs w:val="21"/>
              </w:rPr>
            </w:pPr>
            <w:r>
              <w:rPr>
                <w:rFonts w:hint="eastAsia" w:ascii="宋体" w:hAnsi="宋体"/>
                <w:color w:val="000000"/>
                <w:szCs w:val="21"/>
              </w:rPr>
              <w:t>5</w:t>
            </w:r>
            <w:r>
              <w:rPr>
                <w:rFonts w:ascii="宋体" w:hAnsi="宋体"/>
                <w:color w:val="000000"/>
                <w:szCs w:val="21"/>
              </w:rPr>
              <w:t>%</w:t>
            </w:r>
          </w:p>
        </w:tc>
      </w:tr>
      <w:tr w14:paraId="14215C4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132" w:type="dxa"/>
            <w:vMerge w:val="restart"/>
            <w:noWrap w:val="0"/>
            <w:vAlign w:val="center"/>
          </w:tcPr>
          <w:p w14:paraId="017A292F">
            <w:pPr>
              <w:jc w:val="center"/>
              <w:rPr>
                <w:rFonts w:hint="eastAsia" w:ascii="宋体" w:hAnsi="宋体"/>
                <w:color w:val="000000"/>
                <w:szCs w:val="21"/>
              </w:rPr>
            </w:pPr>
            <w:r>
              <w:rPr>
                <w:rFonts w:hint="eastAsia" w:ascii="宋体" w:hAnsi="宋体"/>
                <w:color w:val="000000"/>
                <w:szCs w:val="21"/>
              </w:rPr>
              <w:t>年龄</w:t>
            </w:r>
          </w:p>
        </w:tc>
        <w:tc>
          <w:tcPr>
            <w:tcW w:w="2132" w:type="dxa"/>
            <w:noWrap w:val="0"/>
            <w:vAlign w:val="center"/>
          </w:tcPr>
          <w:p w14:paraId="08C90B00">
            <w:pPr>
              <w:jc w:val="center"/>
              <w:rPr>
                <w:rFonts w:ascii="宋体" w:hAnsi="宋体"/>
                <w:color w:val="000000"/>
                <w:szCs w:val="21"/>
              </w:rPr>
            </w:pPr>
            <w:r>
              <w:rPr>
                <w:rFonts w:ascii="宋体" w:hAnsi="宋体"/>
                <w:color w:val="000000"/>
                <w:szCs w:val="21"/>
              </w:rPr>
              <w:t>≤25岁</w:t>
            </w:r>
          </w:p>
        </w:tc>
        <w:tc>
          <w:tcPr>
            <w:tcW w:w="2132" w:type="dxa"/>
            <w:noWrap w:val="0"/>
            <w:vAlign w:val="center"/>
          </w:tcPr>
          <w:p w14:paraId="2AE7CEA9">
            <w:pPr>
              <w:jc w:val="center"/>
              <w:rPr>
                <w:rFonts w:hint="eastAsia" w:ascii="宋体" w:hAnsi="宋体"/>
                <w:color w:val="000000"/>
                <w:szCs w:val="21"/>
              </w:rPr>
            </w:pPr>
            <w:r>
              <w:rPr>
                <w:rFonts w:hint="eastAsia" w:ascii="宋体" w:hAnsi="宋体"/>
                <w:color w:val="000000"/>
                <w:szCs w:val="21"/>
              </w:rPr>
              <w:t>0</w:t>
            </w:r>
          </w:p>
        </w:tc>
        <w:tc>
          <w:tcPr>
            <w:tcW w:w="2132" w:type="dxa"/>
            <w:noWrap w:val="0"/>
            <w:vAlign w:val="center"/>
          </w:tcPr>
          <w:p w14:paraId="723C22E7">
            <w:pPr>
              <w:jc w:val="center"/>
              <w:rPr>
                <w:rFonts w:ascii="宋体" w:hAnsi="宋体"/>
                <w:color w:val="000000"/>
                <w:szCs w:val="21"/>
              </w:rPr>
            </w:pPr>
            <w:r>
              <w:rPr>
                <w:rFonts w:hint="eastAsia" w:ascii="宋体" w:hAnsi="宋体"/>
                <w:color w:val="000000"/>
                <w:szCs w:val="21"/>
              </w:rPr>
              <w:t>0</w:t>
            </w:r>
          </w:p>
        </w:tc>
      </w:tr>
      <w:tr w14:paraId="0A176F0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132" w:type="dxa"/>
            <w:vMerge w:val="continue"/>
            <w:noWrap w:val="0"/>
            <w:vAlign w:val="center"/>
          </w:tcPr>
          <w:p w14:paraId="7DE7A9B1">
            <w:pPr>
              <w:jc w:val="center"/>
              <w:rPr>
                <w:rFonts w:hint="eastAsia" w:ascii="宋体" w:hAnsi="宋体"/>
                <w:b/>
                <w:color w:val="000000"/>
                <w:szCs w:val="21"/>
              </w:rPr>
            </w:pPr>
          </w:p>
        </w:tc>
        <w:tc>
          <w:tcPr>
            <w:tcW w:w="2132" w:type="dxa"/>
            <w:noWrap w:val="0"/>
            <w:vAlign w:val="center"/>
          </w:tcPr>
          <w:p w14:paraId="20C6FD95">
            <w:pPr>
              <w:jc w:val="center"/>
              <w:rPr>
                <w:rFonts w:ascii="宋体" w:hAnsi="宋体"/>
                <w:color w:val="000000"/>
                <w:szCs w:val="21"/>
              </w:rPr>
            </w:pPr>
            <w:r>
              <w:rPr>
                <w:rFonts w:ascii="宋体" w:hAnsi="宋体"/>
                <w:color w:val="000000"/>
                <w:szCs w:val="21"/>
              </w:rPr>
              <w:t>26～40岁</w:t>
            </w:r>
          </w:p>
        </w:tc>
        <w:tc>
          <w:tcPr>
            <w:tcW w:w="2132" w:type="dxa"/>
            <w:noWrap w:val="0"/>
            <w:vAlign w:val="center"/>
          </w:tcPr>
          <w:p w14:paraId="2347A669">
            <w:pPr>
              <w:jc w:val="center"/>
              <w:rPr>
                <w:rFonts w:hint="eastAsia" w:ascii="宋体" w:hAnsi="宋体"/>
                <w:color w:val="000000"/>
                <w:szCs w:val="21"/>
              </w:rPr>
            </w:pPr>
            <w:r>
              <w:rPr>
                <w:rFonts w:hint="eastAsia" w:ascii="宋体" w:hAnsi="宋体"/>
                <w:color w:val="000000"/>
                <w:szCs w:val="21"/>
              </w:rPr>
              <w:t>4</w:t>
            </w:r>
          </w:p>
        </w:tc>
        <w:tc>
          <w:tcPr>
            <w:tcW w:w="2132" w:type="dxa"/>
            <w:noWrap w:val="0"/>
            <w:vAlign w:val="center"/>
          </w:tcPr>
          <w:p w14:paraId="27187B32">
            <w:pPr>
              <w:jc w:val="center"/>
              <w:rPr>
                <w:rFonts w:ascii="宋体" w:hAnsi="宋体"/>
                <w:color w:val="000000"/>
                <w:szCs w:val="21"/>
              </w:rPr>
            </w:pPr>
            <w:r>
              <w:rPr>
                <w:rFonts w:hint="eastAsia" w:ascii="宋体" w:hAnsi="宋体"/>
                <w:color w:val="000000"/>
                <w:szCs w:val="21"/>
              </w:rPr>
              <w:t>9</w:t>
            </w:r>
            <w:r>
              <w:rPr>
                <w:rFonts w:ascii="宋体" w:hAnsi="宋体"/>
                <w:color w:val="000000"/>
                <w:szCs w:val="21"/>
              </w:rPr>
              <w:t>%</w:t>
            </w:r>
          </w:p>
        </w:tc>
      </w:tr>
      <w:tr w14:paraId="4A36F00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132" w:type="dxa"/>
            <w:vMerge w:val="continue"/>
            <w:noWrap w:val="0"/>
            <w:vAlign w:val="center"/>
          </w:tcPr>
          <w:p w14:paraId="1693D4BB">
            <w:pPr>
              <w:jc w:val="center"/>
              <w:rPr>
                <w:rFonts w:hint="eastAsia" w:ascii="宋体" w:hAnsi="宋体"/>
                <w:b/>
                <w:color w:val="000000"/>
                <w:szCs w:val="21"/>
              </w:rPr>
            </w:pPr>
          </w:p>
        </w:tc>
        <w:tc>
          <w:tcPr>
            <w:tcW w:w="2132" w:type="dxa"/>
            <w:noWrap w:val="0"/>
            <w:vAlign w:val="center"/>
          </w:tcPr>
          <w:p w14:paraId="71620ADA">
            <w:pPr>
              <w:jc w:val="center"/>
              <w:rPr>
                <w:rFonts w:ascii="宋体" w:hAnsi="宋体"/>
                <w:color w:val="000000"/>
                <w:szCs w:val="21"/>
              </w:rPr>
            </w:pPr>
            <w:r>
              <w:rPr>
                <w:rFonts w:ascii="宋体" w:hAnsi="宋体"/>
                <w:color w:val="000000"/>
                <w:szCs w:val="21"/>
              </w:rPr>
              <w:t>41～60岁</w:t>
            </w:r>
          </w:p>
        </w:tc>
        <w:tc>
          <w:tcPr>
            <w:tcW w:w="2132" w:type="dxa"/>
            <w:noWrap w:val="0"/>
            <w:vAlign w:val="center"/>
          </w:tcPr>
          <w:p w14:paraId="1A9E571B">
            <w:pPr>
              <w:jc w:val="center"/>
              <w:rPr>
                <w:rFonts w:hint="eastAsia" w:ascii="宋体" w:hAnsi="宋体"/>
                <w:color w:val="000000"/>
                <w:szCs w:val="21"/>
              </w:rPr>
            </w:pPr>
            <w:r>
              <w:rPr>
                <w:rFonts w:hint="eastAsia" w:ascii="宋体" w:hAnsi="宋体"/>
                <w:color w:val="000000"/>
                <w:szCs w:val="21"/>
              </w:rPr>
              <w:t>25</w:t>
            </w:r>
          </w:p>
        </w:tc>
        <w:tc>
          <w:tcPr>
            <w:tcW w:w="2132" w:type="dxa"/>
            <w:noWrap w:val="0"/>
            <w:vAlign w:val="center"/>
          </w:tcPr>
          <w:p w14:paraId="20931EE1">
            <w:pPr>
              <w:jc w:val="center"/>
              <w:rPr>
                <w:rFonts w:ascii="宋体" w:hAnsi="宋体"/>
                <w:color w:val="000000"/>
                <w:szCs w:val="21"/>
              </w:rPr>
            </w:pPr>
            <w:r>
              <w:rPr>
                <w:rFonts w:hint="eastAsia" w:ascii="宋体" w:hAnsi="宋体"/>
                <w:color w:val="000000"/>
                <w:szCs w:val="21"/>
              </w:rPr>
              <w:t>58</w:t>
            </w:r>
            <w:r>
              <w:rPr>
                <w:rFonts w:ascii="宋体" w:hAnsi="宋体"/>
                <w:color w:val="000000"/>
                <w:szCs w:val="21"/>
              </w:rPr>
              <w:t>%</w:t>
            </w:r>
          </w:p>
        </w:tc>
      </w:tr>
      <w:tr w14:paraId="480D69E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132" w:type="dxa"/>
            <w:vMerge w:val="continue"/>
            <w:noWrap w:val="0"/>
            <w:vAlign w:val="center"/>
          </w:tcPr>
          <w:p w14:paraId="1E07A5AC">
            <w:pPr>
              <w:jc w:val="center"/>
              <w:rPr>
                <w:rFonts w:hint="eastAsia" w:ascii="宋体" w:hAnsi="宋体"/>
                <w:b/>
                <w:color w:val="000000"/>
                <w:szCs w:val="21"/>
              </w:rPr>
            </w:pPr>
          </w:p>
        </w:tc>
        <w:tc>
          <w:tcPr>
            <w:tcW w:w="2132" w:type="dxa"/>
            <w:noWrap w:val="0"/>
            <w:vAlign w:val="center"/>
          </w:tcPr>
          <w:p w14:paraId="76D9984C">
            <w:pPr>
              <w:jc w:val="center"/>
              <w:rPr>
                <w:rFonts w:hint="eastAsia" w:ascii="宋体" w:hAnsi="宋体"/>
                <w:color w:val="000000"/>
                <w:szCs w:val="21"/>
              </w:rPr>
            </w:pPr>
            <w:r>
              <w:rPr>
                <w:rFonts w:hint="eastAsia" w:ascii="宋体" w:hAnsi="宋体"/>
                <w:color w:val="000000"/>
                <w:szCs w:val="21"/>
              </w:rPr>
              <w:t>60以上</w:t>
            </w:r>
          </w:p>
        </w:tc>
        <w:tc>
          <w:tcPr>
            <w:tcW w:w="2132" w:type="dxa"/>
            <w:noWrap w:val="0"/>
            <w:vAlign w:val="center"/>
          </w:tcPr>
          <w:p w14:paraId="55778118">
            <w:pPr>
              <w:jc w:val="center"/>
              <w:rPr>
                <w:rFonts w:hint="eastAsia" w:ascii="宋体" w:hAnsi="宋体"/>
                <w:color w:val="000000"/>
                <w:szCs w:val="21"/>
              </w:rPr>
            </w:pPr>
            <w:r>
              <w:rPr>
                <w:rFonts w:hint="eastAsia" w:ascii="宋体" w:hAnsi="宋体"/>
                <w:color w:val="000000"/>
                <w:szCs w:val="21"/>
              </w:rPr>
              <w:t>14</w:t>
            </w:r>
          </w:p>
        </w:tc>
        <w:tc>
          <w:tcPr>
            <w:tcW w:w="2132" w:type="dxa"/>
            <w:noWrap w:val="0"/>
            <w:vAlign w:val="center"/>
          </w:tcPr>
          <w:p w14:paraId="0CC3B2BD">
            <w:pPr>
              <w:jc w:val="center"/>
              <w:rPr>
                <w:rFonts w:hint="eastAsia" w:ascii="宋体" w:hAnsi="宋体"/>
                <w:color w:val="000000"/>
                <w:szCs w:val="21"/>
              </w:rPr>
            </w:pPr>
            <w:r>
              <w:rPr>
                <w:rFonts w:hint="eastAsia" w:ascii="宋体" w:hAnsi="宋体"/>
                <w:color w:val="000000"/>
                <w:szCs w:val="21"/>
              </w:rPr>
              <w:t>33%</w:t>
            </w:r>
          </w:p>
        </w:tc>
      </w:tr>
      <w:tr w14:paraId="10D1A9B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13" w:hRule="atLeast"/>
        </w:trPr>
        <w:tc>
          <w:tcPr>
            <w:tcW w:w="2132" w:type="dxa"/>
            <w:vMerge w:val="restart"/>
            <w:noWrap w:val="0"/>
            <w:vAlign w:val="center"/>
          </w:tcPr>
          <w:p w14:paraId="0EA63365">
            <w:pPr>
              <w:jc w:val="center"/>
              <w:rPr>
                <w:rFonts w:hint="eastAsia" w:ascii="宋体" w:hAnsi="宋体"/>
                <w:color w:val="000000"/>
                <w:szCs w:val="21"/>
              </w:rPr>
            </w:pPr>
            <w:r>
              <w:rPr>
                <w:rFonts w:hint="eastAsia" w:ascii="宋体" w:hAnsi="宋体"/>
                <w:color w:val="000000"/>
                <w:szCs w:val="21"/>
              </w:rPr>
              <w:t>职业</w:t>
            </w:r>
          </w:p>
        </w:tc>
        <w:tc>
          <w:tcPr>
            <w:tcW w:w="2132" w:type="dxa"/>
            <w:noWrap w:val="0"/>
            <w:vAlign w:val="center"/>
          </w:tcPr>
          <w:p w14:paraId="7119C5F7">
            <w:pPr>
              <w:jc w:val="center"/>
              <w:rPr>
                <w:rFonts w:hint="eastAsia" w:ascii="宋体" w:hAnsi="宋体"/>
                <w:color w:val="000000"/>
                <w:szCs w:val="21"/>
              </w:rPr>
            </w:pPr>
            <w:r>
              <w:rPr>
                <w:rFonts w:hint="eastAsia" w:ascii="宋体" w:hAnsi="宋体"/>
                <w:color w:val="000000"/>
                <w:szCs w:val="21"/>
              </w:rPr>
              <w:t>干部</w:t>
            </w:r>
          </w:p>
        </w:tc>
        <w:tc>
          <w:tcPr>
            <w:tcW w:w="2132" w:type="dxa"/>
            <w:noWrap w:val="0"/>
            <w:vAlign w:val="center"/>
          </w:tcPr>
          <w:p w14:paraId="2384A15E">
            <w:pPr>
              <w:jc w:val="center"/>
              <w:rPr>
                <w:rFonts w:hint="eastAsia" w:ascii="宋体" w:hAnsi="宋体"/>
                <w:color w:val="000000"/>
                <w:szCs w:val="21"/>
              </w:rPr>
            </w:pPr>
            <w:r>
              <w:rPr>
                <w:rFonts w:hint="eastAsia" w:ascii="宋体" w:hAnsi="宋体"/>
                <w:color w:val="000000"/>
                <w:szCs w:val="21"/>
              </w:rPr>
              <w:t>3</w:t>
            </w:r>
          </w:p>
        </w:tc>
        <w:tc>
          <w:tcPr>
            <w:tcW w:w="2132" w:type="dxa"/>
            <w:noWrap w:val="0"/>
            <w:vAlign w:val="center"/>
          </w:tcPr>
          <w:p w14:paraId="15C043F9">
            <w:pPr>
              <w:jc w:val="center"/>
              <w:rPr>
                <w:rFonts w:ascii="宋体" w:hAnsi="宋体"/>
                <w:color w:val="000000"/>
                <w:szCs w:val="21"/>
              </w:rPr>
            </w:pPr>
            <w:r>
              <w:rPr>
                <w:rFonts w:hint="eastAsia" w:ascii="宋体" w:hAnsi="宋体"/>
                <w:color w:val="000000"/>
                <w:szCs w:val="21"/>
              </w:rPr>
              <w:t>7</w:t>
            </w:r>
            <w:r>
              <w:rPr>
                <w:rFonts w:ascii="宋体" w:hAnsi="宋体"/>
                <w:color w:val="000000"/>
                <w:szCs w:val="21"/>
              </w:rPr>
              <w:t>%</w:t>
            </w:r>
          </w:p>
        </w:tc>
      </w:tr>
      <w:tr w14:paraId="6422F2F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17" w:hRule="atLeast"/>
        </w:trPr>
        <w:tc>
          <w:tcPr>
            <w:tcW w:w="2132" w:type="dxa"/>
            <w:vMerge w:val="continue"/>
            <w:noWrap w:val="0"/>
            <w:vAlign w:val="center"/>
          </w:tcPr>
          <w:p w14:paraId="58E29C2A">
            <w:pPr>
              <w:jc w:val="center"/>
              <w:rPr>
                <w:rFonts w:hint="eastAsia" w:ascii="宋体" w:hAnsi="宋体"/>
                <w:b/>
                <w:color w:val="000000"/>
                <w:szCs w:val="21"/>
              </w:rPr>
            </w:pPr>
          </w:p>
        </w:tc>
        <w:tc>
          <w:tcPr>
            <w:tcW w:w="2132" w:type="dxa"/>
            <w:noWrap w:val="0"/>
            <w:vAlign w:val="center"/>
          </w:tcPr>
          <w:p w14:paraId="05E9E364">
            <w:pPr>
              <w:jc w:val="center"/>
              <w:rPr>
                <w:rFonts w:hint="eastAsia" w:ascii="宋体" w:hAnsi="宋体"/>
                <w:color w:val="000000"/>
                <w:szCs w:val="21"/>
              </w:rPr>
            </w:pPr>
            <w:r>
              <w:rPr>
                <w:rFonts w:hint="eastAsia" w:ascii="宋体" w:hAnsi="宋体"/>
                <w:color w:val="000000"/>
                <w:szCs w:val="21"/>
              </w:rPr>
              <w:t>工人</w:t>
            </w:r>
          </w:p>
        </w:tc>
        <w:tc>
          <w:tcPr>
            <w:tcW w:w="2132" w:type="dxa"/>
            <w:noWrap w:val="0"/>
            <w:vAlign w:val="center"/>
          </w:tcPr>
          <w:p w14:paraId="0EAB384D">
            <w:pPr>
              <w:jc w:val="center"/>
              <w:rPr>
                <w:rFonts w:hint="eastAsia" w:ascii="宋体" w:hAnsi="宋体"/>
                <w:color w:val="000000"/>
                <w:szCs w:val="21"/>
              </w:rPr>
            </w:pPr>
            <w:r>
              <w:rPr>
                <w:rFonts w:hint="eastAsia" w:ascii="宋体" w:hAnsi="宋体"/>
                <w:color w:val="000000"/>
                <w:szCs w:val="21"/>
              </w:rPr>
              <w:t>29</w:t>
            </w:r>
          </w:p>
        </w:tc>
        <w:tc>
          <w:tcPr>
            <w:tcW w:w="2132" w:type="dxa"/>
            <w:noWrap w:val="0"/>
            <w:vAlign w:val="center"/>
          </w:tcPr>
          <w:p w14:paraId="39AFD3E9">
            <w:pPr>
              <w:jc w:val="center"/>
              <w:rPr>
                <w:rFonts w:ascii="宋体" w:hAnsi="宋体"/>
                <w:color w:val="000000"/>
                <w:szCs w:val="21"/>
              </w:rPr>
            </w:pPr>
            <w:r>
              <w:rPr>
                <w:rFonts w:hint="eastAsia" w:ascii="宋体" w:hAnsi="宋体"/>
                <w:color w:val="000000"/>
                <w:szCs w:val="21"/>
              </w:rPr>
              <w:t>67</w:t>
            </w:r>
            <w:r>
              <w:rPr>
                <w:rFonts w:ascii="宋体" w:hAnsi="宋体"/>
                <w:color w:val="000000"/>
                <w:szCs w:val="21"/>
              </w:rPr>
              <w:t>%</w:t>
            </w:r>
          </w:p>
        </w:tc>
      </w:tr>
      <w:tr w14:paraId="62A946C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17" w:hRule="atLeast"/>
        </w:trPr>
        <w:tc>
          <w:tcPr>
            <w:tcW w:w="2132" w:type="dxa"/>
            <w:vMerge w:val="continue"/>
            <w:noWrap w:val="0"/>
            <w:vAlign w:val="center"/>
          </w:tcPr>
          <w:p w14:paraId="5F790BD2">
            <w:pPr>
              <w:jc w:val="center"/>
              <w:rPr>
                <w:rFonts w:hint="eastAsia" w:ascii="宋体" w:hAnsi="宋体"/>
                <w:b/>
                <w:color w:val="000000"/>
                <w:szCs w:val="21"/>
              </w:rPr>
            </w:pPr>
          </w:p>
        </w:tc>
        <w:tc>
          <w:tcPr>
            <w:tcW w:w="2132" w:type="dxa"/>
            <w:noWrap w:val="0"/>
            <w:vAlign w:val="center"/>
          </w:tcPr>
          <w:p w14:paraId="180C808D">
            <w:pPr>
              <w:jc w:val="center"/>
              <w:rPr>
                <w:rFonts w:hint="eastAsia" w:ascii="宋体" w:hAnsi="宋体"/>
                <w:color w:val="000000"/>
                <w:szCs w:val="21"/>
              </w:rPr>
            </w:pPr>
            <w:r>
              <w:rPr>
                <w:rFonts w:hint="eastAsia" w:ascii="宋体" w:hAnsi="宋体"/>
                <w:color w:val="000000"/>
                <w:szCs w:val="21"/>
              </w:rPr>
              <w:t>农民</w:t>
            </w:r>
          </w:p>
        </w:tc>
        <w:tc>
          <w:tcPr>
            <w:tcW w:w="2132" w:type="dxa"/>
            <w:noWrap w:val="0"/>
            <w:vAlign w:val="center"/>
          </w:tcPr>
          <w:p w14:paraId="58CFDC77">
            <w:pPr>
              <w:jc w:val="center"/>
              <w:rPr>
                <w:rFonts w:hint="eastAsia" w:ascii="宋体" w:hAnsi="宋体"/>
                <w:color w:val="000000"/>
                <w:szCs w:val="21"/>
              </w:rPr>
            </w:pPr>
            <w:r>
              <w:rPr>
                <w:rFonts w:hint="eastAsia" w:ascii="宋体" w:hAnsi="宋体"/>
                <w:color w:val="000000"/>
                <w:szCs w:val="21"/>
              </w:rPr>
              <w:t>5</w:t>
            </w:r>
          </w:p>
        </w:tc>
        <w:tc>
          <w:tcPr>
            <w:tcW w:w="2132" w:type="dxa"/>
            <w:noWrap w:val="0"/>
            <w:vAlign w:val="center"/>
          </w:tcPr>
          <w:p w14:paraId="1FE85D18">
            <w:pPr>
              <w:jc w:val="center"/>
              <w:rPr>
                <w:rFonts w:hint="eastAsia" w:ascii="宋体" w:hAnsi="宋体"/>
                <w:color w:val="000000"/>
                <w:szCs w:val="21"/>
              </w:rPr>
            </w:pPr>
            <w:r>
              <w:rPr>
                <w:rFonts w:hint="eastAsia" w:ascii="宋体" w:hAnsi="宋体"/>
                <w:color w:val="000000"/>
                <w:szCs w:val="21"/>
              </w:rPr>
              <w:t>12</w:t>
            </w:r>
            <w:r>
              <w:rPr>
                <w:rFonts w:ascii="宋体" w:hAnsi="宋体"/>
                <w:color w:val="000000"/>
                <w:szCs w:val="21"/>
              </w:rPr>
              <w:t>%</w:t>
            </w:r>
          </w:p>
        </w:tc>
      </w:tr>
      <w:tr w14:paraId="575CCA9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2132" w:type="dxa"/>
            <w:vMerge w:val="continue"/>
            <w:noWrap w:val="0"/>
            <w:vAlign w:val="center"/>
          </w:tcPr>
          <w:p w14:paraId="7BE60C2F">
            <w:pPr>
              <w:jc w:val="center"/>
              <w:rPr>
                <w:rFonts w:hint="eastAsia" w:ascii="宋体" w:hAnsi="宋体"/>
                <w:b/>
                <w:color w:val="000000"/>
                <w:szCs w:val="21"/>
              </w:rPr>
            </w:pPr>
          </w:p>
        </w:tc>
        <w:tc>
          <w:tcPr>
            <w:tcW w:w="2132" w:type="dxa"/>
            <w:noWrap w:val="0"/>
            <w:vAlign w:val="center"/>
          </w:tcPr>
          <w:p w14:paraId="4227ADAE">
            <w:pPr>
              <w:jc w:val="center"/>
              <w:rPr>
                <w:rFonts w:hint="eastAsia" w:ascii="宋体" w:hAnsi="宋体"/>
                <w:color w:val="000000"/>
                <w:szCs w:val="21"/>
              </w:rPr>
            </w:pPr>
            <w:r>
              <w:rPr>
                <w:rFonts w:hint="eastAsia" w:ascii="宋体" w:hAnsi="宋体"/>
                <w:color w:val="000000"/>
                <w:szCs w:val="21"/>
              </w:rPr>
              <w:t>个体</w:t>
            </w:r>
          </w:p>
        </w:tc>
        <w:tc>
          <w:tcPr>
            <w:tcW w:w="2132" w:type="dxa"/>
            <w:noWrap w:val="0"/>
            <w:vAlign w:val="center"/>
          </w:tcPr>
          <w:p w14:paraId="3D5623BE">
            <w:pPr>
              <w:jc w:val="center"/>
              <w:rPr>
                <w:rFonts w:hint="eastAsia" w:ascii="宋体" w:hAnsi="宋体"/>
                <w:color w:val="000000"/>
                <w:szCs w:val="21"/>
              </w:rPr>
            </w:pPr>
            <w:r>
              <w:rPr>
                <w:rFonts w:hint="eastAsia" w:ascii="宋体" w:hAnsi="宋体"/>
                <w:color w:val="000000"/>
                <w:szCs w:val="21"/>
              </w:rPr>
              <w:t>3</w:t>
            </w:r>
          </w:p>
        </w:tc>
        <w:tc>
          <w:tcPr>
            <w:tcW w:w="2132" w:type="dxa"/>
            <w:noWrap w:val="0"/>
            <w:vAlign w:val="center"/>
          </w:tcPr>
          <w:p w14:paraId="3326B6AC">
            <w:pPr>
              <w:jc w:val="center"/>
              <w:rPr>
                <w:rFonts w:ascii="宋体" w:hAnsi="宋体"/>
                <w:color w:val="000000"/>
                <w:szCs w:val="21"/>
              </w:rPr>
            </w:pPr>
            <w:r>
              <w:rPr>
                <w:rFonts w:hint="eastAsia" w:ascii="宋体" w:hAnsi="宋体"/>
                <w:color w:val="000000"/>
                <w:szCs w:val="21"/>
              </w:rPr>
              <w:t>7</w:t>
            </w:r>
            <w:r>
              <w:rPr>
                <w:rFonts w:ascii="宋体" w:hAnsi="宋体"/>
                <w:color w:val="000000"/>
                <w:szCs w:val="21"/>
              </w:rPr>
              <w:t>%</w:t>
            </w:r>
          </w:p>
        </w:tc>
      </w:tr>
      <w:tr w14:paraId="51485E0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02" w:hRule="atLeast"/>
        </w:trPr>
        <w:tc>
          <w:tcPr>
            <w:tcW w:w="2132" w:type="dxa"/>
            <w:vMerge w:val="continue"/>
            <w:noWrap w:val="0"/>
            <w:vAlign w:val="center"/>
          </w:tcPr>
          <w:p w14:paraId="6F7BA5C6">
            <w:pPr>
              <w:jc w:val="center"/>
              <w:rPr>
                <w:rFonts w:hint="eastAsia" w:ascii="宋体" w:hAnsi="宋体"/>
                <w:b/>
                <w:color w:val="000000"/>
                <w:szCs w:val="21"/>
              </w:rPr>
            </w:pPr>
          </w:p>
        </w:tc>
        <w:tc>
          <w:tcPr>
            <w:tcW w:w="2132" w:type="dxa"/>
            <w:noWrap w:val="0"/>
            <w:vAlign w:val="center"/>
          </w:tcPr>
          <w:p w14:paraId="7BB24E8E">
            <w:pPr>
              <w:jc w:val="center"/>
              <w:rPr>
                <w:rFonts w:hint="eastAsia" w:ascii="宋体" w:hAnsi="宋体"/>
                <w:color w:val="000000"/>
                <w:szCs w:val="21"/>
              </w:rPr>
            </w:pPr>
            <w:r>
              <w:rPr>
                <w:rFonts w:hint="eastAsia" w:ascii="宋体" w:hAnsi="宋体"/>
                <w:color w:val="000000"/>
                <w:szCs w:val="21"/>
              </w:rPr>
              <w:t>学生</w:t>
            </w:r>
          </w:p>
        </w:tc>
        <w:tc>
          <w:tcPr>
            <w:tcW w:w="2132" w:type="dxa"/>
            <w:noWrap w:val="0"/>
            <w:vAlign w:val="center"/>
          </w:tcPr>
          <w:p w14:paraId="3B4EB11F">
            <w:pPr>
              <w:jc w:val="center"/>
              <w:rPr>
                <w:rFonts w:hint="eastAsia" w:ascii="宋体" w:hAnsi="宋体"/>
                <w:color w:val="000000"/>
                <w:szCs w:val="21"/>
              </w:rPr>
            </w:pPr>
            <w:r>
              <w:rPr>
                <w:rFonts w:hint="eastAsia" w:ascii="宋体" w:hAnsi="宋体"/>
                <w:color w:val="000000"/>
                <w:szCs w:val="21"/>
              </w:rPr>
              <w:t>0</w:t>
            </w:r>
          </w:p>
        </w:tc>
        <w:tc>
          <w:tcPr>
            <w:tcW w:w="2132" w:type="dxa"/>
            <w:noWrap w:val="0"/>
            <w:vAlign w:val="center"/>
          </w:tcPr>
          <w:p w14:paraId="42239697">
            <w:pPr>
              <w:jc w:val="center"/>
              <w:rPr>
                <w:rFonts w:ascii="宋体" w:hAnsi="宋体"/>
                <w:color w:val="000000"/>
                <w:szCs w:val="21"/>
              </w:rPr>
            </w:pPr>
            <w:r>
              <w:rPr>
                <w:rFonts w:hint="eastAsia" w:ascii="宋体" w:hAnsi="宋体"/>
                <w:color w:val="000000"/>
                <w:szCs w:val="21"/>
              </w:rPr>
              <w:t>0</w:t>
            </w:r>
          </w:p>
        </w:tc>
      </w:tr>
      <w:tr w14:paraId="50DB463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95" w:hRule="atLeast"/>
        </w:trPr>
        <w:tc>
          <w:tcPr>
            <w:tcW w:w="2132" w:type="dxa"/>
            <w:vMerge w:val="continue"/>
            <w:noWrap w:val="0"/>
            <w:vAlign w:val="center"/>
          </w:tcPr>
          <w:p w14:paraId="636B28DA">
            <w:pPr>
              <w:jc w:val="center"/>
              <w:rPr>
                <w:rFonts w:hint="eastAsia" w:ascii="宋体" w:hAnsi="宋体"/>
                <w:b/>
                <w:color w:val="000000"/>
                <w:szCs w:val="21"/>
              </w:rPr>
            </w:pPr>
          </w:p>
        </w:tc>
        <w:tc>
          <w:tcPr>
            <w:tcW w:w="2132" w:type="dxa"/>
            <w:noWrap w:val="0"/>
            <w:vAlign w:val="center"/>
          </w:tcPr>
          <w:p w14:paraId="38517DF7">
            <w:pPr>
              <w:jc w:val="center"/>
              <w:rPr>
                <w:rFonts w:hint="eastAsia" w:ascii="宋体" w:hAnsi="宋体"/>
                <w:color w:val="000000"/>
                <w:szCs w:val="21"/>
              </w:rPr>
            </w:pPr>
            <w:r>
              <w:rPr>
                <w:rFonts w:hint="eastAsia" w:ascii="宋体" w:hAnsi="宋体"/>
                <w:color w:val="000000"/>
                <w:szCs w:val="21"/>
              </w:rPr>
              <w:t>其它</w:t>
            </w:r>
          </w:p>
        </w:tc>
        <w:tc>
          <w:tcPr>
            <w:tcW w:w="2132" w:type="dxa"/>
            <w:noWrap w:val="0"/>
            <w:vAlign w:val="center"/>
          </w:tcPr>
          <w:p w14:paraId="69F25942">
            <w:pPr>
              <w:jc w:val="center"/>
              <w:rPr>
                <w:rFonts w:hint="eastAsia" w:ascii="宋体" w:hAnsi="宋体"/>
                <w:color w:val="000000"/>
                <w:szCs w:val="21"/>
              </w:rPr>
            </w:pPr>
            <w:r>
              <w:rPr>
                <w:rFonts w:hint="eastAsia" w:ascii="宋体" w:hAnsi="宋体"/>
                <w:color w:val="000000"/>
                <w:szCs w:val="21"/>
              </w:rPr>
              <w:t>3</w:t>
            </w:r>
          </w:p>
        </w:tc>
        <w:tc>
          <w:tcPr>
            <w:tcW w:w="2132" w:type="dxa"/>
            <w:noWrap w:val="0"/>
            <w:vAlign w:val="center"/>
          </w:tcPr>
          <w:p w14:paraId="7E4B438E">
            <w:pPr>
              <w:jc w:val="center"/>
              <w:rPr>
                <w:rFonts w:ascii="宋体" w:hAnsi="宋体"/>
                <w:color w:val="000000"/>
                <w:szCs w:val="21"/>
              </w:rPr>
            </w:pPr>
            <w:r>
              <w:rPr>
                <w:rFonts w:hint="eastAsia" w:ascii="宋体" w:hAnsi="宋体"/>
                <w:color w:val="000000"/>
                <w:szCs w:val="21"/>
              </w:rPr>
              <w:t>7</w:t>
            </w:r>
            <w:r>
              <w:rPr>
                <w:rFonts w:ascii="宋体" w:hAnsi="宋体"/>
                <w:color w:val="000000"/>
                <w:szCs w:val="21"/>
              </w:rPr>
              <w:t>%</w:t>
            </w:r>
          </w:p>
        </w:tc>
      </w:tr>
    </w:tbl>
    <w:p w14:paraId="74FBFA42">
      <w:pPr>
        <w:spacing w:before="240"/>
        <w:jc w:val="center"/>
        <w:rPr>
          <w:rFonts w:hint="eastAsia"/>
          <w:b/>
          <w:bCs/>
          <w:color w:val="000000"/>
          <w:sz w:val="24"/>
        </w:rPr>
      </w:pPr>
      <w:r>
        <w:rPr>
          <w:b/>
          <w:bCs/>
          <w:color w:val="000000"/>
          <w:sz w:val="24"/>
        </w:rPr>
        <w:t>表</w:t>
      </w:r>
      <w:r>
        <w:rPr>
          <w:rFonts w:hint="eastAsia"/>
          <w:b/>
          <w:bCs/>
          <w:color w:val="000000"/>
          <w:sz w:val="24"/>
        </w:rPr>
        <w:t>12.5</w:t>
      </w:r>
      <w:r>
        <w:rPr>
          <w:b/>
          <w:bCs/>
          <w:color w:val="000000"/>
          <w:sz w:val="24"/>
        </w:rPr>
        <w:t>-</w:t>
      </w:r>
      <w:r>
        <w:rPr>
          <w:rFonts w:hint="eastAsia"/>
          <w:b/>
          <w:bCs/>
          <w:color w:val="000000"/>
          <w:sz w:val="24"/>
        </w:rPr>
        <w:t>4</w:t>
      </w:r>
      <w:r>
        <w:rPr>
          <w:b/>
          <w:bCs/>
          <w:color w:val="000000"/>
          <w:sz w:val="24"/>
        </w:rPr>
        <w:t xml:space="preserve">  公众意见汇总表</w:t>
      </w:r>
    </w:p>
    <w:tbl>
      <w:tblPr>
        <w:tblStyle w:val="27"/>
        <w:tblW w:w="0" w:type="auto"/>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
      <w:tblGrid>
        <w:gridCol w:w="706"/>
        <w:gridCol w:w="2914"/>
        <w:gridCol w:w="2008"/>
        <w:gridCol w:w="1030"/>
        <w:gridCol w:w="1822"/>
      </w:tblGrid>
      <w:tr w14:paraId="1479E154">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5" w:hRule="atLeast"/>
          <w:jc w:val="center"/>
        </w:trPr>
        <w:tc>
          <w:tcPr>
            <w:tcW w:w="706" w:type="dxa"/>
            <w:noWrap w:val="0"/>
            <w:vAlign w:val="top"/>
          </w:tcPr>
          <w:p w14:paraId="4D757DED">
            <w:pPr>
              <w:widowControl/>
              <w:rPr>
                <w:rFonts w:ascii="宋体" w:hAnsi="宋体" w:cs="宋体"/>
                <w:color w:val="000000"/>
                <w:szCs w:val="21"/>
              </w:rPr>
            </w:pPr>
            <w:r>
              <w:rPr>
                <w:rFonts w:hint="eastAsia" w:ascii="宋体" w:hAnsi="宋体" w:cs="宋体"/>
                <w:color w:val="000000"/>
                <w:szCs w:val="21"/>
              </w:rPr>
              <w:t>序号</w:t>
            </w:r>
          </w:p>
        </w:tc>
        <w:tc>
          <w:tcPr>
            <w:tcW w:w="2914" w:type="dxa"/>
            <w:noWrap w:val="0"/>
            <w:vAlign w:val="top"/>
          </w:tcPr>
          <w:p w14:paraId="1248777F">
            <w:pPr>
              <w:widowControl/>
              <w:rPr>
                <w:rFonts w:ascii="宋体" w:hAnsi="宋体" w:cs="宋体"/>
                <w:color w:val="000000"/>
                <w:szCs w:val="21"/>
              </w:rPr>
            </w:pPr>
            <w:r>
              <w:rPr>
                <w:rFonts w:hint="eastAsia" w:ascii="宋体" w:hAnsi="宋体" w:cs="宋体"/>
                <w:color w:val="000000"/>
                <w:szCs w:val="21"/>
              </w:rPr>
              <w:t>主要调查内容</w:t>
            </w:r>
          </w:p>
        </w:tc>
        <w:tc>
          <w:tcPr>
            <w:tcW w:w="2008" w:type="dxa"/>
            <w:noWrap w:val="0"/>
            <w:vAlign w:val="top"/>
          </w:tcPr>
          <w:p w14:paraId="396F7C90">
            <w:pPr>
              <w:widowControl/>
              <w:jc w:val="center"/>
              <w:rPr>
                <w:rFonts w:ascii="宋体" w:hAnsi="宋体" w:cs="宋体"/>
                <w:color w:val="000000"/>
                <w:szCs w:val="21"/>
              </w:rPr>
            </w:pPr>
            <w:r>
              <w:rPr>
                <w:rFonts w:hint="eastAsia" w:ascii="宋体" w:hAnsi="宋体" w:cs="宋体"/>
                <w:color w:val="000000"/>
                <w:szCs w:val="21"/>
              </w:rPr>
              <w:t>意见</w:t>
            </w:r>
          </w:p>
        </w:tc>
        <w:tc>
          <w:tcPr>
            <w:tcW w:w="1030" w:type="dxa"/>
            <w:noWrap w:val="0"/>
            <w:vAlign w:val="top"/>
          </w:tcPr>
          <w:p w14:paraId="7AE55F17">
            <w:pPr>
              <w:widowControl/>
              <w:jc w:val="center"/>
              <w:rPr>
                <w:rFonts w:ascii="宋体" w:hAnsi="宋体" w:cs="宋体"/>
                <w:color w:val="000000"/>
                <w:szCs w:val="21"/>
              </w:rPr>
            </w:pPr>
            <w:r>
              <w:rPr>
                <w:rFonts w:hint="eastAsia" w:ascii="宋体" w:hAnsi="宋体" w:cs="宋体"/>
                <w:color w:val="000000"/>
                <w:szCs w:val="21"/>
              </w:rPr>
              <w:t>人数</w:t>
            </w:r>
          </w:p>
        </w:tc>
        <w:tc>
          <w:tcPr>
            <w:tcW w:w="1822" w:type="dxa"/>
            <w:noWrap w:val="0"/>
            <w:vAlign w:val="top"/>
          </w:tcPr>
          <w:p w14:paraId="572D6C45">
            <w:pPr>
              <w:widowControl/>
              <w:jc w:val="center"/>
              <w:rPr>
                <w:rFonts w:ascii="宋体" w:hAnsi="宋体" w:cs="宋体"/>
                <w:color w:val="000000"/>
                <w:szCs w:val="21"/>
              </w:rPr>
            </w:pPr>
            <w:r>
              <w:rPr>
                <w:rFonts w:hint="eastAsia" w:ascii="宋体" w:hAnsi="宋体" w:cs="宋体"/>
                <w:color w:val="000000"/>
                <w:szCs w:val="21"/>
              </w:rPr>
              <w:t>比例（</w:t>
            </w:r>
            <w:r>
              <w:rPr>
                <w:rFonts w:ascii="宋体" w:hAnsi="宋体"/>
                <w:color w:val="000000"/>
                <w:szCs w:val="21"/>
              </w:rPr>
              <w:t>%</w:t>
            </w:r>
            <w:r>
              <w:rPr>
                <w:rFonts w:hint="eastAsia" w:ascii="宋体" w:hAnsi="宋体" w:cs="宋体"/>
                <w:color w:val="000000"/>
                <w:szCs w:val="21"/>
              </w:rPr>
              <w:t>）</w:t>
            </w:r>
          </w:p>
        </w:tc>
      </w:tr>
      <w:tr w14:paraId="1CABE262">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93" w:hRule="atLeast"/>
          <w:jc w:val="center"/>
        </w:trPr>
        <w:tc>
          <w:tcPr>
            <w:tcW w:w="706" w:type="dxa"/>
            <w:vMerge w:val="restart"/>
            <w:noWrap w:val="0"/>
            <w:vAlign w:val="top"/>
          </w:tcPr>
          <w:p w14:paraId="3EE675CC">
            <w:pPr>
              <w:widowControl/>
              <w:jc w:val="center"/>
              <w:rPr>
                <w:rFonts w:ascii="宋体" w:hAnsi="宋体"/>
                <w:color w:val="000000"/>
                <w:szCs w:val="21"/>
              </w:rPr>
            </w:pPr>
            <w:r>
              <w:rPr>
                <w:rFonts w:ascii="宋体" w:hAnsi="宋体"/>
                <w:color w:val="000000"/>
                <w:szCs w:val="21"/>
              </w:rPr>
              <w:t>1</w:t>
            </w:r>
          </w:p>
        </w:tc>
        <w:tc>
          <w:tcPr>
            <w:tcW w:w="2914" w:type="dxa"/>
            <w:vMerge w:val="restart"/>
            <w:noWrap w:val="0"/>
            <w:vAlign w:val="top"/>
          </w:tcPr>
          <w:p w14:paraId="009A6760">
            <w:pPr>
              <w:widowControl/>
              <w:rPr>
                <w:rFonts w:ascii="宋体" w:hAnsi="宋体" w:cs="宋体"/>
                <w:color w:val="000000"/>
                <w:szCs w:val="21"/>
              </w:rPr>
            </w:pPr>
            <w:r>
              <w:rPr>
                <w:rFonts w:hint="eastAsia" w:ascii="宋体" w:hAnsi="宋体"/>
                <w:color w:val="000000"/>
                <w:szCs w:val="21"/>
              </w:rPr>
              <w:t>您是否知道“</w:t>
            </w:r>
            <w:r>
              <w:rPr>
                <w:rFonts w:hint="eastAsia" w:ascii="宋体" w:hAnsi="宋体"/>
                <w:bCs/>
                <w:color w:val="000000"/>
                <w:szCs w:val="21"/>
              </w:rPr>
              <w:t>芒市妇幼保健院迁建</w:t>
            </w:r>
            <w:r>
              <w:rPr>
                <w:rFonts w:hint="eastAsia" w:ascii="宋体" w:hAnsi="宋体"/>
                <w:color w:val="000000"/>
                <w:szCs w:val="21"/>
              </w:rPr>
              <w:t>项目</w:t>
            </w:r>
          </w:p>
        </w:tc>
        <w:tc>
          <w:tcPr>
            <w:tcW w:w="2008" w:type="dxa"/>
            <w:noWrap w:val="0"/>
            <w:vAlign w:val="top"/>
          </w:tcPr>
          <w:p w14:paraId="28C8CC11">
            <w:pPr>
              <w:widowControl/>
              <w:jc w:val="center"/>
              <w:rPr>
                <w:rFonts w:ascii="宋体" w:hAnsi="宋体" w:cs="宋体"/>
                <w:color w:val="000000"/>
                <w:szCs w:val="21"/>
              </w:rPr>
            </w:pPr>
            <w:r>
              <w:rPr>
                <w:rFonts w:hint="eastAsia" w:ascii="宋体" w:hAnsi="宋体" w:cs="宋体"/>
                <w:color w:val="000000"/>
                <w:szCs w:val="21"/>
              </w:rPr>
              <w:t>知道</w:t>
            </w:r>
          </w:p>
        </w:tc>
        <w:tc>
          <w:tcPr>
            <w:tcW w:w="1030" w:type="dxa"/>
            <w:noWrap w:val="0"/>
            <w:vAlign w:val="top"/>
          </w:tcPr>
          <w:p w14:paraId="5578795F">
            <w:pPr>
              <w:widowControl/>
              <w:jc w:val="center"/>
              <w:rPr>
                <w:rFonts w:hint="eastAsia" w:ascii="宋体" w:hAnsi="宋体"/>
                <w:color w:val="000000"/>
                <w:szCs w:val="21"/>
              </w:rPr>
            </w:pPr>
            <w:r>
              <w:rPr>
                <w:rFonts w:hint="eastAsia" w:ascii="宋体" w:hAnsi="宋体"/>
                <w:color w:val="000000"/>
                <w:szCs w:val="21"/>
              </w:rPr>
              <w:t>41</w:t>
            </w:r>
          </w:p>
        </w:tc>
        <w:tc>
          <w:tcPr>
            <w:tcW w:w="1822" w:type="dxa"/>
            <w:noWrap w:val="0"/>
            <w:vAlign w:val="top"/>
          </w:tcPr>
          <w:p w14:paraId="2C473FDE">
            <w:pPr>
              <w:jc w:val="center"/>
              <w:rPr>
                <w:rFonts w:ascii="宋体" w:hAnsi="宋体"/>
                <w:color w:val="000000"/>
                <w:szCs w:val="21"/>
              </w:rPr>
            </w:pPr>
            <w:r>
              <w:rPr>
                <w:rFonts w:hint="eastAsia" w:ascii="宋体" w:hAnsi="宋体"/>
                <w:color w:val="000000"/>
                <w:szCs w:val="21"/>
              </w:rPr>
              <w:t>95</w:t>
            </w:r>
            <w:r>
              <w:rPr>
                <w:rFonts w:ascii="宋体" w:hAnsi="宋体"/>
                <w:color w:val="000000"/>
                <w:szCs w:val="21"/>
              </w:rPr>
              <w:t>%</w:t>
            </w:r>
          </w:p>
        </w:tc>
      </w:tr>
      <w:tr w14:paraId="56096E32">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02" w:hRule="atLeast"/>
          <w:jc w:val="center"/>
        </w:trPr>
        <w:tc>
          <w:tcPr>
            <w:tcW w:w="706" w:type="dxa"/>
            <w:vMerge w:val="continue"/>
            <w:noWrap w:val="0"/>
            <w:vAlign w:val="top"/>
          </w:tcPr>
          <w:p w14:paraId="514AF79D">
            <w:pPr>
              <w:widowControl/>
              <w:jc w:val="center"/>
              <w:rPr>
                <w:rFonts w:ascii="宋体" w:hAnsi="宋体"/>
                <w:color w:val="000000"/>
                <w:szCs w:val="21"/>
              </w:rPr>
            </w:pPr>
          </w:p>
        </w:tc>
        <w:tc>
          <w:tcPr>
            <w:tcW w:w="2914" w:type="dxa"/>
            <w:vMerge w:val="continue"/>
            <w:noWrap w:val="0"/>
            <w:vAlign w:val="top"/>
          </w:tcPr>
          <w:p w14:paraId="66C6EFBC">
            <w:pPr>
              <w:widowControl/>
              <w:rPr>
                <w:rFonts w:ascii="宋体" w:hAnsi="宋体" w:cs="宋体"/>
                <w:color w:val="000000"/>
                <w:szCs w:val="21"/>
              </w:rPr>
            </w:pPr>
          </w:p>
        </w:tc>
        <w:tc>
          <w:tcPr>
            <w:tcW w:w="2008" w:type="dxa"/>
            <w:noWrap w:val="0"/>
            <w:vAlign w:val="top"/>
          </w:tcPr>
          <w:p w14:paraId="3B6F4211">
            <w:pPr>
              <w:widowControl/>
              <w:jc w:val="center"/>
              <w:rPr>
                <w:rFonts w:ascii="宋体" w:hAnsi="宋体" w:cs="宋体"/>
                <w:color w:val="000000"/>
                <w:szCs w:val="21"/>
              </w:rPr>
            </w:pPr>
            <w:r>
              <w:rPr>
                <w:rFonts w:hint="eastAsia" w:ascii="宋体" w:hAnsi="宋体" w:cs="宋体"/>
                <w:color w:val="000000"/>
                <w:szCs w:val="21"/>
              </w:rPr>
              <w:t>不知道</w:t>
            </w:r>
          </w:p>
        </w:tc>
        <w:tc>
          <w:tcPr>
            <w:tcW w:w="1030" w:type="dxa"/>
            <w:noWrap w:val="0"/>
            <w:vAlign w:val="top"/>
          </w:tcPr>
          <w:p w14:paraId="7144EA5A">
            <w:pPr>
              <w:widowControl/>
              <w:jc w:val="center"/>
              <w:rPr>
                <w:rFonts w:hint="eastAsia" w:ascii="宋体" w:hAnsi="宋体"/>
                <w:color w:val="000000"/>
                <w:szCs w:val="21"/>
              </w:rPr>
            </w:pPr>
            <w:r>
              <w:rPr>
                <w:rFonts w:hint="eastAsia" w:ascii="宋体" w:hAnsi="宋体"/>
                <w:color w:val="000000"/>
                <w:szCs w:val="21"/>
              </w:rPr>
              <w:t>2</w:t>
            </w:r>
          </w:p>
        </w:tc>
        <w:tc>
          <w:tcPr>
            <w:tcW w:w="1822" w:type="dxa"/>
            <w:noWrap w:val="0"/>
            <w:vAlign w:val="top"/>
          </w:tcPr>
          <w:p w14:paraId="10CC28DE">
            <w:pPr>
              <w:jc w:val="center"/>
              <w:rPr>
                <w:rFonts w:ascii="宋体" w:hAnsi="宋体"/>
                <w:color w:val="000000"/>
                <w:szCs w:val="21"/>
              </w:rPr>
            </w:pPr>
            <w:r>
              <w:rPr>
                <w:rFonts w:hint="eastAsia" w:ascii="宋体" w:hAnsi="宋体"/>
                <w:color w:val="000000"/>
                <w:szCs w:val="21"/>
              </w:rPr>
              <w:t>5</w:t>
            </w:r>
            <w:r>
              <w:rPr>
                <w:rFonts w:ascii="宋体" w:hAnsi="宋体"/>
                <w:color w:val="000000"/>
                <w:szCs w:val="21"/>
              </w:rPr>
              <w:t>%</w:t>
            </w:r>
          </w:p>
        </w:tc>
      </w:tr>
      <w:tr w14:paraId="4C323BEA">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63" w:hRule="atLeast"/>
          <w:jc w:val="center"/>
        </w:trPr>
        <w:tc>
          <w:tcPr>
            <w:tcW w:w="706" w:type="dxa"/>
            <w:vMerge w:val="restart"/>
            <w:noWrap w:val="0"/>
            <w:vAlign w:val="top"/>
          </w:tcPr>
          <w:p w14:paraId="0A6D8590">
            <w:pPr>
              <w:widowControl/>
              <w:jc w:val="center"/>
              <w:rPr>
                <w:rFonts w:ascii="宋体" w:hAnsi="宋体"/>
                <w:color w:val="000000"/>
                <w:szCs w:val="21"/>
              </w:rPr>
            </w:pPr>
            <w:r>
              <w:rPr>
                <w:rFonts w:ascii="宋体" w:hAnsi="宋体"/>
                <w:color w:val="000000"/>
                <w:szCs w:val="21"/>
              </w:rPr>
              <w:t>2</w:t>
            </w:r>
          </w:p>
        </w:tc>
        <w:tc>
          <w:tcPr>
            <w:tcW w:w="2914" w:type="dxa"/>
            <w:vMerge w:val="restart"/>
            <w:noWrap w:val="0"/>
            <w:vAlign w:val="top"/>
          </w:tcPr>
          <w:p w14:paraId="0AB09FCA">
            <w:pPr>
              <w:widowControl/>
              <w:rPr>
                <w:rFonts w:ascii="宋体" w:hAnsi="宋体" w:cs="宋体"/>
                <w:color w:val="000000"/>
                <w:szCs w:val="21"/>
              </w:rPr>
            </w:pPr>
            <w:r>
              <w:rPr>
                <w:rFonts w:hint="eastAsia" w:ascii="宋体" w:hAnsi="宋体"/>
                <w:color w:val="000000"/>
                <w:szCs w:val="21"/>
              </w:rPr>
              <w:t>您对环境质量现状是否满意</w:t>
            </w:r>
          </w:p>
          <w:p w14:paraId="7D7D57CD">
            <w:pPr>
              <w:widowControl/>
              <w:rPr>
                <w:rFonts w:ascii="宋体" w:hAnsi="宋体" w:cs="宋体"/>
                <w:color w:val="000000"/>
                <w:szCs w:val="21"/>
              </w:rPr>
            </w:pPr>
          </w:p>
        </w:tc>
        <w:tc>
          <w:tcPr>
            <w:tcW w:w="2008" w:type="dxa"/>
            <w:noWrap w:val="0"/>
            <w:vAlign w:val="top"/>
          </w:tcPr>
          <w:p w14:paraId="729568C8">
            <w:pPr>
              <w:widowControl/>
              <w:jc w:val="center"/>
              <w:rPr>
                <w:rFonts w:ascii="宋体" w:hAnsi="宋体" w:cs="宋体"/>
                <w:color w:val="000000"/>
                <w:szCs w:val="21"/>
              </w:rPr>
            </w:pPr>
            <w:r>
              <w:rPr>
                <w:rFonts w:hint="eastAsia" w:ascii="宋体" w:hAnsi="宋体" w:cs="宋体"/>
                <w:color w:val="000000"/>
                <w:szCs w:val="21"/>
              </w:rPr>
              <w:t>满意</w:t>
            </w:r>
          </w:p>
        </w:tc>
        <w:tc>
          <w:tcPr>
            <w:tcW w:w="1030" w:type="dxa"/>
            <w:noWrap w:val="0"/>
            <w:vAlign w:val="top"/>
          </w:tcPr>
          <w:p w14:paraId="1419A259">
            <w:pPr>
              <w:widowControl/>
              <w:jc w:val="center"/>
              <w:rPr>
                <w:rFonts w:hint="eastAsia" w:ascii="宋体" w:hAnsi="宋体"/>
                <w:color w:val="000000"/>
                <w:szCs w:val="21"/>
              </w:rPr>
            </w:pPr>
            <w:r>
              <w:rPr>
                <w:rFonts w:hint="eastAsia" w:ascii="宋体" w:hAnsi="宋体"/>
                <w:color w:val="000000"/>
                <w:szCs w:val="21"/>
              </w:rPr>
              <w:t>42</w:t>
            </w:r>
          </w:p>
        </w:tc>
        <w:tc>
          <w:tcPr>
            <w:tcW w:w="1822" w:type="dxa"/>
            <w:noWrap w:val="0"/>
            <w:vAlign w:val="top"/>
          </w:tcPr>
          <w:p w14:paraId="11F3F205">
            <w:pPr>
              <w:jc w:val="center"/>
              <w:rPr>
                <w:rFonts w:ascii="宋体" w:hAnsi="宋体"/>
                <w:color w:val="000000"/>
                <w:szCs w:val="21"/>
              </w:rPr>
            </w:pPr>
            <w:r>
              <w:rPr>
                <w:rFonts w:hint="eastAsia" w:ascii="宋体" w:hAnsi="宋体"/>
                <w:color w:val="000000"/>
                <w:szCs w:val="21"/>
              </w:rPr>
              <w:t>95</w:t>
            </w:r>
            <w:r>
              <w:rPr>
                <w:rFonts w:ascii="宋体" w:hAnsi="宋体"/>
                <w:color w:val="000000"/>
                <w:szCs w:val="21"/>
              </w:rPr>
              <w:t>%</w:t>
            </w:r>
          </w:p>
        </w:tc>
      </w:tr>
      <w:tr w14:paraId="333F3C35">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02" w:hRule="atLeast"/>
          <w:jc w:val="center"/>
        </w:trPr>
        <w:tc>
          <w:tcPr>
            <w:tcW w:w="706" w:type="dxa"/>
            <w:vMerge w:val="continue"/>
            <w:noWrap w:val="0"/>
            <w:vAlign w:val="top"/>
          </w:tcPr>
          <w:p w14:paraId="37754674">
            <w:pPr>
              <w:widowControl/>
              <w:jc w:val="center"/>
              <w:rPr>
                <w:rFonts w:ascii="宋体" w:hAnsi="宋体"/>
                <w:color w:val="000000"/>
                <w:szCs w:val="21"/>
              </w:rPr>
            </w:pPr>
          </w:p>
        </w:tc>
        <w:tc>
          <w:tcPr>
            <w:tcW w:w="2914" w:type="dxa"/>
            <w:vMerge w:val="continue"/>
            <w:noWrap w:val="0"/>
            <w:vAlign w:val="top"/>
          </w:tcPr>
          <w:p w14:paraId="37FA5776">
            <w:pPr>
              <w:widowControl/>
              <w:rPr>
                <w:rFonts w:ascii="宋体" w:hAnsi="宋体" w:cs="宋体"/>
                <w:color w:val="000000"/>
                <w:szCs w:val="21"/>
              </w:rPr>
            </w:pPr>
          </w:p>
        </w:tc>
        <w:tc>
          <w:tcPr>
            <w:tcW w:w="2008" w:type="dxa"/>
            <w:noWrap w:val="0"/>
            <w:vAlign w:val="top"/>
          </w:tcPr>
          <w:p w14:paraId="1E712FE4">
            <w:pPr>
              <w:widowControl/>
              <w:jc w:val="center"/>
              <w:rPr>
                <w:rFonts w:ascii="宋体" w:hAnsi="宋体" w:cs="宋体"/>
                <w:color w:val="000000"/>
                <w:szCs w:val="21"/>
              </w:rPr>
            </w:pPr>
            <w:r>
              <w:rPr>
                <w:rFonts w:hint="eastAsia" w:ascii="宋体" w:hAnsi="宋体" w:cs="宋体"/>
                <w:color w:val="000000"/>
                <w:szCs w:val="21"/>
              </w:rPr>
              <w:t>不满意</w:t>
            </w:r>
          </w:p>
        </w:tc>
        <w:tc>
          <w:tcPr>
            <w:tcW w:w="1030" w:type="dxa"/>
            <w:noWrap w:val="0"/>
            <w:vAlign w:val="top"/>
          </w:tcPr>
          <w:p w14:paraId="290F36E6">
            <w:pPr>
              <w:widowControl/>
              <w:jc w:val="center"/>
              <w:rPr>
                <w:rFonts w:hint="eastAsia" w:ascii="宋体" w:hAnsi="宋体"/>
                <w:color w:val="000000"/>
                <w:szCs w:val="21"/>
              </w:rPr>
            </w:pPr>
            <w:r>
              <w:rPr>
                <w:rFonts w:hint="eastAsia" w:ascii="宋体" w:hAnsi="宋体"/>
                <w:color w:val="000000"/>
                <w:szCs w:val="21"/>
              </w:rPr>
              <w:t>1</w:t>
            </w:r>
          </w:p>
        </w:tc>
        <w:tc>
          <w:tcPr>
            <w:tcW w:w="1822" w:type="dxa"/>
            <w:noWrap w:val="0"/>
            <w:vAlign w:val="top"/>
          </w:tcPr>
          <w:p w14:paraId="41AD52CE">
            <w:pPr>
              <w:jc w:val="center"/>
              <w:rPr>
                <w:rFonts w:ascii="宋体" w:hAnsi="宋体"/>
                <w:color w:val="000000"/>
                <w:szCs w:val="21"/>
              </w:rPr>
            </w:pPr>
            <w:r>
              <w:rPr>
                <w:rFonts w:hint="eastAsia" w:ascii="宋体" w:hAnsi="宋体"/>
                <w:color w:val="000000"/>
                <w:szCs w:val="21"/>
              </w:rPr>
              <w:t>5%</w:t>
            </w:r>
          </w:p>
        </w:tc>
      </w:tr>
      <w:tr w14:paraId="73326AC3">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02" w:hRule="atLeast"/>
          <w:jc w:val="center"/>
        </w:trPr>
        <w:tc>
          <w:tcPr>
            <w:tcW w:w="706" w:type="dxa"/>
            <w:vMerge w:val="restart"/>
            <w:noWrap w:val="0"/>
            <w:vAlign w:val="top"/>
          </w:tcPr>
          <w:p w14:paraId="35B82F3B">
            <w:pPr>
              <w:widowControl/>
              <w:jc w:val="center"/>
              <w:rPr>
                <w:rFonts w:ascii="宋体" w:hAnsi="宋体"/>
                <w:color w:val="000000"/>
                <w:szCs w:val="21"/>
              </w:rPr>
            </w:pPr>
            <w:r>
              <w:rPr>
                <w:rFonts w:ascii="宋体" w:hAnsi="宋体"/>
                <w:color w:val="000000"/>
                <w:szCs w:val="21"/>
              </w:rPr>
              <w:t>3</w:t>
            </w:r>
          </w:p>
        </w:tc>
        <w:tc>
          <w:tcPr>
            <w:tcW w:w="2914" w:type="dxa"/>
            <w:vMerge w:val="restart"/>
            <w:noWrap w:val="0"/>
            <w:vAlign w:val="top"/>
          </w:tcPr>
          <w:p w14:paraId="1F7AFAAC">
            <w:pPr>
              <w:widowControl/>
              <w:rPr>
                <w:rFonts w:ascii="宋体" w:hAnsi="宋体" w:cs="宋体"/>
                <w:color w:val="000000"/>
                <w:szCs w:val="21"/>
              </w:rPr>
            </w:pPr>
            <w:r>
              <w:rPr>
                <w:rFonts w:hint="eastAsia" w:ascii="宋体" w:hAnsi="宋体"/>
                <w:color w:val="000000"/>
                <w:szCs w:val="21"/>
              </w:rPr>
              <w:t>您认</w:t>
            </w:r>
            <w:r>
              <w:rPr>
                <w:rFonts w:ascii="宋体" w:hAnsi="宋体"/>
                <w:color w:val="000000"/>
                <w:szCs w:val="21"/>
              </w:rPr>
              <w:t>为</w:t>
            </w:r>
            <w:r>
              <w:rPr>
                <w:rFonts w:hint="eastAsia" w:ascii="宋体" w:hAnsi="宋体"/>
                <w:color w:val="000000"/>
                <w:szCs w:val="21"/>
              </w:rPr>
              <w:t>您</w:t>
            </w:r>
            <w:r>
              <w:rPr>
                <w:rFonts w:ascii="宋体" w:hAnsi="宋体"/>
                <w:color w:val="000000"/>
                <w:szCs w:val="21"/>
              </w:rPr>
              <w:t>所处地区最严重的环境问题</w:t>
            </w:r>
          </w:p>
        </w:tc>
        <w:tc>
          <w:tcPr>
            <w:tcW w:w="2008" w:type="dxa"/>
            <w:noWrap w:val="0"/>
            <w:vAlign w:val="top"/>
          </w:tcPr>
          <w:p w14:paraId="6A440007">
            <w:pPr>
              <w:widowControl/>
              <w:jc w:val="center"/>
              <w:rPr>
                <w:rFonts w:ascii="宋体" w:hAnsi="宋体" w:cs="宋体"/>
                <w:color w:val="000000"/>
                <w:szCs w:val="21"/>
              </w:rPr>
            </w:pPr>
            <w:r>
              <w:rPr>
                <w:rFonts w:hint="eastAsia" w:ascii="宋体" w:hAnsi="宋体" w:cs="宋体"/>
                <w:color w:val="000000"/>
                <w:szCs w:val="21"/>
              </w:rPr>
              <w:t>大气污染</w:t>
            </w:r>
          </w:p>
        </w:tc>
        <w:tc>
          <w:tcPr>
            <w:tcW w:w="1030" w:type="dxa"/>
            <w:noWrap w:val="0"/>
            <w:vAlign w:val="top"/>
          </w:tcPr>
          <w:p w14:paraId="3A511D88">
            <w:pPr>
              <w:widowControl/>
              <w:jc w:val="center"/>
              <w:rPr>
                <w:rFonts w:hint="eastAsia" w:ascii="宋体" w:hAnsi="宋体"/>
                <w:color w:val="000000"/>
                <w:szCs w:val="21"/>
              </w:rPr>
            </w:pPr>
            <w:r>
              <w:rPr>
                <w:rFonts w:hint="eastAsia" w:ascii="宋体" w:hAnsi="宋体"/>
                <w:color w:val="000000"/>
                <w:szCs w:val="21"/>
              </w:rPr>
              <w:t>8</w:t>
            </w:r>
          </w:p>
        </w:tc>
        <w:tc>
          <w:tcPr>
            <w:tcW w:w="1822" w:type="dxa"/>
            <w:noWrap w:val="0"/>
            <w:vAlign w:val="top"/>
          </w:tcPr>
          <w:p w14:paraId="03DAB6FC">
            <w:pPr>
              <w:jc w:val="center"/>
              <w:rPr>
                <w:rFonts w:ascii="宋体" w:hAnsi="宋体"/>
                <w:color w:val="000000"/>
                <w:szCs w:val="21"/>
              </w:rPr>
            </w:pPr>
            <w:r>
              <w:rPr>
                <w:rFonts w:hint="eastAsia" w:ascii="宋体" w:hAnsi="宋体"/>
                <w:color w:val="000000"/>
                <w:szCs w:val="21"/>
              </w:rPr>
              <w:t>17</w:t>
            </w:r>
            <w:r>
              <w:rPr>
                <w:rFonts w:ascii="宋体" w:hAnsi="宋体"/>
                <w:color w:val="000000"/>
                <w:szCs w:val="21"/>
              </w:rPr>
              <w:t>%</w:t>
            </w:r>
          </w:p>
        </w:tc>
      </w:tr>
      <w:tr w14:paraId="77FD248A">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02" w:hRule="atLeast"/>
          <w:jc w:val="center"/>
        </w:trPr>
        <w:tc>
          <w:tcPr>
            <w:tcW w:w="706" w:type="dxa"/>
            <w:vMerge w:val="continue"/>
            <w:noWrap w:val="0"/>
            <w:vAlign w:val="top"/>
          </w:tcPr>
          <w:p w14:paraId="099F7435">
            <w:pPr>
              <w:widowControl/>
              <w:jc w:val="center"/>
              <w:rPr>
                <w:rFonts w:ascii="宋体" w:hAnsi="宋体"/>
                <w:color w:val="000000"/>
                <w:szCs w:val="21"/>
              </w:rPr>
            </w:pPr>
          </w:p>
        </w:tc>
        <w:tc>
          <w:tcPr>
            <w:tcW w:w="2914" w:type="dxa"/>
            <w:vMerge w:val="continue"/>
            <w:noWrap w:val="0"/>
            <w:vAlign w:val="top"/>
          </w:tcPr>
          <w:p w14:paraId="591A901C">
            <w:pPr>
              <w:widowControl/>
              <w:rPr>
                <w:rFonts w:ascii="宋体" w:hAnsi="宋体" w:cs="宋体"/>
                <w:color w:val="000000"/>
                <w:szCs w:val="21"/>
              </w:rPr>
            </w:pPr>
          </w:p>
        </w:tc>
        <w:tc>
          <w:tcPr>
            <w:tcW w:w="2008" w:type="dxa"/>
            <w:noWrap w:val="0"/>
            <w:vAlign w:val="top"/>
          </w:tcPr>
          <w:p w14:paraId="3B7338A5">
            <w:pPr>
              <w:widowControl/>
              <w:jc w:val="center"/>
              <w:rPr>
                <w:rFonts w:ascii="宋体" w:hAnsi="宋体" w:cs="宋体"/>
                <w:color w:val="000000"/>
                <w:szCs w:val="21"/>
              </w:rPr>
            </w:pPr>
            <w:r>
              <w:rPr>
                <w:rFonts w:hint="eastAsia" w:ascii="宋体" w:hAnsi="宋体" w:cs="宋体"/>
                <w:color w:val="000000"/>
                <w:szCs w:val="21"/>
              </w:rPr>
              <w:t>水污染</w:t>
            </w:r>
          </w:p>
        </w:tc>
        <w:tc>
          <w:tcPr>
            <w:tcW w:w="1030" w:type="dxa"/>
            <w:noWrap w:val="0"/>
            <w:vAlign w:val="top"/>
          </w:tcPr>
          <w:p w14:paraId="4F219BD5">
            <w:pPr>
              <w:widowControl/>
              <w:jc w:val="center"/>
              <w:rPr>
                <w:rFonts w:hint="eastAsia" w:ascii="宋体" w:hAnsi="宋体"/>
                <w:color w:val="000000"/>
                <w:szCs w:val="21"/>
              </w:rPr>
            </w:pPr>
            <w:r>
              <w:rPr>
                <w:rFonts w:hint="eastAsia" w:ascii="宋体" w:hAnsi="宋体"/>
                <w:color w:val="000000"/>
                <w:szCs w:val="21"/>
              </w:rPr>
              <w:t>4</w:t>
            </w:r>
          </w:p>
        </w:tc>
        <w:tc>
          <w:tcPr>
            <w:tcW w:w="1822" w:type="dxa"/>
            <w:noWrap w:val="0"/>
            <w:vAlign w:val="top"/>
          </w:tcPr>
          <w:p w14:paraId="1CE28DE0">
            <w:pPr>
              <w:jc w:val="center"/>
              <w:rPr>
                <w:rFonts w:hint="eastAsia" w:ascii="宋体" w:hAnsi="宋体"/>
                <w:color w:val="000000"/>
                <w:szCs w:val="21"/>
              </w:rPr>
            </w:pPr>
            <w:r>
              <w:rPr>
                <w:rFonts w:hint="eastAsia" w:ascii="宋体" w:hAnsi="宋体"/>
                <w:color w:val="000000"/>
                <w:szCs w:val="21"/>
              </w:rPr>
              <w:t>9</w:t>
            </w:r>
            <w:r>
              <w:rPr>
                <w:rFonts w:ascii="宋体" w:hAnsi="宋体"/>
                <w:color w:val="000000"/>
                <w:szCs w:val="21"/>
              </w:rPr>
              <w:t>%</w:t>
            </w:r>
          </w:p>
        </w:tc>
      </w:tr>
      <w:tr w14:paraId="5E8D93DA">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02" w:hRule="atLeast"/>
          <w:jc w:val="center"/>
        </w:trPr>
        <w:tc>
          <w:tcPr>
            <w:tcW w:w="706" w:type="dxa"/>
            <w:vMerge w:val="continue"/>
            <w:noWrap w:val="0"/>
            <w:vAlign w:val="top"/>
          </w:tcPr>
          <w:p w14:paraId="265618DB">
            <w:pPr>
              <w:widowControl/>
              <w:jc w:val="center"/>
              <w:rPr>
                <w:rFonts w:ascii="宋体" w:hAnsi="宋体"/>
                <w:color w:val="000000"/>
                <w:szCs w:val="21"/>
              </w:rPr>
            </w:pPr>
          </w:p>
        </w:tc>
        <w:tc>
          <w:tcPr>
            <w:tcW w:w="2914" w:type="dxa"/>
            <w:vMerge w:val="continue"/>
            <w:noWrap w:val="0"/>
            <w:vAlign w:val="top"/>
          </w:tcPr>
          <w:p w14:paraId="7975CA00">
            <w:pPr>
              <w:widowControl/>
              <w:rPr>
                <w:rFonts w:ascii="宋体" w:hAnsi="宋体" w:cs="宋体"/>
                <w:color w:val="000000"/>
                <w:szCs w:val="21"/>
              </w:rPr>
            </w:pPr>
          </w:p>
        </w:tc>
        <w:tc>
          <w:tcPr>
            <w:tcW w:w="2008" w:type="dxa"/>
            <w:noWrap w:val="0"/>
            <w:vAlign w:val="top"/>
          </w:tcPr>
          <w:p w14:paraId="1D319698">
            <w:pPr>
              <w:widowControl/>
              <w:jc w:val="center"/>
              <w:rPr>
                <w:rFonts w:ascii="宋体" w:hAnsi="宋体" w:cs="宋体"/>
                <w:color w:val="000000"/>
                <w:szCs w:val="21"/>
              </w:rPr>
            </w:pPr>
            <w:r>
              <w:rPr>
                <w:rFonts w:hint="eastAsia" w:ascii="宋体" w:hAnsi="宋体" w:cs="宋体"/>
                <w:color w:val="000000"/>
                <w:szCs w:val="21"/>
              </w:rPr>
              <w:t>噪声</w:t>
            </w:r>
          </w:p>
        </w:tc>
        <w:tc>
          <w:tcPr>
            <w:tcW w:w="1030" w:type="dxa"/>
            <w:noWrap w:val="0"/>
            <w:vAlign w:val="top"/>
          </w:tcPr>
          <w:p w14:paraId="0EE42954">
            <w:pPr>
              <w:widowControl/>
              <w:jc w:val="center"/>
              <w:rPr>
                <w:rFonts w:hint="eastAsia" w:ascii="宋体" w:hAnsi="宋体"/>
                <w:color w:val="000000"/>
                <w:szCs w:val="21"/>
              </w:rPr>
            </w:pPr>
            <w:r>
              <w:rPr>
                <w:rFonts w:hint="eastAsia" w:ascii="宋体" w:hAnsi="宋体"/>
                <w:color w:val="000000"/>
                <w:szCs w:val="21"/>
              </w:rPr>
              <w:t>17</w:t>
            </w:r>
          </w:p>
        </w:tc>
        <w:tc>
          <w:tcPr>
            <w:tcW w:w="1822" w:type="dxa"/>
            <w:noWrap w:val="0"/>
            <w:vAlign w:val="top"/>
          </w:tcPr>
          <w:p w14:paraId="1FFAEFDB">
            <w:pPr>
              <w:jc w:val="center"/>
              <w:rPr>
                <w:rFonts w:ascii="宋体" w:hAnsi="宋体"/>
                <w:color w:val="000000"/>
                <w:szCs w:val="21"/>
              </w:rPr>
            </w:pPr>
            <w:r>
              <w:rPr>
                <w:rFonts w:hint="eastAsia" w:ascii="宋体" w:hAnsi="宋体"/>
                <w:color w:val="000000"/>
                <w:szCs w:val="21"/>
              </w:rPr>
              <w:t>37</w:t>
            </w:r>
            <w:r>
              <w:rPr>
                <w:rFonts w:ascii="宋体" w:hAnsi="宋体"/>
                <w:color w:val="000000"/>
                <w:szCs w:val="21"/>
              </w:rPr>
              <w:t>%</w:t>
            </w:r>
          </w:p>
        </w:tc>
      </w:tr>
      <w:tr w14:paraId="2A3A0BF7">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29" w:hRule="atLeast"/>
          <w:jc w:val="center"/>
        </w:trPr>
        <w:tc>
          <w:tcPr>
            <w:tcW w:w="706" w:type="dxa"/>
            <w:vMerge w:val="continue"/>
            <w:noWrap w:val="0"/>
            <w:vAlign w:val="top"/>
          </w:tcPr>
          <w:p w14:paraId="7A9EA35D">
            <w:pPr>
              <w:widowControl/>
              <w:jc w:val="center"/>
              <w:rPr>
                <w:rFonts w:ascii="宋体" w:hAnsi="宋体"/>
                <w:color w:val="000000"/>
                <w:szCs w:val="21"/>
              </w:rPr>
            </w:pPr>
          </w:p>
        </w:tc>
        <w:tc>
          <w:tcPr>
            <w:tcW w:w="2914" w:type="dxa"/>
            <w:vMerge w:val="continue"/>
            <w:noWrap w:val="0"/>
            <w:vAlign w:val="top"/>
          </w:tcPr>
          <w:p w14:paraId="662FBFE7">
            <w:pPr>
              <w:widowControl/>
              <w:rPr>
                <w:rFonts w:ascii="宋体" w:hAnsi="宋体" w:cs="宋体"/>
                <w:color w:val="000000"/>
                <w:szCs w:val="21"/>
              </w:rPr>
            </w:pPr>
          </w:p>
        </w:tc>
        <w:tc>
          <w:tcPr>
            <w:tcW w:w="2008" w:type="dxa"/>
            <w:noWrap w:val="0"/>
            <w:vAlign w:val="top"/>
          </w:tcPr>
          <w:p w14:paraId="2083BFAB">
            <w:pPr>
              <w:jc w:val="center"/>
              <w:rPr>
                <w:rFonts w:ascii="宋体" w:hAnsi="宋体" w:cs="宋体"/>
                <w:color w:val="000000"/>
                <w:szCs w:val="21"/>
              </w:rPr>
            </w:pPr>
            <w:r>
              <w:rPr>
                <w:rFonts w:hint="eastAsia" w:ascii="宋体" w:hAnsi="宋体" w:cs="宋体"/>
                <w:color w:val="000000"/>
                <w:szCs w:val="21"/>
              </w:rPr>
              <w:t>固体废弃物</w:t>
            </w:r>
          </w:p>
        </w:tc>
        <w:tc>
          <w:tcPr>
            <w:tcW w:w="1030" w:type="dxa"/>
            <w:noWrap w:val="0"/>
            <w:vAlign w:val="top"/>
          </w:tcPr>
          <w:p w14:paraId="467C54A8">
            <w:pPr>
              <w:widowControl/>
              <w:jc w:val="center"/>
              <w:rPr>
                <w:rFonts w:hint="eastAsia" w:ascii="宋体" w:hAnsi="宋体"/>
                <w:color w:val="000000"/>
                <w:szCs w:val="21"/>
              </w:rPr>
            </w:pPr>
            <w:r>
              <w:rPr>
                <w:rFonts w:hint="eastAsia" w:ascii="宋体" w:hAnsi="宋体"/>
                <w:color w:val="000000"/>
                <w:szCs w:val="21"/>
              </w:rPr>
              <w:t>17</w:t>
            </w:r>
          </w:p>
        </w:tc>
        <w:tc>
          <w:tcPr>
            <w:tcW w:w="1822" w:type="dxa"/>
            <w:noWrap w:val="0"/>
            <w:vAlign w:val="top"/>
          </w:tcPr>
          <w:p w14:paraId="467AC8C6">
            <w:pPr>
              <w:jc w:val="center"/>
              <w:rPr>
                <w:rFonts w:ascii="宋体" w:hAnsi="宋体"/>
                <w:color w:val="000000"/>
                <w:szCs w:val="21"/>
              </w:rPr>
            </w:pPr>
            <w:r>
              <w:rPr>
                <w:rFonts w:hint="eastAsia" w:ascii="宋体" w:hAnsi="宋体"/>
                <w:color w:val="000000"/>
                <w:szCs w:val="21"/>
              </w:rPr>
              <w:t>37</w:t>
            </w:r>
            <w:r>
              <w:rPr>
                <w:rFonts w:ascii="宋体" w:hAnsi="宋体"/>
                <w:color w:val="000000"/>
                <w:szCs w:val="21"/>
              </w:rPr>
              <w:t>%</w:t>
            </w:r>
          </w:p>
        </w:tc>
      </w:tr>
      <w:tr w14:paraId="22787379">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191" w:hRule="atLeast"/>
          <w:jc w:val="center"/>
        </w:trPr>
        <w:tc>
          <w:tcPr>
            <w:tcW w:w="706" w:type="dxa"/>
            <w:vMerge w:val="continue"/>
            <w:noWrap w:val="0"/>
            <w:vAlign w:val="top"/>
          </w:tcPr>
          <w:p w14:paraId="4A29380E">
            <w:pPr>
              <w:widowControl/>
              <w:jc w:val="center"/>
              <w:rPr>
                <w:rFonts w:ascii="宋体" w:hAnsi="宋体"/>
                <w:color w:val="000000"/>
                <w:szCs w:val="21"/>
              </w:rPr>
            </w:pPr>
          </w:p>
        </w:tc>
        <w:tc>
          <w:tcPr>
            <w:tcW w:w="2914" w:type="dxa"/>
            <w:vMerge w:val="continue"/>
            <w:noWrap w:val="0"/>
            <w:vAlign w:val="top"/>
          </w:tcPr>
          <w:p w14:paraId="3ADBCEDA">
            <w:pPr>
              <w:widowControl/>
              <w:rPr>
                <w:rFonts w:ascii="宋体" w:hAnsi="宋体" w:cs="宋体"/>
                <w:color w:val="000000"/>
                <w:szCs w:val="21"/>
              </w:rPr>
            </w:pPr>
          </w:p>
        </w:tc>
        <w:tc>
          <w:tcPr>
            <w:tcW w:w="2008" w:type="dxa"/>
            <w:noWrap w:val="0"/>
            <w:vAlign w:val="top"/>
          </w:tcPr>
          <w:p w14:paraId="033CC516">
            <w:pPr>
              <w:jc w:val="center"/>
              <w:rPr>
                <w:rFonts w:hint="eastAsia" w:ascii="宋体" w:hAnsi="宋体" w:cs="宋体"/>
                <w:color w:val="000000"/>
                <w:szCs w:val="21"/>
              </w:rPr>
            </w:pPr>
            <w:r>
              <w:rPr>
                <w:rFonts w:hint="eastAsia" w:ascii="宋体" w:hAnsi="宋体" w:cs="宋体"/>
                <w:color w:val="000000"/>
                <w:szCs w:val="21"/>
              </w:rPr>
              <w:t>其它</w:t>
            </w:r>
          </w:p>
        </w:tc>
        <w:tc>
          <w:tcPr>
            <w:tcW w:w="1030" w:type="dxa"/>
            <w:noWrap w:val="0"/>
            <w:vAlign w:val="top"/>
          </w:tcPr>
          <w:p w14:paraId="4B5D0A82">
            <w:pPr>
              <w:widowControl/>
              <w:jc w:val="center"/>
              <w:rPr>
                <w:rFonts w:hint="eastAsia" w:ascii="宋体" w:hAnsi="宋体"/>
                <w:color w:val="000000"/>
                <w:szCs w:val="21"/>
              </w:rPr>
            </w:pPr>
            <w:r>
              <w:rPr>
                <w:rFonts w:hint="eastAsia" w:ascii="宋体" w:hAnsi="宋体"/>
                <w:color w:val="000000"/>
                <w:szCs w:val="21"/>
              </w:rPr>
              <w:t>0</w:t>
            </w:r>
          </w:p>
        </w:tc>
        <w:tc>
          <w:tcPr>
            <w:tcW w:w="1822" w:type="dxa"/>
            <w:noWrap w:val="0"/>
            <w:vAlign w:val="top"/>
          </w:tcPr>
          <w:p w14:paraId="678999D5">
            <w:pPr>
              <w:jc w:val="center"/>
              <w:rPr>
                <w:rFonts w:ascii="宋体" w:hAnsi="宋体"/>
                <w:color w:val="000000"/>
                <w:szCs w:val="21"/>
              </w:rPr>
            </w:pPr>
            <w:r>
              <w:rPr>
                <w:rFonts w:hint="eastAsia" w:ascii="宋体" w:hAnsi="宋体"/>
                <w:color w:val="000000"/>
                <w:szCs w:val="21"/>
              </w:rPr>
              <w:t>0</w:t>
            </w:r>
          </w:p>
        </w:tc>
      </w:tr>
      <w:tr w14:paraId="028059C8">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02" w:hRule="atLeast"/>
          <w:jc w:val="center"/>
        </w:trPr>
        <w:tc>
          <w:tcPr>
            <w:tcW w:w="706" w:type="dxa"/>
            <w:vMerge w:val="restart"/>
            <w:noWrap w:val="0"/>
            <w:vAlign w:val="top"/>
          </w:tcPr>
          <w:p w14:paraId="76F6A177">
            <w:pPr>
              <w:widowControl/>
              <w:jc w:val="center"/>
              <w:rPr>
                <w:rFonts w:ascii="宋体" w:hAnsi="宋体"/>
                <w:color w:val="000000"/>
                <w:szCs w:val="21"/>
              </w:rPr>
            </w:pPr>
            <w:r>
              <w:rPr>
                <w:rFonts w:ascii="宋体" w:hAnsi="宋体"/>
                <w:color w:val="000000"/>
                <w:szCs w:val="21"/>
              </w:rPr>
              <w:t>4</w:t>
            </w:r>
          </w:p>
        </w:tc>
        <w:tc>
          <w:tcPr>
            <w:tcW w:w="2914" w:type="dxa"/>
            <w:vMerge w:val="restart"/>
            <w:noWrap w:val="0"/>
            <w:vAlign w:val="top"/>
          </w:tcPr>
          <w:p w14:paraId="7D82DB35">
            <w:pPr>
              <w:widowControl/>
              <w:rPr>
                <w:rFonts w:ascii="宋体" w:hAnsi="宋体" w:cs="宋体"/>
                <w:color w:val="000000"/>
                <w:szCs w:val="21"/>
              </w:rPr>
            </w:pPr>
            <w:r>
              <w:rPr>
                <w:rFonts w:hint="eastAsia" w:ascii="宋体" w:hAnsi="宋体"/>
                <w:color w:val="000000"/>
                <w:szCs w:val="21"/>
              </w:rPr>
              <w:t>您</w:t>
            </w:r>
            <w:r>
              <w:rPr>
                <w:rFonts w:ascii="宋体" w:hAnsi="宋体"/>
                <w:color w:val="000000"/>
                <w:szCs w:val="21"/>
              </w:rPr>
              <w:t>在</w:t>
            </w:r>
            <w:r>
              <w:rPr>
                <w:rFonts w:hint="eastAsia" w:ascii="宋体" w:hAnsi="宋体"/>
                <w:color w:val="000000"/>
                <w:szCs w:val="21"/>
              </w:rPr>
              <w:t>项目施工</w:t>
            </w:r>
            <w:r>
              <w:rPr>
                <w:rFonts w:ascii="宋体" w:hAnsi="宋体"/>
                <w:color w:val="000000"/>
                <w:szCs w:val="21"/>
              </w:rPr>
              <w:t>建设过程中最关心的问题</w:t>
            </w:r>
          </w:p>
        </w:tc>
        <w:tc>
          <w:tcPr>
            <w:tcW w:w="2008" w:type="dxa"/>
            <w:noWrap w:val="0"/>
            <w:vAlign w:val="top"/>
          </w:tcPr>
          <w:p w14:paraId="104CB4A6">
            <w:pPr>
              <w:widowControl/>
              <w:jc w:val="center"/>
              <w:rPr>
                <w:rFonts w:ascii="宋体" w:hAnsi="宋体" w:cs="宋体"/>
                <w:color w:val="000000"/>
                <w:szCs w:val="21"/>
              </w:rPr>
            </w:pPr>
            <w:r>
              <w:rPr>
                <w:rFonts w:hint="eastAsia" w:ascii="宋体" w:hAnsi="宋体" w:cs="宋体"/>
                <w:color w:val="000000"/>
                <w:szCs w:val="21"/>
              </w:rPr>
              <w:t>大气污染</w:t>
            </w:r>
          </w:p>
        </w:tc>
        <w:tc>
          <w:tcPr>
            <w:tcW w:w="1030" w:type="dxa"/>
            <w:noWrap w:val="0"/>
            <w:vAlign w:val="top"/>
          </w:tcPr>
          <w:p w14:paraId="56C9334E">
            <w:pPr>
              <w:widowControl/>
              <w:jc w:val="center"/>
              <w:rPr>
                <w:rFonts w:hint="eastAsia" w:ascii="宋体" w:hAnsi="宋体"/>
                <w:color w:val="000000"/>
                <w:szCs w:val="21"/>
              </w:rPr>
            </w:pPr>
            <w:r>
              <w:rPr>
                <w:rFonts w:hint="eastAsia" w:ascii="宋体" w:hAnsi="宋体"/>
                <w:color w:val="000000"/>
                <w:szCs w:val="21"/>
              </w:rPr>
              <w:t>9</w:t>
            </w:r>
          </w:p>
        </w:tc>
        <w:tc>
          <w:tcPr>
            <w:tcW w:w="1822" w:type="dxa"/>
            <w:noWrap w:val="0"/>
            <w:vAlign w:val="top"/>
          </w:tcPr>
          <w:p w14:paraId="5D8B9FC5">
            <w:pPr>
              <w:jc w:val="center"/>
              <w:rPr>
                <w:rFonts w:ascii="宋体" w:hAnsi="宋体"/>
                <w:color w:val="000000"/>
                <w:szCs w:val="21"/>
              </w:rPr>
            </w:pPr>
            <w:r>
              <w:rPr>
                <w:rFonts w:hint="eastAsia" w:ascii="宋体" w:hAnsi="宋体"/>
                <w:color w:val="000000"/>
                <w:szCs w:val="21"/>
              </w:rPr>
              <w:t>16</w:t>
            </w:r>
            <w:r>
              <w:rPr>
                <w:rFonts w:ascii="宋体" w:hAnsi="宋体"/>
                <w:color w:val="000000"/>
                <w:szCs w:val="21"/>
              </w:rPr>
              <w:t>%</w:t>
            </w:r>
          </w:p>
        </w:tc>
      </w:tr>
      <w:tr w14:paraId="2B07DBDF">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02" w:hRule="atLeast"/>
          <w:jc w:val="center"/>
        </w:trPr>
        <w:tc>
          <w:tcPr>
            <w:tcW w:w="706" w:type="dxa"/>
            <w:vMerge w:val="continue"/>
            <w:noWrap w:val="0"/>
            <w:vAlign w:val="top"/>
          </w:tcPr>
          <w:p w14:paraId="7979FD7F">
            <w:pPr>
              <w:widowControl/>
              <w:jc w:val="center"/>
              <w:rPr>
                <w:rFonts w:ascii="宋体" w:hAnsi="宋体"/>
                <w:color w:val="000000"/>
                <w:szCs w:val="21"/>
              </w:rPr>
            </w:pPr>
          </w:p>
        </w:tc>
        <w:tc>
          <w:tcPr>
            <w:tcW w:w="2914" w:type="dxa"/>
            <w:vMerge w:val="continue"/>
            <w:noWrap w:val="0"/>
            <w:vAlign w:val="top"/>
          </w:tcPr>
          <w:p w14:paraId="228C1A45">
            <w:pPr>
              <w:widowControl/>
              <w:rPr>
                <w:rFonts w:ascii="宋体" w:hAnsi="宋体" w:cs="宋体"/>
                <w:color w:val="000000"/>
                <w:szCs w:val="21"/>
              </w:rPr>
            </w:pPr>
          </w:p>
        </w:tc>
        <w:tc>
          <w:tcPr>
            <w:tcW w:w="2008" w:type="dxa"/>
            <w:noWrap w:val="0"/>
            <w:vAlign w:val="top"/>
          </w:tcPr>
          <w:p w14:paraId="0781460C">
            <w:pPr>
              <w:widowControl/>
              <w:jc w:val="center"/>
              <w:rPr>
                <w:rFonts w:ascii="宋体" w:hAnsi="宋体" w:cs="宋体"/>
                <w:color w:val="000000"/>
                <w:szCs w:val="21"/>
              </w:rPr>
            </w:pPr>
            <w:r>
              <w:rPr>
                <w:rFonts w:hint="eastAsia" w:ascii="宋体" w:hAnsi="宋体" w:cs="宋体"/>
                <w:color w:val="000000"/>
                <w:szCs w:val="21"/>
              </w:rPr>
              <w:t>水污染</w:t>
            </w:r>
          </w:p>
        </w:tc>
        <w:tc>
          <w:tcPr>
            <w:tcW w:w="1030" w:type="dxa"/>
            <w:noWrap w:val="0"/>
            <w:vAlign w:val="top"/>
          </w:tcPr>
          <w:p w14:paraId="21B6904D">
            <w:pPr>
              <w:widowControl/>
              <w:jc w:val="center"/>
              <w:rPr>
                <w:rFonts w:hint="eastAsia" w:ascii="宋体" w:hAnsi="宋体"/>
                <w:color w:val="000000"/>
                <w:szCs w:val="21"/>
              </w:rPr>
            </w:pPr>
            <w:r>
              <w:rPr>
                <w:rFonts w:hint="eastAsia" w:ascii="宋体" w:hAnsi="宋体"/>
                <w:color w:val="000000"/>
                <w:szCs w:val="21"/>
              </w:rPr>
              <w:t>1</w:t>
            </w:r>
          </w:p>
        </w:tc>
        <w:tc>
          <w:tcPr>
            <w:tcW w:w="1822" w:type="dxa"/>
            <w:noWrap w:val="0"/>
            <w:vAlign w:val="top"/>
          </w:tcPr>
          <w:p w14:paraId="427FE8B9">
            <w:pPr>
              <w:jc w:val="center"/>
              <w:rPr>
                <w:rFonts w:ascii="宋体" w:hAnsi="宋体"/>
                <w:color w:val="000000"/>
                <w:szCs w:val="21"/>
              </w:rPr>
            </w:pPr>
            <w:r>
              <w:rPr>
                <w:rFonts w:hint="eastAsia" w:ascii="宋体" w:hAnsi="宋体"/>
                <w:color w:val="000000"/>
                <w:szCs w:val="21"/>
              </w:rPr>
              <w:t>2</w:t>
            </w:r>
            <w:r>
              <w:rPr>
                <w:rFonts w:ascii="宋体" w:hAnsi="宋体"/>
                <w:color w:val="000000"/>
                <w:szCs w:val="21"/>
              </w:rPr>
              <w:t>%</w:t>
            </w:r>
          </w:p>
        </w:tc>
      </w:tr>
      <w:tr w14:paraId="29C16B3F">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133" w:hRule="atLeast"/>
          <w:jc w:val="center"/>
        </w:trPr>
        <w:tc>
          <w:tcPr>
            <w:tcW w:w="706" w:type="dxa"/>
            <w:vMerge w:val="continue"/>
            <w:noWrap w:val="0"/>
            <w:vAlign w:val="top"/>
          </w:tcPr>
          <w:p w14:paraId="3CF9F7A9">
            <w:pPr>
              <w:widowControl/>
              <w:jc w:val="center"/>
              <w:rPr>
                <w:rFonts w:ascii="宋体" w:hAnsi="宋体"/>
                <w:color w:val="000000"/>
                <w:szCs w:val="21"/>
              </w:rPr>
            </w:pPr>
          </w:p>
        </w:tc>
        <w:tc>
          <w:tcPr>
            <w:tcW w:w="2914" w:type="dxa"/>
            <w:vMerge w:val="continue"/>
            <w:noWrap w:val="0"/>
            <w:vAlign w:val="top"/>
          </w:tcPr>
          <w:p w14:paraId="47709FE3">
            <w:pPr>
              <w:widowControl/>
              <w:rPr>
                <w:rFonts w:ascii="宋体" w:hAnsi="宋体" w:cs="宋体"/>
                <w:color w:val="000000"/>
                <w:szCs w:val="21"/>
              </w:rPr>
            </w:pPr>
          </w:p>
        </w:tc>
        <w:tc>
          <w:tcPr>
            <w:tcW w:w="2008" w:type="dxa"/>
            <w:noWrap w:val="0"/>
            <w:vAlign w:val="top"/>
          </w:tcPr>
          <w:p w14:paraId="119101CE">
            <w:pPr>
              <w:widowControl/>
              <w:jc w:val="center"/>
              <w:rPr>
                <w:rFonts w:ascii="宋体" w:hAnsi="宋体" w:cs="宋体"/>
                <w:color w:val="000000"/>
                <w:szCs w:val="21"/>
              </w:rPr>
            </w:pPr>
            <w:r>
              <w:rPr>
                <w:rFonts w:hint="eastAsia" w:ascii="宋体" w:hAnsi="宋体" w:cs="宋体"/>
                <w:color w:val="000000"/>
                <w:szCs w:val="21"/>
              </w:rPr>
              <w:t>噪声</w:t>
            </w:r>
          </w:p>
        </w:tc>
        <w:tc>
          <w:tcPr>
            <w:tcW w:w="1030" w:type="dxa"/>
            <w:noWrap w:val="0"/>
            <w:vAlign w:val="top"/>
          </w:tcPr>
          <w:p w14:paraId="49495A62">
            <w:pPr>
              <w:widowControl/>
              <w:jc w:val="center"/>
              <w:rPr>
                <w:rFonts w:hint="eastAsia" w:ascii="宋体" w:hAnsi="宋体"/>
                <w:color w:val="000000"/>
                <w:szCs w:val="21"/>
              </w:rPr>
            </w:pPr>
            <w:r>
              <w:rPr>
                <w:rFonts w:hint="eastAsia" w:ascii="宋体" w:hAnsi="宋体"/>
                <w:color w:val="000000"/>
                <w:szCs w:val="21"/>
              </w:rPr>
              <w:t>29</w:t>
            </w:r>
          </w:p>
        </w:tc>
        <w:tc>
          <w:tcPr>
            <w:tcW w:w="1822" w:type="dxa"/>
            <w:noWrap w:val="0"/>
            <w:vAlign w:val="top"/>
          </w:tcPr>
          <w:p w14:paraId="7CD471E8">
            <w:pPr>
              <w:jc w:val="center"/>
              <w:rPr>
                <w:rFonts w:ascii="宋体" w:hAnsi="宋体"/>
                <w:color w:val="000000"/>
                <w:szCs w:val="21"/>
              </w:rPr>
            </w:pPr>
            <w:r>
              <w:rPr>
                <w:rFonts w:hint="eastAsia" w:ascii="宋体" w:hAnsi="宋体"/>
                <w:color w:val="000000"/>
                <w:szCs w:val="21"/>
              </w:rPr>
              <w:t>51</w:t>
            </w:r>
            <w:r>
              <w:rPr>
                <w:rFonts w:ascii="宋体" w:hAnsi="宋体"/>
                <w:color w:val="000000"/>
                <w:szCs w:val="21"/>
              </w:rPr>
              <w:t>%</w:t>
            </w:r>
          </w:p>
        </w:tc>
      </w:tr>
      <w:tr w14:paraId="6681144E">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02" w:hRule="atLeast"/>
          <w:jc w:val="center"/>
        </w:trPr>
        <w:tc>
          <w:tcPr>
            <w:tcW w:w="706" w:type="dxa"/>
            <w:vMerge w:val="continue"/>
            <w:noWrap w:val="0"/>
            <w:vAlign w:val="top"/>
          </w:tcPr>
          <w:p w14:paraId="35B0D503">
            <w:pPr>
              <w:widowControl/>
              <w:jc w:val="center"/>
              <w:rPr>
                <w:rFonts w:ascii="宋体" w:hAnsi="宋体"/>
                <w:color w:val="000000"/>
                <w:szCs w:val="21"/>
              </w:rPr>
            </w:pPr>
          </w:p>
        </w:tc>
        <w:tc>
          <w:tcPr>
            <w:tcW w:w="2914" w:type="dxa"/>
            <w:vMerge w:val="continue"/>
            <w:noWrap w:val="0"/>
            <w:vAlign w:val="top"/>
          </w:tcPr>
          <w:p w14:paraId="0B1BD58C">
            <w:pPr>
              <w:widowControl/>
              <w:rPr>
                <w:rFonts w:ascii="宋体" w:hAnsi="宋体" w:cs="宋体"/>
                <w:color w:val="000000"/>
                <w:szCs w:val="21"/>
              </w:rPr>
            </w:pPr>
          </w:p>
        </w:tc>
        <w:tc>
          <w:tcPr>
            <w:tcW w:w="2008" w:type="dxa"/>
            <w:noWrap w:val="0"/>
            <w:vAlign w:val="top"/>
          </w:tcPr>
          <w:p w14:paraId="27266C01">
            <w:pPr>
              <w:jc w:val="center"/>
              <w:rPr>
                <w:rFonts w:ascii="宋体" w:hAnsi="宋体" w:cs="宋体"/>
                <w:color w:val="000000"/>
                <w:szCs w:val="21"/>
              </w:rPr>
            </w:pPr>
            <w:r>
              <w:rPr>
                <w:rFonts w:hint="eastAsia" w:ascii="宋体" w:hAnsi="宋体" w:cs="宋体"/>
                <w:color w:val="000000"/>
                <w:szCs w:val="21"/>
              </w:rPr>
              <w:t>固体废弃物</w:t>
            </w:r>
          </w:p>
        </w:tc>
        <w:tc>
          <w:tcPr>
            <w:tcW w:w="1030" w:type="dxa"/>
            <w:noWrap w:val="0"/>
            <w:vAlign w:val="top"/>
          </w:tcPr>
          <w:p w14:paraId="7FB48D6F">
            <w:pPr>
              <w:widowControl/>
              <w:jc w:val="center"/>
              <w:rPr>
                <w:rFonts w:hint="eastAsia" w:ascii="宋体" w:hAnsi="宋体"/>
                <w:color w:val="000000"/>
                <w:szCs w:val="21"/>
              </w:rPr>
            </w:pPr>
            <w:r>
              <w:rPr>
                <w:rFonts w:hint="eastAsia" w:ascii="宋体" w:hAnsi="宋体"/>
                <w:color w:val="000000"/>
                <w:szCs w:val="21"/>
              </w:rPr>
              <w:t>18</w:t>
            </w:r>
          </w:p>
        </w:tc>
        <w:tc>
          <w:tcPr>
            <w:tcW w:w="1822" w:type="dxa"/>
            <w:noWrap w:val="0"/>
            <w:vAlign w:val="top"/>
          </w:tcPr>
          <w:p w14:paraId="6C3D2E6D">
            <w:pPr>
              <w:jc w:val="center"/>
              <w:rPr>
                <w:rFonts w:ascii="宋体" w:hAnsi="宋体"/>
                <w:color w:val="000000"/>
                <w:szCs w:val="21"/>
              </w:rPr>
            </w:pPr>
            <w:r>
              <w:rPr>
                <w:rFonts w:hint="eastAsia" w:ascii="宋体" w:hAnsi="宋体"/>
                <w:color w:val="000000"/>
                <w:szCs w:val="21"/>
              </w:rPr>
              <w:t>31</w:t>
            </w:r>
            <w:r>
              <w:rPr>
                <w:rFonts w:ascii="宋体" w:hAnsi="宋体"/>
                <w:color w:val="000000"/>
                <w:szCs w:val="21"/>
              </w:rPr>
              <w:t>%</w:t>
            </w:r>
          </w:p>
        </w:tc>
      </w:tr>
      <w:tr w14:paraId="28A2E275">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02" w:hRule="atLeast"/>
          <w:jc w:val="center"/>
        </w:trPr>
        <w:tc>
          <w:tcPr>
            <w:tcW w:w="706" w:type="dxa"/>
            <w:vMerge w:val="continue"/>
            <w:noWrap w:val="0"/>
            <w:vAlign w:val="top"/>
          </w:tcPr>
          <w:p w14:paraId="4CE45E2B">
            <w:pPr>
              <w:widowControl/>
              <w:jc w:val="center"/>
              <w:rPr>
                <w:rFonts w:ascii="宋体" w:hAnsi="宋体"/>
                <w:color w:val="000000"/>
                <w:szCs w:val="21"/>
              </w:rPr>
            </w:pPr>
          </w:p>
        </w:tc>
        <w:tc>
          <w:tcPr>
            <w:tcW w:w="2914" w:type="dxa"/>
            <w:vMerge w:val="continue"/>
            <w:noWrap w:val="0"/>
            <w:vAlign w:val="top"/>
          </w:tcPr>
          <w:p w14:paraId="059EA5AD">
            <w:pPr>
              <w:widowControl/>
              <w:rPr>
                <w:rFonts w:ascii="宋体" w:hAnsi="宋体" w:cs="宋体"/>
                <w:color w:val="000000"/>
                <w:szCs w:val="21"/>
              </w:rPr>
            </w:pPr>
          </w:p>
        </w:tc>
        <w:tc>
          <w:tcPr>
            <w:tcW w:w="2008" w:type="dxa"/>
            <w:noWrap w:val="0"/>
            <w:vAlign w:val="top"/>
          </w:tcPr>
          <w:p w14:paraId="458A79C2">
            <w:pPr>
              <w:jc w:val="center"/>
              <w:rPr>
                <w:rFonts w:hint="eastAsia" w:ascii="宋体" w:hAnsi="宋体" w:cs="宋体"/>
                <w:color w:val="000000"/>
                <w:szCs w:val="21"/>
              </w:rPr>
            </w:pPr>
            <w:r>
              <w:rPr>
                <w:rFonts w:hint="eastAsia" w:ascii="宋体" w:hAnsi="宋体" w:cs="宋体"/>
                <w:color w:val="000000"/>
                <w:szCs w:val="21"/>
              </w:rPr>
              <w:t>其它</w:t>
            </w:r>
          </w:p>
        </w:tc>
        <w:tc>
          <w:tcPr>
            <w:tcW w:w="1030" w:type="dxa"/>
            <w:noWrap w:val="0"/>
            <w:vAlign w:val="top"/>
          </w:tcPr>
          <w:p w14:paraId="1D94F987">
            <w:pPr>
              <w:widowControl/>
              <w:jc w:val="center"/>
              <w:rPr>
                <w:rFonts w:hint="eastAsia" w:ascii="宋体" w:hAnsi="宋体"/>
                <w:color w:val="000000"/>
                <w:szCs w:val="21"/>
              </w:rPr>
            </w:pPr>
            <w:r>
              <w:rPr>
                <w:rFonts w:hint="eastAsia" w:ascii="宋体" w:hAnsi="宋体"/>
                <w:color w:val="000000"/>
                <w:szCs w:val="21"/>
              </w:rPr>
              <w:t>0</w:t>
            </w:r>
          </w:p>
        </w:tc>
        <w:tc>
          <w:tcPr>
            <w:tcW w:w="1822" w:type="dxa"/>
            <w:noWrap w:val="0"/>
            <w:vAlign w:val="top"/>
          </w:tcPr>
          <w:p w14:paraId="51A47B19">
            <w:pPr>
              <w:jc w:val="center"/>
              <w:rPr>
                <w:rFonts w:ascii="宋体" w:hAnsi="宋体"/>
                <w:color w:val="000000"/>
                <w:szCs w:val="21"/>
              </w:rPr>
            </w:pPr>
            <w:r>
              <w:rPr>
                <w:rFonts w:hint="eastAsia" w:ascii="宋体" w:hAnsi="宋体"/>
                <w:color w:val="000000"/>
                <w:szCs w:val="21"/>
              </w:rPr>
              <w:t>0</w:t>
            </w:r>
          </w:p>
        </w:tc>
      </w:tr>
      <w:tr w14:paraId="7B81A66E">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02" w:hRule="atLeast"/>
          <w:jc w:val="center"/>
        </w:trPr>
        <w:tc>
          <w:tcPr>
            <w:tcW w:w="706" w:type="dxa"/>
            <w:vMerge w:val="restart"/>
            <w:noWrap w:val="0"/>
            <w:vAlign w:val="top"/>
          </w:tcPr>
          <w:p w14:paraId="6D7076A6">
            <w:pPr>
              <w:widowControl/>
              <w:jc w:val="center"/>
              <w:rPr>
                <w:rFonts w:ascii="宋体" w:hAnsi="宋体"/>
                <w:color w:val="000000"/>
                <w:szCs w:val="21"/>
              </w:rPr>
            </w:pPr>
            <w:r>
              <w:rPr>
                <w:rFonts w:ascii="宋体" w:hAnsi="宋体"/>
                <w:color w:val="000000"/>
                <w:szCs w:val="21"/>
              </w:rPr>
              <w:t>5</w:t>
            </w:r>
          </w:p>
        </w:tc>
        <w:tc>
          <w:tcPr>
            <w:tcW w:w="2914" w:type="dxa"/>
            <w:vMerge w:val="restart"/>
            <w:noWrap w:val="0"/>
            <w:vAlign w:val="top"/>
          </w:tcPr>
          <w:p w14:paraId="0601DC33">
            <w:pPr>
              <w:widowControl/>
              <w:rPr>
                <w:rFonts w:ascii="宋体" w:hAnsi="宋体" w:cs="宋体"/>
                <w:color w:val="000000"/>
                <w:szCs w:val="21"/>
              </w:rPr>
            </w:pPr>
            <w:r>
              <w:rPr>
                <w:rFonts w:hint="eastAsia" w:ascii="宋体" w:hAnsi="宋体"/>
                <w:color w:val="000000"/>
                <w:szCs w:val="21"/>
              </w:rPr>
              <w:t>项目建成后，您所关心的问题</w:t>
            </w:r>
          </w:p>
        </w:tc>
        <w:tc>
          <w:tcPr>
            <w:tcW w:w="2008" w:type="dxa"/>
            <w:noWrap w:val="0"/>
            <w:vAlign w:val="top"/>
          </w:tcPr>
          <w:p w14:paraId="4FDF0CD3">
            <w:pPr>
              <w:widowControl/>
              <w:jc w:val="center"/>
              <w:rPr>
                <w:rFonts w:ascii="宋体" w:hAnsi="宋体" w:cs="宋体"/>
                <w:color w:val="000000"/>
                <w:szCs w:val="21"/>
              </w:rPr>
            </w:pPr>
            <w:r>
              <w:rPr>
                <w:rFonts w:hint="eastAsia" w:ascii="宋体" w:hAnsi="宋体" w:cs="宋体"/>
                <w:color w:val="000000"/>
                <w:szCs w:val="21"/>
              </w:rPr>
              <w:t>大气污染</w:t>
            </w:r>
          </w:p>
        </w:tc>
        <w:tc>
          <w:tcPr>
            <w:tcW w:w="1030" w:type="dxa"/>
            <w:noWrap w:val="0"/>
            <w:vAlign w:val="top"/>
          </w:tcPr>
          <w:p w14:paraId="270401D2">
            <w:pPr>
              <w:widowControl/>
              <w:jc w:val="center"/>
              <w:rPr>
                <w:rFonts w:hint="eastAsia" w:ascii="宋体" w:hAnsi="宋体"/>
                <w:color w:val="000000"/>
                <w:szCs w:val="21"/>
              </w:rPr>
            </w:pPr>
            <w:r>
              <w:rPr>
                <w:rFonts w:hint="eastAsia" w:ascii="宋体" w:hAnsi="宋体"/>
                <w:color w:val="000000"/>
                <w:szCs w:val="21"/>
              </w:rPr>
              <w:t>11</w:t>
            </w:r>
          </w:p>
        </w:tc>
        <w:tc>
          <w:tcPr>
            <w:tcW w:w="1822" w:type="dxa"/>
            <w:noWrap w:val="0"/>
            <w:vAlign w:val="top"/>
          </w:tcPr>
          <w:p w14:paraId="53903126">
            <w:pPr>
              <w:jc w:val="center"/>
              <w:rPr>
                <w:rFonts w:ascii="宋体" w:hAnsi="宋体"/>
                <w:color w:val="000000"/>
                <w:szCs w:val="21"/>
              </w:rPr>
            </w:pPr>
            <w:r>
              <w:rPr>
                <w:rFonts w:hint="eastAsia" w:ascii="宋体" w:hAnsi="宋体"/>
                <w:color w:val="000000"/>
                <w:szCs w:val="21"/>
              </w:rPr>
              <w:t>20</w:t>
            </w:r>
            <w:r>
              <w:rPr>
                <w:rFonts w:ascii="宋体" w:hAnsi="宋体"/>
                <w:color w:val="000000"/>
                <w:szCs w:val="21"/>
              </w:rPr>
              <w:t>%</w:t>
            </w:r>
          </w:p>
        </w:tc>
      </w:tr>
      <w:tr w14:paraId="31B0F2D0">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02" w:hRule="atLeast"/>
          <w:jc w:val="center"/>
        </w:trPr>
        <w:tc>
          <w:tcPr>
            <w:tcW w:w="706" w:type="dxa"/>
            <w:vMerge w:val="continue"/>
            <w:noWrap w:val="0"/>
            <w:vAlign w:val="top"/>
          </w:tcPr>
          <w:p w14:paraId="52489C5D">
            <w:pPr>
              <w:widowControl/>
              <w:jc w:val="center"/>
              <w:rPr>
                <w:rFonts w:ascii="宋体" w:hAnsi="宋体"/>
                <w:color w:val="000000"/>
                <w:szCs w:val="21"/>
              </w:rPr>
            </w:pPr>
          </w:p>
        </w:tc>
        <w:tc>
          <w:tcPr>
            <w:tcW w:w="2914" w:type="dxa"/>
            <w:vMerge w:val="continue"/>
            <w:noWrap w:val="0"/>
            <w:vAlign w:val="top"/>
          </w:tcPr>
          <w:p w14:paraId="1E01722F">
            <w:pPr>
              <w:widowControl/>
              <w:rPr>
                <w:rFonts w:ascii="宋体" w:hAnsi="宋体" w:cs="宋体"/>
                <w:color w:val="000000"/>
                <w:szCs w:val="21"/>
              </w:rPr>
            </w:pPr>
          </w:p>
        </w:tc>
        <w:tc>
          <w:tcPr>
            <w:tcW w:w="2008" w:type="dxa"/>
            <w:noWrap w:val="0"/>
            <w:vAlign w:val="top"/>
          </w:tcPr>
          <w:p w14:paraId="32E49AA8">
            <w:pPr>
              <w:widowControl/>
              <w:jc w:val="center"/>
              <w:rPr>
                <w:rFonts w:ascii="宋体" w:hAnsi="宋体" w:cs="宋体"/>
                <w:color w:val="000000"/>
                <w:szCs w:val="21"/>
              </w:rPr>
            </w:pPr>
            <w:r>
              <w:rPr>
                <w:rFonts w:hint="eastAsia" w:ascii="宋体" w:hAnsi="宋体" w:cs="宋体"/>
                <w:color w:val="000000"/>
                <w:szCs w:val="21"/>
              </w:rPr>
              <w:t>水污染</w:t>
            </w:r>
          </w:p>
        </w:tc>
        <w:tc>
          <w:tcPr>
            <w:tcW w:w="1030" w:type="dxa"/>
            <w:noWrap w:val="0"/>
            <w:vAlign w:val="top"/>
          </w:tcPr>
          <w:p w14:paraId="24AD7BCB">
            <w:pPr>
              <w:widowControl/>
              <w:jc w:val="center"/>
              <w:rPr>
                <w:rFonts w:hint="eastAsia" w:ascii="宋体" w:hAnsi="宋体"/>
                <w:color w:val="000000"/>
                <w:szCs w:val="21"/>
              </w:rPr>
            </w:pPr>
            <w:r>
              <w:rPr>
                <w:rFonts w:hint="eastAsia" w:ascii="宋体" w:hAnsi="宋体"/>
                <w:color w:val="000000"/>
                <w:szCs w:val="21"/>
              </w:rPr>
              <w:t>3</w:t>
            </w:r>
          </w:p>
        </w:tc>
        <w:tc>
          <w:tcPr>
            <w:tcW w:w="1822" w:type="dxa"/>
            <w:noWrap w:val="0"/>
            <w:vAlign w:val="top"/>
          </w:tcPr>
          <w:p w14:paraId="23127170">
            <w:pPr>
              <w:jc w:val="center"/>
              <w:rPr>
                <w:rFonts w:ascii="宋体" w:hAnsi="宋体"/>
                <w:color w:val="000000"/>
                <w:szCs w:val="21"/>
              </w:rPr>
            </w:pPr>
            <w:r>
              <w:rPr>
                <w:rFonts w:hint="eastAsia" w:ascii="宋体" w:hAnsi="宋体"/>
                <w:color w:val="000000"/>
                <w:szCs w:val="21"/>
              </w:rPr>
              <w:t>5</w:t>
            </w:r>
            <w:r>
              <w:rPr>
                <w:rFonts w:ascii="宋体" w:hAnsi="宋体"/>
                <w:color w:val="000000"/>
                <w:szCs w:val="21"/>
              </w:rPr>
              <w:t>%</w:t>
            </w:r>
          </w:p>
        </w:tc>
      </w:tr>
      <w:tr w14:paraId="50B8F8B7">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02" w:hRule="atLeast"/>
          <w:jc w:val="center"/>
        </w:trPr>
        <w:tc>
          <w:tcPr>
            <w:tcW w:w="706" w:type="dxa"/>
            <w:vMerge w:val="continue"/>
            <w:noWrap w:val="0"/>
            <w:vAlign w:val="top"/>
          </w:tcPr>
          <w:p w14:paraId="75E233D7">
            <w:pPr>
              <w:widowControl/>
              <w:jc w:val="center"/>
              <w:rPr>
                <w:rFonts w:ascii="宋体" w:hAnsi="宋体"/>
                <w:color w:val="000000"/>
                <w:szCs w:val="21"/>
              </w:rPr>
            </w:pPr>
          </w:p>
        </w:tc>
        <w:tc>
          <w:tcPr>
            <w:tcW w:w="2914" w:type="dxa"/>
            <w:vMerge w:val="continue"/>
            <w:noWrap w:val="0"/>
            <w:vAlign w:val="top"/>
          </w:tcPr>
          <w:p w14:paraId="799790FE">
            <w:pPr>
              <w:widowControl/>
              <w:rPr>
                <w:rFonts w:ascii="宋体" w:hAnsi="宋体" w:cs="宋体"/>
                <w:color w:val="000000"/>
                <w:szCs w:val="21"/>
              </w:rPr>
            </w:pPr>
          </w:p>
        </w:tc>
        <w:tc>
          <w:tcPr>
            <w:tcW w:w="2008" w:type="dxa"/>
            <w:noWrap w:val="0"/>
            <w:vAlign w:val="top"/>
          </w:tcPr>
          <w:p w14:paraId="756704E2">
            <w:pPr>
              <w:widowControl/>
              <w:jc w:val="center"/>
              <w:rPr>
                <w:rFonts w:ascii="宋体" w:hAnsi="宋体" w:cs="宋体"/>
                <w:color w:val="000000"/>
                <w:szCs w:val="21"/>
              </w:rPr>
            </w:pPr>
            <w:r>
              <w:rPr>
                <w:rFonts w:hint="eastAsia" w:ascii="宋体" w:hAnsi="宋体" w:cs="宋体"/>
                <w:color w:val="000000"/>
                <w:szCs w:val="21"/>
              </w:rPr>
              <w:t>噪声</w:t>
            </w:r>
          </w:p>
        </w:tc>
        <w:tc>
          <w:tcPr>
            <w:tcW w:w="1030" w:type="dxa"/>
            <w:noWrap w:val="0"/>
            <w:vAlign w:val="top"/>
          </w:tcPr>
          <w:p w14:paraId="4C934D89">
            <w:pPr>
              <w:widowControl/>
              <w:jc w:val="center"/>
              <w:rPr>
                <w:rFonts w:hint="eastAsia" w:ascii="宋体" w:hAnsi="宋体"/>
                <w:color w:val="000000"/>
                <w:szCs w:val="21"/>
              </w:rPr>
            </w:pPr>
            <w:r>
              <w:rPr>
                <w:rFonts w:hint="eastAsia" w:ascii="宋体" w:hAnsi="宋体"/>
                <w:color w:val="000000"/>
                <w:szCs w:val="21"/>
              </w:rPr>
              <w:t>22</w:t>
            </w:r>
          </w:p>
        </w:tc>
        <w:tc>
          <w:tcPr>
            <w:tcW w:w="1822" w:type="dxa"/>
            <w:noWrap w:val="0"/>
            <w:vAlign w:val="top"/>
          </w:tcPr>
          <w:p w14:paraId="7CE0B3E0">
            <w:pPr>
              <w:jc w:val="center"/>
              <w:rPr>
                <w:rFonts w:ascii="宋体" w:hAnsi="宋体"/>
                <w:color w:val="000000"/>
                <w:szCs w:val="21"/>
              </w:rPr>
            </w:pPr>
            <w:r>
              <w:rPr>
                <w:rFonts w:hint="eastAsia" w:ascii="宋体" w:hAnsi="宋体"/>
                <w:color w:val="000000"/>
                <w:szCs w:val="21"/>
              </w:rPr>
              <w:t>39</w:t>
            </w:r>
            <w:r>
              <w:rPr>
                <w:rFonts w:ascii="宋体" w:hAnsi="宋体"/>
                <w:color w:val="000000"/>
                <w:szCs w:val="21"/>
              </w:rPr>
              <w:t>%</w:t>
            </w:r>
          </w:p>
        </w:tc>
      </w:tr>
      <w:tr w14:paraId="2950224A">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02" w:hRule="atLeast"/>
          <w:jc w:val="center"/>
        </w:trPr>
        <w:tc>
          <w:tcPr>
            <w:tcW w:w="706" w:type="dxa"/>
            <w:vMerge w:val="continue"/>
            <w:noWrap w:val="0"/>
            <w:vAlign w:val="top"/>
          </w:tcPr>
          <w:p w14:paraId="74928C53">
            <w:pPr>
              <w:widowControl/>
              <w:jc w:val="center"/>
              <w:rPr>
                <w:rFonts w:ascii="宋体" w:hAnsi="宋体"/>
                <w:color w:val="000000"/>
                <w:szCs w:val="21"/>
              </w:rPr>
            </w:pPr>
          </w:p>
        </w:tc>
        <w:tc>
          <w:tcPr>
            <w:tcW w:w="2914" w:type="dxa"/>
            <w:vMerge w:val="continue"/>
            <w:noWrap w:val="0"/>
            <w:vAlign w:val="top"/>
          </w:tcPr>
          <w:p w14:paraId="4F903650">
            <w:pPr>
              <w:widowControl/>
              <w:rPr>
                <w:rFonts w:ascii="宋体" w:hAnsi="宋体" w:cs="宋体"/>
                <w:color w:val="000000"/>
                <w:szCs w:val="21"/>
              </w:rPr>
            </w:pPr>
          </w:p>
        </w:tc>
        <w:tc>
          <w:tcPr>
            <w:tcW w:w="2008" w:type="dxa"/>
            <w:noWrap w:val="0"/>
            <w:vAlign w:val="top"/>
          </w:tcPr>
          <w:p w14:paraId="051BD79E">
            <w:pPr>
              <w:jc w:val="center"/>
              <w:rPr>
                <w:rFonts w:ascii="宋体" w:hAnsi="宋体" w:cs="宋体"/>
                <w:color w:val="000000"/>
                <w:szCs w:val="21"/>
              </w:rPr>
            </w:pPr>
            <w:r>
              <w:rPr>
                <w:rFonts w:hint="eastAsia" w:ascii="宋体" w:hAnsi="宋体" w:cs="宋体"/>
                <w:color w:val="000000"/>
                <w:szCs w:val="21"/>
              </w:rPr>
              <w:t>固体废弃物</w:t>
            </w:r>
          </w:p>
        </w:tc>
        <w:tc>
          <w:tcPr>
            <w:tcW w:w="1030" w:type="dxa"/>
            <w:noWrap w:val="0"/>
            <w:vAlign w:val="top"/>
          </w:tcPr>
          <w:p w14:paraId="7A989E2B">
            <w:pPr>
              <w:widowControl/>
              <w:jc w:val="center"/>
              <w:rPr>
                <w:rFonts w:hint="eastAsia" w:ascii="宋体" w:hAnsi="宋体"/>
                <w:color w:val="000000"/>
                <w:szCs w:val="21"/>
              </w:rPr>
            </w:pPr>
            <w:r>
              <w:rPr>
                <w:rFonts w:hint="eastAsia" w:ascii="宋体" w:hAnsi="宋体"/>
                <w:color w:val="000000"/>
                <w:szCs w:val="21"/>
              </w:rPr>
              <w:t>19</w:t>
            </w:r>
          </w:p>
        </w:tc>
        <w:tc>
          <w:tcPr>
            <w:tcW w:w="1822" w:type="dxa"/>
            <w:noWrap w:val="0"/>
            <w:vAlign w:val="top"/>
          </w:tcPr>
          <w:p w14:paraId="09B03E3A">
            <w:pPr>
              <w:jc w:val="center"/>
              <w:rPr>
                <w:rFonts w:ascii="宋体" w:hAnsi="宋体"/>
                <w:color w:val="000000"/>
                <w:szCs w:val="21"/>
              </w:rPr>
            </w:pPr>
            <w:r>
              <w:rPr>
                <w:rFonts w:hint="eastAsia" w:ascii="宋体" w:hAnsi="宋体"/>
                <w:color w:val="000000"/>
                <w:szCs w:val="21"/>
              </w:rPr>
              <w:t>34</w:t>
            </w:r>
            <w:r>
              <w:rPr>
                <w:rFonts w:ascii="宋体" w:hAnsi="宋体"/>
                <w:color w:val="000000"/>
                <w:szCs w:val="21"/>
              </w:rPr>
              <w:t>%</w:t>
            </w:r>
          </w:p>
        </w:tc>
      </w:tr>
      <w:tr w14:paraId="5DFC50DB">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02" w:hRule="atLeast"/>
          <w:jc w:val="center"/>
        </w:trPr>
        <w:tc>
          <w:tcPr>
            <w:tcW w:w="706" w:type="dxa"/>
            <w:vMerge w:val="continue"/>
            <w:noWrap w:val="0"/>
            <w:vAlign w:val="top"/>
          </w:tcPr>
          <w:p w14:paraId="5875A4AD">
            <w:pPr>
              <w:widowControl/>
              <w:jc w:val="center"/>
              <w:rPr>
                <w:rFonts w:ascii="宋体" w:hAnsi="宋体"/>
                <w:color w:val="000000"/>
                <w:szCs w:val="21"/>
              </w:rPr>
            </w:pPr>
          </w:p>
        </w:tc>
        <w:tc>
          <w:tcPr>
            <w:tcW w:w="2914" w:type="dxa"/>
            <w:vMerge w:val="continue"/>
            <w:noWrap w:val="0"/>
            <w:vAlign w:val="top"/>
          </w:tcPr>
          <w:p w14:paraId="47CFA434">
            <w:pPr>
              <w:widowControl/>
              <w:rPr>
                <w:rFonts w:ascii="宋体" w:hAnsi="宋体" w:cs="宋体"/>
                <w:color w:val="000000"/>
                <w:szCs w:val="21"/>
              </w:rPr>
            </w:pPr>
          </w:p>
        </w:tc>
        <w:tc>
          <w:tcPr>
            <w:tcW w:w="2008" w:type="dxa"/>
            <w:noWrap w:val="0"/>
            <w:vAlign w:val="top"/>
          </w:tcPr>
          <w:p w14:paraId="2130B5D6">
            <w:pPr>
              <w:jc w:val="center"/>
              <w:rPr>
                <w:rFonts w:hint="eastAsia" w:ascii="宋体" w:hAnsi="宋体" w:cs="宋体"/>
                <w:color w:val="000000"/>
                <w:szCs w:val="21"/>
              </w:rPr>
            </w:pPr>
            <w:r>
              <w:rPr>
                <w:rFonts w:hint="eastAsia" w:ascii="宋体" w:hAnsi="宋体" w:cs="宋体"/>
                <w:color w:val="000000"/>
                <w:szCs w:val="21"/>
              </w:rPr>
              <w:t>其它</w:t>
            </w:r>
          </w:p>
        </w:tc>
        <w:tc>
          <w:tcPr>
            <w:tcW w:w="1030" w:type="dxa"/>
            <w:noWrap w:val="0"/>
            <w:vAlign w:val="top"/>
          </w:tcPr>
          <w:p w14:paraId="70143A19">
            <w:pPr>
              <w:widowControl/>
              <w:jc w:val="center"/>
              <w:rPr>
                <w:rFonts w:hint="eastAsia" w:ascii="宋体" w:hAnsi="宋体"/>
                <w:color w:val="000000"/>
                <w:szCs w:val="21"/>
              </w:rPr>
            </w:pPr>
            <w:r>
              <w:rPr>
                <w:rFonts w:hint="eastAsia" w:ascii="宋体" w:hAnsi="宋体"/>
                <w:color w:val="000000"/>
                <w:szCs w:val="21"/>
              </w:rPr>
              <w:t>1</w:t>
            </w:r>
          </w:p>
        </w:tc>
        <w:tc>
          <w:tcPr>
            <w:tcW w:w="1822" w:type="dxa"/>
            <w:noWrap w:val="0"/>
            <w:vAlign w:val="top"/>
          </w:tcPr>
          <w:p w14:paraId="0539BB0F">
            <w:pPr>
              <w:jc w:val="center"/>
              <w:rPr>
                <w:rFonts w:ascii="宋体" w:hAnsi="宋体"/>
                <w:color w:val="000000"/>
                <w:szCs w:val="21"/>
              </w:rPr>
            </w:pPr>
            <w:r>
              <w:rPr>
                <w:rFonts w:hint="eastAsia" w:ascii="宋体" w:hAnsi="宋体"/>
                <w:color w:val="000000"/>
                <w:szCs w:val="21"/>
              </w:rPr>
              <w:t>2</w:t>
            </w:r>
            <w:r>
              <w:rPr>
                <w:rFonts w:ascii="宋体" w:hAnsi="宋体"/>
                <w:color w:val="000000"/>
                <w:szCs w:val="21"/>
              </w:rPr>
              <w:t>%</w:t>
            </w:r>
          </w:p>
        </w:tc>
      </w:tr>
      <w:tr w14:paraId="37AEB912">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19" w:hRule="atLeast"/>
          <w:jc w:val="center"/>
        </w:trPr>
        <w:tc>
          <w:tcPr>
            <w:tcW w:w="706" w:type="dxa"/>
            <w:vMerge w:val="restart"/>
            <w:noWrap w:val="0"/>
            <w:vAlign w:val="top"/>
          </w:tcPr>
          <w:p w14:paraId="7499862A">
            <w:pPr>
              <w:widowControl/>
              <w:jc w:val="center"/>
              <w:rPr>
                <w:rFonts w:ascii="宋体" w:hAnsi="宋体"/>
                <w:color w:val="000000"/>
                <w:szCs w:val="21"/>
              </w:rPr>
            </w:pPr>
            <w:r>
              <w:rPr>
                <w:rFonts w:ascii="宋体" w:hAnsi="宋体"/>
                <w:color w:val="000000"/>
                <w:szCs w:val="21"/>
              </w:rPr>
              <w:t>6</w:t>
            </w:r>
          </w:p>
        </w:tc>
        <w:tc>
          <w:tcPr>
            <w:tcW w:w="2914" w:type="dxa"/>
            <w:vMerge w:val="restart"/>
            <w:noWrap w:val="0"/>
            <w:vAlign w:val="top"/>
          </w:tcPr>
          <w:p w14:paraId="62FC056D">
            <w:pPr>
              <w:widowControl/>
              <w:rPr>
                <w:rFonts w:ascii="宋体" w:hAnsi="宋体" w:cs="宋体"/>
                <w:color w:val="000000"/>
                <w:szCs w:val="21"/>
              </w:rPr>
            </w:pPr>
            <w:r>
              <w:rPr>
                <w:rFonts w:hint="eastAsia" w:ascii="宋体" w:hAnsi="宋体"/>
                <w:color w:val="000000"/>
                <w:szCs w:val="21"/>
              </w:rPr>
              <w:t>您认为拟建项目对当地医疗会起到的作用</w:t>
            </w:r>
          </w:p>
        </w:tc>
        <w:tc>
          <w:tcPr>
            <w:tcW w:w="2008" w:type="dxa"/>
            <w:noWrap w:val="0"/>
            <w:vAlign w:val="top"/>
          </w:tcPr>
          <w:p w14:paraId="0869C880">
            <w:pPr>
              <w:widowControl/>
              <w:jc w:val="center"/>
              <w:rPr>
                <w:rFonts w:hint="eastAsia" w:ascii="宋体" w:hAnsi="宋体" w:cs="宋体"/>
                <w:color w:val="000000"/>
                <w:szCs w:val="21"/>
              </w:rPr>
            </w:pPr>
            <w:r>
              <w:rPr>
                <w:rFonts w:hint="eastAsia" w:ascii="宋体" w:hAnsi="宋体" w:cs="宋体"/>
                <w:color w:val="000000"/>
                <w:szCs w:val="21"/>
              </w:rPr>
              <w:t>有利</w:t>
            </w:r>
          </w:p>
        </w:tc>
        <w:tc>
          <w:tcPr>
            <w:tcW w:w="1030" w:type="dxa"/>
            <w:noWrap w:val="0"/>
            <w:vAlign w:val="top"/>
          </w:tcPr>
          <w:p w14:paraId="2D40D4D9">
            <w:pPr>
              <w:widowControl/>
              <w:jc w:val="center"/>
              <w:rPr>
                <w:rFonts w:hint="eastAsia" w:ascii="宋体" w:hAnsi="宋体"/>
                <w:color w:val="000000"/>
                <w:szCs w:val="21"/>
              </w:rPr>
            </w:pPr>
            <w:r>
              <w:rPr>
                <w:rFonts w:hint="eastAsia" w:ascii="宋体" w:hAnsi="宋体"/>
                <w:color w:val="000000"/>
                <w:szCs w:val="21"/>
              </w:rPr>
              <w:t>43</w:t>
            </w:r>
          </w:p>
        </w:tc>
        <w:tc>
          <w:tcPr>
            <w:tcW w:w="1822" w:type="dxa"/>
            <w:noWrap w:val="0"/>
            <w:vAlign w:val="top"/>
          </w:tcPr>
          <w:p w14:paraId="577F76DC">
            <w:pPr>
              <w:jc w:val="center"/>
              <w:rPr>
                <w:rFonts w:ascii="宋体" w:hAnsi="宋体"/>
                <w:color w:val="000000"/>
                <w:szCs w:val="21"/>
              </w:rPr>
            </w:pPr>
            <w:r>
              <w:rPr>
                <w:rFonts w:hint="eastAsia" w:ascii="宋体" w:hAnsi="宋体"/>
                <w:color w:val="000000"/>
                <w:szCs w:val="21"/>
              </w:rPr>
              <w:t>100</w:t>
            </w:r>
            <w:r>
              <w:rPr>
                <w:rFonts w:ascii="宋体" w:hAnsi="宋体"/>
                <w:color w:val="000000"/>
                <w:szCs w:val="21"/>
              </w:rPr>
              <w:t>%</w:t>
            </w:r>
          </w:p>
        </w:tc>
      </w:tr>
      <w:tr w14:paraId="357471C6">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02" w:hRule="atLeast"/>
          <w:jc w:val="center"/>
        </w:trPr>
        <w:tc>
          <w:tcPr>
            <w:tcW w:w="706" w:type="dxa"/>
            <w:vMerge w:val="continue"/>
            <w:noWrap w:val="0"/>
            <w:vAlign w:val="top"/>
          </w:tcPr>
          <w:p w14:paraId="67F5BED3">
            <w:pPr>
              <w:widowControl/>
              <w:jc w:val="center"/>
              <w:rPr>
                <w:rFonts w:ascii="宋体" w:hAnsi="宋体"/>
                <w:color w:val="000000"/>
                <w:szCs w:val="21"/>
              </w:rPr>
            </w:pPr>
          </w:p>
        </w:tc>
        <w:tc>
          <w:tcPr>
            <w:tcW w:w="2914" w:type="dxa"/>
            <w:vMerge w:val="continue"/>
            <w:noWrap w:val="0"/>
            <w:vAlign w:val="top"/>
          </w:tcPr>
          <w:p w14:paraId="31DFADA0">
            <w:pPr>
              <w:widowControl/>
              <w:rPr>
                <w:rFonts w:ascii="宋体" w:hAnsi="宋体" w:cs="宋体"/>
                <w:color w:val="000000"/>
                <w:szCs w:val="21"/>
              </w:rPr>
            </w:pPr>
          </w:p>
        </w:tc>
        <w:tc>
          <w:tcPr>
            <w:tcW w:w="2008" w:type="dxa"/>
            <w:noWrap w:val="0"/>
            <w:vAlign w:val="top"/>
          </w:tcPr>
          <w:p w14:paraId="4C08819E">
            <w:pPr>
              <w:widowControl/>
              <w:jc w:val="center"/>
              <w:rPr>
                <w:rFonts w:hint="eastAsia" w:ascii="宋体" w:hAnsi="宋体" w:cs="宋体"/>
                <w:color w:val="000000"/>
                <w:szCs w:val="21"/>
              </w:rPr>
            </w:pPr>
            <w:r>
              <w:rPr>
                <w:rFonts w:hint="eastAsia" w:ascii="宋体" w:hAnsi="宋体" w:cs="宋体"/>
                <w:color w:val="000000"/>
                <w:szCs w:val="21"/>
              </w:rPr>
              <w:t>一般</w:t>
            </w:r>
          </w:p>
        </w:tc>
        <w:tc>
          <w:tcPr>
            <w:tcW w:w="1030" w:type="dxa"/>
            <w:noWrap w:val="0"/>
            <w:vAlign w:val="top"/>
          </w:tcPr>
          <w:p w14:paraId="0F01412C">
            <w:pPr>
              <w:widowControl/>
              <w:jc w:val="center"/>
              <w:rPr>
                <w:rFonts w:hint="eastAsia" w:ascii="宋体" w:hAnsi="宋体"/>
                <w:color w:val="000000"/>
                <w:szCs w:val="21"/>
              </w:rPr>
            </w:pPr>
            <w:r>
              <w:rPr>
                <w:rFonts w:hint="eastAsia" w:ascii="宋体" w:hAnsi="宋体"/>
                <w:color w:val="000000"/>
                <w:szCs w:val="21"/>
              </w:rPr>
              <w:t>0</w:t>
            </w:r>
          </w:p>
        </w:tc>
        <w:tc>
          <w:tcPr>
            <w:tcW w:w="1822" w:type="dxa"/>
            <w:noWrap w:val="0"/>
            <w:vAlign w:val="top"/>
          </w:tcPr>
          <w:p w14:paraId="437E683B">
            <w:pPr>
              <w:jc w:val="center"/>
              <w:rPr>
                <w:rFonts w:ascii="宋体" w:hAnsi="宋体"/>
                <w:color w:val="000000"/>
                <w:szCs w:val="21"/>
              </w:rPr>
            </w:pPr>
            <w:r>
              <w:rPr>
                <w:rFonts w:hint="eastAsia" w:ascii="宋体" w:hAnsi="宋体"/>
                <w:color w:val="000000"/>
                <w:szCs w:val="21"/>
              </w:rPr>
              <w:t>0</w:t>
            </w:r>
          </w:p>
        </w:tc>
      </w:tr>
      <w:tr w14:paraId="51B06383">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02" w:hRule="atLeast"/>
          <w:jc w:val="center"/>
        </w:trPr>
        <w:tc>
          <w:tcPr>
            <w:tcW w:w="706" w:type="dxa"/>
            <w:vMerge w:val="continue"/>
            <w:noWrap w:val="0"/>
            <w:vAlign w:val="top"/>
          </w:tcPr>
          <w:p w14:paraId="5AB590C3">
            <w:pPr>
              <w:widowControl/>
              <w:jc w:val="center"/>
              <w:rPr>
                <w:rFonts w:ascii="宋体" w:hAnsi="宋体"/>
                <w:color w:val="000000"/>
                <w:szCs w:val="21"/>
              </w:rPr>
            </w:pPr>
          </w:p>
        </w:tc>
        <w:tc>
          <w:tcPr>
            <w:tcW w:w="2914" w:type="dxa"/>
            <w:vMerge w:val="continue"/>
            <w:noWrap w:val="0"/>
            <w:vAlign w:val="top"/>
          </w:tcPr>
          <w:p w14:paraId="6FA05F65">
            <w:pPr>
              <w:widowControl/>
              <w:rPr>
                <w:rFonts w:ascii="宋体" w:hAnsi="宋体" w:cs="宋体"/>
                <w:color w:val="000000"/>
                <w:szCs w:val="21"/>
              </w:rPr>
            </w:pPr>
          </w:p>
        </w:tc>
        <w:tc>
          <w:tcPr>
            <w:tcW w:w="2008" w:type="dxa"/>
            <w:noWrap w:val="0"/>
            <w:vAlign w:val="top"/>
          </w:tcPr>
          <w:p w14:paraId="06E657E9">
            <w:pPr>
              <w:widowControl/>
              <w:jc w:val="center"/>
              <w:rPr>
                <w:rFonts w:hint="eastAsia" w:ascii="宋体" w:hAnsi="宋体" w:cs="宋体"/>
                <w:color w:val="000000"/>
                <w:szCs w:val="21"/>
              </w:rPr>
            </w:pPr>
            <w:r>
              <w:rPr>
                <w:rFonts w:hint="eastAsia" w:ascii="宋体" w:hAnsi="宋体" w:cs="宋体"/>
                <w:color w:val="000000"/>
                <w:szCs w:val="21"/>
              </w:rPr>
              <w:t>不利</w:t>
            </w:r>
          </w:p>
        </w:tc>
        <w:tc>
          <w:tcPr>
            <w:tcW w:w="1030" w:type="dxa"/>
            <w:noWrap w:val="0"/>
            <w:vAlign w:val="top"/>
          </w:tcPr>
          <w:p w14:paraId="5370388E">
            <w:pPr>
              <w:widowControl/>
              <w:jc w:val="center"/>
              <w:rPr>
                <w:rFonts w:hint="eastAsia" w:ascii="宋体" w:hAnsi="宋体"/>
                <w:color w:val="000000"/>
                <w:szCs w:val="21"/>
              </w:rPr>
            </w:pPr>
            <w:r>
              <w:rPr>
                <w:rFonts w:hint="eastAsia" w:ascii="宋体" w:hAnsi="宋体"/>
                <w:color w:val="000000"/>
                <w:szCs w:val="21"/>
              </w:rPr>
              <w:t>0</w:t>
            </w:r>
          </w:p>
        </w:tc>
        <w:tc>
          <w:tcPr>
            <w:tcW w:w="1822" w:type="dxa"/>
            <w:noWrap w:val="0"/>
            <w:vAlign w:val="top"/>
          </w:tcPr>
          <w:p w14:paraId="0B15C04F">
            <w:pPr>
              <w:jc w:val="center"/>
              <w:rPr>
                <w:rFonts w:hint="eastAsia" w:ascii="宋体" w:hAnsi="宋体"/>
                <w:color w:val="000000"/>
                <w:szCs w:val="21"/>
              </w:rPr>
            </w:pPr>
            <w:r>
              <w:rPr>
                <w:rFonts w:hint="eastAsia" w:ascii="宋体" w:hAnsi="宋体"/>
                <w:color w:val="000000"/>
                <w:szCs w:val="21"/>
              </w:rPr>
              <w:t>0</w:t>
            </w:r>
          </w:p>
        </w:tc>
      </w:tr>
      <w:tr w14:paraId="529ABFA4">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02" w:hRule="atLeast"/>
          <w:jc w:val="center"/>
        </w:trPr>
        <w:tc>
          <w:tcPr>
            <w:tcW w:w="706" w:type="dxa"/>
            <w:vMerge w:val="continue"/>
            <w:noWrap w:val="0"/>
            <w:vAlign w:val="top"/>
          </w:tcPr>
          <w:p w14:paraId="30DD85D1">
            <w:pPr>
              <w:widowControl/>
              <w:jc w:val="center"/>
              <w:rPr>
                <w:rFonts w:ascii="宋体" w:hAnsi="宋体"/>
                <w:color w:val="000000"/>
                <w:szCs w:val="21"/>
              </w:rPr>
            </w:pPr>
          </w:p>
        </w:tc>
        <w:tc>
          <w:tcPr>
            <w:tcW w:w="2914" w:type="dxa"/>
            <w:vMerge w:val="continue"/>
            <w:noWrap w:val="0"/>
            <w:vAlign w:val="top"/>
          </w:tcPr>
          <w:p w14:paraId="7D612AD8">
            <w:pPr>
              <w:widowControl/>
              <w:rPr>
                <w:rFonts w:ascii="宋体" w:hAnsi="宋体" w:cs="宋体"/>
                <w:color w:val="000000"/>
                <w:szCs w:val="21"/>
              </w:rPr>
            </w:pPr>
          </w:p>
        </w:tc>
        <w:tc>
          <w:tcPr>
            <w:tcW w:w="2008" w:type="dxa"/>
            <w:noWrap w:val="0"/>
            <w:vAlign w:val="top"/>
          </w:tcPr>
          <w:p w14:paraId="400A7936">
            <w:pPr>
              <w:widowControl/>
              <w:jc w:val="center"/>
              <w:rPr>
                <w:rFonts w:hint="eastAsia" w:ascii="宋体" w:hAnsi="宋体" w:cs="宋体"/>
                <w:color w:val="000000"/>
                <w:szCs w:val="21"/>
              </w:rPr>
            </w:pPr>
            <w:r>
              <w:rPr>
                <w:rFonts w:hint="eastAsia" w:ascii="宋体" w:hAnsi="宋体" w:cs="宋体"/>
                <w:color w:val="000000"/>
                <w:szCs w:val="21"/>
              </w:rPr>
              <w:t>不知道</w:t>
            </w:r>
          </w:p>
        </w:tc>
        <w:tc>
          <w:tcPr>
            <w:tcW w:w="1030" w:type="dxa"/>
            <w:noWrap w:val="0"/>
            <w:vAlign w:val="top"/>
          </w:tcPr>
          <w:p w14:paraId="12BA962F">
            <w:pPr>
              <w:widowControl/>
              <w:jc w:val="center"/>
              <w:rPr>
                <w:rFonts w:hint="eastAsia" w:ascii="宋体" w:hAnsi="宋体"/>
                <w:color w:val="000000"/>
                <w:szCs w:val="21"/>
              </w:rPr>
            </w:pPr>
            <w:r>
              <w:rPr>
                <w:rFonts w:hint="eastAsia" w:ascii="宋体" w:hAnsi="宋体"/>
                <w:color w:val="000000"/>
                <w:szCs w:val="21"/>
              </w:rPr>
              <w:t>0</w:t>
            </w:r>
          </w:p>
        </w:tc>
        <w:tc>
          <w:tcPr>
            <w:tcW w:w="1822" w:type="dxa"/>
            <w:noWrap w:val="0"/>
            <w:vAlign w:val="top"/>
          </w:tcPr>
          <w:p w14:paraId="3412C88A">
            <w:pPr>
              <w:jc w:val="center"/>
              <w:rPr>
                <w:rFonts w:hint="eastAsia" w:ascii="宋体" w:hAnsi="宋体"/>
                <w:color w:val="000000"/>
                <w:szCs w:val="21"/>
              </w:rPr>
            </w:pPr>
            <w:r>
              <w:rPr>
                <w:rFonts w:hint="eastAsia" w:ascii="宋体" w:hAnsi="宋体"/>
                <w:color w:val="000000"/>
                <w:szCs w:val="21"/>
              </w:rPr>
              <w:t>0</w:t>
            </w:r>
          </w:p>
        </w:tc>
      </w:tr>
      <w:tr w14:paraId="467EA510">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138" w:hRule="atLeast"/>
          <w:jc w:val="center"/>
        </w:trPr>
        <w:tc>
          <w:tcPr>
            <w:tcW w:w="706" w:type="dxa"/>
            <w:vMerge w:val="restart"/>
            <w:noWrap w:val="0"/>
            <w:vAlign w:val="top"/>
          </w:tcPr>
          <w:p w14:paraId="2728AACD">
            <w:pPr>
              <w:widowControl/>
              <w:jc w:val="center"/>
              <w:rPr>
                <w:rFonts w:ascii="宋体" w:hAnsi="宋体"/>
                <w:color w:val="000000"/>
                <w:szCs w:val="21"/>
              </w:rPr>
            </w:pPr>
            <w:r>
              <w:rPr>
                <w:rFonts w:ascii="宋体" w:hAnsi="宋体"/>
                <w:color w:val="000000"/>
                <w:szCs w:val="21"/>
              </w:rPr>
              <w:t>7</w:t>
            </w:r>
          </w:p>
        </w:tc>
        <w:tc>
          <w:tcPr>
            <w:tcW w:w="2914" w:type="dxa"/>
            <w:vMerge w:val="restart"/>
            <w:noWrap w:val="0"/>
            <w:vAlign w:val="top"/>
          </w:tcPr>
          <w:p w14:paraId="4954B98F">
            <w:pPr>
              <w:rPr>
                <w:rFonts w:ascii="宋体" w:hAnsi="宋体" w:cs="宋体"/>
                <w:color w:val="000000"/>
                <w:szCs w:val="21"/>
              </w:rPr>
            </w:pPr>
            <w:r>
              <w:rPr>
                <w:rFonts w:hint="eastAsia" w:ascii="宋体" w:hAnsi="宋体"/>
                <w:color w:val="000000"/>
                <w:szCs w:val="21"/>
              </w:rPr>
              <w:t>您认为拟建项目的地址选址是否合理</w:t>
            </w:r>
          </w:p>
        </w:tc>
        <w:tc>
          <w:tcPr>
            <w:tcW w:w="2008" w:type="dxa"/>
            <w:noWrap w:val="0"/>
            <w:vAlign w:val="top"/>
          </w:tcPr>
          <w:p w14:paraId="469A680C">
            <w:pPr>
              <w:widowControl/>
              <w:jc w:val="center"/>
              <w:rPr>
                <w:rFonts w:hint="eastAsia" w:ascii="宋体" w:hAnsi="宋体" w:cs="宋体"/>
                <w:color w:val="000000"/>
                <w:szCs w:val="21"/>
              </w:rPr>
            </w:pPr>
            <w:r>
              <w:rPr>
                <w:rFonts w:hint="eastAsia" w:ascii="宋体" w:hAnsi="宋体" w:cs="宋体"/>
                <w:color w:val="000000"/>
                <w:szCs w:val="21"/>
              </w:rPr>
              <w:t>合理</w:t>
            </w:r>
          </w:p>
        </w:tc>
        <w:tc>
          <w:tcPr>
            <w:tcW w:w="1030" w:type="dxa"/>
            <w:noWrap w:val="0"/>
            <w:vAlign w:val="top"/>
          </w:tcPr>
          <w:p w14:paraId="2D61D76C">
            <w:pPr>
              <w:widowControl/>
              <w:jc w:val="center"/>
              <w:rPr>
                <w:rFonts w:hint="eastAsia" w:ascii="宋体" w:hAnsi="宋体"/>
                <w:color w:val="000000"/>
                <w:szCs w:val="21"/>
              </w:rPr>
            </w:pPr>
            <w:r>
              <w:rPr>
                <w:rFonts w:hint="eastAsia" w:ascii="宋体" w:hAnsi="宋体"/>
                <w:color w:val="000000"/>
                <w:szCs w:val="21"/>
              </w:rPr>
              <w:t>43</w:t>
            </w:r>
          </w:p>
        </w:tc>
        <w:tc>
          <w:tcPr>
            <w:tcW w:w="1822" w:type="dxa"/>
            <w:noWrap w:val="0"/>
            <w:vAlign w:val="top"/>
          </w:tcPr>
          <w:p w14:paraId="1CA5CF2C">
            <w:pPr>
              <w:jc w:val="center"/>
              <w:rPr>
                <w:rFonts w:ascii="宋体" w:hAnsi="宋体"/>
                <w:color w:val="000000"/>
                <w:szCs w:val="21"/>
              </w:rPr>
            </w:pPr>
            <w:r>
              <w:rPr>
                <w:rFonts w:hint="eastAsia" w:ascii="宋体" w:hAnsi="宋体"/>
                <w:color w:val="000000"/>
                <w:szCs w:val="21"/>
              </w:rPr>
              <w:t>100</w:t>
            </w:r>
            <w:r>
              <w:rPr>
                <w:rFonts w:ascii="宋体" w:hAnsi="宋体"/>
                <w:color w:val="000000"/>
                <w:szCs w:val="21"/>
              </w:rPr>
              <w:t>%</w:t>
            </w:r>
          </w:p>
        </w:tc>
      </w:tr>
      <w:tr w14:paraId="20566ACC">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02" w:hRule="atLeast"/>
          <w:jc w:val="center"/>
        </w:trPr>
        <w:tc>
          <w:tcPr>
            <w:tcW w:w="706" w:type="dxa"/>
            <w:vMerge w:val="continue"/>
            <w:noWrap w:val="0"/>
            <w:vAlign w:val="top"/>
          </w:tcPr>
          <w:p w14:paraId="53BAC620">
            <w:pPr>
              <w:widowControl/>
              <w:jc w:val="center"/>
              <w:rPr>
                <w:rFonts w:ascii="宋体" w:hAnsi="宋体"/>
                <w:color w:val="000000"/>
                <w:szCs w:val="21"/>
              </w:rPr>
            </w:pPr>
          </w:p>
        </w:tc>
        <w:tc>
          <w:tcPr>
            <w:tcW w:w="2914" w:type="dxa"/>
            <w:vMerge w:val="continue"/>
            <w:noWrap w:val="0"/>
            <w:vAlign w:val="top"/>
          </w:tcPr>
          <w:p w14:paraId="7574F6E7">
            <w:pPr>
              <w:widowControl/>
              <w:rPr>
                <w:rFonts w:ascii="宋体" w:hAnsi="宋体" w:cs="宋体"/>
                <w:color w:val="000000"/>
                <w:szCs w:val="21"/>
              </w:rPr>
            </w:pPr>
          </w:p>
        </w:tc>
        <w:tc>
          <w:tcPr>
            <w:tcW w:w="2008" w:type="dxa"/>
            <w:noWrap w:val="0"/>
            <w:vAlign w:val="top"/>
          </w:tcPr>
          <w:p w14:paraId="1528A7CB">
            <w:pPr>
              <w:widowControl/>
              <w:jc w:val="center"/>
              <w:rPr>
                <w:rFonts w:hint="eastAsia" w:ascii="宋体" w:hAnsi="宋体" w:cs="宋体"/>
                <w:color w:val="000000"/>
                <w:szCs w:val="21"/>
              </w:rPr>
            </w:pPr>
            <w:r>
              <w:rPr>
                <w:rFonts w:hint="eastAsia" w:ascii="宋体" w:hAnsi="宋体" w:cs="宋体"/>
                <w:color w:val="000000"/>
                <w:szCs w:val="21"/>
              </w:rPr>
              <w:t>不合理</w:t>
            </w:r>
          </w:p>
        </w:tc>
        <w:tc>
          <w:tcPr>
            <w:tcW w:w="1030" w:type="dxa"/>
            <w:noWrap w:val="0"/>
            <w:vAlign w:val="top"/>
          </w:tcPr>
          <w:p w14:paraId="47FEBA4A">
            <w:pPr>
              <w:widowControl/>
              <w:jc w:val="center"/>
              <w:rPr>
                <w:rFonts w:hint="eastAsia" w:ascii="宋体" w:hAnsi="宋体"/>
                <w:color w:val="000000"/>
                <w:szCs w:val="21"/>
              </w:rPr>
            </w:pPr>
            <w:r>
              <w:rPr>
                <w:rFonts w:hint="eastAsia" w:ascii="宋体" w:hAnsi="宋体"/>
                <w:color w:val="000000"/>
                <w:szCs w:val="21"/>
              </w:rPr>
              <w:t>0</w:t>
            </w:r>
          </w:p>
        </w:tc>
        <w:tc>
          <w:tcPr>
            <w:tcW w:w="1822" w:type="dxa"/>
            <w:noWrap w:val="0"/>
            <w:vAlign w:val="top"/>
          </w:tcPr>
          <w:p w14:paraId="7A1AD0C4">
            <w:pPr>
              <w:jc w:val="center"/>
              <w:rPr>
                <w:rFonts w:ascii="宋体" w:hAnsi="宋体"/>
                <w:color w:val="000000"/>
                <w:szCs w:val="21"/>
              </w:rPr>
            </w:pPr>
            <w:r>
              <w:rPr>
                <w:rFonts w:hint="eastAsia" w:ascii="宋体" w:hAnsi="宋体"/>
                <w:color w:val="000000"/>
                <w:szCs w:val="21"/>
              </w:rPr>
              <w:t>0</w:t>
            </w:r>
          </w:p>
        </w:tc>
      </w:tr>
      <w:tr w14:paraId="50DD455D">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12" w:hRule="atLeast"/>
          <w:jc w:val="center"/>
        </w:trPr>
        <w:tc>
          <w:tcPr>
            <w:tcW w:w="706" w:type="dxa"/>
            <w:vMerge w:val="continue"/>
            <w:noWrap w:val="0"/>
            <w:vAlign w:val="top"/>
          </w:tcPr>
          <w:p w14:paraId="3EC2F981">
            <w:pPr>
              <w:widowControl/>
              <w:jc w:val="center"/>
              <w:rPr>
                <w:rFonts w:ascii="宋体" w:hAnsi="宋体"/>
                <w:color w:val="000000"/>
                <w:szCs w:val="21"/>
              </w:rPr>
            </w:pPr>
          </w:p>
        </w:tc>
        <w:tc>
          <w:tcPr>
            <w:tcW w:w="2914" w:type="dxa"/>
            <w:vMerge w:val="continue"/>
            <w:noWrap w:val="0"/>
            <w:vAlign w:val="top"/>
          </w:tcPr>
          <w:p w14:paraId="272B6697">
            <w:pPr>
              <w:widowControl/>
              <w:rPr>
                <w:rFonts w:ascii="宋体" w:hAnsi="宋体" w:cs="宋体"/>
                <w:color w:val="000000"/>
                <w:szCs w:val="21"/>
              </w:rPr>
            </w:pPr>
          </w:p>
        </w:tc>
        <w:tc>
          <w:tcPr>
            <w:tcW w:w="2008" w:type="dxa"/>
            <w:noWrap w:val="0"/>
            <w:vAlign w:val="top"/>
          </w:tcPr>
          <w:p w14:paraId="50975839">
            <w:pPr>
              <w:widowControl/>
              <w:jc w:val="center"/>
              <w:rPr>
                <w:rFonts w:hint="eastAsia" w:ascii="宋体" w:hAnsi="宋体" w:cs="宋体"/>
                <w:color w:val="000000"/>
                <w:szCs w:val="21"/>
              </w:rPr>
            </w:pPr>
            <w:r>
              <w:rPr>
                <w:rFonts w:hint="eastAsia" w:ascii="宋体" w:hAnsi="宋体" w:cs="宋体"/>
                <w:color w:val="000000"/>
                <w:szCs w:val="21"/>
              </w:rPr>
              <w:t>不知道</w:t>
            </w:r>
          </w:p>
        </w:tc>
        <w:tc>
          <w:tcPr>
            <w:tcW w:w="1030" w:type="dxa"/>
            <w:noWrap w:val="0"/>
            <w:vAlign w:val="top"/>
          </w:tcPr>
          <w:p w14:paraId="58E0F52E">
            <w:pPr>
              <w:widowControl/>
              <w:jc w:val="center"/>
              <w:rPr>
                <w:rFonts w:hint="eastAsia" w:ascii="宋体" w:hAnsi="宋体"/>
                <w:color w:val="000000"/>
                <w:szCs w:val="21"/>
              </w:rPr>
            </w:pPr>
            <w:r>
              <w:rPr>
                <w:rFonts w:hint="eastAsia" w:ascii="宋体" w:hAnsi="宋体"/>
                <w:color w:val="000000"/>
                <w:szCs w:val="21"/>
              </w:rPr>
              <w:t>0</w:t>
            </w:r>
          </w:p>
        </w:tc>
        <w:tc>
          <w:tcPr>
            <w:tcW w:w="1822" w:type="dxa"/>
            <w:noWrap w:val="0"/>
            <w:vAlign w:val="top"/>
          </w:tcPr>
          <w:p w14:paraId="4B59E7E8">
            <w:pPr>
              <w:jc w:val="center"/>
              <w:rPr>
                <w:rFonts w:ascii="宋体" w:hAnsi="宋体"/>
                <w:color w:val="000000"/>
                <w:szCs w:val="21"/>
              </w:rPr>
            </w:pPr>
            <w:r>
              <w:rPr>
                <w:rFonts w:hint="eastAsia" w:ascii="宋体" w:hAnsi="宋体"/>
                <w:color w:val="000000"/>
                <w:szCs w:val="21"/>
              </w:rPr>
              <w:t>0</w:t>
            </w:r>
          </w:p>
        </w:tc>
      </w:tr>
      <w:tr w14:paraId="1F58CDBA">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12" w:hRule="atLeast"/>
          <w:jc w:val="center"/>
        </w:trPr>
        <w:tc>
          <w:tcPr>
            <w:tcW w:w="706" w:type="dxa"/>
            <w:vMerge w:val="restart"/>
            <w:noWrap w:val="0"/>
            <w:vAlign w:val="top"/>
          </w:tcPr>
          <w:p w14:paraId="397E3E97">
            <w:pPr>
              <w:jc w:val="center"/>
              <w:rPr>
                <w:rFonts w:ascii="宋体" w:hAnsi="宋体"/>
                <w:color w:val="000000"/>
                <w:szCs w:val="21"/>
              </w:rPr>
            </w:pPr>
            <w:r>
              <w:rPr>
                <w:rFonts w:hint="eastAsia" w:ascii="宋体" w:hAnsi="宋体"/>
                <w:color w:val="000000"/>
                <w:szCs w:val="21"/>
              </w:rPr>
              <w:t>8</w:t>
            </w:r>
          </w:p>
        </w:tc>
        <w:tc>
          <w:tcPr>
            <w:tcW w:w="2914" w:type="dxa"/>
            <w:vMerge w:val="restart"/>
            <w:noWrap w:val="0"/>
            <w:vAlign w:val="top"/>
          </w:tcPr>
          <w:p w14:paraId="2E4320AB">
            <w:pPr>
              <w:rPr>
                <w:rFonts w:ascii="宋体" w:hAnsi="宋体" w:cs="宋体"/>
                <w:color w:val="000000"/>
                <w:szCs w:val="21"/>
              </w:rPr>
            </w:pPr>
            <w:r>
              <w:rPr>
                <w:rFonts w:hint="eastAsia" w:ascii="宋体" w:hAnsi="宋体"/>
                <w:color w:val="000000"/>
                <w:szCs w:val="21"/>
              </w:rPr>
              <w:t>您对拟建项目持何种态度</w:t>
            </w:r>
          </w:p>
        </w:tc>
        <w:tc>
          <w:tcPr>
            <w:tcW w:w="2008" w:type="dxa"/>
            <w:noWrap w:val="0"/>
            <w:vAlign w:val="top"/>
          </w:tcPr>
          <w:p w14:paraId="67B00F80">
            <w:pPr>
              <w:widowControl/>
              <w:jc w:val="center"/>
              <w:rPr>
                <w:rFonts w:hint="eastAsia" w:ascii="宋体" w:hAnsi="宋体" w:cs="宋体"/>
                <w:color w:val="000000"/>
                <w:szCs w:val="21"/>
              </w:rPr>
            </w:pPr>
            <w:r>
              <w:rPr>
                <w:rFonts w:hint="eastAsia" w:ascii="宋体" w:hAnsi="宋体" w:cs="宋体"/>
                <w:color w:val="000000"/>
                <w:szCs w:val="21"/>
              </w:rPr>
              <w:t>赞成</w:t>
            </w:r>
          </w:p>
        </w:tc>
        <w:tc>
          <w:tcPr>
            <w:tcW w:w="1030" w:type="dxa"/>
            <w:noWrap w:val="0"/>
            <w:vAlign w:val="top"/>
          </w:tcPr>
          <w:p w14:paraId="7EF00A3C">
            <w:pPr>
              <w:widowControl/>
              <w:jc w:val="center"/>
              <w:rPr>
                <w:rFonts w:hint="eastAsia" w:ascii="宋体" w:hAnsi="宋体"/>
                <w:color w:val="000000"/>
                <w:szCs w:val="21"/>
              </w:rPr>
            </w:pPr>
            <w:r>
              <w:rPr>
                <w:rFonts w:hint="eastAsia" w:ascii="宋体" w:hAnsi="宋体"/>
                <w:color w:val="000000"/>
                <w:szCs w:val="21"/>
              </w:rPr>
              <w:t>43</w:t>
            </w:r>
          </w:p>
        </w:tc>
        <w:tc>
          <w:tcPr>
            <w:tcW w:w="1822" w:type="dxa"/>
            <w:noWrap w:val="0"/>
            <w:vAlign w:val="top"/>
          </w:tcPr>
          <w:p w14:paraId="11F7EEF6">
            <w:pPr>
              <w:jc w:val="center"/>
              <w:rPr>
                <w:rFonts w:ascii="宋体" w:hAnsi="宋体"/>
                <w:color w:val="000000"/>
                <w:szCs w:val="21"/>
              </w:rPr>
            </w:pPr>
            <w:r>
              <w:rPr>
                <w:rFonts w:hint="eastAsia" w:ascii="宋体" w:hAnsi="宋体"/>
                <w:color w:val="000000"/>
                <w:szCs w:val="21"/>
              </w:rPr>
              <w:t>100</w:t>
            </w:r>
            <w:r>
              <w:rPr>
                <w:rFonts w:ascii="宋体" w:hAnsi="宋体"/>
                <w:color w:val="000000"/>
                <w:szCs w:val="21"/>
              </w:rPr>
              <w:t>%</w:t>
            </w:r>
          </w:p>
        </w:tc>
      </w:tr>
      <w:tr w14:paraId="414F4502">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02" w:hRule="atLeast"/>
          <w:jc w:val="center"/>
        </w:trPr>
        <w:tc>
          <w:tcPr>
            <w:tcW w:w="706" w:type="dxa"/>
            <w:vMerge w:val="continue"/>
            <w:noWrap w:val="0"/>
            <w:vAlign w:val="top"/>
          </w:tcPr>
          <w:p w14:paraId="0EA74F35">
            <w:pPr>
              <w:widowControl/>
              <w:jc w:val="center"/>
              <w:rPr>
                <w:rFonts w:ascii="宋体" w:hAnsi="宋体"/>
                <w:color w:val="000000"/>
                <w:szCs w:val="21"/>
              </w:rPr>
            </w:pPr>
          </w:p>
        </w:tc>
        <w:tc>
          <w:tcPr>
            <w:tcW w:w="2914" w:type="dxa"/>
            <w:vMerge w:val="continue"/>
            <w:noWrap w:val="0"/>
            <w:vAlign w:val="top"/>
          </w:tcPr>
          <w:p w14:paraId="306CF7FB">
            <w:pPr>
              <w:widowControl/>
              <w:rPr>
                <w:rFonts w:ascii="宋体" w:hAnsi="宋体" w:cs="宋体"/>
                <w:color w:val="000000"/>
                <w:szCs w:val="21"/>
              </w:rPr>
            </w:pPr>
          </w:p>
        </w:tc>
        <w:tc>
          <w:tcPr>
            <w:tcW w:w="2008" w:type="dxa"/>
            <w:noWrap w:val="0"/>
            <w:vAlign w:val="top"/>
          </w:tcPr>
          <w:p w14:paraId="7C1A3DBA">
            <w:pPr>
              <w:widowControl/>
              <w:jc w:val="center"/>
              <w:rPr>
                <w:rFonts w:hint="eastAsia" w:ascii="宋体" w:hAnsi="宋体" w:cs="宋体"/>
                <w:color w:val="000000"/>
                <w:szCs w:val="21"/>
              </w:rPr>
            </w:pPr>
            <w:r>
              <w:rPr>
                <w:rFonts w:hint="eastAsia" w:ascii="宋体" w:hAnsi="宋体" w:cs="宋体"/>
                <w:color w:val="000000"/>
                <w:szCs w:val="21"/>
              </w:rPr>
              <w:t>不赞成</w:t>
            </w:r>
          </w:p>
        </w:tc>
        <w:tc>
          <w:tcPr>
            <w:tcW w:w="1030" w:type="dxa"/>
            <w:noWrap w:val="0"/>
            <w:vAlign w:val="top"/>
          </w:tcPr>
          <w:p w14:paraId="58337C57">
            <w:pPr>
              <w:widowControl/>
              <w:jc w:val="center"/>
              <w:rPr>
                <w:rFonts w:hint="eastAsia" w:ascii="宋体" w:hAnsi="宋体"/>
                <w:color w:val="000000"/>
                <w:szCs w:val="21"/>
              </w:rPr>
            </w:pPr>
            <w:r>
              <w:rPr>
                <w:rFonts w:hint="eastAsia" w:ascii="宋体" w:hAnsi="宋体"/>
                <w:color w:val="000000"/>
                <w:szCs w:val="21"/>
              </w:rPr>
              <w:t>0</w:t>
            </w:r>
          </w:p>
        </w:tc>
        <w:tc>
          <w:tcPr>
            <w:tcW w:w="1822" w:type="dxa"/>
            <w:noWrap w:val="0"/>
            <w:vAlign w:val="top"/>
          </w:tcPr>
          <w:p w14:paraId="110EB4DA">
            <w:pPr>
              <w:jc w:val="center"/>
              <w:rPr>
                <w:rFonts w:ascii="宋体" w:hAnsi="宋体"/>
                <w:color w:val="000000"/>
                <w:szCs w:val="21"/>
              </w:rPr>
            </w:pPr>
            <w:r>
              <w:rPr>
                <w:rFonts w:hint="eastAsia" w:ascii="宋体" w:hAnsi="宋体"/>
                <w:color w:val="000000"/>
                <w:szCs w:val="21"/>
              </w:rPr>
              <w:t>0</w:t>
            </w:r>
          </w:p>
        </w:tc>
      </w:tr>
      <w:tr w14:paraId="02BDAA0F">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02" w:hRule="atLeast"/>
          <w:jc w:val="center"/>
        </w:trPr>
        <w:tc>
          <w:tcPr>
            <w:tcW w:w="706" w:type="dxa"/>
            <w:vMerge w:val="continue"/>
            <w:noWrap w:val="0"/>
            <w:vAlign w:val="top"/>
          </w:tcPr>
          <w:p w14:paraId="78886D8F">
            <w:pPr>
              <w:widowControl/>
              <w:jc w:val="center"/>
              <w:rPr>
                <w:rFonts w:ascii="宋体" w:hAnsi="宋体"/>
                <w:color w:val="000000"/>
                <w:szCs w:val="21"/>
              </w:rPr>
            </w:pPr>
          </w:p>
        </w:tc>
        <w:tc>
          <w:tcPr>
            <w:tcW w:w="2914" w:type="dxa"/>
            <w:vMerge w:val="continue"/>
            <w:noWrap w:val="0"/>
            <w:vAlign w:val="top"/>
          </w:tcPr>
          <w:p w14:paraId="76434C89">
            <w:pPr>
              <w:widowControl/>
              <w:rPr>
                <w:rFonts w:ascii="宋体" w:hAnsi="宋体" w:cs="宋体"/>
                <w:color w:val="000000"/>
                <w:szCs w:val="21"/>
              </w:rPr>
            </w:pPr>
          </w:p>
        </w:tc>
        <w:tc>
          <w:tcPr>
            <w:tcW w:w="2008" w:type="dxa"/>
            <w:noWrap w:val="0"/>
            <w:vAlign w:val="top"/>
          </w:tcPr>
          <w:p w14:paraId="6BE90827">
            <w:pPr>
              <w:widowControl/>
              <w:jc w:val="center"/>
              <w:rPr>
                <w:rFonts w:hint="eastAsia" w:ascii="宋体" w:hAnsi="宋体" w:cs="宋体"/>
                <w:color w:val="000000"/>
                <w:szCs w:val="21"/>
              </w:rPr>
            </w:pPr>
            <w:r>
              <w:rPr>
                <w:rFonts w:hint="eastAsia" w:ascii="宋体" w:hAnsi="宋体" w:cs="宋体"/>
                <w:color w:val="000000"/>
                <w:szCs w:val="21"/>
              </w:rPr>
              <w:t>不知道</w:t>
            </w:r>
          </w:p>
        </w:tc>
        <w:tc>
          <w:tcPr>
            <w:tcW w:w="1030" w:type="dxa"/>
            <w:noWrap w:val="0"/>
            <w:vAlign w:val="top"/>
          </w:tcPr>
          <w:p w14:paraId="0ADF123E">
            <w:pPr>
              <w:widowControl/>
              <w:jc w:val="center"/>
              <w:rPr>
                <w:rFonts w:hint="eastAsia" w:ascii="宋体" w:hAnsi="宋体"/>
                <w:color w:val="000000"/>
                <w:szCs w:val="21"/>
              </w:rPr>
            </w:pPr>
            <w:r>
              <w:rPr>
                <w:rFonts w:hint="eastAsia" w:ascii="宋体" w:hAnsi="宋体"/>
                <w:color w:val="000000"/>
                <w:szCs w:val="21"/>
              </w:rPr>
              <w:t>0</w:t>
            </w:r>
          </w:p>
        </w:tc>
        <w:tc>
          <w:tcPr>
            <w:tcW w:w="1822" w:type="dxa"/>
            <w:noWrap w:val="0"/>
            <w:vAlign w:val="top"/>
          </w:tcPr>
          <w:p w14:paraId="1D130F1B">
            <w:pPr>
              <w:jc w:val="center"/>
              <w:rPr>
                <w:rFonts w:hint="eastAsia" w:ascii="宋体" w:hAnsi="宋体"/>
                <w:color w:val="000000"/>
                <w:szCs w:val="21"/>
              </w:rPr>
            </w:pPr>
            <w:r>
              <w:rPr>
                <w:rFonts w:hint="eastAsia" w:ascii="宋体" w:hAnsi="宋体"/>
                <w:color w:val="000000"/>
                <w:szCs w:val="21"/>
              </w:rPr>
              <w:t>0</w:t>
            </w:r>
          </w:p>
        </w:tc>
      </w:tr>
      <w:tr w14:paraId="2178B38B">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91" w:hRule="atLeast"/>
          <w:jc w:val="center"/>
        </w:trPr>
        <w:tc>
          <w:tcPr>
            <w:tcW w:w="706" w:type="dxa"/>
            <w:noWrap w:val="0"/>
            <w:vAlign w:val="top"/>
          </w:tcPr>
          <w:p w14:paraId="6E089A3A">
            <w:pPr>
              <w:widowControl/>
              <w:jc w:val="center"/>
              <w:rPr>
                <w:rFonts w:hint="eastAsia" w:ascii="宋体" w:hAnsi="宋体"/>
                <w:color w:val="000000"/>
                <w:szCs w:val="21"/>
              </w:rPr>
            </w:pPr>
            <w:r>
              <w:rPr>
                <w:rFonts w:hint="eastAsia" w:ascii="宋体" w:hAnsi="宋体"/>
                <w:color w:val="000000"/>
                <w:szCs w:val="21"/>
              </w:rPr>
              <w:t>9</w:t>
            </w:r>
          </w:p>
        </w:tc>
        <w:tc>
          <w:tcPr>
            <w:tcW w:w="2914" w:type="dxa"/>
            <w:noWrap w:val="0"/>
            <w:vAlign w:val="top"/>
          </w:tcPr>
          <w:p w14:paraId="300C60C7">
            <w:pPr>
              <w:widowControl/>
              <w:rPr>
                <w:rFonts w:hint="eastAsia" w:ascii="宋体" w:hAnsi="宋体" w:cs="宋体"/>
                <w:color w:val="000000"/>
                <w:szCs w:val="21"/>
              </w:rPr>
            </w:pPr>
            <w:r>
              <w:rPr>
                <w:rFonts w:hint="eastAsia" w:ascii="宋体" w:hAnsi="宋体" w:cs="宋体"/>
                <w:color w:val="000000"/>
                <w:szCs w:val="21"/>
              </w:rPr>
              <w:t>其它意见</w:t>
            </w:r>
          </w:p>
        </w:tc>
        <w:tc>
          <w:tcPr>
            <w:tcW w:w="4860" w:type="dxa"/>
            <w:gridSpan w:val="3"/>
            <w:noWrap w:val="0"/>
            <w:vAlign w:val="top"/>
          </w:tcPr>
          <w:p w14:paraId="12CBCA23">
            <w:pPr>
              <w:widowControl/>
              <w:jc w:val="center"/>
              <w:rPr>
                <w:rFonts w:ascii="宋体" w:hAnsi="宋体" w:cs="宋体"/>
                <w:color w:val="000000"/>
                <w:szCs w:val="21"/>
              </w:rPr>
            </w:pPr>
            <w:r>
              <w:rPr>
                <w:rFonts w:hint="eastAsia" w:ascii="宋体" w:hAnsi="宋体" w:cs="宋体"/>
                <w:color w:val="000000"/>
                <w:szCs w:val="21"/>
              </w:rPr>
              <w:t>无</w:t>
            </w:r>
          </w:p>
        </w:tc>
      </w:tr>
    </w:tbl>
    <w:p w14:paraId="4C49251C">
      <w:pPr>
        <w:spacing w:line="360" w:lineRule="auto"/>
        <w:rPr>
          <w:rFonts w:hint="eastAsia"/>
          <w:color w:val="000000"/>
          <w:sz w:val="24"/>
        </w:rPr>
      </w:pPr>
      <w:r>
        <w:rPr>
          <w:color w:val="000000"/>
          <w:szCs w:val="21"/>
        </w:rPr>
        <w:t xml:space="preserve"> [注] 有的选项被多选了。</w:t>
      </w:r>
    </w:p>
    <w:p w14:paraId="1EBF6BC7">
      <w:pPr>
        <w:spacing w:line="360" w:lineRule="auto"/>
        <w:ind w:firstLine="482"/>
        <w:rPr>
          <w:rFonts w:hint="eastAsia" w:ascii="宋体" w:hAnsi="宋体"/>
          <w:b/>
          <w:color w:val="000000"/>
          <w:sz w:val="24"/>
        </w:rPr>
      </w:pPr>
      <w:r>
        <w:rPr>
          <w:rFonts w:hint="eastAsia" w:ascii="宋体" w:hAnsi="宋体"/>
          <w:b/>
          <w:color w:val="000000"/>
          <w:sz w:val="24"/>
        </w:rPr>
        <w:t>（3）</w:t>
      </w:r>
      <w:r>
        <w:rPr>
          <w:rFonts w:ascii="宋体" w:hAnsi="宋体"/>
          <w:b/>
          <w:color w:val="000000"/>
          <w:sz w:val="24"/>
        </w:rPr>
        <w:t>调查</w:t>
      </w:r>
      <w:r>
        <w:rPr>
          <w:rFonts w:hint="eastAsia" w:ascii="宋体" w:hAnsi="宋体"/>
          <w:b/>
          <w:color w:val="000000"/>
          <w:sz w:val="24"/>
        </w:rPr>
        <w:t>结果分析</w:t>
      </w:r>
    </w:p>
    <w:p w14:paraId="2EB4F31B">
      <w:pPr>
        <w:pStyle w:val="204"/>
        <w:spacing w:after="0" w:line="360" w:lineRule="auto"/>
        <w:ind w:left="0" w:firstLine="480"/>
        <w:rPr>
          <w:rFonts w:hint="eastAsia" w:ascii="宋体" w:hAnsi="宋体"/>
          <w:color w:val="000000"/>
          <w:sz w:val="24"/>
        </w:rPr>
      </w:pPr>
      <w:r>
        <w:rPr>
          <w:rFonts w:hint="eastAsia" w:ascii="宋体" w:hAnsi="宋体"/>
          <w:color w:val="000000"/>
          <w:sz w:val="24"/>
        </w:rPr>
        <w:t>所有受访的被调查者中，95</w:t>
      </w:r>
      <w:r>
        <w:rPr>
          <w:rFonts w:ascii="宋体" w:hAnsi="宋体"/>
          <w:color w:val="000000"/>
          <w:sz w:val="24"/>
        </w:rPr>
        <w:t>%知道本项目，</w:t>
      </w:r>
      <w:r>
        <w:rPr>
          <w:rFonts w:hint="eastAsia" w:ascii="宋体" w:hAnsi="宋体"/>
          <w:color w:val="000000"/>
          <w:sz w:val="24"/>
        </w:rPr>
        <w:t>有5%的人</w:t>
      </w:r>
      <w:r>
        <w:rPr>
          <w:rFonts w:ascii="宋体" w:hAnsi="宋体"/>
          <w:color w:val="000000"/>
          <w:sz w:val="24"/>
        </w:rPr>
        <w:t>不知道，</w:t>
      </w:r>
      <w:r>
        <w:rPr>
          <w:rFonts w:hint="eastAsia" w:ascii="宋体" w:hAnsi="宋体"/>
          <w:color w:val="000000"/>
          <w:sz w:val="24"/>
        </w:rPr>
        <w:t>故</w:t>
      </w:r>
      <w:r>
        <w:rPr>
          <w:rFonts w:ascii="宋体" w:hAnsi="宋体"/>
          <w:color w:val="000000"/>
          <w:sz w:val="24"/>
        </w:rPr>
        <w:t>本项目的信息普及率</w:t>
      </w:r>
      <w:r>
        <w:rPr>
          <w:rFonts w:hint="eastAsia" w:ascii="宋体" w:hAnsi="宋体"/>
          <w:color w:val="000000"/>
          <w:sz w:val="24"/>
        </w:rPr>
        <w:t>较高；95%的被调查人员对当地的环境质量现状表示满意；受访者认为当地最严重、</w:t>
      </w:r>
      <w:r>
        <w:rPr>
          <w:rFonts w:ascii="宋体" w:hAnsi="宋体"/>
          <w:color w:val="000000"/>
          <w:sz w:val="24"/>
        </w:rPr>
        <w:t>项目建设中</w:t>
      </w:r>
      <w:r>
        <w:rPr>
          <w:rFonts w:hint="eastAsia" w:ascii="宋体" w:hAnsi="宋体"/>
          <w:color w:val="000000"/>
          <w:sz w:val="24"/>
        </w:rPr>
        <w:t>对环境影响较大及项目建成后最关心的环境问题的是噪声和固体废弃物；100</w:t>
      </w:r>
      <w:r>
        <w:rPr>
          <w:rFonts w:ascii="宋体" w:hAnsi="宋体"/>
          <w:color w:val="000000"/>
          <w:sz w:val="24"/>
        </w:rPr>
        <w:t>%的被调查者认为项目实施对</w:t>
      </w:r>
      <w:r>
        <w:rPr>
          <w:rFonts w:hint="eastAsia" w:ascii="宋体" w:hAnsi="宋体"/>
          <w:color w:val="000000"/>
          <w:sz w:val="24"/>
        </w:rPr>
        <w:t>当地医疗</w:t>
      </w:r>
      <w:r>
        <w:rPr>
          <w:rFonts w:ascii="宋体" w:hAnsi="宋体"/>
          <w:color w:val="000000"/>
          <w:sz w:val="24"/>
        </w:rPr>
        <w:t>是有利的</w:t>
      </w:r>
      <w:r>
        <w:rPr>
          <w:rFonts w:hint="eastAsia" w:ascii="宋体" w:hAnsi="宋体"/>
          <w:color w:val="000000"/>
          <w:sz w:val="24"/>
        </w:rPr>
        <w:t>；100</w:t>
      </w:r>
      <w:r>
        <w:rPr>
          <w:rFonts w:ascii="宋体" w:hAnsi="宋体"/>
          <w:color w:val="000000"/>
          <w:sz w:val="24"/>
        </w:rPr>
        <w:t>%的被调查者认为项目的</w:t>
      </w:r>
      <w:r>
        <w:rPr>
          <w:rFonts w:hint="eastAsia" w:ascii="宋体" w:hAnsi="宋体"/>
          <w:color w:val="000000"/>
          <w:sz w:val="24"/>
        </w:rPr>
        <w:t>选址是合理的；100</w:t>
      </w:r>
      <w:r>
        <w:rPr>
          <w:rFonts w:ascii="宋体" w:hAnsi="宋体"/>
          <w:color w:val="000000"/>
          <w:sz w:val="24"/>
        </w:rPr>
        <w:t>%的被调查者赞成项目的</w:t>
      </w:r>
      <w:r>
        <w:rPr>
          <w:rFonts w:hint="eastAsia" w:ascii="宋体" w:hAnsi="宋体"/>
          <w:color w:val="000000"/>
          <w:sz w:val="24"/>
        </w:rPr>
        <w:t>建设。</w:t>
      </w:r>
    </w:p>
    <w:p w14:paraId="59484B15">
      <w:pPr>
        <w:spacing w:line="360" w:lineRule="auto"/>
        <w:ind w:firstLine="480"/>
        <w:rPr>
          <w:rFonts w:hint="eastAsia" w:ascii="宋体" w:hAnsi="宋体"/>
          <w:color w:val="000000"/>
          <w:sz w:val="24"/>
        </w:rPr>
      </w:pPr>
      <w:r>
        <w:rPr>
          <w:rFonts w:hint="eastAsia" w:ascii="宋体" w:hAnsi="宋体"/>
          <w:color w:val="000000"/>
          <w:sz w:val="24"/>
        </w:rPr>
        <w:t>调查结果表明：本项目建设的消息在当地群众中的普及程度较高；大部分群众认为该项目的实施将会</w:t>
      </w:r>
      <w:r>
        <w:rPr>
          <w:rFonts w:hint="eastAsia" w:ascii="宋体" w:hAnsi="宋体"/>
          <w:color w:val="000000"/>
          <w:sz w:val="24"/>
          <w:lang w:eastAsia="zh-CN"/>
        </w:rPr>
        <w:t>对</w:t>
      </w:r>
      <w:r>
        <w:rPr>
          <w:rFonts w:hint="eastAsia" w:ascii="宋体" w:hAnsi="宋体"/>
          <w:color w:val="000000"/>
          <w:sz w:val="24"/>
        </w:rPr>
        <w:t>当地医疗</w:t>
      </w:r>
      <w:r>
        <w:rPr>
          <w:rFonts w:ascii="宋体" w:hAnsi="宋体"/>
          <w:color w:val="000000"/>
          <w:sz w:val="24"/>
        </w:rPr>
        <w:t>是有利的</w:t>
      </w:r>
      <w:r>
        <w:rPr>
          <w:rFonts w:hint="eastAsia" w:ascii="宋体" w:hAnsi="宋体"/>
          <w:color w:val="000000"/>
          <w:sz w:val="24"/>
        </w:rPr>
        <w:t>，也赞成该项目的实施；但调查结果也表明当地居民认为当地存在噪声、固体废弃物、大气污染等环境问题，因此，大多受访者表示项目实施过程中最关心的环境问题也是噪声、固体废弃物、大气污染等。</w:t>
      </w:r>
    </w:p>
    <w:p w14:paraId="2F0CEB6E">
      <w:pPr>
        <w:pStyle w:val="182"/>
        <w:ind w:firstLine="275"/>
        <w:rPr>
          <w:rFonts w:hint="eastAsia" w:ascii="Times New Roman" w:hAnsi="Times New Roman" w:eastAsia="仿宋_GB2312" w:cs="Times New Roman"/>
          <w:color w:val="000000"/>
          <w:sz w:val="28"/>
          <w:szCs w:val="28"/>
        </w:rPr>
      </w:pPr>
      <w:r>
        <w:rPr>
          <w:rFonts w:hint="eastAsia" w:ascii="Times New Roman" w:hAnsi="Times New Roman" w:eastAsia="仿宋_GB2312" w:cs="Times New Roman"/>
          <w:color w:val="000000"/>
          <w:sz w:val="28"/>
          <w:szCs w:val="28"/>
        </w:rPr>
        <w:t>12</w:t>
      </w:r>
      <w:r>
        <w:rPr>
          <w:rFonts w:ascii="Times New Roman" w:hAnsi="Times New Roman" w:eastAsia="仿宋_GB2312" w:cs="Times New Roman"/>
          <w:color w:val="000000"/>
          <w:sz w:val="28"/>
          <w:szCs w:val="28"/>
        </w:rPr>
        <w:t>.</w:t>
      </w:r>
      <w:r>
        <w:rPr>
          <w:rFonts w:hint="eastAsia" w:ascii="Times New Roman" w:hAnsi="Times New Roman" w:eastAsia="仿宋_GB2312" w:cs="Times New Roman"/>
          <w:color w:val="000000"/>
          <w:sz w:val="28"/>
          <w:szCs w:val="28"/>
        </w:rPr>
        <w:t>6公众意见采纳情况</w:t>
      </w:r>
    </w:p>
    <w:p w14:paraId="7D008726">
      <w:pPr>
        <w:spacing w:line="360" w:lineRule="auto"/>
        <w:ind w:firstLine="480"/>
        <w:rPr>
          <w:rFonts w:hint="eastAsia" w:ascii="宋体" w:hAnsi="宋体"/>
          <w:color w:val="000000"/>
          <w:sz w:val="24"/>
        </w:rPr>
      </w:pPr>
      <w:r>
        <w:rPr>
          <w:rFonts w:hint="eastAsia" w:ascii="宋体" w:hAnsi="宋体"/>
          <w:color w:val="000000"/>
          <w:sz w:val="24"/>
        </w:rPr>
        <w:t>根据对项目周边公众的随机访问，公众对本项目的建设持积极态度，认为项目的建设对当地的医疗起到积极有利的作用。同时，</w:t>
      </w:r>
      <w:r>
        <w:rPr>
          <w:rFonts w:ascii="宋体" w:hAnsi="宋体"/>
          <w:color w:val="000000"/>
          <w:sz w:val="24"/>
        </w:rPr>
        <w:t>对于</w:t>
      </w:r>
      <w:r>
        <w:rPr>
          <w:rFonts w:hint="eastAsia" w:ascii="宋体" w:hAnsi="宋体"/>
          <w:color w:val="000000"/>
          <w:sz w:val="24"/>
        </w:rPr>
        <w:t>本项目建设</w:t>
      </w:r>
      <w:r>
        <w:rPr>
          <w:rFonts w:ascii="宋体" w:hAnsi="宋体"/>
          <w:color w:val="000000"/>
          <w:sz w:val="24"/>
        </w:rPr>
        <w:t>可能对环境产生的不利影响</w:t>
      </w:r>
      <w:r>
        <w:rPr>
          <w:rFonts w:hint="eastAsia" w:ascii="宋体" w:hAnsi="宋体"/>
          <w:color w:val="000000"/>
          <w:sz w:val="24"/>
        </w:rPr>
        <w:t>，被调查者也提出了一些关心和忧虑的问题：项目实施、运营过程中公众最关心的环境问题是大气、噪声问题及固体废弃物污染的问题。</w:t>
      </w:r>
    </w:p>
    <w:p w14:paraId="7FFE2E32">
      <w:pPr>
        <w:pStyle w:val="277"/>
        <w:ind w:firstLine="480"/>
        <w:rPr>
          <w:rFonts w:hint="eastAsia" w:ascii="宋体" w:hAnsi="宋体"/>
          <w:color w:val="000000"/>
        </w:rPr>
      </w:pPr>
      <w:r>
        <w:rPr>
          <w:rFonts w:hint="eastAsia" w:ascii="宋体" w:hAnsi="宋体"/>
          <w:color w:val="000000"/>
        </w:rPr>
        <w:t>因此，</w:t>
      </w:r>
      <w:r>
        <w:rPr>
          <w:rFonts w:ascii="宋体" w:hAnsi="宋体"/>
          <w:color w:val="000000"/>
        </w:rPr>
        <w:t>为了更好地动员当地群众支持项目建设，应将当地居民的意见如实反映给业主，由业主与当地政府共同与群众进行沟通和协商，解决群众的合理要求，在不损害群众利益的前提下进行项目建设。针对公众参与调查</w:t>
      </w:r>
      <w:r>
        <w:rPr>
          <w:rFonts w:hint="eastAsia" w:ascii="宋体" w:hAnsi="宋体"/>
          <w:color w:val="000000"/>
        </w:rPr>
        <w:t>表</w:t>
      </w:r>
      <w:r>
        <w:rPr>
          <w:rFonts w:ascii="宋体" w:hAnsi="宋体"/>
          <w:color w:val="000000"/>
        </w:rPr>
        <w:t>中提出的</w:t>
      </w:r>
      <w:r>
        <w:rPr>
          <w:rFonts w:hint="eastAsia" w:ascii="宋体" w:hAnsi="宋体"/>
          <w:color w:val="000000"/>
        </w:rPr>
        <w:t>其它</w:t>
      </w:r>
      <w:r>
        <w:rPr>
          <w:rFonts w:ascii="宋体" w:hAnsi="宋体"/>
          <w:color w:val="000000"/>
        </w:rPr>
        <w:t>意见，经过归纳分析后与业主协商，告知情况见表</w:t>
      </w:r>
      <w:r>
        <w:rPr>
          <w:rFonts w:hint="eastAsia" w:ascii="宋体" w:hAnsi="宋体"/>
          <w:color w:val="000000"/>
        </w:rPr>
        <w:t>12.6</w:t>
      </w:r>
      <w:r>
        <w:rPr>
          <w:rFonts w:ascii="宋体" w:hAnsi="宋体"/>
          <w:color w:val="000000"/>
        </w:rPr>
        <w:t>-1。</w:t>
      </w:r>
    </w:p>
    <w:p w14:paraId="72453DD1">
      <w:pPr>
        <w:pStyle w:val="191"/>
        <w:ind w:firstLine="2014"/>
        <w:rPr>
          <w:rFonts w:eastAsia="宋体"/>
          <w:b/>
          <w:color w:val="000000"/>
          <w:sz w:val="24"/>
          <w:szCs w:val="24"/>
        </w:rPr>
      </w:pPr>
      <w:r>
        <w:rPr>
          <w:rFonts w:eastAsia="宋体"/>
          <w:b/>
          <w:color w:val="000000"/>
          <w:sz w:val="24"/>
          <w:szCs w:val="24"/>
        </w:rPr>
        <w:t>表</w:t>
      </w:r>
      <w:r>
        <w:rPr>
          <w:rFonts w:hint="eastAsia" w:eastAsia="宋体"/>
          <w:b/>
          <w:color w:val="000000"/>
          <w:sz w:val="24"/>
          <w:szCs w:val="24"/>
        </w:rPr>
        <w:t>12.6</w:t>
      </w:r>
      <w:r>
        <w:rPr>
          <w:rFonts w:eastAsia="宋体"/>
          <w:b/>
          <w:color w:val="000000"/>
          <w:sz w:val="24"/>
          <w:szCs w:val="24"/>
        </w:rPr>
        <w:t>-1</w:t>
      </w:r>
      <w:r>
        <w:rPr>
          <w:rFonts w:hint="eastAsia" w:eastAsia="宋体"/>
          <w:b/>
          <w:color w:val="000000"/>
          <w:sz w:val="24"/>
          <w:szCs w:val="24"/>
        </w:rPr>
        <w:t xml:space="preserve">   </w:t>
      </w:r>
      <w:r>
        <w:rPr>
          <w:rFonts w:eastAsia="宋体"/>
          <w:b/>
          <w:color w:val="000000"/>
          <w:sz w:val="24"/>
          <w:szCs w:val="24"/>
        </w:rPr>
        <w:t>公众调查意见</w:t>
      </w:r>
      <w:r>
        <w:rPr>
          <w:rFonts w:hint="eastAsia" w:eastAsia="宋体"/>
          <w:b/>
          <w:color w:val="000000"/>
          <w:sz w:val="24"/>
          <w:szCs w:val="24"/>
        </w:rPr>
        <w:t>告知</w:t>
      </w:r>
      <w:r>
        <w:rPr>
          <w:rFonts w:eastAsia="宋体"/>
          <w:b/>
          <w:color w:val="000000"/>
          <w:sz w:val="24"/>
          <w:szCs w:val="24"/>
        </w:rPr>
        <w:t>情况</w:t>
      </w:r>
      <w:r>
        <w:rPr>
          <w:rFonts w:hint="eastAsia" w:eastAsia="宋体"/>
          <w:b/>
          <w:color w:val="000000"/>
          <w:sz w:val="24"/>
          <w:szCs w:val="24"/>
        </w:rPr>
        <w:t>一览</w:t>
      </w:r>
      <w:r>
        <w:rPr>
          <w:rFonts w:eastAsia="宋体"/>
          <w:b/>
          <w:color w:val="000000"/>
          <w:sz w:val="24"/>
          <w:szCs w:val="24"/>
        </w:rPr>
        <w:t>表</w:t>
      </w:r>
    </w:p>
    <w:tbl>
      <w:tblPr>
        <w:tblStyle w:val="27"/>
        <w:tblW w:w="0" w:type="auto"/>
        <w:tblInd w:w="-108"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4191"/>
        <w:gridCol w:w="4337"/>
      </w:tblGrid>
      <w:tr w14:paraId="7158BC2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4191" w:type="dxa"/>
            <w:noWrap w:val="0"/>
            <w:vAlign w:val="center"/>
          </w:tcPr>
          <w:p w14:paraId="256F6CE0">
            <w:pPr>
              <w:pStyle w:val="266"/>
              <w:rPr>
                <w:color w:val="000000"/>
              </w:rPr>
            </w:pPr>
            <w:r>
              <w:rPr>
                <w:color w:val="000000"/>
              </w:rPr>
              <w:t xml:space="preserve">意   </w:t>
            </w:r>
            <w:r>
              <w:rPr>
                <w:rFonts w:hint="eastAsia"/>
                <w:color w:val="000000"/>
              </w:rPr>
              <w:t xml:space="preserve"> </w:t>
            </w:r>
            <w:r>
              <w:rPr>
                <w:color w:val="000000"/>
              </w:rPr>
              <w:t>见</w:t>
            </w:r>
            <w:r>
              <w:rPr>
                <w:rFonts w:hint="eastAsia"/>
                <w:color w:val="000000"/>
              </w:rPr>
              <w:t xml:space="preserve">    </w:t>
            </w:r>
            <w:r>
              <w:rPr>
                <w:color w:val="000000"/>
              </w:rPr>
              <w:t>内     容</w:t>
            </w:r>
          </w:p>
        </w:tc>
        <w:tc>
          <w:tcPr>
            <w:tcW w:w="4337" w:type="dxa"/>
            <w:noWrap w:val="0"/>
            <w:vAlign w:val="center"/>
          </w:tcPr>
          <w:p w14:paraId="41A27947">
            <w:pPr>
              <w:pStyle w:val="266"/>
              <w:rPr>
                <w:color w:val="000000"/>
              </w:rPr>
            </w:pPr>
            <w:r>
              <w:rPr>
                <w:color w:val="000000"/>
              </w:rPr>
              <w:t>告    知    情   况</w:t>
            </w:r>
          </w:p>
        </w:tc>
      </w:tr>
      <w:tr w14:paraId="3AECBE1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191" w:type="dxa"/>
            <w:noWrap w:val="0"/>
            <w:vAlign w:val="center"/>
          </w:tcPr>
          <w:p w14:paraId="7AF7F984">
            <w:pPr>
              <w:pStyle w:val="266"/>
              <w:rPr>
                <w:color w:val="000000"/>
              </w:rPr>
            </w:pPr>
            <w:r>
              <w:rPr>
                <w:rFonts w:hint="eastAsia"/>
                <w:color w:val="000000"/>
              </w:rPr>
              <w:t>建设期间应该加强对扬尘、噪声的管理</w:t>
            </w:r>
          </w:p>
        </w:tc>
        <w:tc>
          <w:tcPr>
            <w:tcW w:w="4337" w:type="dxa"/>
            <w:noWrap w:val="0"/>
            <w:vAlign w:val="center"/>
          </w:tcPr>
          <w:p w14:paraId="21CF2E5B">
            <w:pPr>
              <w:pStyle w:val="266"/>
              <w:rPr>
                <w:rFonts w:hint="eastAsia"/>
                <w:color w:val="000000"/>
              </w:rPr>
            </w:pPr>
            <w:r>
              <w:rPr>
                <w:rFonts w:hint="eastAsia"/>
                <w:color w:val="000000"/>
              </w:rPr>
              <w:t>已告知</w:t>
            </w:r>
          </w:p>
        </w:tc>
      </w:tr>
      <w:tr w14:paraId="71758F6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4191" w:type="dxa"/>
            <w:noWrap w:val="0"/>
            <w:vAlign w:val="center"/>
          </w:tcPr>
          <w:p w14:paraId="5FA5E76A">
            <w:pPr>
              <w:pStyle w:val="277"/>
              <w:spacing w:line="240" w:lineRule="auto"/>
              <w:jc w:val="center"/>
              <w:rPr>
                <w:rFonts w:hint="eastAsia"/>
                <w:color w:val="000000"/>
                <w:sz w:val="21"/>
                <w:szCs w:val="21"/>
              </w:rPr>
            </w:pPr>
            <w:r>
              <w:rPr>
                <w:rFonts w:hint="eastAsia"/>
                <w:color w:val="000000"/>
                <w:sz w:val="21"/>
                <w:szCs w:val="21"/>
              </w:rPr>
              <w:t>建设期间合理处置固体废弃物</w:t>
            </w:r>
          </w:p>
        </w:tc>
        <w:tc>
          <w:tcPr>
            <w:tcW w:w="4337" w:type="dxa"/>
            <w:noWrap w:val="0"/>
            <w:vAlign w:val="center"/>
          </w:tcPr>
          <w:p w14:paraId="0B8C66AA">
            <w:pPr>
              <w:pStyle w:val="266"/>
              <w:rPr>
                <w:color w:val="000000"/>
              </w:rPr>
            </w:pPr>
            <w:r>
              <w:rPr>
                <w:rFonts w:hint="eastAsia"/>
                <w:color w:val="000000"/>
              </w:rPr>
              <w:t>已告知</w:t>
            </w:r>
          </w:p>
        </w:tc>
      </w:tr>
      <w:tr w14:paraId="700B332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80" w:hRule="atLeast"/>
        </w:trPr>
        <w:tc>
          <w:tcPr>
            <w:tcW w:w="4191" w:type="dxa"/>
            <w:noWrap w:val="0"/>
            <w:vAlign w:val="center"/>
          </w:tcPr>
          <w:p w14:paraId="6A1C6697">
            <w:pPr>
              <w:pStyle w:val="277"/>
              <w:spacing w:line="240" w:lineRule="auto"/>
              <w:jc w:val="center"/>
              <w:rPr>
                <w:rFonts w:hint="eastAsia"/>
                <w:color w:val="000000"/>
                <w:sz w:val="21"/>
                <w:szCs w:val="21"/>
              </w:rPr>
            </w:pPr>
            <w:r>
              <w:rPr>
                <w:rFonts w:hint="eastAsia"/>
                <w:color w:val="000000"/>
                <w:sz w:val="21"/>
                <w:szCs w:val="21"/>
              </w:rPr>
              <w:t>运营期间废水、固体废弃物合理处置</w:t>
            </w:r>
          </w:p>
        </w:tc>
        <w:tc>
          <w:tcPr>
            <w:tcW w:w="4337" w:type="dxa"/>
            <w:noWrap w:val="0"/>
            <w:vAlign w:val="center"/>
          </w:tcPr>
          <w:p w14:paraId="76F0501E">
            <w:pPr>
              <w:pStyle w:val="266"/>
              <w:rPr>
                <w:color w:val="000000"/>
              </w:rPr>
            </w:pPr>
            <w:r>
              <w:rPr>
                <w:rFonts w:hint="eastAsia"/>
                <w:color w:val="000000"/>
              </w:rPr>
              <w:t>已告知</w:t>
            </w:r>
          </w:p>
        </w:tc>
      </w:tr>
    </w:tbl>
    <w:p w14:paraId="7825087C">
      <w:pPr>
        <w:pStyle w:val="277"/>
        <w:ind w:firstLine="480"/>
        <w:rPr>
          <w:rFonts w:hint="eastAsia"/>
          <w:color w:val="000000"/>
        </w:rPr>
      </w:pPr>
      <w:r>
        <w:rPr>
          <w:rFonts w:hint="eastAsia"/>
          <w:color w:val="000000"/>
        </w:rPr>
        <w:t>环评单位将以上当地居民的意见告知业主，要求业主针对这些意见，根据实际情况，落实提出相应的解决措施或意见。</w:t>
      </w:r>
    </w:p>
    <w:p w14:paraId="5B53891C">
      <w:pPr>
        <w:pStyle w:val="191"/>
        <w:ind w:firstLine="1484"/>
        <w:rPr>
          <w:rFonts w:hint="eastAsia" w:eastAsia="宋体"/>
          <w:b/>
          <w:color w:val="000000"/>
          <w:sz w:val="24"/>
          <w:szCs w:val="24"/>
        </w:rPr>
      </w:pPr>
      <w:r>
        <w:rPr>
          <w:rFonts w:hint="eastAsia" w:eastAsia="宋体"/>
          <w:b/>
          <w:color w:val="000000"/>
          <w:sz w:val="24"/>
          <w:szCs w:val="24"/>
        </w:rPr>
        <w:t>表12.6-2   业主对公众调查</w:t>
      </w:r>
      <w:r>
        <w:rPr>
          <w:rFonts w:eastAsia="宋体"/>
          <w:b/>
          <w:color w:val="000000"/>
          <w:sz w:val="24"/>
          <w:szCs w:val="24"/>
        </w:rPr>
        <w:t>意见</w:t>
      </w:r>
      <w:r>
        <w:rPr>
          <w:rFonts w:hint="eastAsia" w:eastAsia="宋体"/>
          <w:b/>
          <w:color w:val="000000"/>
          <w:sz w:val="24"/>
          <w:szCs w:val="24"/>
        </w:rPr>
        <w:t>的回复</w:t>
      </w:r>
      <w:r>
        <w:rPr>
          <w:rFonts w:eastAsia="宋体"/>
          <w:b/>
          <w:color w:val="000000"/>
          <w:sz w:val="24"/>
          <w:szCs w:val="24"/>
        </w:rPr>
        <w:t>情况</w:t>
      </w:r>
      <w:r>
        <w:rPr>
          <w:rFonts w:hint="eastAsia" w:eastAsia="宋体"/>
          <w:b/>
          <w:color w:val="000000"/>
          <w:sz w:val="24"/>
          <w:szCs w:val="24"/>
        </w:rPr>
        <w:t>一览</w:t>
      </w:r>
      <w:r>
        <w:rPr>
          <w:rFonts w:eastAsia="宋体"/>
          <w:b/>
          <w:color w:val="000000"/>
          <w:sz w:val="24"/>
          <w:szCs w:val="24"/>
        </w:rPr>
        <w:t>表</w:t>
      </w:r>
    </w:p>
    <w:tbl>
      <w:tblPr>
        <w:tblStyle w:val="27"/>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4250"/>
        <w:gridCol w:w="4278"/>
      </w:tblGrid>
      <w:tr w14:paraId="4C758E9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250" w:type="dxa"/>
            <w:noWrap w:val="0"/>
            <w:vAlign w:val="center"/>
          </w:tcPr>
          <w:p w14:paraId="47E8C994">
            <w:pPr>
              <w:pStyle w:val="266"/>
              <w:rPr>
                <w:color w:val="000000"/>
              </w:rPr>
            </w:pPr>
            <w:r>
              <w:rPr>
                <w:rFonts w:hint="eastAsia"/>
                <w:color w:val="000000"/>
              </w:rPr>
              <w:t xml:space="preserve">意    见    </w:t>
            </w:r>
            <w:r>
              <w:rPr>
                <w:color w:val="000000"/>
              </w:rPr>
              <w:t>内</w:t>
            </w:r>
            <w:r>
              <w:rPr>
                <w:rFonts w:hint="eastAsia"/>
                <w:color w:val="000000"/>
              </w:rPr>
              <w:t xml:space="preserve">    </w:t>
            </w:r>
            <w:r>
              <w:rPr>
                <w:color w:val="000000"/>
              </w:rPr>
              <w:t>容</w:t>
            </w:r>
          </w:p>
        </w:tc>
        <w:tc>
          <w:tcPr>
            <w:tcW w:w="4278" w:type="dxa"/>
            <w:noWrap w:val="0"/>
            <w:vAlign w:val="center"/>
          </w:tcPr>
          <w:p w14:paraId="27651739">
            <w:pPr>
              <w:pStyle w:val="266"/>
              <w:rPr>
                <w:color w:val="000000"/>
              </w:rPr>
            </w:pPr>
            <w:r>
              <w:rPr>
                <w:rFonts w:hint="eastAsia"/>
                <w:color w:val="000000"/>
              </w:rPr>
              <w:t>回         复</w:t>
            </w:r>
          </w:p>
        </w:tc>
      </w:tr>
      <w:tr w14:paraId="239857F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250" w:type="dxa"/>
            <w:noWrap w:val="0"/>
            <w:vAlign w:val="center"/>
          </w:tcPr>
          <w:p w14:paraId="74A34D90">
            <w:pPr>
              <w:pStyle w:val="266"/>
              <w:rPr>
                <w:color w:val="000000"/>
              </w:rPr>
            </w:pPr>
            <w:r>
              <w:rPr>
                <w:rFonts w:hint="eastAsia"/>
                <w:color w:val="000000"/>
              </w:rPr>
              <w:t>建 设 期 间 应 该 加 强 对扬尘、 噪 声 的 管 理</w:t>
            </w:r>
          </w:p>
        </w:tc>
        <w:tc>
          <w:tcPr>
            <w:tcW w:w="4278" w:type="dxa"/>
            <w:noWrap w:val="0"/>
            <w:vAlign w:val="center"/>
          </w:tcPr>
          <w:p w14:paraId="1CD6E4CB">
            <w:pPr>
              <w:pStyle w:val="266"/>
              <w:rPr>
                <w:rFonts w:hint="eastAsia"/>
                <w:color w:val="000000"/>
              </w:rPr>
            </w:pPr>
            <w:r>
              <w:rPr>
                <w:color w:val="000000"/>
              </w:rPr>
              <w:t>坚持“三同时”制度</w:t>
            </w:r>
            <w:r>
              <w:rPr>
                <w:rFonts w:hint="eastAsia"/>
                <w:color w:val="000000"/>
              </w:rPr>
              <w:t>，严格 按 照 环 评 的 要 求 落 实 施 工 及 运 营 期 噪 声 防 治 措 施</w:t>
            </w:r>
          </w:p>
        </w:tc>
      </w:tr>
      <w:tr w14:paraId="72F854C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4250" w:type="dxa"/>
            <w:noWrap w:val="0"/>
            <w:vAlign w:val="center"/>
          </w:tcPr>
          <w:p w14:paraId="7F8B15F0">
            <w:pPr>
              <w:pStyle w:val="266"/>
              <w:rPr>
                <w:rFonts w:hint="eastAsia"/>
                <w:color w:val="000000"/>
              </w:rPr>
            </w:pPr>
            <w:r>
              <w:rPr>
                <w:rFonts w:hint="eastAsia"/>
                <w:color w:val="000000"/>
              </w:rPr>
              <w:t>建设期间合理处置固体废弃物</w:t>
            </w:r>
          </w:p>
        </w:tc>
        <w:tc>
          <w:tcPr>
            <w:tcW w:w="4278" w:type="dxa"/>
            <w:noWrap w:val="0"/>
            <w:vAlign w:val="center"/>
          </w:tcPr>
          <w:p w14:paraId="14E3E1D2">
            <w:pPr>
              <w:pStyle w:val="266"/>
              <w:rPr>
                <w:rFonts w:hint="eastAsia"/>
                <w:color w:val="000000"/>
              </w:rPr>
            </w:pPr>
            <w:r>
              <w:rPr>
                <w:rFonts w:hint="eastAsia"/>
                <w:color w:val="000000"/>
              </w:rPr>
              <w:t>按 照 环 评 及 有 关 规 定 合 理 处 置</w:t>
            </w:r>
          </w:p>
        </w:tc>
      </w:tr>
      <w:tr w14:paraId="4A0ED14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250" w:type="dxa"/>
            <w:noWrap w:val="0"/>
            <w:vAlign w:val="center"/>
          </w:tcPr>
          <w:p w14:paraId="1EFA011A">
            <w:pPr>
              <w:pStyle w:val="266"/>
              <w:rPr>
                <w:rFonts w:hint="eastAsia"/>
                <w:color w:val="000000"/>
              </w:rPr>
            </w:pPr>
            <w:r>
              <w:rPr>
                <w:rFonts w:hint="eastAsia"/>
                <w:color w:val="000000"/>
              </w:rPr>
              <w:t>运营期间废水、固体废弃物合理处置</w:t>
            </w:r>
          </w:p>
        </w:tc>
        <w:tc>
          <w:tcPr>
            <w:tcW w:w="4278" w:type="dxa"/>
            <w:noWrap w:val="0"/>
            <w:vAlign w:val="center"/>
          </w:tcPr>
          <w:p w14:paraId="05CEC8A7">
            <w:pPr>
              <w:pStyle w:val="266"/>
              <w:rPr>
                <w:rFonts w:hint="eastAsia"/>
                <w:color w:val="000000"/>
              </w:rPr>
            </w:pPr>
            <w:r>
              <w:rPr>
                <w:rFonts w:hint="eastAsia"/>
                <w:color w:val="000000"/>
              </w:rPr>
              <w:t>按 照 环 评 及 有 关 规 定 合 理 处 置</w:t>
            </w:r>
          </w:p>
        </w:tc>
      </w:tr>
    </w:tbl>
    <w:p w14:paraId="563F2DDE">
      <w:pPr>
        <w:pStyle w:val="182"/>
        <w:ind w:firstLine="275"/>
        <w:rPr>
          <w:rFonts w:hint="eastAsia" w:ascii="Times New Roman" w:hAnsi="Times New Roman" w:eastAsia="仿宋_GB2312" w:cs="Times New Roman"/>
          <w:color w:val="000000"/>
          <w:sz w:val="28"/>
          <w:szCs w:val="28"/>
        </w:rPr>
      </w:pPr>
      <w:r>
        <w:rPr>
          <w:rFonts w:hint="eastAsia" w:ascii="Times New Roman" w:hAnsi="Times New Roman" w:eastAsia="仿宋_GB2312" w:cs="Times New Roman"/>
          <w:color w:val="000000"/>
          <w:sz w:val="28"/>
          <w:szCs w:val="28"/>
        </w:rPr>
        <w:t>12</w:t>
      </w:r>
      <w:r>
        <w:rPr>
          <w:rFonts w:ascii="Times New Roman" w:hAnsi="Times New Roman" w:eastAsia="仿宋_GB2312" w:cs="Times New Roman"/>
          <w:color w:val="000000"/>
          <w:sz w:val="28"/>
          <w:szCs w:val="28"/>
        </w:rPr>
        <w:t>.</w:t>
      </w:r>
      <w:r>
        <w:rPr>
          <w:rFonts w:hint="eastAsia" w:ascii="Times New Roman" w:hAnsi="Times New Roman" w:eastAsia="仿宋_GB2312" w:cs="Times New Roman"/>
          <w:color w:val="000000"/>
          <w:sz w:val="28"/>
          <w:szCs w:val="28"/>
        </w:rPr>
        <w:t>7结论和建议</w:t>
      </w:r>
    </w:p>
    <w:p w14:paraId="157E6C52">
      <w:pPr>
        <w:spacing w:line="360" w:lineRule="auto"/>
        <w:ind w:firstLine="480"/>
        <w:rPr>
          <w:rFonts w:hint="eastAsia" w:ascii="宋体" w:hAnsi="宋体"/>
          <w:color w:val="000000"/>
          <w:sz w:val="24"/>
        </w:rPr>
      </w:pPr>
      <w:r>
        <w:rPr>
          <w:rFonts w:ascii="宋体" w:hAnsi="宋体"/>
          <w:color w:val="000000"/>
          <w:sz w:val="24"/>
        </w:rPr>
        <w:t>公众调查表明</w:t>
      </w:r>
      <w:r>
        <w:rPr>
          <w:rFonts w:hint="eastAsia" w:ascii="宋体" w:hAnsi="宋体"/>
          <w:color w:val="000000"/>
          <w:sz w:val="24"/>
        </w:rPr>
        <w:t>本次环评公参调查具有程序合法性、</w:t>
      </w:r>
      <w:r>
        <w:rPr>
          <w:rFonts w:ascii="宋体" w:hAnsi="宋体"/>
          <w:color w:val="000000"/>
          <w:sz w:val="24"/>
        </w:rPr>
        <w:t>形式有效性、对象代表性</w:t>
      </w:r>
      <w:r>
        <w:rPr>
          <w:rFonts w:hint="eastAsia" w:ascii="宋体" w:hAnsi="宋体"/>
          <w:color w:val="000000"/>
          <w:sz w:val="24"/>
        </w:rPr>
        <w:t>以及</w:t>
      </w:r>
      <w:r>
        <w:rPr>
          <w:rFonts w:ascii="宋体" w:hAnsi="宋体"/>
          <w:color w:val="000000"/>
          <w:sz w:val="24"/>
        </w:rPr>
        <w:t>结果真实性</w:t>
      </w:r>
      <w:r>
        <w:rPr>
          <w:rFonts w:hint="eastAsia" w:ascii="宋体" w:hAnsi="宋体"/>
          <w:color w:val="000000"/>
          <w:sz w:val="24"/>
        </w:rPr>
        <w:t>。项目</w:t>
      </w:r>
      <w:r>
        <w:rPr>
          <w:rFonts w:ascii="宋体" w:hAnsi="宋体"/>
          <w:color w:val="000000"/>
          <w:sz w:val="24"/>
        </w:rPr>
        <w:t>的实施能够得到社会团体和广大公众的了解和支持。</w:t>
      </w:r>
    </w:p>
    <w:p w14:paraId="19358A53">
      <w:pPr>
        <w:spacing w:line="360" w:lineRule="auto"/>
        <w:ind w:firstLine="480"/>
        <w:rPr>
          <w:color w:val="000000"/>
          <w:sz w:val="24"/>
        </w:rPr>
      </w:pPr>
      <w:r>
        <w:rPr>
          <w:color w:val="000000"/>
          <w:sz w:val="24"/>
        </w:rPr>
        <w:t>公众认识到本</w:t>
      </w:r>
      <w:r>
        <w:rPr>
          <w:rFonts w:hint="eastAsia"/>
          <w:color w:val="000000"/>
          <w:sz w:val="24"/>
        </w:rPr>
        <w:t>项目</w:t>
      </w:r>
      <w:r>
        <w:rPr>
          <w:color w:val="000000"/>
          <w:sz w:val="24"/>
        </w:rPr>
        <w:t>的</w:t>
      </w:r>
      <w:r>
        <w:rPr>
          <w:rFonts w:hint="eastAsia"/>
          <w:color w:val="000000"/>
          <w:sz w:val="24"/>
        </w:rPr>
        <w:t>实施</w:t>
      </w:r>
      <w:r>
        <w:rPr>
          <w:color w:val="000000"/>
          <w:sz w:val="24"/>
        </w:rPr>
        <w:t>有利于当地</w:t>
      </w:r>
      <w:r>
        <w:rPr>
          <w:rFonts w:hint="eastAsia"/>
          <w:color w:val="000000"/>
          <w:sz w:val="24"/>
        </w:rPr>
        <w:t>医疗</w:t>
      </w:r>
      <w:r>
        <w:rPr>
          <w:color w:val="000000"/>
          <w:sz w:val="24"/>
        </w:rPr>
        <w:t>的发展，同时</w:t>
      </w:r>
      <w:r>
        <w:rPr>
          <w:rFonts w:ascii="宋体" w:hAnsi="宋体"/>
          <w:color w:val="000000"/>
          <w:sz w:val="24"/>
        </w:rPr>
        <w:t>针对</w:t>
      </w:r>
      <w:r>
        <w:rPr>
          <w:rFonts w:hint="eastAsia" w:ascii="宋体" w:hAnsi="宋体"/>
          <w:color w:val="000000"/>
          <w:sz w:val="24"/>
        </w:rPr>
        <w:t>项目</w:t>
      </w:r>
      <w:r>
        <w:rPr>
          <w:rFonts w:ascii="宋体" w:hAnsi="宋体"/>
          <w:color w:val="000000"/>
          <w:sz w:val="24"/>
        </w:rPr>
        <w:t>施工期、营运期的环境影响，被调查者提出了一些意见和建议，设计单位和建设单位在设计、建设和运行中应认真考虑，并采取措施对有关意见加以采纳</w:t>
      </w:r>
      <w:r>
        <w:rPr>
          <w:rFonts w:hint="eastAsia" w:ascii="宋体" w:hAnsi="宋体"/>
          <w:color w:val="000000"/>
          <w:sz w:val="24"/>
        </w:rPr>
        <w:t>。</w:t>
      </w:r>
      <w:r>
        <w:rPr>
          <w:color w:val="000000"/>
          <w:sz w:val="24"/>
        </w:rPr>
        <w:t>本项目</w:t>
      </w:r>
      <w:r>
        <w:rPr>
          <w:rFonts w:hint="eastAsia"/>
          <w:color w:val="000000"/>
          <w:sz w:val="24"/>
        </w:rPr>
        <w:t>建设单位应</w:t>
      </w:r>
      <w:r>
        <w:rPr>
          <w:color w:val="000000"/>
          <w:sz w:val="24"/>
        </w:rPr>
        <w:t>认真执行国家的环境保护法及相关法规，加强废气、废水、噪声</w:t>
      </w:r>
      <w:r>
        <w:rPr>
          <w:rFonts w:hint="eastAsia"/>
          <w:color w:val="000000"/>
          <w:sz w:val="24"/>
        </w:rPr>
        <w:t>、固废</w:t>
      </w:r>
      <w:r>
        <w:rPr>
          <w:color w:val="000000"/>
          <w:sz w:val="24"/>
        </w:rPr>
        <w:t>的治理，做到达标排放，尽可能减少对当地环境的污染和影响</w:t>
      </w:r>
      <w:r>
        <w:rPr>
          <w:rFonts w:hint="eastAsia"/>
          <w:color w:val="000000"/>
          <w:sz w:val="24"/>
        </w:rPr>
        <w:t>。关于公众所担心的其他环境问题，如：噪声、固体废物等，在环评报告书已经提出了相应的防治措施，只要建设方</w:t>
      </w:r>
      <w:r>
        <w:rPr>
          <w:rFonts w:ascii="宋体" w:hAnsi="宋体"/>
          <w:color w:val="000000"/>
          <w:sz w:val="24"/>
        </w:rPr>
        <w:t>坚持“三同时”制度，</w:t>
      </w:r>
      <w:r>
        <w:rPr>
          <w:rFonts w:hint="eastAsia" w:ascii="宋体" w:hAnsi="宋体"/>
          <w:color w:val="000000"/>
          <w:sz w:val="24"/>
        </w:rPr>
        <w:t>规范化管理，</w:t>
      </w:r>
      <w:r>
        <w:rPr>
          <w:rFonts w:hint="eastAsia"/>
          <w:color w:val="000000"/>
          <w:sz w:val="24"/>
        </w:rPr>
        <w:t>其不利影响基本可以减免。</w:t>
      </w:r>
    </w:p>
    <w:p w14:paraId="42EF5966">
      <w:pPr>
        <w:spacing w:line="360" w:lineRule="auto"/>
        <w:ind w:firstLine="482"/>
        <w:rPr>
          <w:rFonts w:hint="eastAsia" w:ascii="仿宋_GB2312" w:eastAsia="仿宋_GB2312"/>
          <w:b/>
          <w:color w:val="000000"/>
          <w:sz w:val="24"/>
        </w:rPr>
      </w:pPr>
    </w:p>
    <w:p w14:paraId="4525CDC0">
      <w:pPr>
        <w:spacing w:line="360" w:lineRule="auto"/>
        <w:ind w:firstLine="482"/>
        <w:rPr>
          <w:rFonts w:hint="eastAsia" w:ascii="仿宋_GB2312" w:eastAsia="仿宋_GB2312"/>
          <w:b/>
          <w:color w:val="000000"/>
          <w:sz w:val="24"/>
        </w:rPr>
      </w:pPr>
    </w:p>
    <w:p w14:paraId="76262EB9">
      <w:pPr>
        <w:spacing w:line="360" w:lineRule="auto"/>
        <w:ind w:firstLine="482"/>
        <w:rPr>
          <w:rFonts w:eastAsia="仿宋_GB2312"/>
          <w:b/>
          <w:color w:val="000000"/>
          <w:sz w:val="24"/>
        </w:rPr>
      </w:pPr>
    </w:p>
    <w:p w14:paraId="0448BF73">
      <w:pPr>
        <w:spacing w:line="360" w:lineRule="auto"/>
        <w:ind w:firstLine="482"/>
        <w:rPr>
          <w:rFonts w:eastAsia="仿宋_GB2312"/>
          <w:b/>
          <w:color w:val="000000"/>
          <w:sz w:val="24"/>
        </w:rPr>
      </w:pPr>
    </w:p>
    <w:p w14:paraId="68863385">
      <w:pPr>
        <w:spacing w:line="360" w:lineRule="auto"/>
        <w:rPr>
          <w:rFonts w:eastAsia="仿宋_GB2312"/>
          <w:b/>
          <w:color w:val="000000"/>
          <w:sz w:val="24"/>
        </w:rPr>
      </w:pPr>
    </w:p>
    <w:p w14:paraId="1C75ACAF">
      <w:pPr>
        <w:pStyle w:val="181"/>
        <w:rPr>
          <w:rFonts w:eastAsia="仿宋_GB2312"/>
          <w:color w:val="000000"/>
          <w:sz w:val="30"/>
          <w:szCs w:val="30"/>
        </w:rPr>
      </w:pPr>
      <w:r>
        <w:rPr>
          <w:rFonts w:eastAsia="仿宋_GB2312"/>
          <w:color w:val="000000"/>
          <w:sz w:val="30"/>
          <w:szCs w:val="30"/>
        </w:rPr>
        <w:t>13、环境管理、环境监理与环境监测</w:t>
      </w:r>
    </w:p>
    <w:p w14:paraId="11D86674">
      <w:pPr>
        <w:pStyle w:val="182"/>
        <w:ind w:firstLine="275"/>
        <w:rPr>
          <w:rFonts w:ascii="Times New Roman" w:hAnsi="Times New Roman" w:eastAsia="仿宋_GB2312" w:cs="Times New Roman"/>
          <w:color w:val="000000"/>
          <w:sz w:val="28"/>
          <w:szCs w:val="28"/>
        </w:rPr>
      </w:pPr>
      <w:r>
        <w:rPr>
          <w:rFonts w:ascii="Times New Roman" w:hAnsi="Times New Roman" w:eastAsia="仿宋_GB2312" w:cs="Times New Roman"/>
          <w:color w:val="000000"/>
          <w:sz w:val="28"/>
          <w:szCs w:val="28"/>
        </w:rPr>
        <w:t>13.1环境管理</w:t>
      </w:r>
    </w:p>
    <w:p w14:paraId="7B06E2BD">
      <w:pPr>
        <w:pStyle w:val="183"/>
        <w:ind w:firstLine="472"/>
        <w:rPr>
          <w:rFonts w:eastAsia="仿宋_GB2312"/>
          <w:color w:val="000000"/>
          <w:sz w:val="24"/>
          <w:szCs w:val="24"/>
        </w:rPr>
      </w:pPr>
      <w:r>
        <w:rPr>
          <w:rFonts w:eastAsia="仿宋_GB2312"/>
          <w:color w:val="000000"/>
          <w:sz w:val="24"/>
          <w:szCs w:val="24"/>
        </w:rPr>
        <w:t>13.1.1环境管理机构</w:t>
      </w:r>
    </w:p>
    <w:p w14:paraId="585636ED">
      <w:pPr>
        <w:pStyle w:val="204"/>
        <w:spacing w:after="0" w:line="360" w:lineRule="auto"/>
        <w:ind w:left="0" w:firstLine="480"/>
        <w:rPr>
          <w:color w:val="000000"/>
          <w:sz w:val="24"/>
        </w:rPr>
      </w:pPr>
      <w:r>
        <w:rPr>
          <w:color w:val="000000"/>
          <w:sz w:val="24"/>
        </w:rPr>
        <w:t>环境管理机构的设置，目的是为了贯彻执行中华人民共和国环境保护法的有关法律、法规，全面落实《国务院关于环境保护若干问题的决定》的有关规定，对项目“三废”排放实行监控，确保建设项目经济、环境和社会效益协调发展；协调地方环保部门工作，为企业的生产管理和环境管理提供保证，针对拟建项目的具体情况，为加强严格管理，企业应设置环境管理机构，并尽相应的职责。</w:t>
      </w:r>
    </w:p>
    <w:p w14:paraId="446A9F8E">
      <w:pPr>
        <w:pStyle w:val="204"/>
        <w:spacing w:after="0" w:line="360" w:lineRule="auto"/>
        <w:ind w:left="0" w:firstLine="482"/>
        <w:rPr>
          <w:b/>
          <w:color w:val="000000"/>
          <w:sz w:val="24"/>
        </w:rPr>
      </w:pPr>
      <w:r>
        <w:rPr>
          <w:b/>
          <w:color w:val="000000"/>
          <w:sz w:val="24"/>
        </w:rPr>
        <w:t>（1）机构组成</w:t>
      </w:r>
    </w:p>
    <w:p w14:paraId="7E24A764">
      <w:pPr>
        <w:spacing w:line="360" w:lineRule="auto"/>
        <w:ind w:firstLine="480"/>
        <w:rPr>
          <w:color w:val="000000"/>
          <w:sz w:val="24"/>
        </w:rPr>
      </w:pPr>
      <w:r>
        <w:rPr>
          <w:color w:val="000000"/>
          <w:sz w:val="24"/>
        </w:rPr>
        <w:t>根据本工程的实际情况，在建设施工阶段，工程指挥部应设专人负责环境保护工作。工程投入运营后，环境管理机构由后勤管理部门负责，下设环境管理小组对该项目环境管理和环境监控负责，并受项目主管单位及当地环保局的监督和指导。</w:t>
      </w:r>
    </w:p>
    <w:p w14:paraId="4EB576CB">
      <w:pPr>
        <w:pStyle w:val="204"/>
        <w:spacing w:after="0" w:line="360" w:lineRule="auto"/>
        <w:ind w:left="0" w:firstLine="482"/>
        <w:rPr>
          <w:b/>
          <w:color w:val="000000"/>
          <w:sz w:val="24"/>
        </w:rPr>
      </w:pPr>
      <w:r>
        <w:rPr>
          <w:b/>
          <w:color w:val="000000"/>
          <w:sz w:val="24"/>
        </w:rPr>
        <w:t>（2）环境管理机构的职责</w:t>
      </w:r>
    </w:p>
    <w:p w14:paraId="0A785BE9">
      <w:pPr>
        <w:spacing w:line="360" w:lineRule="auto"/>
        <w:ind w:firstLine="480"/>
        <w:rPr>
          <w:color w:val="000000"/>
          <w:sz w:val="24"/>
        </w:rPr>
      </w:pPr>
      <w:r>
        <w:rPr>
          <w:color w:val="000000"/>
          <w:sz w:val="24"/>
        </w:rPr>
        <w:t>1）贯彻、宣传国家的环保方针、政策和法律法规。</w:t>
      </w:r>
    </w:p>
    <w:p w14:paraId="435AA9A7">
      <w:pPr>
        <w:spacing w:line="360" w:lineRule="auto"/>
        <w:ind w:firstLine="480"/>
        <w:rPr>
          <w:color w:val="000000"/>
          <w:sz w:val="24"/>
        </w:rPr>
      </w:pPr>
      <w:r>
        <w:rPr>
          <w:color w:val="000000"/>
          <w:sz w:val="24"/>
        </w:rPr>
        <w:t>2）制定本项目的环保管理制度、环保技术经济政策、环境保护发展规划和年度实施计划。</w:t>
      </w:r>
    </w:p>
    <w:p w14:paraId="28687A4C">
      <w:pPr>
        <w:spacing w:line="360" w:lineRule="auto"/>
        <w:ind w:firstLine="480"/>
        <w:rPr>
          <w:color w:val="000000"/>
          <w:sz w:val="24"/>
        </w:rPr>
      </w:pPr>
      <w:r>
        <w:rPr>
          <w:color w:val="000000"/>
          <w:sz w:val="24"/>
        </w:rPr>
        <w:t>3）监督检查本项目执行“三同时”规定的情况。</w:t>
      </w:r>
    </w:p>
    <w:p w14:paraId="5A51A866">
      <w:pPr>
        <w:spacing w:line="360" w:lineRule="auto"/>
        <w:ind w:firstLine="480"/>
        <w:rPr>
          <w:color w:val="000000"/>
          <w:sz w:val="24"/>
        </w:rPr>
      </w:pPr>
      <w:r>
        <w:rPr>
          <w:color w:val="000000"/>
          <w:sz w:val="24"/>
        </w:rPr>
        <w:t>4）定期进行环保设备检查、维修和保养工作，确保环保设施长期、稳定、达标运转。</w:t>
      </w:r>
    </w:p>
    <w:p w14:paraId="35C4E46A">
      <w:pPr>
        <w:spacing w:line="360" w:lineRule="auto"/>
        <w:ind w:firstLine="480"/>
        <w:rPr>
          <w:color w:val="000000"/>
          <w:sz w:val="24"/>
        </w:rPr>
      </w:pPr>
      <w:r>
        <w:rPr>
          <w:color w:val="000000"/>
          <w:sz w:val="24"/>
        </w:rPr>
        <w:t>5）负责</w:t>
      </w:r>
      <w:r>
        <w:rPr>
          <w:rFonts w:hint="eastAsia"/>
          <w:color w:val="000000"/>
          <w:sz w:val="24"/>
        </w:rPr>
        <w:t>妇幼保健院</w:t>
      </w:r>
      <w:r>
        <w:rPr>
          <w:color w:val="000000"/>
          <w:sz w:val="24"/>
        </w:rPr>
        <w:t>环保设施的日常运行管理工作，制定事故防范措施，一旦发生事故，组织污染源调查及控制工作，并及时总结经验教训。</w:t>
      </w:r>
    </w:p>
    <w:p w14:paraId="58C753C0">
      <w:pPr>
        <w:spacing w:line="360" w:lineRule="auto"/>
        <w:ind w:firstLine="480"/>
        <w:rPr>
          <w:color w:val="000000"/>
          <w:sz w:val="24"/>
        </w:rPr>
      </w:pPr>
      <w:r>
        <w:rPr>
          <w:color w:val="000000"/>
          <w:sz w:val="24"/>
        </w:rPr>
        <w:t>6）负责对项目环保人员和其他人员进行环境保护教育，不断提高项目内人员的环境意识和环保人员的业务素质。</w:t>
      </w:r>
    </w:p>
    <w:p w14:paraId="6F83E707">
      <w:pPr>
        <w:pStyle w:val="204"/>
        <w:spacing w:after="0" w:line="360" w:lineRule="auto"/>
        <w:ind w:left="0" w:firstLine="482"/>
        <w:rPr>
          <w:b/>
          <w:color w:val="000000"/>
          <w:sz w:val="24"/>
        </w:rPr>
      </w:pPr>
      <w:r>
        <w:rPr>
          <w:b/>
          <w:color w:val="000000"/>
          <w:sz w:val="24"/>
        </w:rPr>
        <w:t>（3）环境管理人员配备</w:t>
      </w:r>
    </w:p>
    <w:p w14:paraId="74293B23">
      <w:pPr>
        <w:spacing w:line="360" w:lineRule="auto"/>
        <w:ind w:firstLine="540"/>
        <w:rPr>
          <w:color w:val="000000"/>
          <w:sz w:val="24"/>
        </w:rPr>
      </w:pPr>
      <w:r>
        <w:rPr>
          <w:color w:val="000000"/>
          <w:sz w:val="24"/>
        </w:rPr>
        <w:t>本项目的环境保护工作由一名管理人员负责管理。其职责是实施环保工作计划、规划、审查、监督建设项目的“三同时”工作，并对“三废”的排放达标进行监控。负责处理污染事故，编制环保统计及环保考核等报告。建设项目建成后，必须设立环境管理机构，配备专业环保管理人员1-2名，负责环境监督管理工作，同时要加强对管理人员的环保培训。</w:t>
      </w:r>
    </w:p>
    <w:p w14:paraId="6D8A217E">
      <w:pPr>
        <w:pStyle w:val="183"/>
        <w:spacing w:line="360" w:lineRule="auto"/>
        <w:ind w:firstLine="472"/>
        <w:rPr>
          <w:rFonts w:eastAsia="仿宋_GB2312"/>
          <w:color w:val="000000"/>
          <w:sz w:val="24"/>
          <w:szCs w:val="24"/>
        </w:rPr>
      </w:pPr>
      <w:r>
        <w:rPr>
          <w:rFonts w:eastAsia="仿宋_GB2312"/>
          <w:color w:val="000000"/>
          <w:sz w:val="24"/>
          <w:szCs w:val="24"/>
        </w:rPr>
        <w:t>13.1.2环境管理制度</w:t>
      </w:r>
    </w:p>
    <w:p w14:paraId="0A7B14EA">
      <w:pPr>
        <w:pStyle w:val="197"/>
        <w:spacing w:line="360" w:lineRule="auto"/>
        <w:ind w:left="0" w:firstLine="480"/>
        <w:rPr>
          <w:color w:val="000000"/>
          <w:sz w:val="24"/>
        </w:rPr>
      </w:pPr>
      <w:r>
        <w:rPr>
          <w:color w:val="000000"/>
          <w:sz w:val="24"/>
        </w:rPr>
        <w:t>建设单位应制定一系列规章制度以促进环境保护工作，使环境保护工作规范化和程序化，并通过经济杠杆来保证环境保护管理制度的认真执行。根据需要，建议制定的环境保护工作条例有：</w:t>
      </w:r>
    </w:p>
    <w:p w14:paraId="3DE99898">
      <w:pPr>
        <w:spacing w:line="360" w:lineRule="auto"/>
        <w:ind w:firstLine="480"/>
        <w:rPr>
          <w:color w:val="000000"/>
          <w:sz w:val="24"/>
        </w:rPr>
      </w:pPr>
      <w:r>
        <w:rPr>
          <w:color w:val="000000"/>
          <w:sz w:val="24"/>
        </w:rPr>
        <w:t>（1）环境保护职责管理条例</w:t>
      </w:r>
    </w:p>
    <w:p w14:paraId="2C6AF673">
      <w:pPr>
        <w:spacing w:line="360" w:lineRule="auto"/>
        <w:ind w:firstLine="480"/>
        <w:rPr>
          <w:color w:val="000000"/>
          <w:sz w:val="24"/>
        </w:rPr>
      </w:pPr>
      <w:r>
        <w:rPr>
          <w:color w:val="000000"/>
          <w:sz w:val="24"/>
        </w:rPr>
        <w:t>（2）污水、废气、固体废物排放管理制度</w:t>
      </w:r>
    </w:p>
    <w:p w14:paraId="6747EA5A">
      <w:pPr>
        <w:spacing w:line="360" w:lineRule="auto"/>
        <w:ind w:firstLine="480"/>
        <w:rPr>
          <w:color w:val="000000"/>
          <w:sz w:val="24"/>
        </w:rPr>
      </w:pPr>
      <w:r>
        <w:rPr>
          <w:color w:val="000000"/>
          <w:sz w:val="24"/>
        </w:rPr>
        <w:t>（3）处理装置日常运行管理制度</w:t>
      </w:r>
    </w:p>
    <w:p w14:paraId="0CEC6569">
      <w:pPr>
        <w:spacing w:line="360" w:lineRule="auto"/>
        <w:ind w:firstLine="480"/>
        <w:rPr>
          <w:color w:val="000000"/>
          <w:sz w:val="24"/>
        </w:rPr>
      </w:pPr>
      <w:r>
        <w:rPr>
          <w:color w:val="000000"/>
          <w:sz w:val="24"/>
        </w:rPr>
        <w:t>（4）排污情况报告制度</w:t>
      </w:r>
    </w:p>
    <w:p w14:paraId="4091FB90">
      <w:pPr>
        <w:spacing w:line="360" w:lineRule="auto"/>
        <w:ind w:firstLine="480"/>
        <w:rPr>
          <w:color w:val="000000"/>
          <w:sz w:val="24"/>
        </w:rPr>
      </w:pPr>
      <w:r>
        <w:rPr>
          <w:color w:val="000000"/>
          <w:sz w:val="24"/>
        </w:rPr>
        <w:t>（5）污染事故处理制度</w:t>
      </w:r>
    </w:p>
    <w:p w14:paraId="41618F43">
      <w:pPr>
        <w:spacing w:line="360" w:lineRule="auto"/>
        <w:ind w:firstLine="480"/>
        <w:rPr>
          <w:color w:val="000000"/>
          <w:sz w:val="24"/>
        </w:rPr>
      </w:pPr>
      <w:r>
        <w:rPr>
          <w:color w:val="000000"/>
          <w:sz w:val="24"/>
        </w:rPr>
        <w:t>（6）环保教育制度</w:t>
      </w:r>
    </w:p>
    <w:p w14:paraId="06FE5AFE">
      <w:pPr>
        <w:pStyle w:val="183"/>
        <w:spacing w:line="360" w:lineRule="auto"/>
        <w:ind w:firstLine="472"/>
        <w:rPr>
          <w:rFonts w:eastAsia="仿宋_GB2312"/>
          <w:color w:val="000000"/>
          <w:sz w:val="24"/>
          <w:szCs w:val="24"/>
        </w:rPr>
      </w:pPr>
      <w:r>
        <w:rPr>
          <w:rFonts w:eastAsia="仿宋_GB2312"/>
          <w:color w:val="000000"/>
          <w:sz w:val="24"/>
          <w:szCs w:val="24"/>
        </w:rPr>
        <w:t>13.1.3环境管理计划</w:t>
      </w:r>
    </w:p>
    <w:p w14:paraId="2BA255E3">
      <w:pPr>
        <w:spacing w:line="360" w:lineRule="auto"/>
        <w:ind w:left="357"/>
        <w:rPr>
          <w:b/>
          <w:color w:val="000000"/>
          <w:sz w:val="24"/>
        </w:rPr>
      </w:pPr>
      <w:r>
        <w:rPr>
          <w:b/>
          <w:color w:val="000000"/>
          <w:sz w:val="24"/>
        </w:rPr>
        <w:t>（1）项目施工期的环境管理</w:t>
      </w:r>
    </w:p>
    <w:p w14:paraId="3880FB2B">
      <w:pPr>
        <w:spacing w:line="360" w:lineRule="auto"/>
        <w:ind w:firstLine="480"/>
        <w:rPr>
          <w:color w:val="000000"/>
          <w:sz w:val="24"/>
        </w:rPr>
      </w:pPr>
      <w:r>
        <w:rPr>
          <w:color w:val="000000"/>
          <w:sz w:val="24"/>
        </w:rPr>
        <w:t>1）施工期要制定和健全工程环境管理制度，对所有工程项目进行环境工程监理，保证项目环境工程质量，避免环境隐患的存在。</w:t>
      </w:r>
    </w:p>
    <w:p w14:paraId="5A5ADCA3">
      <w:pPr>
        <w:spacing w:line="360" w:lineRule="auto"/>
        <w:ind w:firstLine="480"/>
        <w:rPr>
          <w:color w:val="000000"/>
          <w:sz w:val="24"/>
        </w:rPr>
      </w:pPr>
      <w:r>
        <w:rPr>
          <w:color w:val="000000"/>
          <w:sz w:val="24"/>
        </w:rPr>
        <w:t>2）对施工单位提出要求，明确责任，督促施工单位按工程设计要求进行施工，以减少施工过程中水土流失对生态环境、水环境的影响；减少地面扬尘、建筑粉尘和施工机械尾气对空气环境的污染。</w:t>
      </w:r>
    </w:p>
    <w:p w14:paraId="65475BE4">
      <w:pPr>
        <w:spacing w:line="360" w:lineRule="auto"/>
        <w:ind w:firstLine="480"/>
        <w:rPr>
          <w:color w:val="000000"/>
          <w:sz w:val="24"/>
        </w:rPr>
      </w:pPr>
      <w:r>
        <w:rPr>
          <w:color w:val="000000"/>
          <w:sz w:val="24"/>
        </w:rPr>
        <w:t>3）明确施工中废水回收利用的要求及职责，并定期组织检查。</w:t>
      </w:r>
    </w:p>
    <w:p w14:paraId="59F25486">
      <w:pPr>
        <w:spacing w:line="360" w:lineRule="auto"/>
        <w:ind w:firstLine="480"/>
        <w:rPr>
          <w:color w:val="000000"/>
          <w:sz w:val="24"/>
        </w:rPr>
      </w:pPr>
      <w:r>
        <w:rPr>
          <w:color w:val="000000"/>
          <w:sz w:val="24"/>
        </w:rPr>
        <w:t>4）要求施工单位采用符合国家标准的施工机械及按规范施工，采取有效措施减少施工噪声对周围环境的影响。</w:t>
      </w:r>
    </w:p>
    <w:p w14:paraId="2BA8CE99">
      <w:pPr>
        <w:spacing w:line="360" w:lineRule="auto"/>
        <w:ind w:firstLine="480"/>
        <w:rPr>
          <w:color w:val="000000"/>
          <w:sz w:val="24"/>
        </w:rPr>
      </w:pPr>
      <w:r>
        <w:rPr>
          <w:color w:val="000000"/>
          <w:sz w:val="24"/>
        </w:rPr>
        <w:t>5）定期检查，督促施工单位按要求处理建筑垃圾，收集和处理施工废弃物和施工人员生活垃圾，委托环卫部门清运。</w:t>
      </w:r>
    </w:p>
    <w:p w14:paraId="0FA71F9A">
      <w:pPr>
        <w:spacing w:line="360" w:lineRule="auto"/>
        <w:ind w:firstLine="480"/>
        <w:rPr>
          <w:color w:val="000000"/>
          <w:sz w:val="24"/>
        </w:rPr>
      </w:pPr>
      <w:r>
        <w:rPr>
          <w:color w:val="000000"/>
          <w:sz w:val="24"/>
        </w:rPr>
        <w:t>6）项目施工完毕后，应全面检查施工现场的环境恢复状况。督促施工单位及时撤除占用场地，拆除临时设施，按计划实施绿化工程。</w:t>
      </w:r>
    </w:p>
    <w:p w14:paraId="7CEA21A7">
      <w:pPr>
        <w:spacing w:line="360" w:lineRule="auto"/>
        <w:ind w:left="357"/>
        <w:rPr>
          <w:b/>
          <w:color w:val="000000"/>
          <w:sz w:val="24"/>
        </w:rPr>
      </w:pPr>
      <w:r>
        <w:rPr>
          <w:b/>
          <w:color w:val="000000"/>
          <w:sz w:val="24"/>
        </w:rPr>
        <w:t>（2）营运期的环境管理</w:t>
      </w:r>
    </w:p>
    <w:p w14:paraId="6B8C959E">
      <w:pPr>
        <w:spacing w:line="360" w:lineRule="auto"/>
        <w:ind w:firstLine="480"/>
        <w:rPr>
          <w:color w:val="000000"/>
          <w:sz w:val="24"/>
        </w:rPr>
      </w:pPr>
      <w:r>
        <w:rPr>
          <w:color w:val="000000"/>
          <w:sz w:val="24"/>
        </w:rPr>
        <w:t>1）项目建成投产前，应由环保部门、建设单位共同参与对建设项目验收，检查环保设施是否达到“三同时”要求。</w:t>
      </w:r>
    </w:p>
    <w:p w14:paraId="01942F71">
      <w:pPr>
        <w:spacing w:line="360" w:lineRule="auto"/>
        <w:ind w:firstLine="480"/>
        <w:rPr>
          <w:color w:val="000000"/>
          <w:sz w:val="24"/>
        </w:rPr>
      </w:pPr>
      <w:r>
        <w:rPr>
          <w:color w:val="000000"/>
          <w:sz w:val="24"/>
        </w:rPr>
        <w:t>2）加强环保设施的管理，定期检查</w:t>
      </w:r>
      <w:r>
        <w:rPr>
          <w:rFonts w:hint="eastAsia"/>
          <w:color w:val="000000"/>
          <w:sz w:val="24"/>
        </w:rPr>
        <w:t>院</w:t>
      </w:r>
      <w:r>
        <w:rPr>
          <w:color w:val="000000"/>
          <w:sz w:val="24"/>
        </w:rPr>
        <w:t>内环保设施运行情况，如排污管道、化粪池等设施是否正常运行，防止污水溢出污染项目内外环境。及时排除故障，保证环保设施正常运转。</w:t>
      </w:r>
    </w:p>
    <w:p w14:paraId="020E5C70">
      <w:pPr>
        <w:spacing w:line="360" w:lineRule="auto"/>
        <w:ind w:firstLine="480"/>
        <w:rPr>
          <w:color w:val="000000"/>
          <w:sz w:val="24"/>
        </w:rPr>
      </w:pPr>
      <w:r>
        <w:rPr>
          <w:color w:val="000000"/>
          <w:sz w:val="24"/>
        </w:rPr>
        <w:t>3）检查项目区内环境，不允许在项目内开展有污染环境的活动，发现问题及时督促解决；</w:t>
      </w:r>
    </w:p>
    <w:p w14:paraId="4523AFA0">
      <w:pPr>
        <w:spacing w:line="360" w:lineRule="auto"/>
        <w:ind w:firstLine="480"/>
        <w:rPr>
          <w:color w:val="000000"/>
          <w:sz w:val="24"/>
        </w:rPr>
      </w:pPr>
      <w:r>
        <w:rPr>
          <w:color w:val="000000"/>
          <w:sz w:val="24"/>
        </w:rPr>
        <w:t>4）运用经济、教育、行政、法律及其它手段，加强</w:t>
      </w:r>
      <w:r>
        <w:rPr>
          <w:rFonts w:hint="eastAsia"/>
          <w:color w:val="000000"/>
          <w:sz w:val="24"/>
        </w:rPr>
        <w:t>院</w:t>
      </w:r>
      <w:r>
        <w:rPr>
          <w:color w:val="000000"/>
          <w:sz w:val="24"/>
        </w:rPr>
        <w:t>内人员的环保意识，加强环境保护的自觉性，不断提高环境管理水平。</w:t>
      </w:r>
    </w:p>
    <w:p w14:paraId="78CA5D88">
      <w:pPr>
        <w:spacing w:line="360" w:lineRule="auto"/>
        <w:ind w:firstLine="480"/>
        <w:rPr>
          <w:color w:val="000000"/>
          <w:sz w:val="24"/>
        </w:rPr>
      </w:pPr>
      <w:r>
        <w:rPr>
          <w:color w:val="000000"/>
          <w:sz w:val="24"/>
        </w:rPr>
        <w:t>5）配合当地环保监测机构，实施环境监测计划。</w:t>
      </w:r>
    </w:p>
    <w:p w14:paraId="79AAA42F">
      <w:pPr>
        <w:spacing w:line="360" w:lineRule="auto"/>
        <w:ind w:firstLine="480"/>
        <w:rPr>
          <w:rFonts w:hint="eastAsia"/>
          <w:color w:val="000000"/>
          <w:sz w:val="24"/>
        </w:rPr>
      </w:pPr>
      <w:r>
        <w:rPr>
          <w:color w:val="000000"/>
          <w:sz w:val="24"/>
        </w:rPr>
        <w:t>6）加强中心绿化管理，维护好中心的绿化体系，充分发挥绿化对</w:t>
      </w:r>
      <w:r>
        <w:rPr>
          <w:rFonts w:hint="eastAsia"/>
          <w:color w:val="000000"/>
          <w:sz w:val="24"/>
        </w:rPr>
        <w:t>院内</w:t>
      </w:r>
      <w:r>
        <w:rPr>
          <w:color w:val="000000"/>
          <w:sz w:val="24"/>
        </w:rPr>
        <w:t>的环境调节作用。</w:t>
      </w:r>
    </w:p>
    <w:p w14:paraId="441533E1">
      <w:pPr>
        <w:spacing w:line="360" w:lineRule="auto"/>
        <w:ind w:firstLine="480"/>
        <w:rPr>
          <w:rFonts w:hint="eastAsia"/>
          <w:color w:val="000000"/>
          <w:sz w:val="24"/>
        </w:rPr>
      </w:pPr>
      <w:r>
        <w:rPr>
          <w:rFonts w:hint="eastAsia" w:ascii="宋体" w:hAnsi="宋体"/>
          <w:color w:val="000000"/>
          <w:sz w:val="24"/>
        </w:rPr>
        <w:t>7）对医院安装的在线监测应根据</w:t>
      </w:r>
      <w:r>
        <w:rPr>
          <w:color w:val="000000"/>
          <w:sz w:val="24"/>
        </w:rPr>
        <w:t>《医院排放污水余氯自动监测系统建设技术要求》</w:t>
      </w:r>
      <w:r>
        <w:rPr>
          <w:rFonts w:hint="eastAsia"/>
          <w:color w:val="000000"/>
          <w:sz w:val="24"/>
        </w:rPr>
        <w:t>进行执行。</w:t>
      </w:r>
    </w:p>
    <w:p w14:paraId="3DBA32EA">
      <w:pPr>
        <w:pStyle w:val="182"/>
        <w:ind w:firstLine="275"/>
        <w:rPr>
          <w:rFonts w:ascii="Times New Roman" w:hAnsi="Times New Roman" w:eastAsia="仿宋_GB2312" w:cs="Times New Roman"/>
          <w:color w:val="000000"/>
          <w:sz w:val="28"/>
          <w:szCs w:val="28"/>
        </w:rPr>
      </w:pPr>
      <w:r>
        <w:rPr>
          <w:rFonts w:ascii="Times New Roman" w:hAnsi="Times New Roman" w:eastAsia="仿宋_GB2312" w:cs="Times New Roman"/>
          <w:color w:val="000000"/>
          <w:sz w:val="28"/>
          <w:szCs w:val="28"/>
        </w:rPr>
        <w:t>13.2环境监理</w:t>
      </w:r>
    </w:p>
    <w:p w14:paraId="00EF5719">
      <w:pPr>
        <w:pStyle w:val="183"/>
        <w:spacing w:line="360" w:lineRule="auto"/>
        <w:ind w:firstLine="472"/>
        <w:rPr>
          <w:rFonts w:eastAsia="仿宋_GB2312"/>
          <w:color w:val="000000"/>
          <w:sz w:val="24"/>
          <w:szCs w:val="24"/>
        </w:rPr>
      </w:pPr>
      <w:r>
        <w:rPr>
          <w:rFonts w:eastAsia="仿宋_GB2312"/>
          <w:color w:val="000000"/>
          <w:sz w:val="24"/>
          <w:szCs w:val="24"/>
        </w:rPr>
        <w:t>13.2.1环境监理目的</w:t>
      </w:r>
    </w:p>
    <w:p w14:paraId="5A8618BB">
      <w:pPr>
        <w:spacing w:line="360" w:lineRule="auto"/>
        <w:ind w:firstLine="480"/>
        <w:rPr>
          <w:color w:val="000000"/>
          <w:sz w:val="24"/>
        </w:rPr>
      </w:pPr>
      <w:r>
        <w:rPr>
          <w:color w:val="000000"/>
          <w:sz w:val="24"/>
        </w:rPr>
        <w:t>环境监理目的是按照新的环保要求，在本项目施工期和营运期，应根据环境保护设计要求开展环境监理。全面监督和检查环境保护措施的实施情况，及时处理和解决临时出现的环境污染问题，确保项目环境影响报告书中提出的环境保护措施得到落实。</w:t>
      </w:r>
    </w:p>
    <w:p w14:paraId="15757C9B">
      <w:pPr>
        <w:pStyle w:val="183"/>
        <w:spacing w:line="360" w:lineRule="auto"/>
        <w:ind w:firstLine="472"/>
        <w:rPr>
          <w:rFonts w:eastAsia="仿宋_GB2312"/>
          <w:color w:val="000000"/>
          <w:sz w:val="24"/>
          <w:szCs w:val="24"/>
        </w:rPr>
      </w:pPr>
      <w:r>
        <w:rPr>
          <w:rFonts w:eastAsia="仿宋_GB2312"/>
          <w:color w:val="000000"/>
          <w:sz w:val="24"/>
          <w:szCs w:val="24"/>
        </w:rPr>
        <w:t>13.2.2监理机构</w:t>
      </w:r>
    </w:p>
    <w:p w14:paraId="1E90A795">
      <w:pPr>
        <w:spacing w:line="360" w:lineRule="auto"/>
        <w:ind w:firstLine="480"/>
        <w:rPr>
          <w:color w:val="000000"/>
          <w:sz w:val="24"/>
        </w:rPr>
      </w:pPr>
      <w:r>
        <w:rPr>
          <w:color w:val="000000"/>
          <w:sz w:val="24"/>
        </w:rPr>
        <w:t>应委托具有环境工程监理资格的单位或个人承担。</w:t>
      </w:r>
    </w:p>
    <w:p w14:paraId="168C0FDE">
      <w:pPr>
        <w:pStyle w:val="183"/>
        <w:spacing w:line="360" w:lineRule="auto"/>
        <w:ind w:firstLine="472"/>
        <w:rPr>
          <w:rFonts w:eastAsia="仿宋_GB2312"/>
          <w:color w:val="000000"/>
          <w:sz w:val="24"/>
          <w:szCs w:val="24"/>
        </w:rPr>
      </w:pPr>
      <w:r>
        <w:rPr>
          <w:rFonts w:eastAsia="仿宋_GB2312"/>
          <w:color w:val="000000"/>
          <w:sz w:val="24"/>
          <w:szCs w:val="24"/>
        </w:rPr>
        <w:t>13.2.3环境监理内容</w:t>
      </w:r>
    </w:p>
    <w:p w14:paraId="46CE8449">
      <w:pPr>
        <w:spacing w:line="360" w:lineRule="auto"/>
        <w:ind w:firstLine="480"/>
        <w:rPr>
          <w:color w:val="000000"/>
          <w:sz w:val="24"/>
        </w:rPr>
      </w:pPr>
      <w:r>
        <w:rPr>
          <w:color w:val="000000"/>
          <w:sz w:val="24"/>
        </w:rPr>
        <w:t>遵循国家及当地政府关于环境保护的方针、政策、法令、法规，监督承包商落实与建设单位签订的工程承包合同中有关环保的条款。应在项目进行施工工程监理的同时，将项目的环境监理纳入工程监理之中。本项目制定了环境监理计划如表13.2-1。</w:t>
      </w:r>
    </w:p>
    <w:p w14:paraId="2AB03FB9">
      <w:pPr>
        <w:spacing w:line="360" w:lineRule="auto"/>
        <w:ind w:firstLine="472"/>
        <w:jc w:val="center"/>
        <w:rPr>
          <w:b/>
          <w:color w:val="000000"/>
          <w:sz w:val="24"/>
        </w:rPr>
      </w:pPr>
      <w:r>
        <w:rPr>
          <w:b/>
          <w:color w:val="000000"/>
          <w:sz w:val="24"/>
        </w:rPr>
        <w:t>表13.2-1   环境监理计划</w:t>
      </w:r>
    </w:p>
    <w:tbl>
      <w:tblPr>
        <w:tblStyle w:val="27"/>
        <w:tblW w:w="0" w:type="auto"/>
        <w:tblInd w:w="-108" w:type="dxa"/>
        <w:tblLayout w:type="fixed"/>
        <w:tblCellMar>
          <w:top w:w="0" w:type="dxa"/>
          <w:left w:w="108" w:type="dxa"/>
          <w:bottom w:w="0" w:type="dxa"/>
          <w:right w:w="108" w:type="dxa"/>
        </w:tblCellMar>
      </w:tblPr>
      <w:tblGrid>
        <w:gridCol w:w="1188"/>
        <w:gridCol w:w="1260"/>
        <w:gridCol w:w="1620"/>
        <w:gridCol w:w="4814"/>
      </w:tblGrid>
      <w:tr w14:paraId="561CFB61">
        <w:tblPrEx>
          <w:tblCellMar>
            <w:top w:w="0" w:type="dxa"/>
            <w:left w:w="108" w:type="dxa"/>
            <w:bottom w:w="0" w:type="dxa"/>
            <w:right w:w="108" w:type="dxa"/>
          </w:tblCellMar>
        </w:tblPrEx>
        <w:tc>
          <w:tcPr>
            <w:tcW w:w="1188" w:type="dxa"/>
            <w:tcBorders>
              <w:top w:val="single" w:color="000000" w:sz="4" w:space="0"/>
              <w:left w:val="single" w:color="000000" w:sz="4" w:space="0"/>
              <w:bottom w:val="single" w:color="000000" w:sz="4" w:space="0"/>
              <w:right w:val="single" w:color="000000" w:sz="4" w:space="0"/>
            </w:tcBorders>
            <w:noWrap w:val="0"/>
            <w:vAlign w:val="top"/>
          </w:tcPr>
          <w:p w14:paraId="2A436847">
            <w:pPr>
              <w:jc w:val="center"/>
              <w:rPr>
                <w:b/>
                <w:color w:val="000000"/>
                <w:szCs w:val="21"/>
              </w:rPr>
            </w:pPr>
            <w:r>
              <w:rPr>
                <w:b/>
                <w:color w:val="000000"/>
                <w:szCs w:val="21"/>
              </w:rPr>
              <w:t>监理阶段</w:t>
            </w:r>
          </w:p>
        </w:tc>
        <w:tc>
          <w:tcPr>
            <w:tcW w:w="1260" w:type="dxa"/>
            <w:tcBorders>
              <w:top w:val="single" w:color="000000" w:sz="4" w:space="0"/>
              <w:left w:val="single" w:color="000000" w:sz="4" w:space="0"/>
              <w:bottom w:val="single" w:color="000000" w:sz="4" w:space="0"/>
              <w:right w:val="single" w:color="000000" w:sz="4" w:space="0"/>
            </w:tcBorders>
            <w:noWrap w:val="0"/>
            <w:vAlign w:val="top"/>
          </w:tcPr>
          <w:p w14:paraId="748A1D6B">
            <w:pPr>
              <w:jc w:val="center"/>
              <w:rPr>
                <w:b/>
                <w:color w:val="000000"/>
                <w:szCs w:val="21"/>
              </w:rPr>
            </w:pPr>
            <w:r>
              <w:rPr>
                <w:b/>
                <w:color w:val="000000"/>
                <w:szCs w:val="21"/>
              </w:rPr>
              <w:t>责任人</w:t>
            </w:r>
          </w:p>
        </w:tc>
        <w:tc>
          <w:tcPr>
            <w:tcW w:w="1620" w:type="dxa"/>
            <w:tcBorders>
              <w:top w:val="single" w:color="000000" w:sz="4" w:space="0"/>
              <w:left w:val="single" w:color="000000" w:sz="4" w:space="0"/>
              <w:bottom w:val="single" w:color="000000" w:sz="4" w:space="0"/>
              <w:right w:val="single" w:color="000000" w:sz="4" w:space="0"/>
            </w:tcBorders>
            <w:noWrap w:val="0"/>
            <w:vAlign w:val="top"/>
          </w:tcPr>
          <w:p w14:paraId="62EF88C4">
            <w:pPr>
              <w:jc w:val="center"/>
              <w:rPr>
                <w:b/>
                <w:color w:val="000000"/>
                <w:szCs w:val="21"/>
              </w:rPr>
            </w:pPr>
            <w:r>
              <w:rPr>
                <w:b/>
                <w:color w:val="000000"/>
                <w:szCs w:val="21"/>
              </w:rPr>
              <w:t>监督单位</w:t>
            </w:r>
          </w:p>
        </w:tc>
        <w:tc>
          <w:tcPr>
            <w:tcW w:w="4814" w:type="dxa"/>
            <w:tcBorders>
              <w:top w:val="single" w:color="000000" w:sz="4" w:space="0"/>
              <w:left w:val="single" w:color="000000" w:sz="4" w:space="0"/>
              <w:bottom w:val="single" w:color="000000" w:sz="4" w:space="0"/>
              <w:right w:val="single" w:color="000000" w:sz="4" w:space="0"/>
            </w:tcBorders>
            <w:noWrap w:val="0"/>
            <w:vAlign w:val="top"/>
          </w:tcPr>
          <w:p w14:paraId="199034E3">
            <w:pPr>
              <w:jc w:val="center"/>
              <w:rPr>
                <w:b/>
                <w:color w:val="000000"/>
                <w:szCs w:val="21"/>
              </w:rPr>
            </w:pPr>
            <w:r>
              <w:rPr>
                <w:b/>
                <w:color w:val="000000"/>
                <w:szCs w:val="21"/>
              </w:rPr>
              <w:t>监理内容</w:t>
            </w:r>
          </w:p>
        </w:tc>
      </w:tr>
      <w:tr w14:paraId="1E65125A">
        <w:tblPrEx>
          <w:tblCellMar>
            <w:top w:w="0" w:type="dxa"/>
            <w:left w:w="108" w:type="dxa"/>
            <w:bottom w:w="0" w:type="dxa"/>
            <w:right w:w="108" w:type="dxa"/>
          </w:tblCellMar>
        </w:tblPrEx>
        <w:tc>
          <w:tcPr>
            <w:tcW w:w="1188" w:type="dxa"/>
            <w:tcBorders>
              <w:top w:val="single" w:color="000000" w:sz="4" w:space="0"/>
              <w:left w:val="single" w:color="000000" w:sz="4" w:space="0"/>
              <w:bottom w:val="single" w:color="000000" w:sz="4" w:space="0"/>
              <w:right w:val="single" w:color="000000" w:sz="4" w:space="0"/>
            </w:tcBorders>
            <w:noWrap w:val="0"/>
            <w:vAlign w:val="top"/>
          </w:tcPr>
          <w:p w14:paraId="37678314">
            <w:pPr>
              <w:jc w:val="center"/>
              <w:rPr>
                <w:color w:val="000000"/>
                <w:szCs w:val="21"/>
              </w:rPr>
            </w:pPr>
            <w:r>
              <w:rPr>
                <w:color w:val="000000"/>
                <w:szCs w:val="21"/>
              </w:rPr>
              <w:t>可研阶段</w:t>
            </w:r>
          </w:p>
        </w:tc>
        <w:tc>
          <w:tcPr>
            <w:tcW w:w="1260" w:type="dxa"/>
            <w:tcBorders>
              <w:top w:val="single" w:color="000000" w:sz="4" w:space="0"/>
              <w:left w:val="single" w:color="000000" w:sz="4" w:space="0"/>
              <w:bottom w:val="single" w:color="000000" w:sz="4" w:space="0"/>
              <w:right w:val="single" w:color="000000" w:sz="4" w:space="0"/>
            </w:tcBorders>
            <w:noWrap w:val="0"/>
            <w:vAlign w:val="top"/>
          </w:tcPr>
          <w:p w14:paraId="3DCD2BC6">
            <w:pPr>
              <w:jc w:val="center"/>
              <w:rPr>
                <w:color w:val="000000"/>
                <w:szCs w:val="21"/>
              </w:rPr>
            </w:pPr>
            <w:r>
              <w:rPr>
                <w:color w:val="000000"/>
                <w:szCs w:val="21"/>
              </w:rPr>
              <w:t>环评人员</w:t>
            </w:r>
          </w:p>
        </w:tc>
        <w:tc>
          <w:tcPr>
            <w:tcW w:w="1620" w:type="dxa"/>
            <w:tcBorders>
              <w:top w:val="single" w:color="000000" w:sz="4" w:space="0"/>
              <w:left w:val="single" w:color="000000" w:sz="4" w:space="0"/>
              <w:bottom w:val="single" w:color="000000" w:sz="4" w:space="0"/>
              <w:right w:val="single" w:color="000000" w:sz="4" w:space="0"/>
            </w:tcBorders>
            <w:noWrap w:val="0"/>
            <w:vAlign w:val="top"/>
          </w:tcPr>
          <w:p w14:paraId="5C6ADCEF">
            <w:pPr>
              <w:jc w:val="center"/>
              <w:rPr>
                <w:color w:val="000000"/>
                <w:szCs w:val="21"/>
              </w:rPr>
            </w:pPr>
            <w:r>
              <w:rPr>
                <w:rFonts w:hint="eastAsia"/>
                <w:color w:val="000000"/>
                <w:szCs w:val="21"/>
              </w:rPr>
              <w:t>芒市</w:t>
            </w:r>
            <w:r>
              <w:rPr>
                <w:color w:val="000000"/>
                <w:szCs w:val="21"/>
              </w:rPr>
              <w:t>环保局</w:t>
            </w:r>
          </w:p>
        </w:tc>
        <w:tc>
          <w:tcPr>
            <w:tcW w:w="4814" w:type="dxa"/>
            <w:tcBorders>
              <w:top w:val="single" w:color="000000" w:sz="4" w:space="0"/>
              <w:left w:val="single" w:color="000000" w:sz="4" w:space="0"/>
              <w:bottom w:val="single" w:color="000000" w:sz="4" w:space="0"/>
              <w:right w:val="single" w:color="000000" w:sz="4" w:space="0"/>
            </w:tcBorders>
            <w:noWrap w:val="0"/>
            <w:vAlign w:val="top"/>
          </w:tcPr>
          <w:p w14:paraId="53A3639C">
            <w:pPr>
              <w:jc w:val="center"/>
              <w:rPr>
                <w:color w:val="000000"/>
                <w:szCs w:val="21"/>
              </w:rPr>
            </w:pPr>
            <w:r>
              <w:rPr>
                <w:color w:val="000000"/>
                <w:szCs w:val="21"/>
              </w:rPr>
              <w:t>审核、审批项目环境影响报告书</w:t>
            </w:r>
          </w:p>
        </w:tc>
      </w:tr>
      <w:tr w14:paraId="5774DB21">
        <w:tblPrEx>
          <w:tblCellMar>
            <w:top w:w="0" w:type="dxa"/>
            <w:left w:w="108" w:type="dxa"/>
            <w:bottom w:w="0" w:type="dxa"/>
            <w:right w:w="108" w:type="dxa"/>
          </w:tblCellMar>
        </w:tblPrEx>
        <w:trPr>
          <w:trHeight w:val="519" w:hRule="atLeast"/>
        </w:trPr>
        <w:tc>
          <w:tcPr>
            <w:tcW w:w="1188" w:type="dxa"/>
            <w:tcBorders>
              <w:top w:val="single" w:color="000000" w:sz="4" w:space="0"/>
              <w:left w:val="single" w:color="000000" w:sz="4" w:space="0"/>
              <w:bottom w:val="single" w:color="000000" w:sz="4" w:space="0"/>
              <w:right w:val="single" w:color="000000" w:sz="4" w:space="0"/>
            </w:tcBorders>
            <w:noWrap w:val="0"/>
            <w:vAlign w:val="top"/>
          </w:tcPr>
          <w:p w14:paraId="392AAFD5">
            <w:pPr>
              <w:jc w:val="center"/>
              <w:rPr>
                <w:color w:val="000000"/>
                <w:szCs w:val="21"/>
              </w:rPr>
            </w:pPr>
            <w:r>
              <w:rPr>
                <w:color w:val="000000"/>
                <w:szCs w:val="21"/>
              </w:rPr>
              <w:t>设计阶段</w:t>
            </w:r>
          </w:p>
        </w:tc>
        <w:tc>
          <w:tcPr>
            <w:tcW w:w="1260" w:type="dxa"/>
            <w:tcBorders>
              <w:top w:val="single" w:color="000000" w:sz="4" w:space="0"/>
              <w:left w:val="single" w:color="000000" w:sz="4" w:space="0"/>
              <w:bottom w:val="single" w:color="000000" w:sz="4" w:space="0"/>
              <w:right w:val="single" w:color="000000" w:sz="4" w:space="0"/>
            </w:tcBorders>
            <w:noWrap w:val="0"/>
            <w:vAlign w:val="top"/>
          </w:tcPr>
          <w:p w14:paraId="215B9B22">
            <w:pPr>
              <w:jc w:val="center"/>
              <w:rPr>
                <w:color w:val="000000"/>
                <w:szCs w:val="21"/>
              </w:rPr>
            </w:pPr>
            <w:r>
              <w:rPr>
                <w:color w:val="000000"/>
                <w:szCs w:val="21"/>
              </w:rPr>
              <w:t>设计人员</w:t>
            </w:r>
          </w:p>
        </w:tc>
        <w:tc>
          <w:tcPr>
            <w:tcW w:w="1620" w:type="dxa"/>
            <w:tcBorders>
              <w:top w:val="single" w:color="000000" w:sz="4" w:space="0"/>
              <w:left w:val="single" w:color="000000" w:sz="4" w:space="0"/>
              <w:bottom w:val="single" w:color="000000" w:sz="4" w:space="0"/>
              <w:right w:val="single" w:color="000000" w:sz="4" w:space="0"/>
            </w:tcBorders>
            <w:noWrap w:val="0"/>
            <w:vAlign w:val="top"/>
          </w:tcPr>
          <w:p w14:paraId="5B04D852">
            <w:pPr>
              <w:jc w:val="center"/>
              <w:rPr>
                <w:color w:val="000000"/>
                <w:szCs w:val="21"/>
              </w:rPr>
            </w:pPr>
            <w:r>
              <w:rPr>
                <w:color w:val="000000"/>
                <w:szCs w:val="21"/>
              </w:rPr>
              <w:t>设计审批机构</w:t>
            </w:r>
          </w:p>
        </w:tc>
        <w:tc>
          <w:tcPr>
            <w:tcW w:w="4814" w:type="dxa"/>
            <w:tcBorders>
              <w:top w:val="single" w:color="000000" w:sz="4" w:space="0"/>
              <w:left w:val="single" w:color="000000" w:sz="4" w:space="0"/>
              <w:bottom w:val="single" w:color="000000" w:sz="4" w:space="0"/>
              <w:right w:val="single" w:color="000000" w:sz="4" w:space="0"/>
            </w:tcBorders>
            <w:noWrap w:val="0"/>
            <w:vAlign w:val="top"/>
          </w:tcPr>
          <w:p w14:paraId="4C9D733B">
            <w:pPr>
              <w:rPr>
                <w:color w:val="000000"/>
                <w:szCs w:val="21"/>
              </w:rPr>
            </w:pPr>
            <w:r>
              <w:rPr>
                <w:color w:val="000000"/>
                <w:szCs w:val="21"/>
              </w:rPr>
              <w:t>1、采纳环评报告书的环境保护对策措施。</w:t>
            </w:r>
          </w:p>
          <w:p w14:paraId="310C6395">
            <w:pPr>
              <w:rPr>
                <w:color w:val="000000"/>
                <w:szCs w:val="21"/>
              </w:rPr>
            </w:pPr>
            <w:r>
              <w:rPr>
                <w:color w:val="000000"/>
                <w:szCs w:val="21"/>
              </w:rPr>
              <w:t>2、预算环境保护投资。</w:t>
            </w:r>
          </w:p>
        </w:tc>
      </w:tr>
      <w:tr w14:paraId="18E81F95">
        <w:tblPrEx>
          <w:tblCellMar>
            <w:top w:w="0" w:type="dxa"/>
            <w:left w:w="108" w:type="dxa"/>
            <w:bottom w:w="0" w:type="dxa"/>
            <w:right w:w="108" w:type="dxa"/>
          </w:tblCellMar>
        </w:tblPrEx>
        <w:tc>
          <w:tcPr>
            <w:tcW w:w="1188" w:type="dxa"/>
            <w:tcBorders>
              <w:top w:val="single" w:color="000000" w:sz="4" w:space="0"/>
              <w:left w:val="single" w:color="000000" w:sz="4" w:space="0"/>
              <w:bottom w:val="single" w:color="000000" w:sz="4" w:space="0"/>
              <w:right w:val="single" w:color="000000" w:sz="4" w:space="0"/>
            </w:tcBorders>
            <w:noWrap w:val="0"/>
            <w:vAlign w:val="top"/>
          </w:tcPr>
          <w:p w14:paraId="4182A013">
            <w:pPr>
              <w:jc w:val="center"/>
              <w:rPr>
                <w:color w:val="000000"/>
                <w:szCs w:val="21"/>
              </w:rPr>
            </w:pPr>
          </w:p>
          <w:p w14:paraId="65A1E322">
            <w:pPr>
              <w:jc w:val="center"/>
              <w:rPr>
                <w:color w:val="000000"/>
                <w:szCs w:val="21"/>
              </w:rPr>
            </w:pPr>
          </w:p>
          <w:p w14:paraId="6D4244A9">
            <w:pPr>
              <w:jc w:val="center"/>
              <w:rPr>
                <w:color w:val="000000"/>
                <w:szCs w:val="21"/>
              </w:rPr>
            </w:pPr>
          </w:p>
          <w:p w14:paraId="51479808">
            <w:pPr>
              <w:jc w:val="center"/>
              <w:rPr>
                <w:color w:val="000000"/>
                <w:szCs w:val="21"/>
              </w:rPr>
            </w:pPr>
          </w:p>
          <w:p w14:paraId="2B9F2C40">
            <w:pPr>
              <w:jc w:val="center"/>
              <w:rPr>
                <w:color w:val="000000"/>
                <w:szCs w:val="21"/>
              </w:rPr>
            </w:pPr>
            <w:r>
              <w:rPr>
                <w:color w:val="000000"/>
                <w:szCs w:val="21"/>
              </w:rPr>
              <w:t>施工阶段</w:t>
            </w:r>
          </w:p>
        </w:tc>
        <w:tc>
          <w:tcPr>
            <w:tcW w:w="1260" w:type="dxa"/>
            <w:tcBorders>
              <w:top w:val="single" w:color="000000" w:sz="4" w:space="0"/>
              <w:left w:val="single" w:color="000000" w:sz="4" w:space="0"/>
              <w:bottom w:val="single" w:color="000000" w:sz="4" w:space="0"/>
              <w:right w:val="single" w:color="000000" w:sz="4" w:space="0"/>
            </w:tcBorders>
            <w:noWrap w:val="0"/>
            <w:vAlign w:val="top"/>
          </w:tcPr>
          <w:p w14:paraId="31D1EA25">
            <w:pPr>
              <w:jc w:val="center"/>
              <w:rPr>
                <w:color w:val="000000"/>
                <w:szCs w:val="21"/>
              </w:rPr>
            </w:pPr>
          </w:p>
          <w:p w14:paraId="6B1F575C">
            <w:pPr>
              <w:jc w:val="center"/>
              <w:rPr>
                <w:color w:val="000000"/>
                <w:szCs w:val="21"/>
              </w:rPr>
            </w:pPr>
          </w:p>
          <w:p w14:paraId="26915F17">
            <w:pPr>
              <w:jc w:val="center"/>
              <w:rPr>
                <w:color w:val="000000"/>
                <w:szCs w:val="21"/>
              </w:rPr>
            </w:pPr>
          </w:p>
          <w:p w14:paraId="62B3D814">
            <w:pPr>
              <w:jc w:val="center"/>
              <w:rPr>
                <w:color w:val="000000"/>
                <w:szCs w:val="21"/>
              </w:rPr>
            </w:pPr>
            <w:r>
              <w:rPr>
                <w:color w:val="000000"/>
                <w:szCs w:val="21"/>
              </w:rPr>
              <w:t>建设单位聘请的环境监理人员</w:t>
            </w:r>
          </w:p>
        </w:tc>
        <w:tc>
          <w:tcPr>
            <w:tcW w:w="1620" w:type="dxa"/>
            <w:tcBorders>
              <w:top w:val="single" w:color="000000" w:sz="4" w:space="0"/>
              <w:left w:val="single" w:color="000000" w:sz="4" w:space="0"/>
              <w:bottom w:val="single" w:color="000000" w:sz="4" w:space="0"/>
              <w:right w:val="single" w:color="000000" w:sz="4" w:space="0"/>
            </w:tcBorders>
            <w:noWrap w:val="0"/>
            <w:vAlign w:val="top"/>
          </w:tcPr>
          <w:p w14:paraId="43CE375C">
            <w:pPr>
              <w:jc w:val="center"/>
              <w:rPr>
                <w:color w:val="000000"/>
                <w:szCs w:val="21"/>
              </w:rPr>
            </w:pPr>
          </w:p>
          <w:p w14:paraId="7E9B546E">
            <w:pPr>
              <w:jc w:val="center"/>
              <w:rPr>
                <w:color w:val="000000"/>
                <w:szCs w:val="21"/>
              </w:rPr>
            </w:pPr>
          </w:p>
          <w:p w14:paraId="03954392">
            <w:pPr>
              <w:jc w:val="center"/>
              <w:rPr>
                <w:rFonts w:hint="eastAsia"/>
                <w:color w:val="000000"/>
                <w:szCs w:val="21"/>
              </w:rPr>
            </w:pPr>
            <w:r>
              <w:rPr>
                <w:color w:val="000000"/>
                <w:szCs w:val="21"/>
              </w:rPr>
              <w:t>芒市妇幼保健院、</w:t>
            </w:r>
            <w:r>
              <w:rPr>
                <w:rFonts w:hint="eastAsia"/>
                <w:color w:val="000000"/>
                <w:szCs w:val="21"/>
              </w:rPr>
              <w:t>芒市</w:t>
            </w:r>
            <w:r>
              <w:rPr>
                <w:color w:val="000000"/>
                <w:szCs w:val="21"/>
              </w:rPr>
              <w:t>环保局</w:t>
            </w:r>
          </w:p>
        </w:tc>
        <w:tc>
          <w:tcPr>
            <w:tcW w:w="4814" w:type="dxa"/>
            <w:tcBorders>
              <w:top w:val="single" w:color="000000" w:sz="4" w:space="0"/>
              <w:left w:val="single" w:color="000000" w:sz="4" w:space="0"/>
              <w:bottom w:val="single" w:color="000000" w:sz="4" w:space="0"/>
              <w:right w:val="single" w:color="000000" w:sz="4" w:space="0"/>
            </w:tcBorders>
            <w:noWrap w:val="0"/>
            <w:vAlign w:val="top"/>
          </w:tcPr>
          <w:p w14:paraId="540BEB64">
            <w:pPr>
              <w:rPr>
                <w:color w:val="000000"/>
                <w:szCs w:val="21"/>
              </w:rPr>
            </w:pPr>
            <w:r>
              <w:rPr>
                <w:color w:val="000000"/>
                <w:szCs w:val="21"/>
              </w:rPr>
              <w:t>1、制定环境监理计划，拟定项目施工期环境监理的项目和内容，并进行监理。</w:t>
            </w:r>
          </w:p>
          <w:p w14:paraId="36E96980">
            <w:pPr>
              <w:rPr>
                <w:color w:val="000000"/>
                <w:szCs w:val="21"/>
              </w:rPr>
            </w:pPr>
            <w:r>
              <w:rPr>
                <w:color w:val="000000"/>
                <w:szCs w:val="21"/>
              </w:rPr>
              <w:t>2、对承包商施工进行监理，防止和减轻施工作业引起的环境污染。</w:t>
            </w:r>
          </w:p>
          <w:p w14:paraId="6F15B779">
            <w:pPr>
              <w:rPr>
                <w:color w:val="000000"/>
                <w:szCs w:val="21"/>
              </w:rPr>
            </w:pPr>
            <w:r>
              <w:rPr>
                <w:color w:val="000000"/>
                <w:szCs w:val="21"/>
              </w:rPr>
              <w:t>3、全面监督和检查各施工阶段环境保护措施实施情况和实际效果，及时处理和解决临时出现的环境污染事件。</w:t>
            </w:r>
          </w:p>
          <w:p w14:paraId="08007F7F">
            <w:pPr>
              <w:rPr>
                <w:color w:val="000000"/>
                <w:szCs w:val="21"/>
              </w:rPr>
            </w:pPr>
            <w:r>
              <w:rPr>
                <w:color w:val="000000"/>
                <w:szCs w:val="21"/>
              </w:rPr>
              <w:t>4、落实环境监测的实施，审核有关环境监测报表，根据地表水水质、大气、噪声等监测结果，对本项目施工及管理提出相应要求，尽量减少工程施工给环境带来的不利影响。</w:t>
            </w:r>
          </w:p>
          <w:p w14:paraId="616EF095">
            <w:pPr>
              <w:rPr>
                <w:color w:val="000000"/>
                <w:szCs w:val="21"/>
              </w:rPr>
            </w:pPr>
            <w:r>
              <w:rPr>
                <w:color w:val="000000"/>
                <w:szCs w:val="21"/>
              </w:rPr>
              <w:t>5、在日常工作中作好监理记录及监理报告，参与竣工验收。</w:t>
            </w:r>
          </w:p>
        </w:tc>
      </w:tr>
      <w:tr w14:paraId="57C41E37">
        <w:tblPrEx>
          <w:tblCellMar>
            <w:top w:w="0" w:type="dxa"/>
            <w:left w:w="108" w:type="dxa"/>
            <w:bottom w:w="0" w:type="dxa"/>
            <w:right w:w="108" w:type="dxa"/>
          </w:tblCellMar>
        </w:tblPrEx>
        <w:tc>
          <w:tcPr>
            <w:tcW w:w="1188" w:type="dxa"/>
            <w:tcBorders>
              <w:top w:val="single" w:color="000000" w:sz="4" w:space="0"/>
              <w:left w:val="single" w:color="000000" w:sz="4" w:space="0"/>
              <w:bottom w:val="single" w:color="000000" w:sz="4" w:space="0"/>
              <w:right w:val="single" w:color="000000" w:sz="4" w:space="0"/>
            </w:tcBorders>
            <w:noWrap w:val="0"/>
            <w:vAlign w:val="center"/>
          </w:tcPr>
          <w:p w14:paraId="0E50617F">
            <w:pPr>
              <w:jc w:val="center"/>
              <w:rPr>
                <w:color w:val="000000"/>
                <w:szCs w:val="21"/>
              </w:rPr>
            </w:pPr>
            <w:r>
              <w:rPr>
                <w:color w:val="000000"/>
                <w:szCs w:val="21"/>
              </w:rPr>
              <w:t>营运阶段</w:t>
            </w:r>
          </w:p>
        </w:tc>
        <w:tc>
          <w:tcPr>
            <w:tcW w:w="1260" w:type="dxa"/>
            <w:tcBorders>
              <w:top w:val="single" w:color="000000" w:sz="4" w:space="0"/>
              <w:left w:val="single" w:color="000000" w:sz="4" w:space="0"/>
              <w:bottom w:val="single" w:color="000000" w:sz="4" w:space="0"/>
              <w:right w:val="single" w:color="000000" w:sz="4" w:space="0"/>
            </w:tcBorders>
            <w:noWrap w:val="0"/>
            <w:vAlign w:val="center"/>
          </w:tcPr>
          <w:p w14:paraId="7EA8791C">
            <w:pPr>
              <w:jc w:val="center"/>
              <w:rPr>
                <w:color w:val="000000"/>
                <w:szCs w:val="21"/>
              </w:rPr>
            </w:pPr>
            <w:r>
              <w:rPr>
                <w:color w:val="000000"/>
                <w:szCs w:val="21"/>
              </w:rPr>
              <w:t>建设单位聘请的环境监理人员</w:t>
            </w:r>
          </w:p>
        </w:tc>
        <w:tc>
          <w:tcPr>
            <w:tcW w:w="1620" w:type="dxa"/>
            <w:tcBorders>
              <w:top w:val="single" w:color="000000" w:sz="4" w:space="0"/>
              <w:left w:val="single" w:color="000000" w:sz="4" w:space="0"/>
              <w:bottom w:val="single" w:color="000000" w:sz="4" w:space="0"/>
              <w:right w:val="single" w:color="000000" w:sz="4" w:space="0"/>
            </w:tcBorders>
            <w:noWrap w:val="0"/>
            <w:vAlign w:val="center"/>
          </w:tcPr>
          <w:p w14:paraId="7EB5A065">
            <w:pPr>
              <w:jc w:val="center"/>
              <w:rPr>
                <w:rFonts w:hint="eastAsia"/>
                <w:color w:val="000000"/>
                <w:szCs w:val="21"/>
              </w:rPr>
            </w:pPr>
            <w:r>
              <w:rPr>
                <w:color w:val="000000"/>
                <w:szCs w:val="21"/>
              </w:rPr>
              <w:t>芒市妇幼保健院、</w:t>
            </w:r>
            <w:r>
              <w:rPr>
                <w:rFonts w:hint="eastAsia"/>
                <w:color w:val="000000"/>
                <w:szCs w:val="21"/>
              </w:rPr>
              <w:t>芒市</w:t>
            </w:r>
            <w:r>
              <w:rPr>
                <w:color w:val="000000"/>
                <w:szCs w:val="21"/>
              </w:rPr>
              <w:t>环保局</w:t>
            </w:r>
          </w:p>
        </w:tc>
        <w:tc>
          <w:tcPr>
            <w:tcW w:w="4814" w:type="dxa"/>
            <w:tcBorders>
              <w:top w:val="single" w:color="000000" w:sz="4" w:space="0"/>
              <w:left w:val="single" w:color="000000" w:sz="4" w:space="0"/>
              <w:bottom w:val="single" w:color="000000" w:sz="4" w:space="0"/>
              <w:right w:val="single" w:color="000000" w:sz="4" w:space="0"/>
            </w:tcBorders>
            <w:noWrap w:val="0"/>
            <w:vAlign w:val="top"/>
          </w:tcPr>
          <w:p w14:paraId="0BF00BD8">
            <w:pPr>
              <w:rPr>
                <w:color w:val="000000"/>
                <w:szCs w:val="21"/>
              </w:rPr>
            </w:pPr>
            <w:r>
              <w:rPr>
                <w:color w:val="000000"/>
                <w:szCs w:val="21"/>
              </w:rPr>
              <w:t xml:space="preserve">1、拟定制定本项目营运期的环境监理计划，根据本项目的环境保护设施及环境保护措施，拟定项目营运期环境监理的项目和内容。 </w:t>
            </w:r>
          </w:p>
          <w:p w14:paraId="4DA368C8">
            <w:pPr>
              <w:rPr>
                <w:color w:val="000000"/>
                <w:szCs w:val="21"/>
              </w:rPr>
            </w:pPr>
            <w:r>
              <w:rPr>
                <w:color w:val="000000"/>
                <w:szCs w:val="21"/>
              </w:rPr>
              <w:t>2、全面监理各个环保措施的实际落实情况。</w:t>
            </w:r>
          </w:p>
          <w:p w14:paraId="088CF2E6">
            <w:pPr>
              <w:rPr>
                <w:color w:val="000000"/>
                <w:szCs w:val="21"/>
              </w:rPr>
            </w:pPr>
            <w:r>
              <w:rPr>
                <w:color w:val="000000"/>
                <w:szCs w:val="21"/>
              </w:rPr>
              <w:t>3、全面监理环保措施的正常情况和实际效果，以及污染物达标排放情况；及时处理和解决临时出现的环境污染事件和环保设施故障。</w:t>
            </w:r>
          </w:p>
          <w:p w14:paraId="12CEBDF0">
            <w:pPr>
              <w:rPr>
                <w:color w:val="000000"/>
                <w:szCs w:val="21"/>
              </w:rPr>
            </w:pPr>
            <w:r>
              <w:rPr>
                <w:color w:val="000000"/>
                <w:szCs w:val="21"/>
              </w:rPr>
              <w:t>4、监理本项目绿化面积和绿化率，是否达到设计提出的要求及绿化体系的维护状况。</w:t>
            </w:r>
          </w:p>
          <w:p w14:paraId="543E00EC">
            <w:pPr>
              <w:rPr>
                <w:color w:val="000000"/>
                <w:szCs w:val="21"/>
              </w:rPr>
            </w:pPr>
            <w:r>
              <w:rPr>
                <w:color w:val="000000"/>
                <w:szCs w:val="21"/>
              </w:rPr>
              <w:t>5、全面监督和检查建设单位在营运期间是否存在漏排、偷排的情况。</w:t>
            </w:r>
          </w:p>
          <w:p w14:paraId="01D50F6F">
            <w:pPr>
              <w:rPr>
                <w:color w:val="000000"/>
                <w:szCs w:val="21"/>
              </w:rPr>
            </w:pPr>
            <w:r>
              <w:rPr>
                <w:color w:val="000000"/>
                <w:szCs w:val="21"/>
              </w:rPr>
              <w:t>6、在营运期间，作好监理记录及监理报告，落实环境监测的实施，审核有关环境监测报告等。</w:t>
            </w:r>
          </w:p>
        </w:tc>
      </w:tr>
    </w:tbl>
    <w:p w14:paraId="25CCA874">
      <w:pPr>
        <w:spacing w:line="360" w:lineRule="auto"/>
        <w:ind w:firstLine="435"/>
        <w:jc w:val="left"/>
        <w:rPr>
          <w:color w:val="000000"/>
          <w:sz w:val="24"/>
        </w:rPr>
      </w:pPr>
      <w:r>
        <w:rPr>
          <w:color w:val="000000"/>
          <w:sz w:val="24"/>
        </w:rPr>
        <w:t>本环评通过评审后，建设单位必须按照本评价的要求落实相应的环保设施和环保投资，并按照国家及地方有关标准和规范通过环保验收后，才能运营。</w:t>
      </w:r>
    </w:p>
    <w:p w14:paraId="69A4D369">
      <w:pPr>
        <w:pStyle w:val="182"/>
        <w:ind w:firstLine="275"/>
        <w:rPr>
          <w:rFonts w:ascii="Times New Roman" w:hAnsi="Times New Roman" w:eastAsia="仿宋_GB2312" w:cs="Times New Roman"/>
          <w:color w:val="000000"/>
          <w:sz w:val="28"/>
          <w:szCs w:val="28"/>
        </w:rPr>
      </w:pPr>
      <w:r>
        <w:rPr>
          <w:rFonts w:ascii="Times New Roman" w:hAnsi="Times New Roman" w:eastAsia="仿宋_GB2312" w:cs="Times New Roman"/>
          <w:color w:val="000000"/>
          <w:sz w:val="28"/>
          <w:szCs w:val="28"/>
        </w:rPr>
        <w:t>13.3环境监测</w:t>
      </w:r>
    </w:p>
    <w:p w14:paraId="21BC6584">
      <w:pPr>
        <w:pStyle w:val="183"/>
        <w:spacing w:line="360" w:lineRule="auto"/>
        <w:ind w:firstLine="472"/>
        <w:rPr>
          <w:rFonts w:eastAsia="仿宋_GB2312"/>
          <w:color w:val="000000"/>
          <w:sz w:val="24"/>
          <w:szCs w:val="24"/>
        </w:rPr>
      </w:pPr>
      <w:r>
        <w:rPr>
          <w:rFonts w:eastAsia="仿宋_GB2312"/>
          <w:color w:val="000000"/>
          <w:sz w:val="24"/>
          <w:szCs w:val="24"/>
        </w:rPr>
        <w:t>13.3.1监测目的及监测机构</w:t>
      </w:r>
    </w:p>
    <w:p w14:paraId="6BB0A471">
      <w:pPr>
        <w:spacing w:line="360" w:lineRule="auto"/>
        <w:ind w:firstLine="435"/>
        <w:jc w:val="left"/>
        <w:rPr>
          <w:color w:val="000000"/>
          <w:sz w:val="24"/>
        </w:rPr>
      </w:pPr>
      <w:r>
        <w:rPr>
          <w:color w:val="000000"/>
          <w:sz w:val="24"/>
        </w:rPr>
        <w:t>环境监测是项目环境管理工作的重要部分，只有通过监测才能够客观准确的评估环境影响的危害，掌握环境质量及其变化趋势，预测项目施工及营运中的不利因素。环境监测有利于项目的开发进度和正常生产，减轻环境问题对公众生存环境带来的威胁，避免因项目开发带来新的环境问题，为施工期和营运期的环境保护及污染物控制、环境监理和环境管理提供科学依据。项目外环境的监测可以检验项目管理和治理的改进程度，也是环境保护管理部门对项目环保工作的重要监控手段。</w:t>
      </w:r>
    </w:p>
    <w:p w14:paraId="5A562D01">
      <w:pPr>
        <w:spacing w:line="360" w:lineRule="auto"/>
        <w:ind w:firstLine="435"/>
        <w:jc w:val="left"/>
        <w:rPr>
          <w:color w:val="000000"/>
          <w:sz w:val="24"/>
        </w:rPr>
      </w:pPr>
      <w:r>
        <w:rPr>
          <w:color w:val="000000"/>
          <w:sz w:val="24"/>
        </w:rPr>
        <w:t>环境监测任务由建设单位组建成立的工程环境管理部门组织、委托具有资质的环境监测站进行监测。</w:t>
      </w:r>
    </w:p>
    <w:p w14:paraId="71CAC69D">
      <w:pPr>
        <w:pStyle w:val="183"/>
        <w:spacing w:line="360" w:lineRule="auto"/>
        <w:ind w:firstLine="472"/>
        <w:rPr>
          <w:rFonts w:eastAsia="仿宋_GB2312"/>
          <w:color w:val="000000"/>
          <w:sz w:val="24"/>
          <w:szCs w:val="24"/>
        </w:rPr>
      </w:pPr>
      <w:r>
        <w:rPr>
          <w:rFonts w:eastAsia="仿宋_GB2312"/>
          <w:color w:val="000000"/>
          <w:sz w:val="24"/>
          <w:szCs w:val="24"/>
        </w:rPr>
        <w:t>13.3.2监测内容及计划</w:t>
      </w:r>
    </w:p>
    <w:p w14:paraId="45727350">
      <w:pPr>
        <w:spacing w:line="360" w:lineRule="auto"/>
        <w:ind w:firstLine="435"/>
        <w:jc w:val="left"/>
        <w:rPr>
          <w:color w:val="000000"/>
          <w:sz w:val="24"/>
        </w:rPr>
      </w:pPr>
      <w:r>
        <w:rPr>
          <w:color w:val="000000"/>
          <w:sz w:val="24"/>
        </w:rPr>
        <w:t>（1）施工期环境监测计划</w:t>
      </w:r>
    </w:p>
    <w:p w14:paraId="03CD9743">
      <w:pPr>
        <w:spacing w:line="360" w:lineRule="auto"/>
        <w:ind w:firstLine="435"/>
        <w:jc w:val="left"/>
        <w:rPr>
          <w:color w:val="000000"/>
          <w:sz w:val="24"/>
        </w:rPr>
      </w:pPr>
      <w:r>
        <w:rPr>
          <w:color w:val="000000"/>
          <w:sz w:val="24"/>
        </w:rPr>
        <w:t>施工期的环境监测内容为:噪声。</w:t>
      </w:r>
    </w:p>
    <w:p w14:paraId="445A7E3A">
      <w:pPr>
        <w:spacing w:line="360" w:lineRule="auto"/>
        <w:ind w:firstLine="435"/>
        <w:jc w:val="left"/>
        <w:rPr>
          <w:color w:val="000000"/>
          <w:sz w:val="24"/>
        </w:rPr>
      </w:pPr>
      <w:r>
        <w:rPr>
          <w:color w:val="000000"/>
          <w:sz w:val="24"/>
        </w:rPr>
        <w:t>1）声环境</w:t>
      </w:r>
    </w:p>
    <w:p w14:paraId="75EDB429">
      <w:pPr>
        <w:spacing w:line="360" w:lineRule="auto"/>
        <w:ind w:firstLine="435"/>
        <w:jc w:val="left"/>
        <w:rPr>
          <w:color w:val="000000"/>
          <w:sz w:val="24"/>
        </w:rPr>
      </w:pPr>
      <w:r>
        <w:rPr>
          <w:rFonts w:cs="宋体"/>
          <w:color w:val="000000"/>
          <w:sz w:val="24"/>
        </w:rPr>
        <w:t>①</w:t>
      </w:r>
      <w:r>
        <w:rPr>
          <w:color w:val="000000"/>
          <w:sz w:val="24"/>
        </w:rPr>
        <w:t xml:space="preserve"> 监测项目：LeqdB(A)。</w:t>
      </w:r>
    </w:p>
    <w:p w14:paraId="5F48A8ED">
      <w:pPr>
        <w:spacing w:line="360" w:lineRule="auto"/>
        <w:ind w:firstLine="435"/>
        <w:jc w:val="left"/>
        <w:rPr>
          <w:color w:val="000000"/>
          <w:sz w:val="24"/>
        </w:rPr>
      </w:pPr>
      <w:r>
        <w:rPr>
          <w:rFonts w:cs="宋体"/>
          <w:color w:val="000000"/>
          <w:sz w:val="24"/>
        </w:rPr>
        <w:t>②</w:t>
      </w:r>
      <w:r>
        <w:rPr>
          <w:color w:val="000000"/>
          <w:sz w:val="24"/>
        </w:rPr>
        <w:t xml:space="preserve"> 监测点：场界及噪声敏感点。</w:t>
      </w:r>
    </w:p>
    <w:p w14:paraId="25F3EE95">
      <w:pPr>
        <w:spacing w:line="360" w:lineRule="auto"/>
        <w:ind w:firstLine="435"/>
        <w:jc w:val="left"/>
        <w:rPr>
          <w:color w:val="000000"/>
          <w:sz w:val="24"/>
        </w:rPr>
      </w:pPr>
      <w:r>
        <w:rPr>
          <w:rFonts w:cs="宋体"/>
          <w:bCs/>
          <w:color w:val="000000"/>
          <w:sz w:val="24"/>
        </w:rPr>
        <w:t>③</w:t>
      </w:r>
      <w:r>
        <w:rPr>
          <w:bCs/>
          <w:color w:val="000000"/>
          <w:sz w:val="24"/>
        </w:rPr>
        <w:t xml:space="preserve"> 监测周期及频率：在本项目施工集中期监测2次，每次</w:t>
      </w:r>
      <w:r>
        <w:rPr>
          <w:color w:val="000000"/>
          <w:sz w:val="24"/>
        </w:rPr>
        <w:t>监测1天，若夜间施工，则夜间也须监测。</w:t>
      </w:r>
    </w:p>
    <w:p w14:paraId="24D9A78B">
      <w:pPr>
        <w:spacing w:line="360" w:lineRule="auto"/>
        <w:ind w:firstLine="435"/>
        <w:jc w:val="left"/>
        <w:rPr>
          <w:color w:val="000000"/>
          <w:sz w:val="24"/>
        </w:rPr>
      </w:pPr>
      <w:r>
        <w:rPr>
          <w:rFonts w:cs="宋体"/>
          <w:bCs/>
          <w:color w:val="000000"/>
          <w:sz w:val="24"/>
        </w:rPr>
        <w:t>④</w:t>
      </w:r>
      <w:r>
        <w:rPr>
          <w:bCs/>
          <w:color w:val="000000"/>
          <w:sz w:val="24"/>
        </w:rPr>
        <w:t xml:space="preserve"> 监测方法：</w:t>
      </w:r>
      <w:r>
        <w:rPr>
          <w:color w:val="000000"/>
          <w:sz w:val="24"/>
        </w:rPr>
        <w:t>采用《建筑施工场界噪声测量方法》（GB12523—2011）。</w:t>
      </w:r>
    </w:p>
    <w:p w14:paraId="2C0F2D20">
      <w:pPr>
        <w:spacing w:line="360" w:lineRule="auto"/>
        <w:ind w:firstLine="435"/>
        <w:jc w:val="left"/>
        <w:rPr>
          <w:color w:val="000000"/>
          <w:sz w:val="24"/>
        </w:rPr>
      </w:pPr>
      <w:r>
        <w:rPr>
          <w:color w:val="000000"/>
          <w:sz w:val="24"/>
        </w:rPr>
        <w:t>项目施工期环境监测计划见表13.3-1。</w:t>
      </w:r>
    </w:p>
    <w:p w14:paraId="6B9C4D99">
      <w:pPr>
        <w:spacing w:line="360" w:lineRule="auto"/>
        <w:ind w:firstLine="482"/>
        <w:jc w:val="center"/>
        <w:rPr>
          <w:b/>
          <w:color w:val="000000"/>
          <w:sz w:val="24"/>
        </w:rPr>
      </w:pPr>
      <w:r>
        <w:rPr>
          <w:b/>
          <w:color w:val="000000"/>
          <w:sz w:val="24"/>
        </w:rPr>
        <w:t>表13.3-1  项目施工期环境监测计划表</w:t>
      </w:r>
    </w:p>
    <w:tbl>
      <w:tblPr>
        <w:tblStyle w:val="27"/>
        <w:tblW w:w="0" w:type="auto"/>
        <w:tblInd w:w="-108" w:type="dxa"/>
        <w:tblLayout w:type="fixed"/>
        <w:tblCellMar>
          <w:top w:w="0" w:type="dxa"/>
          <w:left w:w="108" w:type="dxa"/>
          <w:bottom w:w="0" w:type="dxa"/>
          <w:right w:w="108" w:type="dxa"/>
        </w:tblCellMar>
      </w:tblPr>
      <w:tblGrid>
        <w:gridCol w:w="618"/>
        <w:gridCol w:w="1054"/>
        <w:gridCol w:w="1390"/>
        <w:gridCol w:w="1202"/>
        <w:gridCol w:w="2217"/>
        <w:gridCol w:w="2047"/>
      </w:tblGrid>
      <w:tr w14:paraId="12C1D5E0">
        <w:tblPrEx>
          <w:tblCellMar>
            <w:top w:w="0" w:type="dxa"/>
            <w:left w:w="108" w:type="dxa"/>
            <w:bottom w:w="0" w:type="dxa"/>
            <w:right w:w="108" w:type="dxa"/>
          </w:tblCellMar>
        </w:tblPrEx>
        <w:trPr>
          <w:cantSpli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5064D20F">
            <w:pPr>
              <w:jc w:val="center"/>
              <w:rPr>
                <w:b/>
                <w:color w:val="000000"/>
                <w:szCs w:val="21"/>
              </w:rPr>
            </w:pPr>
            <w:r>
              <w:rPr>
                <w:b/>
                <w:color w:val="000000"/>
                <w:szCs w:val="21"/>
              </w:rPr>
              <w:t>序号</w:t>
            </w:r>
          </w:p>
        </w:tc>
        <w:tc>
          <w:tcPr>
            <w:tcW w:w="1054" w:type="dxa"/>
            <w:tcBorders>
              <w:top w:val="single" w:color="000000" w:sz="4" w:space="0"/>
              <w:left w:val="single" w:color="000000" w:sz="4" w:space="0"/>
              <w:bottom w:val="single" w:color="000000" w:sz="4" w:space="0"/>
              <w:right w:val="single" w:color="000000" w:sz="4" w:space="0"/>
            </w:tcBorders>
            <w:noWrap w:val="0"/>
            <w:vAlign w:val="center"/>
          </w:tcPr>
          <w:p w14:paraId="47C1E546">
            <w:pPr>
              <w:jc w:val="center"/>
              <w:rPr>
                <w:b/>
                <w:color w:val="000000"/>
                <w:szCs w:val="21"/>
              </w:rPr>
            </w:pPr>
            <w:r>
              <w:rPr>
                <w:b/>
                <w:color w:val="000000"/>
                <w:szCs w:val="21"/>
              </w:rPr>
              <w:t>监测项目</w:t>
            </w:r>
          </w:p>
        </w:tc>
        <w:tc>
          <w:tcPr>
            <w:tcW w:w="1390" w:type="dxa"/>
            <w:tcBorders>
              <w:top w:val="single" w:color="000000" w:sz="4" w:space="0"/>
              <w:left w:val="single" w:color="000000" w:sz="4" w:space="0"/>
              <w:bottom w:val="single" w:color="000000" w:sz="4" w:space="0"/>
              <w:right w:val="single" w:color="000000" w:sz="4" w:space="0"/>
            </w:tcBorders>
            <w:noWrap w:val="0"/>
            <w:vAlign w:val="center"/>
          </w:tcPr>
          <w:p w14:paraId="126E3BB3">
            <w:pPr>
              <w:jc w:val="center"/>
              <w:rPr>
                <w:b/>
                <w:color w:val="000000"/>
                <w:szCs w:val="21"/>
              </w:rPr>
            </w:pPr>
            <w:r>
              <w:rPr>
                <w:b/>
                <w:color w:val="000000"/>
                <w:szCs w:val="21"/>
              </w:rPr>
              <w:t>点位/断面</w:t>
            </w:r>
          </w:p>
        </w:tc>
        <w:tc>
          <w:tcPr>
            <w:tcW w:w="1202" w:type="dxa"/>
            <w:tcBorders>
              <w:top w:val="single" w:color="000000" w:sz="4" w:space="0"/>
              <w:left w:val="single" w:color="000000" w:sz="4" w:space="0"/>
              <w:bottom w:val="single" w:color="000000" w:sz="4" w:space="0"/>
              <w:right w:val="single" w:color="000000" w:sz="4" w:space="0"/>
            </w:tcBorders>
            <w:noWrap w:val="0"/>
            <w:vAlign w:val="center"/>
          </w:tcPr>
          <w:p w14:paraId="7871FDFB">
            <w:pPr>
              <w:jc w:val="center"/>
              <w:rPr>
                <w:b/>
                <w:color w:val="000000"/>
                <w:szCs w:val="21"/>
              </w:rPr>
            </w:pPr>
            <w:r>
              <w:rPr>
                <w:b/>
                <w:color w:val="000000"/>
                <w:szCs w:val="21"/>
              </w:rPr>
              <w:t>监测参数</w:t>
            </w:r>
          </w:p>
        </w:tc>
        <w:tc>
          <w:tcPr>
            <w:tcW w:w="2217" w:type="dxa"/>
            <w:tcBorders>
              <w:top w:val="single" w:color="000000" w:sz="4" w:space="0"/>
              <w:left w:val="single" w:color="000000" w:sz="4" w:space="0"/>
              <w:bottom w:val="single" w:color="000000" w:sz="4" w:space="0"/>
              <w:right w:val="single" w:color="000000" w:sz="4" w:space="0"/>
            </w:tcBorders>
            <w:noWrap w:val="0"/>
            <w:vAlign w:val="center"/>
          </w:tcPr>
          <w:p w14:paraId="6B61F856">
            <w:pPr>
              <w:jc w:val="center"/>
              <w:rPr>
                <w:b/>
                <w:color w:val="000000"/>
                <w:szCs w:val="21"/>
              </w:rPr>
            </w:pPr>
            <w:r>
              <w:rPr>
                <w:b/>
                <w:color w:val="000000"/>
                <w:szCs w:val="21"/>
              </w:rPr>
              <w:t>监测频率</w:t>
            </w:r>
          </w:p>
        </w:tc>
        <w:tc>
          <w:tcPr>
            <w:tcW w:w="2047" w:type="dxa"/>
            <w:tcBorders>
              <w:top w:val="single" w:color="000000" w:sz="4" w:space="0"/>
              <w:left w:val="single" w:color="000000" w:sz="4" w:space="0"/>
              <w:bottom w:val="single" w:color="000000" w:sz="4" w:space="0"/>
              <w:right w:val="single" w:color="000000" w:sz="4" w:space="0"/>
            </w:tcBorders>
            <w:noWrap w:val="0"/>
            <w:vAlign w:val="center"/>
          </w:tcPr>
          <w:p w14:paraId="141A3AD4">
            <w:pPr>
              <w:jc w:val="center"/>
              <w:rPr>
                <w:b/>
                <w:color w:val="000000"/>
                <w:szCs w:val="21"/>
              </w:rPr>
            </w:pPr>
            <w:r>
              <w:rPr>
                <w:b/>
                <w:color w:val="000000"/>
                <w:szCs w:val="21"/>
              </w:rPr>
              <w:t>监测方法</w:t>
            </w:r>
          </w:p>
        </w:tc>
      </w:tr>
      <w:tr w14:paraId="20061BEB">
        <w:tblPrEx>
          <w:tblCellMar>
            <w:top w:w="0" w:type="dxa"/>
            <w:left w:w="108" w:type="dxa"/>
            <w:bottom w:w="0" w:type="dxa"/>
            <w:right w:w="108" w:type="dxa"/>
          </w:tblCellMar>
        </w:tblPrEx>
        <w:trPr>
          <w:cantSplit/>
          <w:trHeight w:val="1301"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3B8A6725">
            <w:pPr>
              <w:jc w:val="center"/>
              <w:rPr>
                <w:color w:val="000000"/>
                <w:szCs w:val="21"/>
              </w:rPr>
            </w:pPr>
            <w:r>
              <w:rPr>
                <w:color w:val="000000"/>
                <w:szCs w:val="21"/>
              </w:rPr>
              <w:t>1</w:t>
            </w:r>
          </w:p>
        </w:tc>
        <w:tc>
          <w:tcPr>
            <w:tcW w:w="1054" w:type="dxa"/>
            <w:tcBorders>
              <w:top w:val="single" w:color="000000" w:sz="4" w:space="0"/>
              <w:left w:val="single" w:color="000000" w:sz="4" w:space="0"/>
              <w:bottom w:val="single" w:color="000000" w:sz="4" w:space="0"/>
              <w:right w:val="single" w:color="000000" w:sz="4" w:space="0"/>
            </w:tcBorders>
            <w:noWrap w:val="0"/>
            <w:vAlign w:val="center"/>
          </w:tcPr>
          <w:p w14:paraId="12DA67F1">
            <w:pPr>
              <w:jc w:val="center"/>
              <w:rPr>
                <w:color w:val="000000"/>
                <w:szCs w:val="21"/>
              </w:rPr>
            </w:pPr>
            <w:r>
              <w:rPr>
                <w:color w:val="000000"/>
                <w:szCs w:val="21"/>
              </w:rPr>
              <w:t>声环境</w:t>
            </w:r>
          </w:p>
        </w:tc>
        <w:tc>
          <w:tcPr>
            <w:tcW w:w="1390" w:type="dxa"/>
            <w:tcBorders>
              <w:top w:val="single" w:color="000000" w:sz="4" w:space="0"/>
              <w:left w:val="single" w:color="000000" w:sz="4" w:space="0"/>
              <w:bottom w:val="single" w:color="000000" w:sz="4" w:space="0"/>
              <w:right w:val="single" w:color="000000" w:sz="4" w:space="0"/>
            </w:tcBorders>
            <w:noWrap w:val="0"/>
            <w:vAlign w:val="center"/>
          </w:tcPr>
          <w:p w14:paraId="2BA36C09">
            <w:pPr>
              <w:jc w:val="center"/>
              <w:rPr>
                <w:color w:val="000000"/>
                <w:szCs w:val="21"/>
              </w:rPr>
            </w:pPr>
            <w:r>
              <w:rPr>
                <w:color w:val="000000"/>
                <w:szCs w:val="21"/>
              </w:rPr>
              <w:t>场界噪声敏感点</w:t>
            </w:r>
          </w:p>
        </w:tc>
        <w:tc>
          <w:tcPr>
            <w:tcW w:w="1202" w:type="dxa"/>
            <w:tcBorders>
              <w:top w:val="single" w:color="000000" w:sz="4" w:space="0"/>
              <w:left w:val="single" w:color="000000" w:sz="4" w:space="0"/>
              <w:bottom w:val="single" w:color="000000" w:sz="4" w:space="0"/>
              <w:right w:val="single" w:color="000000" w:sz="4" w:space="0"/>
            </w:tcBorders>
            <w:noWrap w:val="0"/>
            <w:vAlign w:val="center"/>
          </w:tcPr>
          <w:p w14:paraId="0E97FF5B">
            <w:pPr>
              <w:jc w:val="center"/>
              <w:rPr>
                <w:color w:val="000000"/>
                <w:szCs w:val="21"/>
              </w:rPr>
            </w:pPr>
            <w:r>
              <w:rPr>
                <w:color w:val="000000"/>
                <w:szCs w:val="21"/>
              </w:rPr>
              <w:t>等效声级</w:t>
            </w:r>
          </w:p>
        </w:tc>
        <w:tc>
          <w:tcPr>
            <w:tcW w:w="2217" w:type="dxa"/>
            <w:tcBorders>
              <w:top w:val="single" w:color="000000" w:sz="4" w:space="0"/>
              <w:left w:val="single" w:color="000000" w:sz="4" w:space="0"/>
              <w:bottom w:val="single" w:color="000000" w:sz="4" w:space="0"/>
              <w:right w:val="single" w:color="000000" w:sz="4" w:space="0"/>
            </w:tcBorders>
            <w:noWrap w:val="0"/>
            <w:vAlign w:val="center"/>
          </w:tcPr>
          <w:p w14:paraId="1951DC94">
            <w:pPr>
              <w:rPr>
                <w:color w:val="000000"/>
                <w:szCs w:val="21"/>
              </w:rPr>
            </w:pPr>
            <w:r>
              <w:rPr>
                <w:color w:val="000000"/>
                <w:szCs w:val="21"/>
              </w:rPr>
              <w:t>项目施工集中期监测2次，每次监测2日，每天1次，若夜间进行施工，夜间也要监测。</w:t>
            </w:r>
          </w:p>
        </w:tc>
        <w:tc>
          <w:tcPr>
            <w:tcW w:w="2047" w:type="dxa"/>
            <w:tcBorders>
              <w:top w:val="single" w:color="000000" w:sz="4" w:space="0"/>
              <w:left w:val="single" w:color="000000" w:sz="4" w:space="0"/>
              <w:bottom w:val="single" w:color="000000" w:sz="4" w:space="0"/>
              <w:right w:val="single" w:color="000000" w:sz="4" w:space="0"/>
            </w:tcBorders>
            <w:noWrap w:val="0"/>
            <w:vAlign w:val="center"/>
          </w:tcPr>
          <w:p w14:paraId="7D7C535A">
            <w:pPr>
              <w:jc w:val="left"/>
              <w:rPr>
                <w:color w:val="000000"/>
                <w:szCs w:val="21"/>
              </w:rPr>
            </w:pPr>
            <w:r>
              <w:rPr>
                <w:color w:val="000000"/>
                <w:szCs w:val="21"/>
              </w:rPr>
              <w:t>按国家环保局颁布的（GB12523-2011）《建筑施工场界噪声测量方法》进行</w:t>
            </w:r>
          </w:p>
        </w:tc>
      </w:tr>
    </w:tbl>
    <w:p w14:paraId="2FDA53F0">
      <w:pPr>
        <w:spacing w:line="360" w:lineRule="auto"/>
        <w:ind w:firstLine="435"/>
        <w:jc w:val="left"/>
        <w:rPr>
          <w:color w:val="000000"/>
          <w:sz w:val="24"/>
        </w:rPr>
      </w:pPr>
      <w:r>
        <w:rPr>
          <w:color w:val="000000"/>
          <w:sz w:val="24"/>
        </w:rPr>
        <w:t>（2）运营期环境监测</w:t>
      </w:r>
    </w:p>
    <w:p w14:paraId="65F55253">
      <w:pPr>
        <w:spacing w:line="360" w:lineRule="auto"/>
        <w:ind w:firstLine="480"/>
        <w:rPr>
          <w:color w:val="000000"/>
          <w:sz w:val="24"/>
        </w:rPr>
      </w:pPr>
      <w:r>
        <w:rPr>
          <w:color w:val="000000"/>
          <w:sz w:val="24"/>
        </w:rPr>
        <w:t>建设项目运营期环境监测是项目建成后的环境监测，为了防止污染事故发生，并为环境管理提供依据。主要为废水监测。监测项目为COD</w:t>
      </w:r>
      <w:r>
        <w:rPr>
          <w:color w:val="000000"/>
          <w:sz w:val="24"/>
          <w:vertAlign w:val="subscript"/>
        </w:rPr>
        <w:t>cr</w:t>
      </w:r>
      <w:r>
        <w:rPr>
          <w:color w:val="000000"/>
          <w:sz w:val="24"/>
        </w:rPr>
        <w:t>、SS、NH</w:t>
      </w:r>
      <w:r>
        <w:rPr>
          <w:color w:val="000000"/>
          <w:sz w:val="24"/>
          <w:vertAlign w:val="subscript"/>
        </w:rPr>
        <w:t>3</w:t>
      </w:r>
      <w:r>
        <w:rPr>
          <w:color w:val="000000"/>
          <w:sz w:val="24"/>
        </w:rPr>
        <w:t>-N、动植物油、粪大肠菌群。具体监测计划见表13.3-2。</w:t>
      </w:r>
    </w:p>
    <w:p w14:paraId="2F8B59FF">
      <w:pPr>
        <w:spacing w:line="360" w:lineRule="auto"/>
        <w:ind w:firstLine="482"/>
        <w:jc w:val="center"/>
        <w:rPr>
          <w:b/>
          <w:color w:val="000000"/>
          <w:sz w:val="24"/>
        </w:rPr>
      </w:pPr>
      <w:r>
        <w:rPr>
          <w:b/>
          <w:color w:val="000000"/>
          <w:sz w:val="24"/>
        </w:rPr>
        <w:t>表13.3-2 项目运营期环境监测计划表</w:t>
      </w:r>
    </w:p>
    <w:tbl>
      <w:tblPr>
        <w:tblStyle w:val="27"/>
        <w:tblW w:w="0" w:type="auto"/>
        <w:tblInd w:w="0" w:type="dxa"/>
        <w:tblLayout w:type="fixed"/>
        <w:tblCellMar>
          <w:top w:w="0" w:type="dxa"/>
          <w:left w:w="108" w:type="dxa"/>
          <w:bottom w:w="0" w:type="dxa"/>
          <w:right w:w="108" w:type="dxa"/>
        </w:tblCellMar>
      </w:tblPr>
      <w:tblGrid>
        <w:gridCol w:w="825"/>
        <w:gridCol w:w="1252"/>
        <w:gridCol w:w="1078"/>
        <w:gridCol w:w="2125"/>
        <w:gridCol w:w="1636"/>
        <w:gridCol w:w="1612"/>
      </w:tblGrid>
      <w:tr w14:paraId="49E46767">
        <w:tblPrEx>
          <w:tblCellMar>
            <w:top w:w="0" w:type="dxa"/>
            <w:left w:w="108" w:type="dxa"/>
            <w:bottom w:w="0" w:type="dxa"/>
            <w:right w:w="108" w:type="dxa"/>
          </w:tblCellMar>
        </w:tblPrEx>
        <w:trPr>
          <w:cantSplit/>
        </w:trPr>
        <w:tc>
          <w:tcPr>
            <w:tcW w:w="825" w:type="dxa"/>
            <w:tcBorders>
              <w:top w:val="single" w:color="000000" w:sz="6" w:space="0"/>
              <w:left w:val="single" w:color="000000" w:sz="6" w:space="0"/>
              <w:bottom w:val="single" w:color="000000" w:sz="6" w:space="0"/>
              <w:right w:val="single" w:color="000000" w:sz="6" w:space="0"/>
            </w:tcBorders>
            <w:noWrap w:val="0"/>
            <w:vAlign w:val="center"/>
          </w:tcPr>
          <w:p w14:paraId="04AADEF5">
            <w:pPr>
              <w:jc w:val="center"/>
              <w:rPr>
                <w:b/>
                <w:color w:val="000000"/>
                <w:szCs w:val="21"/>
              </w:rPr>
            </w:pPr>
            <w:r>
              <w:rPr>
                <w:b/>
                <w:color w:val="000000"/>
                <w:szCs w:val="21"/>
              </w:rPr>
              <w:t>时段</w:t>
            </w:r>
          </w:p>
        </w:tc>
        <w:tc>
          <w:tcPr>
            <w:tcW w:w="1252" w:type="dxa"/>
            <w:tcBorders>
              <w:top w:val="single" w:color="000000" w:sz="6" w:space="0"/>
              <w:left w:val="single" w:color="000000" w:sz="6" w:space="0"/>
              <w:bottom w:val="single" w:color="000000" w:sz="6" w:space="0"/>
              <w:right w:val="single" w:color="000000" w:sz="6" w:space="0"/>
            </w:tcBorders>
            <w:noWrap w:val="0"/>
            <w:vAlign w:val="center"/>
          </w:tcPr>
          <w:p w14:paraId="1986D1AB">
            <w:pPr>
              <w:jc w:val="center"/>
              <w:rPr>
                <w:b/>
                <w:color w:val="000000"/>
                <w:szCs w:val="21"/>
              </w:rPr>
            </w:pPr>
            <w:r>
              <w:rPr>
                <w:b/>
                <w:color w:val="000000"/>
                <w:szCs w:val="21"/>
              </w:rPr>
              <w:t>监测要素</w:t>
            </w:r>
          </w:p>
        </w:tc>
        <w:tc>
          <w:tcPr>
            <w:tcW w:w="1078" w:type="dxa"/>
            <w:tcBorders>
              <w:top w:val="single" w:color="000000" w:sz="6" w:space="0"/>
              <w:left w:val="single" w:color="000000" w:sz="6" w:space="0"/>
              <w:bottom w:val="single" w:color="000000" w:sz="6" w:space="0"/>
              <w:right w:val="single" w:color="000000" w:sz="6" w:space="0"/>
            </w:tcBorders>
            <w:noWrap w:val="0"/>
            <w:vAlign w:val="center"/>
          </w:tcPr>
          <w:p w14:paraId="6671DB34">
            <w:pPr>
              <w:jc w:val="center"/>
              <w:rPr>
                <w:b/>
                <w:color w:val="000000"/>
                <w:szCs w:val="21"/>
              </w:rPr>
            </w:pPr>
            <w:r>
              <w:rPr>
                <w:b/>
                <w:color w:val="000000"/>
                <w:szCs w:val="21"/>
              </w:rPr>
              <w:t>点位</w:t>
            </w:r>
          </w:p>
        </w:tc>
        <w:tc>
          <w:tcPr>
            <w:tcW w:w="2125" w:type="dxa"/>
            <w:tcBorders>
              <w:top w:val="single" w:color="000000" w:sz="6" w:space="0"/>
              <w:left w:val="single" w:color="000000" w:sz="6" w:space="0"/>
              <w:bottom w:val="single" w:color="000000" w:sz="6" w:space="0"/>
              <w:right w:val="single" w:color="000000" w:sz="6" w:space="0"/>
            </w:tcBorders>
            <w:noWrap w:val="0"/>
            <w:vAlign w:val="center"/>
          </w:tcPr>
          <w:p w14:paraId="0A9A4711">
            <w:pPr>
              <w:jc w:val="center"/>
              <w:rPr>
                <w:b/>
                <w:color w:val="000000"/>
                <w:szCs w:val="21"/>
              </w:rPr>
            </w:pPr>
            <w:r>
              <w:rPr>
                <w:b/>
                <w:color w:val="000000"/>
                <w:szCs w:val="21"/>
              </w:rPr>
              <w:t>监测参数</w:t>
            </w:r>
          </w:p>
        </w:tc>
        <w:tc>
          <w:tcPr>
            <w:tcW w:w="1636" w:type="dxa"/>
            <w:tcBorders>
              <w:top w:val="single" w:color="000000" w:sz="6" w:space="0"/>
              <w:left w:val="single" w:color="000000" w:sz="6" w:space="0"/>
              <w:bottom w:val="single" w:color="000000" w:sz="6" w:space="0"/>
              <w:right w:val="single" w:color="000000" w:sz="6" w:space="0"/>
            </w:tcBorders>
            <w:noWrap w:val="0"/>
            <w:vAlign w:val="center"/>
          </w:tcPr>
          <w:p w14:paraId="12656739">
            <w:pPr>
              <w:jc w:val="center"/>
              <w:rPr>
                <w:b/>
                <w:color w:val="000000"/>
                <w:szCs w:val="21"/>
              </w:rPr>
            </w:pPr>
            <w:r>
              <w:rPr>
                <w:b/>
                <w:color w:val="000000"/>
                <w:szCs w:val="21"/>
              </w:rPr>
              <w:t>监测频率</w:t>
            </w:r>
          </w:p>
        </w:tc>
        <w:tc>
          <w:tcPr>
            <w:tcW w:w="1612" w:type="dxa"/>
            <w:tcBorders>
              <w:top w:val="single" w:color="000000" w:sz="6" w:space="0"/>
              <w:left w:val="single" w:color="000000" w:sz="6" w:space="0"/>
              <w:bottom w:val="single" w:color="000000" w:sz="6" w:space="0"/>
              <w:right w:val="single" w:color="000000" w:sz="6" w:space="0"/>
            </w:tcBorders>
            <w:noWrap w:val="0"/>
            <w:vAlign w:val="center"/>
          </w:tcPr>
          <w:p w14:paraId="359569FD">
            <w:pPr>
              <w:spacing w:line="260" w:lineRule="exact"/>
              <w:jc w:val="center"/>
              <w:rPr>
                <w:b/>
                <w:color w:val="000000"/>
                <w:szCs w:val="21"/>
              </w:rPr>
            </w:pPr>
            <w:r>
              <w:rPr>
                <w:b/>
                <w:color w:val="000000"/>
                <w:szCs w:val="21"/>
              </w:rPr>
              <w:t>实施单位</w:t>
            </w:r>
          </w:p>
        </w:tc>
      </w:tr>
      <w:tr w14:paraId="69E1E6FC">
        <w:tblPrEx>
          <w:tblCellMar>
            <w:top w:w="0" w:type="dxa"/>
            <w:left w:w="108" w:type="dxa"/>
            <w:bottom w:w="0" w:type="dxa"/>
            <w:right w:w="108" w:type="dxa"/>
          </w:tblCellMar>
        </w:tblPrEx>
        <w:trPr>
          <w:cantSplit/>
          <w:trHeight w:val="1646" w:hRule="atLeast"/>
        </w:trPr>
        <w:tc>
          <w:tcPr>
            <w:tcW w:w="825" w:type="dxa"/>
            <w:vMerge w:val="restart"/>
            <w:tcBorders>
              <w:top w:val="single" w:color="000000" w:sz="6" w:space="0"/>
              <w:left w:val="single" w:color="000000" w:sz="6" w:space="0"/>
              <w:bottom w:val="single" w:color="000000" w:sz="6" w:space="0"/>
              <w:right w:val="single" w:color="000000" w:sz="6" w:space="0"/>
            </w:tcBorders>
            <w:noWrap w:val="0"/>
            <w:vAlign w:val="center"/>
          </w:tcPr>
          <w:p w14:paraId="42B8F3BC">
            <w:pPr>
              <w:jc w:val="center"/>
              <w:rPr>
                <w:color w:val="000000"/>
                <w:szCs w:val="21"/>
              </w:rPr>
            </w:pPr>
            <w:r>
              <w:rPr>
                <w:color w:val="000000"/>
                <w:szCs w:val="21"/>
              </w:rPr>
              <w:t>运营期</w:t>
            </w:r>
          </w:p>
        </w:tc>
        <w:tc>
          <w:tcPr>
            <w:tcW w:w="1252" w:type="dxa"/>
            <w:tcBorders>
              <w:top w:val="single" w:color="000000" w:sz="6" w:space="0"/>
              <w:left w:val="single" w:color="000000" w:sz="6" w:space="0"/>
              <w:bottom w:val="nil"/>
              <w:right w:val="single" w:color="000000" w:sz="6" w:space="0"/>
            </w:tcBorders>
            <w:noWrap w:val="0"/>
            <w:vAlign w:val="center"/>
          </w:tcPr>
          <w:p w14:paraId="5E243970">
            <w:pPr>
              <w:jc w:val="center"/>
              <w:rPr>
                <w:color w:val="000000"/>
                <w:szCs w:val="21"/>
              </w:rPr>
            </w:pPr>
            <w:r>
              <w:rPr>
                <w:color w:val="000000"/>
                <w:szCs w:val="21"/>
              </w:rPr>
              <w:t>废水</w:t>
            </w:r>
          </w:p>
        </w:tc>
        <w:tc>
          <w:tcPr>
            <w:tcW w:w="1078" w:type="dxa"/>
            <w:tcBorders>
              <w:top w:val="single" w:color="000000" w:sz="6" w:space="0"/>
              <w:left w:val="single" w:color="000000" w:sz="6" w:space="0"/>
              <w:bottom w:val="nil"/>
              <w:right w:val="single" w:color="000000" w:sz="6" w:space="0"/>
            </w:tcBorders>
            <w:noWrap w:val="0"/>
            <w:vAlign w:val="center"/>
          </w:tcPr>
          <w:p w14:paraId="7C5782F6">
            <w:pPr>
              <w:jc w:val="center"/>
              <w:rPr>
                <w:color w:val="000000"/>
                <w:szCs w:val="21"/>
              </w:rPr>
            </w:pPr>
            <w:r>
              <w:rPr>
                <w:color w:val="000000"/>
                <w:szCs w:val="21"/>
              </w:rPr>
              <w:t>总排口</w:t>
            </w:r>
          </w:p>
        </w:tc>
        <w:tc>
          <w:tcPr>
            <w:tcW w:w="2125" w:type="dxa"/>
            <w:tcBorders>
              <w:top w:val="single" w:color="000000" w:sz="6" w:space="0"/>
              <w:left w:val="single" w:color="000000" w:sz="6" w:space="0"/>
              <w:bottom w:val="nil"/>
              <w:right w:val="single" w:color="000000" w:sz="6" w:space="0"/>
            </w:tcBorders>
            <w:noWrap w:val="0"/>
            <w:vAlign w:val="center"/>
          </w:tcPr>
          <w:p w14:paraId="74DB89D7">
            <w:pPr>
              <w:jc w:val="center"/>
              <w:rPr>
                <w:rFonts w:ascii="宋体" w:hAnsi="宋体"/>
                <w:color w:val="000000"/>
                <w:szCs w:val="21"/>
              </w:rPr>
            </w:pPr>
            <w:r>
              <w:rPr>
                <w:rFonts w:ascii="宋体" w:hAnsi="宋体"/>
                <w:color w:val="000000"/>
                <w:szCs w:val="21"/>
              </w:rPr>
              <w:t>pH 、COD</w:t>
            </w:r>
            <w:r>
              <w:rPr>
                <w:rFonts w:ascii="宋体" w:hAnsi="宋体"/>
                <w:color w:val="000000"/>
                <w:szCs w:val="21"/>
                <w:vertAlign w:val="subscript"/>
              </w:rPr>
              <w:t>cr</w:t>
            </w:r>
            <w:r>
              <w:rPr>
                <w:rFonts w:ascii="宋体" w:hAnsi="宋体"/>
                <w:color w:val="000000"/>
                <w:szCs w:val="21"/>
              </w:rPr>
              <w:t>、BOD</w:t>
            </w:r>
            <w:r>
              <w:rPr>
                <w:rFonts w:ascii="宋体" w:hAnsi="宋体"/>
                <w:color w:val="000000"/>
                <w:szCs w:val="21"/>
                <w:vertAlign w:val="subscript"/>
              </w:rPr>
              <w:t>5</w:t>
            </w:r>
            <w:r>
              <w:rPr>
                <w:rFonts w:ascii="宋体" w:hAnsi="宋体"/>
                <w:color w:val="000000"/>
                <w:szCs w:val="21"/>
              </w:rPr>
              <w:t>、SS、NH</w:t>
            </w:r>
            <w:r>
              <w:rPr>
                <w:rFonts w:ascii="宋体" w:hAnsi="宋体"/>
                <w:color w:val="000000"/>
                <w:szCs w:val="21"/>
                <w:vertAlign w:val="subscript"/>
              </w:rPr>
              <w:t>3</w:t>
            </w:r>
            <w:r>
              <w:rPr>
                <w:rFonts w:ascii="宋体" w:hAnsi="宋体"/>
                <w:color w:val="000000"/>
                <w:szCs w:val="21"/>
              </w:rPr>
              <w:t>-N、动植物油、阴离子表面活性剂、粪大肠菌群数、总余氯</w:t>
            </w:r>
          </w:p>
        </w:tc>
        <w:tc>
          <w:tcPr>
            <w:tcW w:w="1636" w:type="dxa"/>
            <w:tcBorders>
              <w:top w:val="single" w:color="000000" w:sz="6" w:space="0"/>
              <w:left w:val="single" w:color="000000" w:sz="6" w:space="0"/>
              <w:bottom w:val="nil"/>
              <w:right w:val="single" w:color="000000" w:sz="6" w:space="0"/>
            </w:tcBorders>
            <w:noWrap w:val="0"/>
            <w:vAlign w:val="center"/>
          </w:tcPr>
          <w:p w14:paraId="3CCD7460">
            <w:pPr>
              <w:jc w:val="center"/>
              <w:rPr>
                <w:color w:val="000000"/>
                <w:szCs w:val="21"/>
              </w:rPr>
            </w:pPr>
            <w:r>
              <w:rPr>
                <w:color w:val="000000"/>
                <w:szCs w:val="21"/>
              </w:rPr>
              <w:t>按环境监测技术规范执行</w:t>
            </w:r>
          </w:p>
        </w:tc>
        <w:tc>
          <w:tcPr>
            <w:tcW w:w="1612" w:type="dxa"/>
            <w:tcBorders>
              <w:top w:val="single" w:color="000000" w:sz="6" w:space="0"/>
              <w:left w:val="single" w:color="000000" w:sz="6" w:space="0"/>
              <w:bottom w:val="nil"/>
              <w:right w:val="single" w:color="000000" w:sz="6" w:space="0"/>
            </w:tcBorders>
            <w:noWrap w:val="0"/>
            <w:vAlign w:val="center"/>
          </w:tcPr>
          <w:p w14:paraId="06FBE4A8">
            <w:pPr>
              <w:jc w:val="center"/>
              <w:rPr>
                <w:color w:val="000000"/>
                <w:szCs w:val="21"/>
              </w:rPr>
            </w:pPr>
            <w:r>
              <w:rPr>
                <w:color w:val="000000"/>
                <w:szCs w:val="21"/>
              </w:rPr>
              <w:t>委托有资质的单位监测</w:t>
            </w:r>
          </w:p>
        </w:tc>
      </w:tr>
      <w:tr w14:paraId="7383DBFC">
        <w:tblPrEx>
          <w:tblCellMar>
            <w:top w:w="0" w:type="dxa"/>
            <w:left w:w="108" w:type="dxa"/>
            <w:bottom w:w="0" w:type="dxa"/>
            <w:right w:w="108" w:type="dxa"/>
          </w:tblCellMar>
        </w:tblPrEx>
        <w:trPr>
          <w:cantSplit/>
          <w:trHeight w:val="1290" w:hRule="atLeast"/>
        </w:trPr>
        <w:tc>
          <w:tcPr>
            <w:tcW w:w="825" w:type="dxa"/>
            <w:vMerge w:val="continue"/>
            <w:tcBorders>
              <w:top w:val="single" w:color="000000" w:sz="6" w:space="0"/>
              <w:left w:val="single" w:color="000000" w:sz="6" w:space="0"/>
              <w:bottom w:val="single" w:color="000000" w:sz="6" w:space="0"/>
              <w:right w:val="single" w:color="000000" w:sz="6" w:space="0"/>
            </w:tcBorders>
            <w:noWrap w:val="0"/>
            <w:vAlign w:val="center"/>
          </w:tcPr>
          <w:p w14:paraId="6894A521">
            <w:pPr>
              <w:jc w:val="left"/>
              <w:rPr>
                <w:color w:val="000000"/>
                <w:szCs w:val="21"/>
              </w:rPr>
            </w:pPr>
          </w:p>
        </w:tc>
        <w:tc>
          <w:tcPr>
            <w:tcW w:w="1252" w:type="dxa"/>
            <w:tcBorders>
              <w:top w:val="single" w:color="000000" w:sz="6" w:space="0"/>
              <w:left w:val="single" w:color="000000" w:sz="6" w:space="0"/>
              <w:bottom w:val="single" w:color="000000" w:sz="6" w:space="0"/>
              <w:right w:val="single" w:color="000000" w:sz="6" w:space="0"/>
            </w:tcBorders>
            <w:noWrap w:val="0"/>
            <w:vAlign w:val="center"/>
          </w:tcPr>
          <w:p w14:paraId="455BFE11">
            <w:pPr>
              <w:jc w:val="center"/>
              <w:rPr>
                <w:color w:val="000000"/>
                <w:szCs w:val="21"/>
              </w:rPr>
            </w:pPr>
            <w:r>
              <w:rPr>
                <w:color w:val="000000"/>
                <w:szCs w:val="21"/>
              </w:rPr>
              <w:t>噪声</w:t>
            </w:r>
          </w:p>
        </w:tc>
        <w:tc>
          <w:tcPr>
            <w:tcW w:w="1078" w:type="dxa"/>
            <w:tcBorders>
              <w:top w:val="single" w:color="000000" w:sz="6" w:space="0"/>
              <w:left w:val="single" w:color="000000" w:sz="6" w:space="0"/>
              <w:bottom w:val="single" w:color="000000" w:sz="6" w:space="0"/>
              <w:right w:val="single" w:color="000000" w:sz="6" w:space="0"/>
            </w:tcBorders>
            <w:noWrap w:val="0"/>
            <w:vAlign w:val="center"/>
          </w:tcPr>
          <w:p w14:paraId="65D9CE13">
            <w:pPr>
              <w:jc w:val="center"/>
              <w:rPr>
                <w:color w:val="000000"/>
                <w:szCs w:val="21"/>
              </w:rPr>
            </w:pPr>
            <w:r>
              <w:rPr>
                <w:color w:val="000000"/>
                <w:szCs w:val="21"/>
              </w:rPr>
              <w:t>场界四周</w:t>
            </w:r>
          </w:p>
        </w:tc>
        <w:tc>
          <w:tcPr>
            <w:tcW w:w="2125" w:type="dxa"/>
            <w:tcBorders>
              <w:top w:val="single" w:color="000000" w:sz="6" w:space="0"/>
              <w:left w:val="single" w:color="000000" w:sz="6" w:space="0"/>
              <w:bottom w:val="single" w:color="000000" w:sz="6" w:space="0"/>
              <w:right w:val="single" w:color="000000" w:sz="6" w:space="0"/>
            </w:tcBorders>
            <w:noWrap w:val="0"/>
            <w:vAlign w:val="center"/>
          </w:tcPr>
          <w:p w14:paraId="7E4FB532">
            <w:pPr>
              <w:jc w:val="center"/>
              <w:rPr>
                <w:color w:val="000000"/>
                <w:szCs w:val="21"/>
              </w:rPr>
            </w:pPr>
            <w:r>
              <w:rPr>
                <w:color w:val="000000"/>
                <w:szCs w:val="21"/>
              </w:rPr>
              <w:t>等效声级</w:t>
            </w:r>
          </w:p>
        </w:tc>
        <w:tc>
          <w:tcPr>
            <w:tcW w:w="1636" w:type="dxa"/>
            <w:tcBorders>
              <w:top w:val="single" w:color="000000" w:sz="6" w:space="0"/>
              <w:left w:val="single" w:color="000000" w:sz="6" w:space="0"/>
              <w:bottom w:val="single" w:color="000000" w:sz="6" w:space="0"/>
              <w:right w:val="single" w:color="000000" w:sz="6" w:space="0"/>
            </w:tcBorders>
            <w:noWrap w:val="0"/>
            <w:vAlign w:val="center"/>
          </w:tcPr>
          <w:p w14:paraId="6181D7E5">
            <w:pPr>
              <w:jc w:val="center"/>
              <w:rPr>
                <w:color w:val="000000"/>
                <w:szCs w:val="21"/>
              </w:rPr>
            </w:pPr>
            <w:r>
              <w:rPr>
                <w:color w:val="000000"/>
                <w:szCs w:val="21"/>
              </w:rPr>
              <w:t>按环境监测技术规范执行</w:t>
            </w:r>
          </w:p>
        </w:tc>
        <w:tc>
          <w:tcPr>
            <w:tcW w:w="1612" w:type="dxa"/>
            <w:tcBorders>
              <w:top w:val="single" w:color="000000" w:sz="6" w:space="0"/>
              <w:left w:val="single" w:color="000000" w:sz="6" w:space="0"/>
              <w:bottom w:val="single" w:color="000000" w:sz="6" w:space="0"/>
              <w:right w:val="single" w:color="000000" w:sz="6" w:space="0"/>
            </w:tcBorders>
            <w:noWrap w:val="0"/>
            <w:vAlign w:val="center"/>
          </w:tcPr>
          <w:p w14:paraId="1415A866">
            <w:pPr>
              <w:jc w:val="center"/>
              <w:rPr>
                <w:color w:val="000000"/>
                <w:szCs w:val="21"/>
              </w:rPr>
            </w:pPr>
            <w:r>
              <w:rPr>
                <w:color w:val="000000"/>
                <w:szCs w:val="21"/>
              </w:rPr>
              <w:t>委托有资质的单位监测</w:t>
            </w:r>
          </w:p>
        </w:tc>
      </w:tr>
    </w:tbl>
    <w:p w14:paraId="2410482F">
      <w:pPr>
        <w:pStyle w:val="183"/>
        <w:spacing w:line="360" w:lineRule="auto"/>
        <w:ind w:firstLine="472"/>
        <w:rPr>
          <w:rFonts w:eastAsia="仿宋_GB2312"/>
          <w:color w:val="000000"/>
          <w:sz w:val="24"/>
          <w:szCs w:val="24"/>
        </w:rPr>
      </w:pPr>
      <w:r>
        <w:rPr>
          <w:rFonts w:eastAsia="仿宋_GB2312"/>
          <w:color w:val="000000"/>
          <w:sz w:val="24"/>
          <w:szCs w:val="24"/>
        </w:rPr>
        <w:t>13.3.3资料审核及上报</w:t>
      </w:r>
    </w:p>
    <w:p w14:paraId="28859268">
      <w:pPr>
        <w:spacing w:line="360" w:lineRule="auto"/>
        <w:ind w:firstLine="480"/>
        <w:rPr>
          <w:color w:val="000000"/>
          <w:sz w:val="24"/>
        </w:rPr>
      </w:pPr>
      <w:r>
        <w:rPr>
          <w:color w:val="000000"/>
          <w:sz w:val="24"/>
        </w:rPr>
        <w:t>项目每次监测结束后，对监测资料进行分析，每年年底应对当年所有的监测数据资料进行整理和评价，审核后按档案规范编号存档，以备查询。如果监测结果表明，环境参数的监测值超过了既定目标，那么，本项目的环境管理部门应及时研究分析和找出存在问题，并采取措施加以解决。</w:t>
      </w:r>
    </w:p>
    <w:p w14:paraId="202B2EE8">
      <w:pPr>
        <w:pStyle w:val="183"/>
        <w:spacing w:line="360" w:lineRule="auto"/>
        <w:ind w:firstLine="472"/>
        <w:rPr>
          <w:rFonts w:eastAsia="仿宋_GB2312"/>
          <w:color w:val="000000"/>
          <w:sz w:val="24"/>
          <w:szCs w:val="24"/>
        </w:rPr>
      </w:pPr>
      <w:r>
        <w:rPr>
          <w:rFonts w:eastAsia="仿宋_GB2312"/>
          <w:color w:val="000000"/>
          <w:sz w:val="24"/>
          <w:szCs w:val="24"/>
        </w:rPr>
        <w:t>13.3.4 “三同时”竣工验收</w:t>
      </w:r>
    </w:p>
    <w:p w14:paraId="2EDD3A5C">
      <w:pPr>
        <w:spacing w:line="480" w:lineRule="exact"/>
        <w:ind w:firstLine="480"/>
        <w:rPr>
          <w:b/>
          <w:color w:val="000000"/>
          <w:sz w:val="24"/>
        </w:rPr>
      </w:pPr>
      <w:r>
        <w:rPr>
          <w:color w:val="000000"/>
          <w:sz w:val="24"/>
        </w:rPr>
        <w:t>“</w:t>
      </w:r>
      <w:r>
        <w:rPr>
          <w:iCs/>
          <w:color w:val="000000"/>
          <w:sz w:val="24"/>
        </w:rPr>
        <w:t>三同时”制度，即环境工程与主体工程同时设计、同时施工、同时投产。在工程中建设配套环保措施，使工程对环境的不利影响减到最小。本项目的环境保护“三同时”验收一览表见表</w:t>
      </w:r>
      <w:r>
        <w:rPr>
          <w:color w:val="000000"/>
          <w:sz w:val="24"/>
        </w:rPr>
        <w:t>1</w:t>
      </w:r>
      <w:r>
        <w:rPr>
          <w:rFonts w:hint="eastAsia"/>
          <w:color w:val="000000"/>
          <w:sz w:val="24"/>
        </w:rPr>
        <w:t>3</w:t>
      </w:r>
      <w:r>
        <w:rPr>
          <w:color w:val="000000"/>
          <w:sz w:val="24"/>
        </w:rPr>
        <w:t>.</w:t>
      </w:r>
      <w:r>
        <w:rPr>
          <w:rFonts w:hint="eastAsia"/>
          <w:color w:val="000000"/>
          <w:sz w:val="24"/>
        </w:rPr>
        <w:t>3</w:t>
      </w:r>
      <w:r>
        <w:rPr>
          <w:iCs/>
          <w:color w:val="000000"/>
          <w:sz w:val="24"/>
        </w:rPr>
        <w:t>-</w:t>
      </w:r>
      <w:r>
        <w:rPr>
          <w:rFonts w:hint="eastAsia"/>
          <w:iCs/>
          <w:color w:val="000000"/>
          <w:sz w:val="24"/>
        </w:rPr>
        <w:t>3</w:t>
      </w:r>
      <w:r>
        <w:rPr>
          <w:iCs/>
          <w:color w:val="000000"/>
          <w:sz w:val="24"/>
        </w:rPr>
        <w:t>。</w:t>
      </w:r>
    </w:p>
    <w:p w14:paraId="5AB5DD13">
      <w:pPr>
        <w:spacing w:line="360" w:lineRule="auto"/>
        <w:jc w:val="center"/>
        <w:rPr>
          <w:rFonts w:hint="eastAsia"/>
          <w:b/>
          <w:color w:val="000000"/>
          <w:sz w:val="24"/>
        </w:rPr>
      </w:pPr>
      <w:r>
        <w:rPr>
          <w:b/>
          <w:color w:val="000000"/>
          <w:sz w:val="24"/>
        </w:rPr>
        <w:t>表1</w:t>
      </w:r>
      <w:r>
        <w:rPr>
          <w:rFonts w:hint="eastAsia"/>
          <w:b/>
          <w:color w:val="000000"/>
          <w:sz w:val="24"/>
        </w:rPr>
        <w:t>3</w:t>
      </w:r>
      <w:r>
        <w:rPr>
          <w:b/>
          <w:color w:val="000000"/>
          <w:sz w:val="24"/>
        </w:rPr>
        <w:t>.</w:t>
      </w:r>
      <w:r>
        <w:rPr>
          <w:rFonts w:hint="eastAsia"/>
          <w:b/>
          <w:color w:val="000000"/>
          <w:sz w:val="24"/>
        </w:rPr>
        <w:t>3</w:t>
      </w:r>
      <w:r>
        <w:rPr>
          <w:b/>
          <w:color w:val="000000"/>
          <w:sz w:val="24"/>
        </w:rPr>
        <w:t>-</w:t>
      </w:r>
      <w:r>
        <w:rPr>
          <w:rFonts w:hint="eastAsia"/>
          <w:b/>
          <w:color w:val="000000"/>
          <w:sz w:val="24"/>
        </w:rPr>
        <w:t>3</w:t>
      </w:r>
      <w:r>
        <w:rPr>
          <w:b/>
          <w:color w:val="000000"/>
          <w:sz w:val="24"/>
        </w:rPr>
        <w:t xml:space="preserve">  建设项目环境保护“三同时”验收一览表</w:t>
      </w:r>
    </w:p>
    <w:tbl>
      <w:tblPr>
        <w:tblStyle w:val="27"/>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776"/>
        <w:gridCol w:w="1097"/>
        <w:gridCol w:w="4204"/>
        <w:gridCol w:w="2754"/>
      </w:tblGrid>
      <w:tr w14:paraId="069C671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3" w:hRule="atLeast"/>
          <w:jc w:val="center"/>
        </w:trPr>
        <w:tc>
          <w:tcPr>
            <w:tcW w:w="776" w:type="dxa"/>
            <w:noWrap w:val="0"/>
            <w:vAlign w:val="center"/>
          </w:tcPr>
          <w:p w14:paraId="5482415A">
            <w:pPr>
              <w:spacing w:line="360" w:lineRule="exact"/>
              <w:jc w:val="center"/>
              <w:rPr>
                <w:iCs/>
                <w:color w:val="000000"/>
                <w:szCs w:val="21"/>
              </w:rPr>
            </w:pPr>
            <w:r>
              <w:rPr>
                <w:iCs/>
                <w:color w:val="000000"/>
                <w:szCs w:val="21"/>
              </w:rPr>
              <w:t>环境要素</w:t>
            </w:r>
          </w:p>
        </w:tc>
        <w:tc>
          <w:tcPr>
            <w:tcW w:w="1097" w:type="dxa"/>
            <w:noWrap w:val="0"/>
            <w:vAlign w:val="center"/>
          </w:tcPr>
          <w:p w14:paraId="2D7ECD3A">
            <w:pPr>
              <w:spacing w:line="360" w:lineRule="exact"/>
              <w:jc w:val="center"/>
              <w:rPr>
                <w:iCs/>
                <w:color w:val="000000"/>
                <w:szCs w:val="21"/>
              </w:rPr>
            </w:pPr>
            <w:r>
              <w:rPr>
                <w:iCs/>
                <w:color w:val="000000"/>
                <w:szCs w:val="21"/>
              </w:rPr>
              <w:t>污染源</w:t>
            </w:r>
          </w:p>
        </w:tc>
        <w:tc>
          <w:tcPr>
            <w:tcW w:w="4204" w:type="dxa"/>
            <w:noWrap w:val="0"/>
            <w:vAlign w:val="center"/>
          </w:tcPr>
          <w:p w14:paraId="5C7E4F41">
            <w:pPr>
              <w:spacing w:line="360" w:lineRule="exact"/>
              <w:jc w:val="center"/>
              <w:rPr>
                <w:iCs/>
                <w:color w:val="000000"/>
                <w:szCs w:val="21"/>
              </w:rPr>
            </w:pPr>
            <w:r>
              <w:rPr>
                <w:iCs/>
                <w:color w:val="000000"/>
                <w:szCs w:val="21"/>
              </w:rPr>
              <w:t>环保设施、措施</w:t>
            </w:r>
          </w:p>
        </w:tc>
        <w:tc>
          <w:tcPr>
            <w:tcW w:w="2754" w:type="dxa"/>
            <w:noWrap w:val="0"/>
            <w:vAlign w:val="center"/>
          </w:tcPr>
          <w:p w14:paraId="37737ECD">
            <w:pPr>
              <w:spacing w:line="360" w:lineRule="exact"/>
              <w:rPr>
                <w:iCs/>
                <w:color w:val="000000"/>
                <w:szCs w:val="21"/>
              </w:rPr>
            </w:pPr>
            <w:r>
              <w:rPr>
                <w:iCs/>
                <w:color w:val="000000"/>
                <w:szCs w:val="21"/>
              </w:rPr>
              <w:t>验收要求</w:t>
            </w:r>
          </w:p>
        </w:tc>
      </w:tr>
      <w:tr w14:paraId="0505F2B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0" w:hRule="atLeast"/>
          <w:jc w:val="center"/>
        </w:trPr>
        <w:tc>
          <w:tcPr>
            <w:tcW w:w="776" w:type="dxa"/>
            <w:vMerge w:val="restart"/>
            <w:noWrap w:val="0"/>
            <w:vAlign w:val="center"/>
          </w:tcPr>
          <w:p w14:paraId="4B233CE5">
            <w:pPr>
              <w:spacing w:line="360" w:lineRule="exact"/>
              <w:jc w:val="center"/>
              <w:rPr>
                <w:iCs/>
                <w:color w:val="000000"/>
                <w:szCs w:val="21"/>
              </w:rPr>
            </w:pPr>
            <w:r>
              <w:rPr>
                <w:iCs/>
                <w:color w:val="000000"/>
                <w:szCs w:val="21"/>
              </w:rPr>
              <w:t>水环境</w:t>
            </w:r>
          </w:p>
        </w:tc>
        <w:tc>
          <w:tcPr>
            <w:tcW w:w="1097" w:type="dxa"/>
            <w:vMerge w:val="restart"/>
            <w:noWrap w:val="0"/>
            <w:vAlign w:val="center"/>
          </w:tcPr>
          <w:p w14:paraId="04F11E09">
            <w:pPr>
              <w:spacing w:line="360" w:lineRule="exact"/>
              <w:jc w:val="center"/>
              <w:rPr>
                <w:iCs/>
                <w:color w:val="000000"/>
                <w:szCs w:val="21"/>
              </w:rPr>
            </w:pPr>
            <w:r>
              <w:rPr>
                <w:iCs/>
                <w:color w:val="000000"/>
                <w:szCs w:val="21"/>
              </w:rPr>
              <w:t>废水</w:t>
            </w:r>
          </w:p>
        </w:tc>
        <w:tc>
          <w:tcPr>
            <w:tcW w:w="4204" w:type="dxa"/>
            <w:noWrap w:val="0"/>
            <w:vAlign w:val="top"/>
          </w:tcPr>
          <w:p w14:paraId="7D8CAE68">
            <w:pPr>
              <w:spacing w:before="20" w:after="20" w:line="300" w:lineRule="exact"/>
              <w:jc w:val="left"/>
              <w:rPr>
                <w:rFonts w:hint="eastAsia"/>
                <w:color w:val="000000"/>
                <w:szCs w:val="21"/>
              </w:rPr>
            </w:pPr>
            <w:r>
              <w:rPr>
                <w:rFonts w:hint="eastAsia"/>
                <w:color w:val="000000"/>
                <w:szCs w:val="21"/>
              </w:rPr>
              <w:t>污</w:t>
            </w:r>
            <w:r>
              <w:rPr>
                <w:color w:val="000000"/>
                <w:szCs w:val="21"/>
              </w:rPr>
              <w:t>水处理站</w:t>
            </w:r>
            <w:r>
              <w:rPr>
                <w:rFonts w:hint="eastAsia"/>
                <w:color w:val="000000"/>
                <w:szCs w:val="21"/>
              </w:rPr>
              <w:t>（北侧）</w:t>
            </w:r>
          </w:p>
        </w:tc>
        <w:tc>
          <w:tcPr>
            <w:tcW w:w="2754" w:type="dxa"/>
            <w:noWrap w:val="0"/>
            <w:vAlign w:val="center"/>
          </w:tcPr>
          <w:p w14:paraId="243D21D4">
            <w:pPr>
              <w:spacing w:line="360" w:lineRule="exact"/>
              <w:rPr>
                <w:iCs/>
                <w:color w:val="000000"/>
                <w:szCs w:val="21"/>
              </w:rPr>
            </w:pPr>
            <w:r>
              <w:rPr>
                <w:color w:val="000000"/>
                <w:szCs w:val="21"/>
              </w:rPr>
              <w:t>处理规模</w:t>
            </w:r>
            <w:r>
              <w:rPr>
                <w:rFonts w:hint="eastAsia"/>
                <w:color w:val="000000"/>
                <w:szCs w:val="21"/>
              </w:rPr>
              <w:t>120</w:t>
            </w:r>
            <w:r>
              <w:rPr>
                <w:color w:val="000000"/>
                <w:szCs w:val="21"/>
              </w:rPr>
              <w:t>m³/d</w:t>
            </w:r>
            <w:r>
              <w:rPr>
                <w:iCs/>
                <w:color w:val="000000"/>
                <w:szCs w:val="21"/>
              </w:rPr>
              <w:t xml:space="preserve"> </w:t>
            </w:r>
          </w:p>
        </w:tc>
      </w:tr>
      <w:tr w14:paraId="64AF8EE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0" w:hRule="atLeast"/>
          <w:jc w:val="center"/>
        </w:trPr>
        <w:tc>
          <w:tcPr>
            <w:tcW w:w="776" w:type="dxa"/>
            <w:vMerge w:val="continue"/>
            <w:noWrap w:val="0"/>
            <w:vAlign w:val="center"/>
          </w:tcPr>
          <w:p w14:paraId="0D4A83EC">
            <w:pPr>
              <w:spacing w:line="360" w:lineRule="exact"/>
              <w:jc w:val="center"/>
              <w:rPr>
                <w:iCs/>
                <w:color w:val="000000"/>
                <w:szCs w:val="21"/>
              </w:rPr>
            </w:pPr>
          </w:p>
        </w:tc>
        <w:tc>
          <w:tcPr>
            <w:tcW w:w="1097" w:type="dxa"/>
            <w:vMerge w:val="continue"/>
            <w:noWrap w:val="0"/>
            <w:vAlign w:val="center"/>
          </w:tcPr>
          <w:p w14:paraId="7279CED2">
            <w:pPr>
              <w:spacing w:line="360" w:lineRule="exact"/>
              <w:jc w:val="center"/>
              <w:rPr>
                <w:iCs/>
                <w:color w:val="000000"/>
                <w:szCs w:val="21"/>
              </w:rPr>
            </w:pPr>
          </w:p>
        </w:tc>
        <w:tc>
          <w:tcPr>
            <w:tcW w:w="4204" w:type="dxa"/>
            <w:noWrap w:val="0"/>
            <w:vAlign w:val="top"/>
          </w:tcPr>
          <w:p w14:paraId="391CFA14">
            <w:pPr>
              <w:spacing w:before="20" w:after="20" w:line="300" w:lineRule="exact"/>
              <w:jc w:val="left"/>
              <w:rPr>
                <w:rFonts w:hint="eastAsia"/>
                <w:color w:val="000000"/>
                <w:szCs w:val="21"/>
              </w:rPr>
            </w:pPr>
            <w:r>
              <w:rPr>
                <w:color w:val="000000"/>
                <w:szCs w:val="21"/>
              </w:rPr>
              <w:t>事故应急池</w:t>
            </w:r>
          </w:p>
        </w:tc>
        <w:tc>
          <w:tcPr>
            <w:tcW w:w="2754" w:type="dxa"/>
            <w:noWrap w:val="0"/>
            <w:vAlign w:val="center"/>
          </w:tcPr>
          <w:p w14:paraId="322B73C7">
            <w:pPr>
              <w:spacing w:line="360" w:lineRule="exact"/>
              <w:rPr>
                <w:iCs/>
                <w:color w:val="000000"/>
                <w:szCs w:val="21"/>
              </w:rPr>
            </w:pPr>
            <w:r>
              <w:rPr>
                <w:color w:val="000000"/>
                <w:szCs w:val="21"/>
              </w:rPr>
              <w:t>容积不小于</w:t>
            </w:r>
            <w:r>
              <w:rPr>
                <w:rFonts w:hint="eastAsia"/>
                <w:color w:val="000000"/>
                <w:szCs w:val="21"/>
              </w:rPr>
              <w:t>110</w:t>
            </w:r>
            <w:r>
              <w:rPr>
                <w:color w:val="000000"/>
                <w:szCs w:val="21"/>
              </w:rPr>
              <w:t xml:space="preserve"> m³</w:t>
            </w:r>
          </w:p>
        </w:tc>
      </w:tr>
      <w:tr w14:paraId="010CB72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20" w:hRule="atLeast"/>
          <w:jc w:val="center"/>
        </w:trPr>
        <w:tc>
          <w:tcPr>
            <w:tcW w:w="776" w:type="dxa"/>
            <w:vMerge w:val="continue"/>
            <w:noWrap w:val="0"/>
            <w:vAlign w:val="center"/>
          </w:tcPr>
          <w:p w14:paraId="426A7A01">
            <w:pPr>
              <w:spacing w:line="360" w:lineRule="exact"/>
              <w:jc w:val="center"/>
              <w:rPr>
                <w:iCs/>
                <w:color w:val="000000"/>
                <w:szCs w:val="21"/>
              </w:rPr>
            </w:pPr>
          </w:p>
        </w:tc>
        <w:tc>
          <w:tcPr>
            <w:tcW w:w="1097" w:type="dxa"/>
            <w:vMerge w:val="continue"/>
            <w:noWrap w:val="0"/>
            <w:vAlign w:val="center"/>
          </w:tcPr>
          <w:p w14:paraId="60BF02D1">
            <w:pPr>
              <w:spacing w:line="360" w:lineRule="exact"/>
              <w:jc w:val="center"/>
              <w:rPr>
                <w:iCs/>
                <w:color w:val="000000"/>
                <w:szCs w:val="21"/>
              </w:rPr>
            </w:pPr>
          </w:p>
        </w:tc>
        <w:tc>
          <w:tcPr>
            <w:tcW w:w="4204" w:type="dxa"/>
            <w:noWrap w:val="0"/>
            <w:vAlign w:val="top"/>
          </w:tcPr>
          <w:p w14:paraId="1778101A">
            <w:pPr>
              <w:spacing w:before="20" w:after="20" w:line="300" w:lineRule="exact"/>
              <w:jc w:val="left"/>
              <w:rPr>
                <w:color w:val="000000"/>
                <w:szCs w:val="21"/>
              </w:rPr>
            </w:pPr>
            <w:r>
              <w:rPr>
                <w:color w:val="000000"/>
                <w:szCs w:val="21"/>
              </w:rPr>
              <w:t>食堂废水隔油池</w:t>
            </w:r>
          </w:p>
        </w:tc>
        <w:tc>
          <w:tcPr>
            <w:tcW w:w="2754" w:type="dxa"/>
            <w:noWrap w:val="0"/>
            <w:vAlign w:val="top"/>
          </w:tcPr>
          <w:p w14:paraId="4CEFB773">
            <w:pPr>
              <w:spacing w:before="20" w:after="20" w:line="300" w:lineRule="exact"/>
              <w:jc w:val="left"/>
              <w:rPr>
                <w:color w:val="000000"/>
                <w:szCs w:val="21"/>
              </w:rPr>
            </w:pPr>
            <w:r>
              <w:rPr>
                <w:color w:val="000000"/>
                <w:szCs w:val="21"/>
              </w:rPr>
              <w:t>容积不小于</w:t>
            </w:r>
            <w:r>
              <w:rPr>
                <w:rFonts w:hint="eastAsia"/>
                <w:color w:val="000000"/>
                <w:szCs w:val="21"/>
              </w:rPr>
              <w:t>0.9</w:t>
            </w:r>
            <w:r>
              <w:rPr>
                <w:color w:val="000000"/>
                <w:szCs w:val="21"/>
              </w:rPr>
              <w:t>m</w:t>
            </w:r>
            <w:r>
              <w:rPr>
                <w:color w:val="000000"/>
                <w:szCs w:val="21"/>
                <w:vertAlign w:val="superscript"/>
              </w:rPr>
              <w:t>3</w:t>
            </w:r>
          </w:p>
        </w:tc>
      </w:tr>
      <w:tr w14:paraId="6FEB279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20" w:hRule="atLeast"/>
          <w:jc w:val="center"/>
        </w:trPr>
        <w:tc>
          <w:tcPr>
            <w:tcW w:w="776" w:type="dxa"/>
            <w:vMerge w:val="continue"/>
            <w:noWrap w:val="0"/>
            <w:vAlign w:val="center"/>
          </w:tcPr>
          <w:p w14:paraId="792610B6">
            <w:pPr>
              <w:spacing w:line="360" w:lineRule="exact"/>
              <w:jc w:val="center"/>
              <w:rPr>
                <w:iCs/>
                <w:color w:val="000000"/>
                <w:szCs w:val="21"/>
              </w:rPr>
            </w:pPr>
          </w:p>
        </w:tc>
        <w:tc>
          <w:tcPr>
            <w:tcW w:w="1097" w:type="dxa"/>
            <w:vMerge w:val="continue"/>
            <w:noWrap w:val="0"/>
            <w:vAlign w:val="center"/>
          </w:tcPr>
          <w:p w14:paraId="71523888">
            <w:pPr>
              <w:spacing w:line="360" w:lineRule="exact"/>
              <w:jc w:val="center"/>
              <w:rPr>
                <w:iCs/>
                <w:color w:val="000000"/>
                <w:szCs w:val="21"/>
              </w:rPr>
            </w:pPr>
          </w:p>
        </w:tc>
        <w:tc>
          <w:tcPr>
            <w:tcW w:w="4204" w:type="dxa"/>
            <w:noWrap w:val="0"/>
            <w:vAlign w:val="top"/>
          </w:tcPr>
          <w:p w14:paraId="59A79215">
            <w:pPr>
              <w:spacing w:before="20" w:after="20" w:line="300" w:lineRule="exact"/>
              <w:jc w:val="left"/>
              <w:rPr>
                <w:rFonts w:hint="eastAsia"/>
                <w:color w:val="000000"/>
                <w:szCs w:val="21"/>
              </w:rPr>
            </w:pPr>
            <w:r>
              <w:rPr>
                <w:rFonts w:hint="eastAsia" w:ascii="宋体" w:hAnsi="宋体" w:cs="宋体"/>
                <w:color w:val="000000"/>
                <w:szCs w:val="21"/>
              </w:rPr>
              <w:t>在线监测仪器</w:t>
            </w:r>
            <w:r>
              <w:rPr>
                <w:rFonts w:hint="eastAsia"/>
                <w:color w:val="000000"/>
              </w:rPr>
              <w:t>：</w:t>
            </w:r>
            <w:r>
              <w:rPr>
                <w:color w:val="000000"/>
              </w:rPr>
              <w:t>医院排放污水余氯自动监测系统包括采水排水单元、过滤装置、余氯自动监测仪器、系统控制（含数据采集与传输装置）及远程监控软件组成</w:t>
            </w:r>
          </w:p>
        </w:tc>
        <w:tc>
          <w:tcPr>
            <w:tcW w:w="2754" w:type="dxa"/>
            <w:noWrap w:val="0"/>
            <w:vAlign w:val="top"/>
          </w:tcPr>
          <w:p w14:paraId="44383C7A">
            <w:pPr>
              <w:spacing w:before="20" w:after="20" w:line="300" w:lineRule="exact"/>
              <w:jc w:val="left"/>
              <w:rPr>
                <w:rFonts w:hint="eastAsia"/>
                <w:color w:val="000000"/>
                <w:szCs w:val="21"/>
              </w:rPr>
            </w:pPr>
            <w:r>
              <w:rPr>
                <w:rFonts w:hint="eastAsia"/>
                <w:color w:val="000000"/>
                <w:szCs w:val="21"/>
              </w:rPr>
              <w:t>安装在线监测</w:t>
            </w:r>
          </w:p>
        </w:tc>
      </w:tr>
      <w:tr w14:paraId="1469A02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20" w:hRule="atLeast"/>
          <w:jc w:val="center"/>
        </w:trPr>
        <w:tc>
          <w:tcPr>
            <w:tcW w:w="776" w:type="dxa"/>
            <w:vMerge w:val="continue"/>
            <w:noWrap w:val="0"/>
            <w:vAlign w:val="center"/>
          </w:tcPr>
          <w:p w14:paraId="313BBD16">
            <w:pPr>
              <w:spacing w:line="360" w:lineRule="exact"/>
              <w:jc w:val="center"/>
              <w:rPr>
                <w:iCs/>
                <w:color w:val="000000"/>
                <w:szCs w:val="21"/>
              </w:rPr>
            </w:pPr>
          </w:p>
        </w:tc>
        <w:tc>
          <w:tcPr>
            <w:tcW w:w="1097" w:type="dxa"/>
            <w:vMerge w:val="continue"/>
            <w:noWrap w:val="0"/>
            <w:vAlign w:val="center"/>
          </w:tcPr>
          <w:p w14:paraId="40BF6EDB">
            <w:pPr>
              <w:spacing w:line="360" w:lineRule="exact"/>
              <w:jc w:val="center"/>
              <w:rPr>
                <w:iCs/>
                <w:color w:val="000000"/>
                <w:szCs w:val="21"/>
              </w:rPr>
            </w:pPr>
          </w:p>
        </w:tc>
        <w:tc>
          <w:tcPr>
            <w:tcW w:w="4204" w:type="dxa"/>
            <w:noWrap w:val="0"/>
            <w:vAlign w:val="top"/>
          </w:tcPr>
          <w:p w14:paraId="4B3BD0A3">
            <w:pPr>
              <w:spacing w:before="20" w:after="20" w:line="300" w:lineRule="exact"/>
              <w:jc w:val="left"/>
              <w:rPr>
                <w:rFonts w:hint="eastAsia" w:ascii="宋体" w:hAnsi="宋体"/>
                <w:color w:val="000000"/>
                <w:szCs w:val="21"/>
              </w:rPr>
            </w:pPr>
            <w:r>
              <w:rPr>
                <w:rFonts w:hint="eastAsia" w:ascii="宋体" w:hAnsi="宋体"/>
                <w:color w:val="000000"/>
                <w:szCs w:val="21"/>
              </w:rPr>
              <w:t>化粪池</w:t>
            </w:r>
          </w:p>
        </w:tc>
        <w:tc>
          <w:tcPr>
            <w:tcW w:w="2754" w:type="dxa"/>
            <w:noWrap w:val="0"/>
            <w:vAlign w:val="top"/>
          </w:tcPr>
          <w:p w14:paraId="70872B65">
            <w:pPr>
              <w:spacing w:before="20" w:after="20" w:line="300" w:lineRule="exact"/>
              <w:jc w:val="left"/>
              <w:rPr>
                <w:rFonts w:ascii="宋体" w:hAnsi="宋体"/>
                <w:color w:val="000000"/>
                <w:szCs w:val="21"/>
              </w:rPr>
            </w:pPr>
            <w:r>
              <w:rPr>
                <w:rFonts w:hint="eastAsia" w:ascii="宋体" w:hAnsi="宋体"/>
                <w:color w:val="000000"/>
                <w:szCs w:val="21"/>
              </w:rPr>
              <w:t>4座总</w:t>
            </w:r>
            <w:r>
              <w:rPr>
                <w:rFonts w:ascii="宋体" w:hAnsi="宋体"/>
                <w:color w:val="000000"/>
                <w:szCs w:val="21"/>
              </w:rPr>
              <w:t>容积不小于</w:t>
            </w:r>
            <w:r>
              <w:rPr>
                <w:rFonts w:hint="eastAsia" w:ascii="宋体" w:hAnsi="宋体"/>
                <w:color w:val="000000"/>
                <w:szCs w:val="21"/>
              </w:rPr>
              <w:t>140</w:t>
            </w:r>
            <w:r>
              <w:rPr>
                <w:color w:val="000000"/>
                <w:szCs w:val="21"/>
              </w:rPr>
              <w:t>m</w:t>
            </w:r>
            <w:r>
              <w:rPr>
                <w:color w:val="000000"/>
                <w:szCs w:val="21"/>
                <w:vertAlign w:val="superscript"/>
              </w:rPr>
              <w:t>3</w:t>
            </w:r>
          </w:p>
        </w:tc>
      </w:tr>
      <w:tr w14:paraId="0F8EBB4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15" w:hRule="atLeast"/>
          <w:jc w:val="center"/>
        </w:trPr>
        <w:tc>
          <w:tcPr>
            <w:tcW w:w="776" w:type="dxa"/>
            <w:vMerge w:val="continue"/>
            <w:noWrap w:val="0"/>
            <w:vAlign w:val="center"/>
          </w:tcPr>
          <w:p w14:paraId="451B9FD8">
            <w:pPr>
              <w:spacing w:line="360" w:lineRule="exact"/>
              <w:jc w:val="center"/>
              <w:rPr>
                <w:iCs/>
                <w:color w:val="000000"/>
                <w:szCs w:val="21"/>
              </w:rPr>
            </w:pPr>
          </w:p>
        </w:tc>
        <w:tc>
          <w:tcPr>
            <w:tcW w:w="1097" w:type="dxa"/>
            <w:vMerge w:val="continue"/>
            <w:noWrap w:val="0"/>
            <w:vAlign w:val="center"/>
          </w:tcPr>
          <w:p w14:paraId="25E393C9">
            <w:pPr>
              <w:spacing w:line="360" w:lineRule="exact"/>
              <w:jc w:val="center"/>
              <w:rPr>
                <w:iCs/>
                <w:color w:val="000000"/>
                <w:szCs w:val="21"/>
              </w:rPr>
            </w:pPr>
          </w:p>
        </w:tc>
        <w:tc>
          <w:tcPr>
            <w:tcW w:w="4204" w:type="dxa"/>
            <w:noWrap w:val="0"/>
            <w:vAlign w:val="top"/>
          </w:tcPr>
          <w:p w14:paraId="1C76A699">
            <w:pPr>
              <w:spacing w:before="20" w:after="20" w:line="300" w:lineRule="exact"/>
              <w:jc w:val="left"/>
              <w:rPr>
                <w:rFonts w:hint="eastAsia"/>
                <w:color w:val="000000"/>
                <w:szCs w:val="21"/>
              </w:rPr>
            </w:pPr>
            <w:r>
              <w:rPr>
                <w:rFonts w:hint="eastAsia"/>
                <w:color w:val="000000"/>
                <w:szCs w:val="21"/>
              </w:rPr>
              <w:t>检验科废水收集单独容器</w:t>
            </w:r>
          </w:p>
        </w:tc>
        <w:tc>
          <w:tcPr>
            <w:tcW w:w="2754" w:type="dxa"/>
            <w:noWrap w:val="0"/>
            <w:vAlign w:val="top"/>
          </w:tcPr>
          <w:p w14:paraId="71DA90C4">
            <w:pPr>
              <w:spacing w:before="20" w:after="20" w:line="300" w:lineRule="exact"/>
              <w:jc w:val="left"/>
              <w:rPr>
                <w:color w:val="000000"/>
                <w:szCs w:val="21"/>
              </w:rPr>
            </w:pPr>
            <w:r>
              <w:rPr>
                <w:color w:val="000000"/>
                <w:szCs w:val="21"/>
              </w:rPr>
              <w:t>容积不小于</w:t>
            </w:r>
            <w:r>
              <w:rPr>
                <w:rFonts w:hint="eastAsia"/>
                <w:color w:val="000000"/>
                <w:szCs w:val="21"/>
              </w:rPr>
              <w:t>1</w:t>
            </w:r>
            <w:r>
              <w:rPr>
                <w:color w:val="000000"/>
                <w:szCs w:val="21"/>
              </w:rPr>
              <w:t>m</w:t>
            </w:r>
            <w:r>
              <w:rPr>
                <w:color w:val="000000"/>
                <w:szCs w:val="21"/>
                <w:vertAlign w:val="superscript"/>
              </w:rPr>
              <w:t>3</w:t>
            </w:r>
          </w:p>
        </w:tc>
      </w:tr>
      <w:tr w14:paraId="26DA325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15" w:hRule="atLeast"/>
          <w:jc w:val="center"/>
        </w:trPr>
        <w:tc>
          <w:tcPr>
            <w:tcW w:w="776" w:type="dxa"/>
            <w:vMerge w:val="continue"/>
            <w:noWrap w:val="0"/>
            <w:vAlign w:val="center"/>
          </w:tcPr>
          <w:p w14:paraId="0E30AF16">
            <w:pPr>
              <w:spacing w:line="360" w:lineRule="exact"/>
              <w:jc w:val="center"/>
              <w:rPr>
                <w:iCs/>
                <w:color w:val="000000"/>
                <w:szCs w:val="21"/>
              </w:rPr>
            </w:pPr>
          </w:p>
        </w:tc>
        <w:tc>
          <w:tcPr>
            <w:tcW w:w="1097" w:type="dxa"/>
            <w:vMerge w:val="continue"/>
            <w:noWrap w:val="0"/>
            <w:vAlign w:val="center"/>
          </w:tcPr>
          <w:p w14:paraId="057B6500">
            <w:pPr>
              <w:spacing w:line="360" w:lineRule="exact"/>
              <w:jc w:val="center"/>
              <w:rPr>
                <w:iCs/>
                <w:color w:val="000000"/>
                <w:szCs w:val="21"/>
              </w:rPr>
            </w:pPr>
          </w:p>
        </w:tc>
        <w:tc>
          <w:tcPr>
            <w:tcW w:w="4204" w:type="dxa"/>
            <w:noWrap w:val="0"/>
            <w:vAlign w:val="top"/>
          </w:tcPr>
          <w:p w14:paraId="783FABD9">
            <w:pPr>
              <w:spacing w:before="20" w:after="20" w:line="300" w:lineRule="exact"/>
              <w:jc w:val="left"/>
              <w:rPr>
                <w:rFonts w:hint="eastAsia"/>
                <w:color w:val="000000"/>
                <w:szCs w:val="21"/>
              </w:rPr>
            </w:pPr>
            <w:r>
              <w:rPr>
                <w:color w:val="000000"/>
                <w:szCs w:val="21"/>
              </w:rPr>
              <w:t>二氧化氯发生器周围均设置环形收集管沟，并接通事故水池</w:t>
            </w:r>
          </w:p>
        </w:tc>
        <w:tc>
          <w:tcPr>
            <w:tcW w:w="2754" w:type="dxa"/>
            <w:noWrap w:val="0"/>
            <w:vAlign w:val="top"/>
          </w:tcPr>
          <w:p w14:paraId="05CD945D">
            <w:pPr>
              <w:spacing w:before="20" w:after="20" w:line="300" w:lineRule="exact"/>
              <w:jc w:val="left"/>
              <w:rPr>
                <w:color w:val="000000"/>
                <w:szCs w:val="21"/>
              </w:rPr>
            </w:pPr>
            <w:r>
              <w:rPr>
                <w:color w:val="000000"/>
                <w:szCs w:val="21"/>
              </w:rPr>
              <w:t>是否落实</w:t>
            </w:r>
          </w:p>
        </w:tc>
      </w:tr>
      <w:tr w14:paraId="22AB813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7" w:hRule="atLeast"/>
          <w:jc w:val="center"/>
        </w:trPr>
        <w:tc>
          <w:tcPr>
            <w:tcW w:w="776" w:type="dxa"/>
            <w:vMerge w:val="restart"/>
            <w:noWrap w:val="0"/>
            <w:vAlign w:val="center"/>
          </w:tcPr>
          <w:p w14:paraId="03B109F1">
            <w:pPr>
              <w:spacing w:line="360" w:lineRule="exact"/>
              <w:jc w:val="center"/>
              <w:rPr>
                <w:iCs/>
                <w:color w:val="000000"/>
                <w:szCs w:val="21"/>
              </w:rPr>
            </w:pPr>
            <w:r>
              <w:rPr>
                <w:iCs/>
                <w:color w:val="000000"/>
                <w:szCs w:val="21"/>
              </w:rPr>
              <w:t>大气环境</w:t>
            </w:r>
          </w:p>
        </w:tc>
        <w:tc>
          <w:tcPr>
            <w:tcW w:w="1097" w:type="dxa"/>
            <w:vMerge w:val="restart"/>
            <w:noWrap w:val="0"/>
            <w:vAlign w:val="center"/>
          </w:tcPr>
          <w:p w14:paraId="2E739558">
            <w:pPr>
              <w:spacing w:line="360" w:lineRule="exact"/>
              <w:jc w:val="center"/>
              <w:rPr>
                <w:iCs/>
                <w:color w:val="000000"/>
                <w:szCs w:val="21"/>
              </w:rPr>
            </w:pPr>
            <w:r>
              <w:rPr>
                <w:iCs/>
                <w:color w:val="000000"/>
                <w:szCs w:val="21"/>
              </w:rPr>
              <w:t>废气</w:t>
            </w:r>
          </w:p>
        </w:tc>
        <w:tc>
          <w:tcPr>
            <w:tcW w:w="4204" w:type="dxa"/>
            <w:noWrap w:val="0"/>
            <w:vAlign w:val="top"/>
          </w:tcPr>
          <w:p w14:paraId="5F70119A">
            <w:pPr>
              <w:spacing w:line="300" w:lineRule="exact"/>
              <w:rPr>
                <w:rFonts w:hint="eastAsia"/>
                <w:color w:val="000000"/>
                <w:szCs w:val="21"/>
              </w:rPr>
            </w:pPr>
            <w:r>
              <w:rPr>
                <w:color w:val="000000"/>
                <w:szCs w:val="21"/>
              </w:rPr>
              <w:t>厨房灶具安装</w:t>
            </w:r>
            <w:r>
              <w:rPr>
                <w:rFonts w:hint="eastAsia"/>
                <w:color w:val="000000"/>
                <w:szCs w:val="21"/>
              </w:rPr>
              <w:t>1</w:t>
            </w:r>
            <w:r>
              <w:rPr>
                <w:color w:val="000000"/>
                <w:szCs w:val="21"/>
              </w:rPr>
              <w:t>套集气罩及油烟净化器</w:t>
            </w:r>
          </w:p>
        </w:tc>
        <w:tc>
          <w:tcPr>
            <w:tcW w:w="2754" w:type="dxa"/>
            <w:noWrap w:val="0"/>
            <w:vAlign w:val="center"/>
          </w:tcPr>
          <w:p w14:paraId="73F41CB0">
            <w:pPr>
              <w:spacing w:line="360" w:lineRule="exact"/>
              <w:rPr>
                <w:iCs/>
                <w:color w:val="000000"/>
                <w:szCs w:val="21"/>
              </w:rPr>
            </w:pPr>
            <w:r>
              <w:rPr>
                <w:color w:val="000000"/>
                <w:szCs w:val="21"/>
              </w:rPr>
              <w:t>是否落实</w:t>
            </w:r>
          </w:p>
        </w:tc>
      </w:tr>
      <w:tr w14:paraId="43AED5D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00" w:hRule="atLeast"/>
          <w:jc w:val="center"/>
        </w:trPr>
        <w:tc>
          <w:tcPr>
            <w:tcW w:w="776" w:type="dxa"/>
            <w:vMerge w:val="continue"/>
            <w:noWrap w:val="0"/>
            <w:vAlign w:val="center"/>
          </w:tcPr>
          <w:p w14:paraId="496E2641">
            <w:pPr>
              <w:spacing w:line="360" w:lineRule="exact"/>
              <w:jc w:val="center"/>
              <w:rPr>
                <w:iCs/>
                <w:color w:val="000000"/>
                <w:szCs w:val="21"/>
              </w:rPr>
            </w:pPr>
          </w:p>
        </w:tc>
        <w:tc>
          <w:tcPr>
            <w:tcW w:w="1097" w:type="dxa"/>
            <w:vMerge w:val="continue"/>
            <w:noWrap w:val="0"/>
            <w:vAlign w:val="center"/>
          </w:tcPr>
          <w:p w14:paraId="5620CC69">
            <w:pPr>
              <w:spacing w:line="360" w:lineRule="exact"/>
              <w:jc w:val="center"/>
              <w:rPr>
                <w:iCs/>
                <w:color w:val="000000"/>
                <w:szCs w:val="21"/>
              </w:rPr>
            </w:pPr>
          </w:p>
        </w:tc>
        <w:tc>
          <w:tcPr>
            <w:tcW w:w="4204" w:type="dxa"/>
            <w:noWrap w:val="0"/>
            <w:vAlign w:val="top"/>
          </w:tcPr>
          <w:p w14:paraId="6F222B75">
            <w:pPr>
              <w:spacing w:line="300" w:lineRule="exact"/>
              <w:rPr>
                <w:rFonts w:hint="eastAsia"/>
                <w:color w:val="000000"/>
                <w:szCs w:val="21"/>
              </w:rPr>
            </w:pPr>
            <w:r>
              <w:rPr>
                <w:color w:val="000000"/>
                <w:szCs w:val="21"/>
              </w:rPr>
              <w:t>食堂设置</w:t>
            </w:r>
            <w:r>
              <w:rPr>
                <w:rFonts w:hint="eastAsia"/>
                <w:color w:val="000000"/>
                <w:szCs w:val="21"/>
              </w:rPr>
              <w:t>专用</w:t>
            </w:r>
            <w:r>
              <w:rPr>
                <w:color w:val="000000"/>
                <w:szCs w:val="21"/>
              </w:rPr>
              <w:t>油烟排放烟道</w:t>
            </w:r>
          </w:p>
        </w:tc>
        <w:tc>
          <w:tcPr>
            <w:tcW w:w="2754" w:type="dxa"/>
            <w:noWrap w:val="0"/>
            <w:vAlign w:val="center"/>
          </w:tcPr>
          <w:p w14:paraId="41AFD0D9">
            <w:pPr>
              <w:spacing w:line="360" w:lineRule="exact"/>
              <w:rPr>
                <w:color w:val="000000"/>
                <w:szCs w:val="21"/>
              </w:rPr>
            </w:pPr>
            <w:r>
              <w:rPr>
                <w:color w:val="000000"/>
                <w:szCs w:val="21"/>
              </w:rPr>
              <w:t>是否落实，高度须符合</w:t>
            </w:r>
          </w:p>
        </w:tc>
      </w:tr>
      <w:tr w14:paraId="0665201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00" w:hRule="atLeast"/>
          <w:jc w:val="center"/>
        </w:trPr>
        <w:tc>
          <w:tcPr>
            <w:tcW w:w="776" w:type="dxa"/>
            <w:vMerge w:val="continue"/>
            <w:noWrap w:val="0"/>
            <w:vAlign w:val="center"/>
          </w:tcPr>
          <w:p w14:paraId="27F53E64">
            <w:pPr>
              <w:spacing w:line="360" w:lineRule="exact"/>
              <w:jc w:val="center"/>
              <w:rPr>
                <w:iCs/>
                <w:color w:val="000000"/>
                <w:szCs w:val="21"/>
              </w:rPr>
            </w:pPr>
          </w:p>
        </w:tc>
        <w:tc>
          <w:tcPr>
            <w:tcW w:w="1097" w:type="dxa"/>
            <w:vMerge w:val="continue"/>
            <w:noWrap w:val="0"/>
            <w:vAlign w:val="center"/>
          </w:tcPr>
          <w:p w14:paraId="51FE7B81">
            <w:pPr>
              <w:spacing w:line="360" w:lineRule="exact"/>
              <w:jc w:val="center"/>
              <w:rPr>
                <w:iCs/>
                <w:color w:val="000000"/>
                <w:szCs w:val="21"/>
              </w:rPr>
            </w:pPr>
          </w:p>
        </w:tc>
        <w:tc>
          <w:tcPr>
            <w:tcW w:w="4204" w:type="dxa"/>
            <w:noWrap w:val="0"/>
            <w:vAlign w:val="top"/>
          </w:tcPr>
          <w:p w14:paraId="0DCE5516">
            <w:pPr>
              <w:spacing w:line="300" w:lineRule="exact"/>
              <w:rPr>
                <w:rFonts w:hint="eastAsia"/>
                <w:color w:val="000000"/>
                <w:szCs w:val="21"/>
              </w:rPr>
            </w:pPr>
            <w:r>
              <w:rPr>
                <w:color w:val="000000"/>
                <w:szCs w:val="21"/>
              </w:rPr>
              <w:t>污水处理站各处理水池设于地下，</w:t>
            </w:r>
            <w:r>
              <w:rPr>
                <w:rFonts w:hint="eastAsia"/>
                <w:color w:val="000000"/>
                <w:szCs w:val="21"/>
              </w:rPr>
              <w:t>采用有组织排放</w:t>
            </w:r>
          </w:p>
        </w:tc>
        <w:tc>
          <w:tcPr>
            <w:tcW w:w="2754" w:type="dxa"/>
            <w:noWrap w:val="0"/>
            <w:vAlign w:val="center"/>
          </w:tcPr>
          <w:p w14:paraId="21D08486">
            <w:pPr>
              <w:spacing w:line="360" w:lineRule="exact"/>
              <w:rPr>
                <w:color w:val="000000"/>
                <w:szCs w:val="21"/>
              </w:rPr>
            </w:pPr>
            <w:r>
              <w:rPr>
                <w:color w:val="000000"/>
                <w:szCs w:val="21"/>
              </w:rPr>
              <w:t>是否落实</w:t>
            </w:r>
          </w:p>
        </w:tc>
      </w:tr>
      <w:tr w14:paraId="4F4DF25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25" w:hRule="atLeast"/>
          <w:jc w:val="center"/>
        </w:trPr>
        <w:tc>
          <w:tcPr>
            <w:tcW w:w="776" w:type="dxa"/>
            <w:vMerge w:val="continue"/>
            <w:noWrap w:val="0"/>
            <w:vAlign w:val="center"/>
          </w:tcPr>
          <w:p w14:paraId="23542FA4">
            <w:pPr>
              <w:spacing w:line="360" w:lineRule="exact"/>
              <w:jc w:val="center"/>
              <w:rPr>
                <w:iCs/>
                <w:color w:val="000000"/>
                <w:szCs w:val="21"/>
              </w:rPr>
            </w:pPr>
          </w:p>
        </w:tc>
        <w:tc>
          <w:tcPr>
            <w:tcW w:w="1097" w:type="dxa"/>
            <w:vMerge w:val="continue"/>
            <w:noWrap w:val="0"/>
            <w:vAlign w:val="center"/>
          </w:tcPr>
          <w:p w14:paraId="0D0DBB8E">
            <w:pPr>
              <w:spacing w:line="360" w:lineRule="exact"/>
              <w:jc w:val="center"/>
              <w:rPr>
                <w:iCs/>
                <w:color w:val="000000"/>
                <w:szCs w:val="21"/>
              </w:rPr>
            </w:pPr>
          </w:p>
        </w:tc>
        <w:tc>
          <w:tcPr>
            <w:tcW w:w="4204" w:type="dxa"/>
            <w:noWrap w:val="0"/>
            <w:vAlign w:val="top"/>
          </w:tcPr>
          <w:p w14:paraId="16E378F1">
            <w:pPr>
              <w:spacing w:line="300" w:lineRule="exact"/>
              <w:rPr>
                <w:rFonts w:hint="eastAsia"/>
                <w:color w:val="000000"/>
                <w:szCs w:val="21"/>
              </w:rPr>
            </w:pPr>
            <w:r>
              <w:rPr>
                <w:rFonts w:hint="eastAsia"/>
                <w:color w:val="000000"/>
                <w:szCs w:val="21"/>
              </w:rPr>
              <w:t>污水处理系统产生的废气增加一过滤装置（臭氧消毒除臭法+活性炭吸附法），保证外排废气中病菌和细菌指标达标</w:t>
            </w:r>
          </w:p>
        </w:tc>
        <w:tc>
          <w:tcPr>
            <w:tcW w:w="2754" w:type="dxa"/>
            <w:noWrap w:val="0"/>
            <w:vAlign w:val="center"/>
          </w:tcPr>
          <w:p w14:paraId="6E2DF433">
            <w:pPr>
              <w:spacing w:line="360" w:lineRule="exact"/>
              <w:rPr>
                <w:color w:val="000000"/>
                <w:szCs w:val="21"/>
              </w:rPr>
            </w:pPr>
            <w:r>
              <w:rPr>
                <w:color w:val="000000"/>
                <w:szCs w:val="21"/>
              </w:rPr>
              <w:t>是否落实</w:t>
            </w:r>
          </w:p>
        </w:tc>
      </w:tr>
      <w:tr w14:paraId="7AC597D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0" w:hRule="atLeast"/>
          <w:jc w:val="center"/>
        </w:trPr>
        <w:tc>
          <w:tcPr>
            <w:tcW w:w="776" w:type="dxa"/>
            <w:vMerge w:val="restart"/>
            <w:noWrap w:val="0"/>
            <w:vAlign w:val="center"/>
          </w:tcPr>
          <w:p w14:paraId="63CF72A3">
            <w:pPr>
              <w:spacing w:line="360" w:lineRule="exact"/>
              <w:jc w:val="center"/>
              <w:rPr>
                <w:iCs/>
                <w:color w:val="000000"/>
                <w:szCs w:val="21"/>
              </w:rPr>
            </w:pPr>
            <w:r>
              <w:rPr>
                <w:iCs/>
                <w:color w:val="000000"/>
                <w:szCs w:val="21"/>
              </w:rPr>
              <w:t>固体</w:t>
            </w:r>
          </w:p>
          <w:p w14:paraId="7E4B6347">
            <w:pPr>
              <w:spacing w:line="360" w:lineRule="exact"/>
              <w:jc w:val="center"/>
              <w:rPr>
                <w:iCs/>
                <w:color w:val="000000"/>
                <w:szCs w:val="21"/>
              </w:rPr>
            </w:pPr>
            <w:r>
              <w:rPr>
                <w:iCs/>
                <w:color w:val="000000"/>
                <w:szCs w:val="21"/>
              </w:rPr>
              <w:t>废弃物</w:t>
            </w:r>
          </w:p>
        </w:tc>
        <w:tc>
          <w:tcPr>
            <w:tcW w:w="1097" w:type="dxa"/>
            <w:noWrap w:val="0"/>
            <w:vAlign w:val="center"/>
          </w:tcPr>
          <w:p w14:paraId="11837E1A">
            <w:pPr>
              <w:spacing w:line="360" w:lineRule="exact"/>
              <w:jc w:val="center"/>
              <w:rPr>
                <w:iCs/>
                <w:color w:val="000000"/>
                <w:szCs w:val="21"/>
              </w:rPr>
            </w:pPr>
            <w:r>
              <w:rPr>
                <w:iCs/>
                <w:color w:val="000000"/>
                <w:szCs w:val="21"/>
              </w:rPr>
              <w:t>医疗固废</w:t>
            </w:r>
          </w:p>
        </w:tc>
        <w:tc>
          <w:tcPr>
            <w:tcW w:w="4204" w:type="dxa"/>
            <w:noWrap w:val="0"/>
            <w:vAlign w:val="top"/>
          </w:tcPr>
          <w:p w14:paraId="6E61AEC2">
            <w:pPr>
              <w:spacing w:before="20" w:after="20" w:line="300" w:lineRule="exact"/>
              <w:jc w:val="left"/>
              <w:rPr>
                <w:rFonts w:hint="eastAsia"/>
                <w:color w:val="000000"/>
                <w:szCs w:val="21"/>
              </w:rPr>
            </w:pPr>
            <w:r>
              <w:rPr>
                <w:color w:val="000000"/>
                <w:szCs w:val="21"/>
              </w:rPr>
              <w:t>医疗固废暂存间</w:t>
            </w:r>
            <w:r>
              <w:rPr>
                <w:rFonts w:hint="eastAsia"/>
                <w:color w:val="000000"/>
                <w:szCs w:val="21"/>
              </w:rPr>
              <w:t>（西侧）</w:t>
            </w:r>
          </w:p>
        </w:tc>
        <w:tc>
          <w:tcPr>
            <w:tcW w:w="2754" w:type="dxa"/>
            <w:noWrap w:val="0"/>
            <w:vAlign w:val="center"/>
          </w:tcPr>
          <w:p w14:paraId="41B0A788">
            <w:pPr>
              <w:spacing w:line="360" w:lineRule="exact"/>
              <w:rPr>
                <w:iCs/>
                <w:color w:val="000000"/>
                <w:szCs w:val="21"/>
              </w:rPr>
            </w:pPr>
            <w:r>
              <w:rPr>
                <w:color w:val="000000"/>
                <w:szCs w:val="21"/>
              </w:rPr>
              <w:t>建筑面积不低于</w:t>
            </w:r>
            <w:r>
              <w:rPr>
                <w:rFonts w:hint="eastAsia"/>
                <w:color w:val="000000"/>
                <w:szCs w:val="21"/>
              </w:rPr>
              <w:t>60</w:t>
            </w:r>
            <w:r>
              <w:rPr>
                <w:color w:val="000000"/>
                <w:szCs w:val="21"/>
              </w:rPr>
              <w:t>m</w:t>
            </w:r>
            <w:r>
              <w:rPr>
                <w:color w:val="000000"/>
                <w:szCs w:val="21"/>
                <w:vertAlign w:val="superscript"/>
              </w:rPr>
              <w:t>2</w:t>
            </w:r>
            <w:r>
              <w:rPr>
                <w:color w:val="000000"/>
                <w:szCs w:val="21"/>
              </w:rPr>
              <w:t>，是否设立明显标志牌</w:t>
            </w:r>
          </w:p>
        </w:tc>
      </w:tr>
      <w:tr w14:paraId="271DB7F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9" w:hRule="atLeast"/>
          <w:jc w:val="center"/>
        </w:trPr>
        <w:tc>
          <w:tcPr>
            <w:tcW w:w="776" w:type="dxa"/>
            <w:vMerge w:val="continue"/>
            <w:noWrap w:val="0"/>
            <w:vAlign w:val="center"/>
          </w:tcPr>
          <w:p w14:paraId="191B1B8F">
            <w:pPr>
              <w:spacing w:line="360" w:lineRule="exact"/>
              <w:jc w:val="center"/>
              <w:rPr>
                <w:iCs/>
                <w:color w:val="000000"/>
                <w:szCs w:val="21"/>
              </w:rPr>
            </w:pPr>
          </w:p>
        </w:tc>
        <w:tc>
          <w:tcPr>
            <w:tcW w:w="1097" w:type="dxa"/>
            <w:noWrap w:val="0"/>
            <w:vAlign w:val="center"/>
          </w:tcPr>
          <w:p w14:paraId="04F34FD7">
            <w:pPr>
              <w:spacing w:line="360" w:lineRule="exact"/>
              <w:jc w:val="center"/>
              <w:rPr>
                <w:color w:val="000000"/>
                <w:szCs w:val="21"/>
              </w:rPr>
            </w:pPr>
            <w:r>
              <w:rPr>
                <w:color w:val="000000"/>
                <w:szCs w:val="21"/>
              </w:rPr>
              <w:t>生活固废</w:t>
            </w:r>
          </w:p>
        </w:tc>
        <w:tc>
          <w:tcPr>
            <w:tcW w:w="4204" w:type="dxa"/>
            <w:noWrap w:val="0"/>
            <w:vAlign w:val="top"/>
          </w:tcPr>
          <w:p w14:paraId="0FDBA762">
            <w:pPr>
              <w:spacing w:before="20" w:after="20" w:line="300" w:lineRule="exact"/>
              <w:jc w:val="left"/>
              <w:rPr>
                <w:rFonts w:hint="eastAsia"/>
                <w:color w:val="000000"/>
                <w:szCs w:val="21"/>
              </w:rPr>
            </w:pPr>
            <w:r>
              <w:rPr>
                <w:color w:val="000000"/>
                <w:szCs w:val="21"/>
              </w:rPr>
              <w:t>生活垃圾</w:t>
            </w:r>
            <w:r>
              <w:rPr>
                <w:rFonts w:hint="eastAsia"/>
                <w:color w:val="000000"/>
                <w:szCs w:val="21"/>
              </w:rPr>
              <w:t>箱桶（若干）</w:t>
            </w:r>
          </w:p>
        </w:tc>
        <w:tc>
          <w:tcPr>
            <w:tcW w:w="2754" w:type="dxa"/>
            <w:noWrap w:val="0"/>
            <w:vAlign w:val="center"/>
          </w:tcPr>
          <w:p w14:paraId="05DBC9A6">
            <w:pPr>
              <w:spacing w:line="360" w:lineRule="exact"/>
              <w:rPr>
                <w:color w:val="000000"/>
                <w:szCs w:val="21"/>
              </w:rPr>
            </w:pPr>
            <w:r>
              <w:rPr>
                <w:color w:val="000000"/>
                <w:szCs w:val="21"/>
              </w:rPr>
              <w:t>落实情况</w:t>
            </w:r>
          </w:p>
        </w:tc>
      </w:tr>
      <w:tr w14:paraId="63F4446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31" w:hRule="atLeast"/>
          <w:jc w:val="center"/>
        </w:trPr>
        <w:tc>
          <w:tcPr>
            <w:tcW w:w="776" w:type="dxa"/>
            <w:vMerge w:val="restart"/>
            <w:noWrap w:val="0"/>
            <w:vAlign w:val="center"/>
          </w:tcPr>
          <w:p w14:paraId="148ED938">
            <w:pPr>
              <w:spacing w:line="360" w:lineRule="exact"/>
              <w:jc w:val="center"/>
              <w:rPr>
                <w:iCs/>
                <w:color w:val="000000"/>
                <w:szCs w:val="21"/>
              </w:rPr>
            </w:pPr>
            <w:r>
              <w:rPr>
                <w:iCs/>
                <w:color w:val="000000"/>
                <w:szCs w:val="21"/>
              </w:rPr>
              <w:t>声环境</w:t>
            </w:r>
          </w:p>
        </w:tc>
        <w:tc>
          <w:tcPr>
            <w:tcW w:w="1097" w:type="dxa"/>
            <w:vMerge w:val="restart"/>
            <w:noWrap w:val="0"/>
            <w:vAlign w:val="center"/>
          </w:tcPr>
          <w:p w14:paraId="5ACBA819">
            <w:pPr>
              <w:spacing w:line="360" w:lineRule="exact"/>
              <w:jc w:val="center"/>
              <w:rPr>
                <w:iCs/>
                <w:color w:val="000000"/>
                <w:szCs w:val="21"/>
              </w:rPr>
            </w:pPr>
            <w:r>
              <w:rPr>
                <w:iCs/>
                <w:color w:val="000000"/>
                <w:szCs w:val="21"/>
              </w:rPr>
              <w:t>噪声</w:t>
            </w:r>
          </w:p>
        </w:tc>
        <w:tc>
          <w:tcPr>
            <w:tcW w:w="4204" w:type="dxa"/>
            <w:noWrap w:val="0"/>
            <w:vAlign w:val="top"/>
          </w:tcPr>
          <w:p w14:paraId="03F85698">
            <w:pPr>
              <w:spacing w:before="20" w:after="20" w:line="300" w:lineRule="exact"/>
              <w:rPr>
                <w:rFonts w:hint="eastAsia"/>
                <w:color w:val="000000"/>
                <w:szCs w:val="21"/>
              </w:rPr>
            </w:pPr>
            <w:r>
              <w:rPr>
                <w:color w:val="000000"/>
                <w:szCs w:val="21"/>
              </w:rPr>
              <w:t>柴油发电机、污泥脱水机、水泵、</w:t>
            </w:r>
            <w:r>
              <w:rPr>
                <w:rFonts w:hint="eastAsia"/>
                <w:color w:val="000000"/>
                <w:szCs w:val="21"/>
              </w:rPr>
              <w:t>洗衣机、</w:t>
            </w:r>
            <w:r>
              <w:rPr>
                <w:color w:val="000000"/>
                <w:szCs w:val="21"/>
              </w:rPr>
              <w:t>电梯发动机都设置于单独的设备房内，墙体采用二四砖墙，并加装隔声材料</w:t>
            </w:r>
          </w:p>
        </w:tc>
        <w:tc>
          <w:tcPr>
            <w:tcW w:w="2754" w:type="dxa"/>
            <w:vMerge w:val="restart"/>
            <w:noWrap w:val="0"/>
            <w:vAlign w:val="center"/>
          </w:tcPr>
          <w:p w14:paraId="58123C77">
            <w:pPr>
              <w:spacing w:line="360" w:lineRule="exact"/>
              <w:rPr>
                <w:rFonts w:hint="eastAsia"/>
                <w:iCs/>
                <w:color w:val="000000"/>
                <w:szCs w:val="21"/>
              </w:rPr>
            </w:pPr>
            <w:r>
              <w:rPr>
                <w:iCs/>
                <w:color w:val="000000"/>
                <w:szCs w:val="21"/>
              </w:rPr>
              <w:t>厂界噪声满足《工业企业厂界环境噪声排放标准》（GB12348-2008）2类</w:t>
            </w:r>
            <w:r>
              <w:rPr>
                <w:rFonts w:hint="eastAsia"/>
                <w:iCs/>
                <w:color w:val="000000"/>
                <w:szCs w:val="21"/>
              </w:rPr>
              <w:t>和4类标准</w:t>
            </w:r>
          </w:p>
        </w:tc>
      </w:tr>
      <w:tr w14:paraId="6E24C99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86" w:hRule="atLeast"/>
          <w:jc w:val="center"/>
        </w:trPr>
        <w:tc>
          <w:tcPr>
            <w:tcW w:w="776" w:type="dxa"/>
            <w:vMerge w:val="continue"/>
            <w:noWrap w:val="0"/>
            <w:vAlign w:val="center"/>
          </w:tcPr>
          <w:p w14:paraId="02313911">
            <w:pPr>
              <w:spacing w:line="360" w:lineRule="exact"/>
              <w:jc w:val="center"/>
              <w:rPr>
                <w:iCs/>
                <w:color w:val="000000"/>
                <w:szCs w:val="21"/>
              </w:rPr>
            </w:pPr>
          </w:p>
        </w:tc>
        <w:tc>
          <w:tcPr>
            <w:tcW w:w="1097" w:type="dxa"/>
            <w:vMerge w:val="continue"/>
            <w:noWrap w:val="0"/>
            <w:vAlign w:val="center"/>
          </w:tcPr>
          <w:p w14:paraId="1876DECB">
            <w:pPr>
              <w:spacing w:line="360" w:lineRule="exact"/>
              <w:jc w:val="center"/>
              <w:rPr>
                <w:iCs/>
                <w:color w:val="000000"/>
                <w:szCs w:val="21"/>
              </w:rPr>
            </w:pPr>
          </w:p>
        </w:tc>
        <w:tc>
          <w:tcPr>
            <w:tcW w:w="4204" w:type="dxa"/>
            <w:noWrap w:val="0"/>
            <w:vAlign w:val="top"/>
          </w:tcPr>
          <w:p w14:paraId="16B87BF8">
            <w:pPr>
              <w:spacing w:line="300" w:lineRule="exact"/>
              <w:rPr>
                <w:rFonts w:hint="eastAsia"/>
                <w:color w:val="000000"/>
                <w:szCs w:val="21"/>
              </w:rPr>
            </w:pPr>
            <w:r>
              <w:rPr>
                <w:color w:val="000000"/>
                <w:szCs w:val="21"/>
              </w:rPr>
              <w:t>污泥脱水机加装减震座</w:t>
            </w:r>
          </w:p>
        </w:tc>
        <w:tc>
          <w:tcPr>
            <w:tcW w:w="2754" w:type="dxa"/>
            <w:vMerge w:val="continue"/>
            <w:noWrap w:val="0"/>
            <w:vAlign w:val="center"/>
          </w:tcPr>
          <w:p w14:paraId="07DE9BA8">
            <w:pPr>
              <w:spacing w:line="360" w:lineRule="exact"/>
              <w:rPr>
                <w:iCs/>
                <w:color w:val="000000"/>
                <w:szCs w:val="21"/>
              </w:rPr>
            </w:pPr>
          </w:p>
        </w:tc>
      </w:tr>
      <w:tr w14:paraId="7D6CDBC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86" w:hRule="atLeast"/>
          <w:jc w:val="center"/>
        </w:trPr>
        <w:tc>
          <w:tcPr>
            <w:tcW w:w="776" w:type="dxa"/>
            <w:vMerge w:val="continue"/>
            <w:noWrap w:val="0"/>
            <w:vAlign w:val="center"/>
          </w:tcPr>
          <w:p w14:paraId="1E0AF02A">
            <w:pPr>
              <w:spacing w:line="360" w:lineRule="exact"/>
              <w:jc w:val="center"/>
              <w:rPr>
                <w:iCs/>
                <w:color w:val="000000"/>
                <w:szCs w:val="21"/>
              </w:rPr>
            </w:pPr>
          </w:p>
        </w:tc>
        <w:tc>
          <w:tcPr>
            <w:tcW w:w="1097" w:type="dxa"/>
            <w:vMerge w:val="continue"/>
            <w:noWrap w:val="0"/>
            <w:vAlign w:val="center"/>
          </w:tcPr>
          <w:p w14:paraId="2A56CFE1">
            <w:pPr>
              <w:spacing w:line="360" w:lineRule="exact"/>
              <w:jc w:val="center"/>
              <w:rPr>
                <w:iCs/>
                <w:color w:val="000000"/>
                <w:szCs w:val="21"/>
              </w:rPr>
            </w:pPr>
          </w:p>
        </w:tc>
        <w:tc>
          <w:tcPr>
            <w:tcW w:w="4204" w:type="dxa"/>
            <w:noWrap w:val="0"/>
            <w:vAlign w:val="top"/>
          </w:tcPr>
          <w:p w14:paraId="04060FC8">
            <w:pPr>
              <w:spacing w:line="300" w:lineRule="exact"/>
              <w:rPr>
                <w:rFonts w:hint="eastAsia"/>
                <w:color w:val="000000"/>
                <w:szCs w:val="21"/>
              </w:rPr>
            </w:pPr>
            <w:r>
              <w:rPr>
                <w:color w:val="000000"/>
                <w:szCs w:val="21"/>
              </w:rPr>
              <w:t>水泵进出口设金属软管接头</w:t>
            </w:r>
          </w:p>
        </w:tc>
        <w:tc>
          <w:tcPr>
            <w:tcW w:w="2754" w:type="dxa"/>
            <w:vMerge w:val="continue"/>
            <w:noWrap w:val="0"/>
            <w:vAlign w:val="center"/>
          </w:tcPr>
          <w:p w14:paraId="43F516D1">
            <w:pPr>
              <w:spacing w:line="360" w:lineRule="exact"/>
              <w:rPr>
                <w:iCs/>
                <w:color w:val="000000"/>
                <w:szCs w:val="21"/>
              </w:rPr>
            </w:pPr>
          </w:p>
        </w:tc>
      </w:tr>
      <w:tr w14:paraId="0B257C4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97" w:hRule="atLeast"/>
          <w:jc w:val="center"/>
        </w:trPr>
        <w:tc>
          <w:tcPr>
            <w:tcW w:w="776" w:type="dxa"/>
            <w:vMerge w:val="continue"/>
            <w:noWrap w:val="0"/>
            <w:vAlign w:val="center"/>
          </w:tcPr>
          <w:p w14:paraId="147AC75B">
            <w:pPr>
              <w:spacing w:line="360" w:lineRule="exact"/>
              <w:jc w:val="center"/>
              <w:rPr>
                <w:iCs/>
                <w:color w:val="000000"/>
                <w:szCs w:val="21"/>
              </w:rPr>
            </w:pPr>
          </w:p>
        </w:tc>
        <w:tc>
          <w:tcPr>
            <w:tcW w:w="1097" w:type="dxa"/>
            <w:vMerge w:val="continue"/>
            <w:noWrap w:val="0"/>
            <w:vAlign w:val="center"/>
          </w:tcPr>
          <w:p w14:paraId="417459CA">
            <w:pPr>
              <w:spacing w:line="360" w:lineRule="exact"/>
              <w:jc w:val="center"/>
              <w:rPr>
                <w:iCs/>
                <w:color w:val="000000"/>
                <w:szCs w:val="21"/>
              </w:rPr>
            </w:pPr>
          </w:p>
        </w:tc>
        <w:tc>
          <w:tcPr>
            <w:tcW w:w="4204" w:type="dxa"/>
            <w:noWrap w:val="0"/>
            <w:vAlign w:val="top"/>
          </w:tcPr>
          <w:p w14:paraId="52BD9DA6">
            <w:pPr>
              <w:spacing w:line="280" w:lineRule="exact"/>
              <w:rPr>
                <w:rFonts w:hint="eastAsia"/>
                <w:color w:val="000000"/>
                <w:szCs w:val="21"/>
              </w:rPr>
            </w:pPr>
            <w:r>
              <w:rPr>
                <w:color w:val="000000"/>
                <w:szCs w:val="21"/>
              </w:rPr>
              <w:t>立柜式、吊装式空调、通风设备及部分风管、水管吊架采用隔振吊架</w:t>
            </w:r>
          </w:p>
        </w:tc>
        <w:tc>
          <w:tcPr>
            <w:tcW w:w="2754" w:type="dxa"/>
            <w:vMerge w:val="continue"/>
            <w:noWrap w:val="0"/>
            <w:vAlign w:val="center"/>
          </w:tcPr>
          <w:p w14:paraId="2EDC1A73">
            <w:pPr>
              <w:spacing w:line="360" w:lineRule="exact"/>
              <w:rPr>
                <w:iCs/>
                <w:color w:val="000000"/>
                <w:szCs w:val="21"/>
              </w:rPr>
            </w:pPr>
          </w:p>
        </w:tc>
      </w:tr>
    </w:tbl>
    <w:p w14:paraId="4FEDD255">
      <w:pPr>
        <w:spacing w:line="360" w:lineRule="auto"/>
        <w:rPr>
          <w:rFonts w:hint="eastAsia"/>
          <w:b/>
          <w:color w:val="000000"/>
          <w:sz w:val="24"/>
        </w:rPr>
      </w:pPr>
    </w:p>
    <w:p w14:paraId="010139FC">
      <w:pPr>
        <w:pStyle w:val="181"/>
        <w:rPr>
          <w:rFonts w:eastAsia="仿宋_GB2312"/>
          <w:color w:val="000000"/>
          <w:sz w:val="30"/>
          <w:szCs w:val="30"/>
        </w:rPr>
      </w:pPr>
      <w:r>
        <w:rPr>
          <w:rFonts w:eastAsia="仿宋_GB2312"/>
          <w:color w:val="000000"/>
          <w:sz w:val="30"/>
          <w:szCs w:val="30"/>
        </w:rPr>
        <w:br w:type="page" w:clear="all"/>
      </w:r>
      <w:r>
        <w:rPr>
          <w:rFonts w:eastAsia="仿宋_GB2312"/>
          <w:color w:val="000000"/>
          <w:sz w:val="30"/>
          <w:szCs w:val="30"/>
        </w:rPr>
        <w:t>14、结论</w:t>
      </w:r>
    </w:p>
    <w:p w14:paraId="0464750A">
      <w:pPr>
        <w:pStyle w:val="182"/>
        <w:ind w:firstLine="275"/>
        <w:rPr>
          <w:rFonts w:ascii="Times New Roman" w:hAnsi="Times New Roman" w:eastAsia="仿宋_GB2312" w:cs="Times New Roman"/>
          <w:color w:val="000000"/>
          <w:sz w:val="28"/>
          <w:szCs w:val="28"/>
        </w:rPr>
      </w:pPr>
      <w:r>
        <w:rPr>
          <w:rFonts w:ascii="Times New Roman" w:hAnsi="Times New Roman" w:eastAsia="仿宋_GB2312" w:cs="Times New Roman"/>
          <w:color w:val="000000"/>
          <w:sz w:val="28"/>
          <w:szCs w:val="28"/>
        </w:rPr>
        <w:t>14.1评价区域的环境质量现状</w:t>
      </w:r>
    </w:p>
    <w:p w14:paraId="644C1586">
      <w:pPr>
        <w:spacing w:line="360" w:lineRule="auto"/>
        <w:ind w:firstLine="480"/>
        <w:rPr>
          <w:rFonts w:hint="eastAsia"/>
          <w:color w:val="000000"/>
          <w:sz w:val="24"/>
        </w:rPr>
      </w:pPr>
      <w:r>
        <w:rPr>
          <w:color w:val="000000"/>
          <w:sz w:val="24"/>
        </w:rPr>
        <w:t>（1）项目排放的废水经化粪池、污水处理站处理达到《医疗机构水污染物排放标准》（GB18466-2005）中的预处理标准后，排入市政污水管网进入</w:t>
      </w:r>
      <w:r>
        <w:rPr>
          <w:rFonts w:hint="eastAsia"/>
          <w:color w:val="000000"/>
          <w:sz w:val="24"/>
        </w:rPr>
        <w:t>芒市</w:t>
      </w:r>
      <w:r>
        <w:rPr>
          <w:color w:val="000000"/>
          <w:sz w:val="24"/>
        </w:rPr>
        <w:t>污水处理厂处理。</w:t>
      </w:r>
    </w:p>
    <w:p w14:paraId="08E35E42">
      <w:pPr>
        <w:spacing w:line="360" w:lineRule="auto"/>
        <w:ind w:firstLine="480"/>
        <w:rPr>
          <w:color w:val="000000"/>
          <w:sz w:val="24"/>
        </w:rPr>
      </w:pPr>
      <w:r>
        <w:rPr>
          <w:color w:val="000000"/>
          <w:sz w:val="24"/>
        </w:rPr>
        <w:t>项目最终的排污水体为</w:t>
      </w:r>
      <w:r>
        <w:rPr>
          <w:rFonts w:hint="eastAsia"/>
          <w:color w:val="000000"/>
          <w:sz w:val="24"/>
        </w:rPr>
        <w:t>芒市</w:t>
      </w:r>
      <w:r>
        <w:rPr>
          <w:color w:val="000000"/>
          <w:sz w:val="24"/>
        </w:rPr>
        <w:t>河，根据《云南省地表水环境功能区划》（2010-2020），项目排污水体所在区域属于</w:t>
      </w:r>
      <w:r>
        <w:rPr>
          <w:rFonts w:hint="eastAsia"/>
          <w:color w:val="000000"/>
          <w:sz w:val="24"/>
        </w:rPr>
        <w:t>芒市大河（木康--入瑞丽江口之间），水环境质量执行</w:t>
      </w:r>
      <w:r>
        <w:rPr>
          <w:color w:val="000000"/>
          <w:sz w:val="24"/>
        </w:rPr>
        <w:t>GB3838-2002《地表水环境质量标准》</w:t>
      </w:r>
      <w:r>
        <w:rPr>
          <w:rFonts w:hint="eastAsia"/>
          <w:color w:val="000000"/>
          <w:sz w:val="24"/>
        </w:rPr>
        <w:t>Ⅲ</w:t>
      </w:r>
      <w:r>
        <w:rPr>
          <w:color w:val="000000"/>
          <w:sz w:val="24"/>
        </w:rPr>
        <w:t>类</w:t>
      </w:r>
      <w:r>
        <w:rPr>
          <w:rFonts w:hint="eastAsia"/>
          <w:color w:val="000000"/>
          <w:sz w:val="24"/>
        </w:rPr>
        <w:t>标准。</w:t>
      </w:r>
      <w:r>
        <w:rPr>
          <w:color w:val="000000"/>
          <w:sz w:val="24"/>
        </w:rPr>
        <w:t>项目的水环境质量现状</w:t>
      </w:r>
      <w:r>
        <w:rPr>
          <w:rFonts w:hint="eastAsia"/>
          <w:color w:val="000000"/>
          <w:sz w:val="24"/>
        </w:rPr>
        <w:t>引用云南坤发环境科技有限公司</w:t>
      </w:r>
      <w:r>
        <w:rPr>
          <w:color w:val="000000"/>
          <w:sz w:val="24"/>
        </w:rPr>
        <w:t>于201</w:t>
      </w:r>
      <w:r>
        <w:rPr>
          <w:rFonts w:hint="eastAsia"/>
          <w:color w:val="000000"/>
          <w:sz w:val="24"/>
        </w:rPr>
        <w:t>7</w:t>
      </w:r>
      <w:r>
        <w:rPr>
          <w:color w:val="000000"/>
          <w:sz w:val="24"/>
        </w:rPr>
        <w:t>年</w:t>
      </w:r>
      <w:r>
        <w:rPr>
          <w:rFonts w:hint="eastAsia"/>
          <w:color w:val="000000"/>
          <w:sz w:val="24"/>
        </w:rPr>
        <w:t>9</w:t>
      </w:r>
      <w:r>
        <w:rPr>
          <w:color w:val="000000"/>
          <w:sz w:val="24"/>
        </w:rPr>
        <w:t>月</w:t>
      </w:r>
      <w:r>
        <w:rPr>
          <w:rFonts w:hint="eastAsia"/>
          <w:color w:val="000000"/>
          <w:sz w:val="24"/>
        </w:rPr>
        <w:t>1</w:t>
      </w:r>
      <w:r>
        <w:rPr>
          <w:color w:val="000000"/>
          <w:sz w:val="24"/>
        </w:rPr>
        <w:t>7日-</w:t>
      </w:r>
      <w:r>
        <w:rPr>
          <w:rFonts w:hint="eastAsia"/>
          <w:color w:val="000000"/>
          <w:sz w:val="24"/>
        </w:rPr>
        <w:t>18</w:t>
      </w:r>
      <w:r>
        <w:rPr>
          <w:color w:val="000000"/>
          <w:sz w:val="24"/>
        </w:rPr>
        <w:t>日对本项目西</w:t>
      </w:r>
      <w:r>
        <w:rPr>
          <w:rFonts w:hint="eastAsia"/>
          <w:color w:val="000000"/>
          <w:sz w:val="24"/>
        </w:rPr>
        <w:t>北</w:t>
      </w:r>
      <w:r>
        <w:rPr>
          <w:color w:val="000000"/>
          <w:sz w:val="24"/>
        </w:rPr>
        <w:t>面</w:t>
      </w:r>
      <w:r>
        <w:rPr>
          <w:rFonts w:hint="eastAsia"/>
          <w:color w:val="000000"/>
          <w:sz w:val="24"/>
        </w:rPr>
        <w:t>约2.1km</w:t>
      </w:r>
      <w:r>
        <w:rPr>
          <w:color w:val="000000"/>
          <w:sz w:val="24"/>
        </w:rPr>
        <w:t>的</w:t>
      </w:r>
      <w:r>
        <w:rPr>
          <w:rFonts w:hint="eastAsia"/>
          <w:color w:val="000000"/>
          <w:sz w:val="24"/>
        </w:rPr>
        <w:t>芒市大河水环境质量现状</w:t>
      </w:r>
      <w:r>
        <w:rPr>
          <w:color w:val="000000"/>
          <w:sz w:val="24"/>
        </w:rPr>
        <w:t>状监测结果。</w:t>
      </w:r>
    </w:p>
    <w:p w14:paraId="70235232">
      <w:pPr>
        <w:spacing w:line="360" w:lineRule="auto"/>
        <w:ind w:firstLine="480"/>
        <w:rPr>
          <w:color w:val="000000"/>
          <w:sz w:val="24"/>
        </w:rPr>
      </w:pPr>
      <w:r>
        <w:rPr>
          <w:color w:val="000000"/>
          <w:sz w:val="24"/>
        </w:rPr>
        <w:t>根据</w:t>
      </w:r>
      <w:r>
        <w:rPr>
          <w:rFonts w:hint="eastAsia"/>
          <w:color w:val="000000"/>
          <w:sz w:val="24"/>
        </w:rPr>
        <w:t>监测结果</w:t>
      </w:r>
      <w:r>
        <w:rPr>
          <w:color w:val="000000"/>
          <w:sz w:val="24"/>
        </w:rPr>
        <w:t>可知，</w:t>
      </w:r>
      <w:r>
        <w:rPr>
          <w:rFonts w:hint="eastAsia"/>
          <w:color w:val="000000"/>
          <w:sz w:val="24"/>
        </w:rPr>
        <w:t>芒市大河</w:t>
      </w:r>
      <w:r>
        <w:rPr>
          <w:color w:val="000000"/>
          <w:sz w:val="24"/>
        </w:rPr>
        <w:t>各监测指标均能够达到《地表水环境质量标准》（GB3838-2002）Ⅲ类标准。</w:t>
      </w:r>
    </w:p>
    <w:p w14:paraId="41BF05BA">
      <w:pPr>
        <w:spacing w:line="360" w:lineRule="auto"/>
        <w:ind w:firstLine="480"/>
        <w:rPr>
          <w:color w:val="000000"/>
          <w:sz w:val="24"/>
        </w:rPr>
      </w:pPr>
      <w:r>
        <w:rPr>
          <w:rFonts w:hint="eastAsia"/>
          <w:color w:val="000000"/>
          <w:sz w:val="24"/>
        </w:rPr>
        <w:t>（2）本项目环境空气质量现状，引用德宏州环境监测站于2013年12月16日-12月18日在德宏州环境监测站设的一个监测点位监测结果来进行评价。</w:t>
      </w:r>
    </w:p>
    <w:p w14:paraId="0A238EEB">
      <w:pPr>
        <w:spacing w:line="360" w:lineRule="auto"/>
        <w:ind w:firstLine="480"/>
        <w:rPr>
          <w:rFonts w:hint="eastAsia"/>
          <w:color w:val="000000"/>
          <w:sz w:val="24"/>
        </w:rPr>
      </w:pPr>
      <w:r>
        <w:rPr>
          <w:color w:val="000000"/>
          <w:sz w:val="24"/>
        </w:rPr>
        <w:t>根据监测结果可以看出，Ii&lt;l，区域内监测点在监测期间环境空气质量良好，NO</w:t>
      </w:r>
      <w:r>
        <w:rPr>
          <w:color w:val="000000"/>
          <w:sz w:val="24"/>
          <w:vertAlign w:val="subscript"/>
        </w:rPr>
        <w:t>2</w:t>
      </w:r>
      <w:r>
        <w:rPr>
          <w:color w:val="000000"/>
          <w:sz w:val="24"/>
        </w:rPr>
        <w:t>、PM</w:t>
      </w:r>
      <w:r>
        <w:rPr>
          <w:color w:val="000000"/>
          <w:sz w:val="24"/>
          <w:vertAlign w:val="subscript"/>
        </w:rPr>
        <w:t>10</w:t>
      </w:r>
      <w:r>
        <w:rPr>
          <w:color w:val="000000"/>
          <w:sz w:val="24"/>
        </w:rPr>
        <w:t>均可达GB3095</w:t>
      </w:r>
      <w:r>
        <w:rPr>
          <w:rFonts w:hint="eastAsia"/>
          <w:color w:val="000000"/>
          <w:sz w:val="24"/>
        </w:rPr>
        <w:t>-2012</w:t>
      </w:r>
      <w:r>
        <w:rPr>
          <w:color w:val="000000"/>
          <w:sz w:val="24"/>
        </w:rPr>
        <w:t>《环境空气质量标准》二级标准要求。</w:t>
      </w:r>
    </w:p>
    <w:p w14:paraId="7547DF39">
      <w:pPr>
        <w:spacing w:line="360" w:lineRule="auto"/>
        <w:ind w:firstLine="480"/>
        <w:rPr>
          <w:rFonts w:hint="eastAsia"/>
          <w:color w:val="000000"/>
          <w:sz w:val="24"/>
        </w:rPr>
      </w:pPr>
      <w:r>
        <w:rPr>
          <w:color w:val="000000"/>
          <w:sz w:val="24"/>
        </w:rPr>
        <w:t>（3）本项目环声环境质量现状引用</w:t>
      </w:r>
      <w:r>
        <w:rPr>
          <w:rFonts w:hint="eastAsia"/>
          <w:color w:val="000000"/>
          <w:sz w:val="24"/>
        </w:rPr>
        <w:t>云南坤发环境科技有限公司</w:t>
      </w:r>
      <w:r>
        <w:rPr>
          <w:color w:val="000000"/>
          <w:sz w:val="24"/>
        </w:rPr>
        <w:t>于201</w:t>
      </w:r>
      <w:r>
        <w:rPr>
          <w:rFonts w:hint="eastAsia"/>
          <w:color w:val="000000"/>
          <w:sz w:val="24"/>
        </w:rPr>
        <w:t>7</w:t>
      </w:r>
      <w:r>
        <w:rPr>
          <w:color w:val="000000"/>
          <w:sz w:val="24"/>
        </w:rPr>
        <w:t>年</w:t>
      </w:r>
      <w:r>
        <w:rPr>
          <w:rFonts w:hint="eastAsia"/>
          <w:color w:val="000000"/>
          <w:sz w:val="24"/>
        </w:rPr>
        <w:t>9</w:t>
      </w:r>
      <w:r>
        <w:rPr>
          <w:color w:val="000000"/>
          <w:sz w:val="24"/>
        </w:rPr>
        <w:t>月</w:t>
      </w:r>
      <w:r>
        <w:rPr>
          <w:rFonts w:hint="eastAsia"/>
          <w:color w:val="000000"/>
          <w:sz w:val="24"/>
        </w:rPr>
        <w:t>1</w:t>
      </w:r>
      <w:r>
        <w:rPr>
          <w:color w:val="000000"/>
          <w:sz w:val="24"/>
        </w:rPr>
        <w:t>7日-</w:t>
      </w:r>
      <w:r>
        <w:rPr>
          <w:rFonts w:hint="eastAsia"/>
          <w:color w:val="000000"/>
          <w:sz w:val="24"/>
        </w:rPr>
        <w:t>18</w:t>
      </w:r>
      <w:r>
        <w:rPr>
          <w:color w:val="000000"/>
          <w:sz w:val="24"/>
        </w:rPr>
        <w:t>日对本项目</w:t>
      </w:r>
      <w:r>
        <w:rPr>
          <w:rFonts w:hint="eastAsia"/>
          <w:color w:val="000000"/>
          <w:sz w:val="24"/>
        </w:rPr>
        <w:t>建设用地中心、建设用地厂界东、南、西、北共5</w:t>
      </w:r>
      <w:r>
        <w:rPr>
          <w:color w:val="000000"/>
          <w:sz w:val="24"/>
        </w:rPr>
        <w:t>个</w:t>
      </w:r>
      <w:r>
        <w:rPr>
          <w:rFonts w:hint="eastAsia"/>
          <w:color w:val="000000"/>
          <w:sz w:val="24"/>
        </w:rPr>
        <w:t>监测</w:t>
      </w:r>
      <w:r>
        <w:rPr>
          <w:color w:val="000000"/>
          <w:sz w:val="24"/>
        </w:rPr>
        <w:t>点位进行检测的结果</w:t>
      </w:r>
      <w:r>
        <w:rPr>
          <w:rFonts w:hint="eastAsia"/>
          <w:color w:val="000000"/>
          <w:sz w:val="24"/>
        </w:rPr>
        <w:t>。</w:t>
      </w:r>
    </w:p>
    <w:p w14:paraId="51922E6D">
      <w:pPr>
        <w:spacing w:line="360" w:lineRule="auto"/>
        <w:ind w:firstLine="480"/>
        <w:rPr>
          <w:color w:val="000000"/>
          <w:sz w:val="24"/>
        </w:rPr>
      </w:pPr>
      <w:r>
        <w:rPr>
          <w:rFonts w:hint="eastAsia"/>
          <w:color w:val="000000"/>
          <w:sz w:val="24"/>
        </w:rPr>
        <w:t>根据监测结果</w:t>
      </w:r>
      <w:r>
        <w:rPr>
          <w:color w:val="000000"/>
          <w:sz w:val="24"/>
        </w:rPr>
        <w:t>可以看出，</w:t>
      </w:r>
      <w:r>
        <w:rPr>
          <w:rFonts w:hint="eastAsia"/>
          <w:color w:val="000000"/>
          <w:sz w:val="24"/>
        </w:rPr>
        <w:t>项目区</w:t>
      </w:r>
      <w:r>
        <w:rPr>
          <w:color w:val="000000"/>
          <w:sz w:val="24"/>
        </w:rPr>
        <w:t>声环境</w:t>
      </w:r>
      <w:r>
        <w:rPr>
          <w:rFonts w:hint="eastAsia"/>
          <w:color w:val="000000"/>
          <w:sz w:val="24"/>
        </w:rPr>
        <w:t>质量</w:t>
      </w:r>
      <w:r>
        <w:rPr>
          <w:color w:val="000000"/>
          <w:sz w:val="24"/>
        </w:rPr>
        <w:t>现状较好，</w:t>
      </w:r>
      <w:r>
        <w:rPr>
          <w:rFonts w:hint="eastAsia"/>
          <w:color w:val="000000"/>
          <w:sz w:val="24"/>
        </w:rPr>
        <w:t>各监测点的</w:t>
      </w:r>
      <w:r>
        <w:rPr>
          <w:color w:val="000000"/>
          <w:sz w:val="24"/>
        </w:rPr>
        <w:t>噪声值</w:t>
      </w:r>
      <w:r>
        <w:rPr>
          <w:rFonts w:hint="eastAsia"/>
          <w:color w:val="000000"/>
          <w:sz w:val="24"/>
        </w:rPr>
        <w:t>均</w:t>
      </w:r>
      <w:r>
        <w:rPr>
          <w:color w:val="000000"/>
          <w:sz w:val="24"/>
        </w:rPr>
        <w:t>可以达到《声环境质量标准》2类</w:t>
      </w:r>
      <w:r>
        <w:rPr>
          <w:rFonts w:hint="eastAsia"/>
          <w:color w:val="000000"/>
          <w:sz w:val="24"/>
        </w:rPr>
        <w:t>和</w:t>
      </w:r>
      <w:r>
        <w:rPr>
          <w:color w:val="000000"/>
          <w:sz w:val="24"/>
        </w:rPr>
        <w:t>4a类标准要求。</w:t>
      </w:r>
    </w:p>
    <w:p w14:paraId="1F1A56ED">
      <w:pPr>
        <w:pStyle w:val="182"/>
        <w:ind w:firstLine="275"/>
        <w:rPr>
          <w:rFonts w:ascii="Times New Roman" w:hAnsi="Times New Roman" w:eastAsia="仿宋_GB2312" w:cs="Times New Roman"/>
          <w:color w:val="000000"/>
          <w:sz w:val="28"/>
          <w:szCs w:val="28"/>
        </w:rPr>
      </w:pPr>
      <w:r>
        <w:rPr>
          <w:rFonts w:ascii="Times New Roman" w:hAnsi="Times New Roman" w:eastAsia="仿宋_GB2312" w:cs="Times New Roman"/>
          <w:color w:val="000000"/>
          <w:sz w:val="28"/>
          <w:szCs w:val="28"/>
        </w:rPr>
        <w:t>14.2建设项目环境影响分析</w:t>
      </w:r>
    </w:p>
    <w:p w14:paraId="0B1D9E43">
      <w:pPr>
        <w:pStyle w:val="183"/>
        <w:spacing w:line="360" w:lineRule="auto"/>
        <w:ind w:firstLine="472"/>
        <w:rPr>
          <w:rFonts w:eastAsia="仿宋_GB2312"/>
          <w:color w:val="000000"/>
          <w:sz w:val="24"/>
          <w:szCs w:val="24"/>
        </w:rPr>
      </w:pPr>
      <w:r>
        <w:rPr>
          <w:rFonts w:eastAsia="仿宋_GB2312"/>
          <w:color w:val="000000"/>
          <w:sz w:val="24"/>
          <w:szCs w:val="24"/>
        </w:rPr>
        <w:t>14.2.1 施工期环境影响分析</w:t>
      </w:r>
    </w:p>
    <w:p w14:paraId="46387968">
      <w:pPr>
        <w:spacing w:line="360" w:lineRule="auto"/>
        <w:ind w:firstLine="482"/>
        <w:rPr>
          <w:b/>
          <w:color w:val="000000"/>
          <w:sz w:val="24"/>
        </w:rPr>
      </w:pPr>
      <w:r>
        <w:rPr>
          <w:b/>
          <w:color w:val="000000"/>
          <w:sz w:val="24"/>
        </w:rPr>
        <w:t>（1）环境空气影响分析</w:t>
      </w:r>
    </w:p>
    <w:p w14:paraId="05E3963E">
      <w:pPr>
        <w:spacing w:line="360" w:lineRule="auto"/>
        <w:ind w:firstLine="480"/>
        <w:rPr>
          <w:color w:val="000000"/>
          <w:sz w:val="24"/>
        </w:rPr>
      </w:pPr>
      <w:r>
        <w:rPr>
          <w:color w:val="000000"/>
          <w:sz w:val="24"/>
        </w:rPr>
        <w:t>项目施工期主要大气污染物为地面扬尘，其次为施工机械排放的废气和装修材料散发的废气。对施工场地、周围环境带来一定影响。但施工期对环境空气产生的影响是短时的、可恢复的，采取必要的措施后，项目施工对环境空气的影响可以接受。</w:t>
      </w:r>
    </w:p>
    <w:p w14:paraId="6843FBD3">
      <w:pPr>
        <w:spacing w:line="360" w:lineRule="auto"/>
        <w:ind w:firstLine="482"/>
        <w:rPr>
          <w:b/>
          <w:color w:val="000000"/>
          <w:sz w:val="24"/>
        </w:rPr>
      </w:pPr>
      <w:r>
        <w:rPr>
          <w:b/>
          <w:color w:val="000000"/>
          <w:sz w:val="24"/>
        </w:rPr>
        <w:t>（2）废水影响分析</w:t>
      </w:r>
    </w:p>
    <w:p w14:paraId="77299E37">
      <w:pPr>
        <w:spacing w:line="360" w:lineRule="auto"/>
        <w:ind w:firstLine="480"/>
        <w:rPr>
          <w:color w:val="000000"/>
          <w:sz w:val="24"/>
        </w:rPr>
      </w:pPr>
      <w:r>
        <w:rPr>
          <w:color w:val="000000"/>
          <w:sz w:val="24"/>
        </w:rPr>
        <w:t>本项目施工场地不设施工营地，施工期对地表水环境的影响主要是：施工期的挖土、设备冲洗废水以及使用大量的运输机械和其他辅助机械，在作业和维护时有可能发生油料外溢、渗漏，通过雨水冲刷等途径，流入受纳水体使受纳水体SS、COD</w:t>
      </w:r>
      <w:r>
        <w:rPr>
          <w:color w:val="000000"/>
          <w:sz w:val="24"/>
          <w:vertAlign w:val="subscript"/>
        </w:rPr>
        <w:t>cr</w:t>
      </w:r>
      <w:r>
        <w:rPr>
          <w:color w:val="000000"/>
          <w:sz w:val="24"/>
        </w:rPr>
        <w:t>、油类含量增高，DO下降。</w:t>
      </w:r>
    </w:p>
    <w:p w14:paraId="7D6451A6">
      <w:pPr>
        <w:spacing w:line="360" w:lineRule="auto"/>
        <w:ind w:firstLine="480"/>
        <w:rPr>
          <w:color w:val="000000"/>
          <w:sz w:val="24"/>
        </w:rPr>
      </w:pPr>
      <w:r>
        <w:rPr>
          <w:color w:val="000000"/>
          <w:sz w:val="24"/>
        </w:rPr>
        <w:t>施工废水产生量不大，且经沉淀池沉淀后回用于场地洒水降尘等，无施工废水外排。施工废水对环境影响不大。施工期间不在项目内设置施工营地，所以施工期间基本无生活污水排放，对周围环境没有影响。</w:t>
      </w:r>
    </w:p>
    <w:p w14:paraId="55308C3C">
      <w:pPr>
        <w:spacing w:line="360" w:lineRule="auto"/>
        <w:ind w:firstLine="482"/>
        <w:rPr>
          <w:b/>
          <w:color w:val="000000"/>
          <w:sz w:val="24"/>
        </w:rPr>
      </w:pPr>
      <w:r>
        <w:rPr>
          <w:b/>
          <w:color w:val="000000"/>
          <w:sz w:val="24"/>
        </w:rPr>
        <w:t>（3）噪声影响分析</w:t>
      </w:r>
    </w:p>
    <w:p w14:paraId="395EF9C7">
      <w:pPr>
        <w:spacing w:line="360" w:lineRule="auto"/>
        <w:ind w:firstLine="557"/>
        <w:rPr>
          <w:color w:val="000000"/>
          <w:sz w:val="24"/>
          <w:lang w:val="zh-CN"/>
        </w:rPr>
      </w:pPr>
      <w:r>
        <w:rPr>
          <w:rFonts w:ascii="宋体" w:hAnsi="宋体"/>
          <w:color w:val="000000"/>
          <w:sz w:val="24"/>
        </w:rPr>
        <w:t>项目施工期间所产生的噪声绝大多数超过</w:t>
      </w:r>
      <w:r>
        <w:rPr>
          <w:rFonts w:hint="eastAsia" w:ascii="宋体" w:hAnsi="宋体"/>
          <w:color w:val="000000"/>
          <w:sz w:val="24"/>
        </w:rPr>
        <w:t>GB12523-2011《建筑施工场界环境噪声排放标准》要求</w:t>
      </w:r>
      <w:r>
        <w:rPr>
          <w:rFonts w:ascii="宋体" w:hAnsi="宋体"/>
          <w:color w:val="000000"/>
          <w:sz w:val="24"/>
        </w:rPr>
        <w:t>，工程施工期间施工噪声将对</w:t>
      </w:r>
      <w:r>
        <w:rPr>
          <w:rFonts w:hint="eastAsia" w:ascii="宋体" w:hAnsi="宋体"/>
          <w:color w:val="000000"/>
          <w:sz w:val="24"/>
        </w:rPr>
        <w:t>项目周边的</w:t>
      </w:r>
      <w:r>
        <w:rPr>
          <w:rFonts w:ascii="宋体" w:hAnsi="宋体"/>
          <w:color w:val="000000"/>
          <w:sz w:val="24"/>
        </w:rPr>
        <w:t>各个</w:t>
      </w:r>
      <w:r>
        <w:rPr>
          <w:rFonts w:hint="eastAsia" w:ascii="宋体" w:hAnsi="宋体"/>
          <w:color w:val="000000"/>
          <w:sz w:val="24"/>
        </w:rPr>
        <w:t>环境</w:t>
      </w:r>
      <w:r>
        <w:rPr>
          <w:rFonts w:ascii="宋体" w:hAnsi="宋体"/>
          <w:color w:val="000000"/>
          <w:sz w:val="24"/>
        </w:rPr>
        <w:t>保护目标内居民生活产生一定的不良影响，但这种影响是短期的、间歇式的</w:t>
      </w:r>
      <w:r>
        <w:rPr>
          <w:rFonts w:hint="eastAsia" w:ascii="宋体" w:hAnsi="宋体"/>
          <w:color w:val="000000"/>
          <w:sz w:val="24"/>
        </w:rPr>
        <w:t>，</w:t>
      </w:r>
      <w:r>
        <w:rPr>
          <w:rFonts w:ascii="宋体" w:hAnsi="宋体"/>
          <w:color w:val="000000"/>
          <w:sz w:val="24"/>
        </w:rPr>
        <w:t>随着工程竣工，施工噪声的影响将消失</w:t>
      </w:r>
      <w:r>
        <w:rPr>
          <w:rFonts w:hint="eastAsia" w:ascii="宋体" w:hAnsi="宋体"/>
          <w:color w:val="000000"/>
          <w:sz w:val="24"/>
        </w:rPr>
        <w:t>。</w:t>
      </w:r>
      <w:r>
        <w:rPr>
          <w:rFonts w:ascii="宋体" w:hAnsi="宋体"/>
          <w:color w:val="000000"/>
          <w:sz w:val="24"/>
        </w:rPr>
        <w:t>施工噪声对环境的不利影响是暂时的、短期的行为。鉴于施工期噪声对声环境的不利影响，昼间在上述敏感目标段施工时必须对各声源设备采取合理布局，高噪声设备不能同时施工，同时应</w:t>
      </w:r>
      <w:r>
        <w:rPr>
          <w:rFonts w:hint="eastAsia" w:ascii="宋体" w:hAnsi="宋体"/>
          <w:color w:val="000000"/>
          <w:sz w:val="24"/>
        </w:rPr>
        <w:t>采取围墙隔挡和采用低噪设备等措施来控制施工设备噪声对环境的影响，</w:t>
      </w:r>
      <w:r>
        <w:rPr>
          <w:rFonts w:hint="eastAsia" w:ascii="宋体" w:hAnsi="宋体"/>
          <w:color w:val="000000"/>
          <w:sz w:val="24"/>
          <w:lang w:val="zh-CN"/>
        </w:rPr>
        <w:t>严格执行噪声污染防治的有关规定及</w:t>
      </w:r>
      <w:r>
        <w:rPr>
          <w:rFonts w:hint="eastAsia" w:ascii="宋体" w:hAnsi="宋体"/>
          <w:color w:val="000000"/>
          <w:sz w:val="24"/>
        </w:rPr>
        <w:t>《建筑施工场界环境噪声排放标准》（GB12523-2011）</w:t>
      </w:r>
      <w:r>
        <w:rPr>
          <w:rFonts w:hint="eastAsia" w:ascii="宋体" w:hAnsi="宋体"/>
          <w:color w:val="000000"/>
          <w:sz w:val="24"/>
          <w:lang w:val="zh-CN"/>
        </w:rPr>
        <w:t>，降低对周围人群的影响。</w:t>
      </w:r>
    </w:p>
    <w:p w14:paraId="155BF04D">
      <w:pPr>
        <w:spacing w:line="360" w:lineRule="auto"/>
        <w:ind w:firstLine="482"/>
        <w:rPr>
          <w:b/>
          <w:color w:val="000000"/>
          <w:sz w:val="24"/>
        </w:rPr>
      </w:pPr>
      <w:r>
        <w:rPr>
          <w:b/>
          <w:color w:val="000000"/>
          <w:sz w:val="24"/>
        </w:rPr>
        <w:t>（4）固体废物处置分析</w:t>
      </w:r>
    </w:p>
    <w:p w14:paraId="29EC9335">
      <w:pPr>
        <w:spacing w:line="360" w:lineRule="auto"/>
        <w:ind w:firstLine="480"/>
        <w:rPr>
          <w:rFonts w:hint="eastAsia" w:ascii="宋体" w:hAnsi="宋体"/>
          <w:color w:val="000000"/>
          <w:sz w:val="24"/>
        </w:rPr>
      </w:pPr>
      <w:r>
        <w:rPr>
          <w:rFonts w:hint="eastAsia" w:ascii="宋体" w:hAnsi="宋体"/>
          <w:color w:val="000000"/>
          <w:sz w:val="24"/>
        </w:rPr>
        <w:t>项目产生弃方及建筑垃圾，通过与城市建设主管部门协商，部分弃方及建筑垃圾用于其它建设工地填方，其余运至芒市城市建设主管部门指定地点堆放。</w:t>
      </w:r>
    </w:p>
    <w:p w14:paraId="4758E99B">
      <w:pPr>
        <w:spacing w:line="360" w:lineRule="auto"/>
        <w:ind w:firstLine="480"/>
        <w:rPr>
          <w:rFonts w:hint="eastAsia" w:ascii="宋体" w:hAnsi="宋体"/>
          <w:color w:val="000000"/>
          <w:sz w:val="24"/>
        </w:rPr>
      </w:pPr>
      <w:r>
        <w:rPr>
          <w:rFonts w:hint="eastAsia" w:ascii="宋体" w:hAnsi="宋体"/>
          <w:color w:val="000000"/>
          <w:sz w:val="24"/>
        </w:rPr>
        <w:t>施工人员生活垃圾统一收集，委托环卫部门送至卫生填埋场进行填埋处置。</w:t>
      </w:r>
    </w:p>
    <w:p w14:paraId="23DEE9F7">
      <w:pPr>
        <w:spacing w:line="360" w:lineRule="auto"/>
        <w:ind w:firstLine="480"/>
        <w:rPr>
          <w:color w:val="000000"/>
          <w:sz w:val="24"/>
        </w:rPr>
      </w:pPr>
      <w:r>
        <w:rPr>
          <w:rFonts w:hint="eastAsia" w:ascii="宋体" w:hAnsi="宋体"/>
          <w:color w:val="000000"/>
          <w:sz w:val="24"/>
        </w:rPr>
        <w:t>通过严格执行国家环保法律法规以及当地政府的管理规定，科学管理、文明施工，本项目施工期产生的固体废物对环境造成的影响较小。</w:t>
      </w:r>
    </w:p>
    <w:p w14:paraId="0AA2E6DC">
      <w:pPr>
        <w:pStyle w:val="183"/>
        <w:spacing w:line="360" w:lineRule="auto"/>
        <w:ind w:firstLine="472"/>
        <w:rPr>
          <w:rFonts w:eastAsia="仿宋_GB2312"/>
          <w:color w:val="000000"/>
          <w:sz w:val="24"/>
          <w:szCs w:val="24"/>
        </w:rPr>
      </w:pPr>
      <w:r>
        <w:rPr>
          <w:rFonts w:eastAsia="仿宋_GB2312"/>
          <w:color w:val="000000"/>
          <w:sz w:val="24"/>
          <w:szCs w:val="24"/>
        </w:rPr>
        <w:t>14.2.2营运期环境影响分析</w:t>
      </w:r>
    </w:p>
    <w:p w14:paraId="6771C909">
      <w:pPr>
        <w:spacing w:line="360" w:lineRule="auto"/>
        <w:ind w:firstLine="482"/>
        <w:rPr>
          <w:b/>
          <w:color w:val="000000"/>
          <w:sz w:val="24"/>
        </w:rPr>
      </w:pPr>
      <w:r>
        <w:rPr>
          <w:b/>
          <w:color w:val="000000"/>
          <w:sz w:val="24"/>
        </w:rPr>
        <w:t>（1）大气环境影响分析</w:t>
      </w:r>
    </w:p>
    <w:p w14:paraId="79110EFB">
      <w:pPr>
        <w:spacing w:line="360" w:lineRule="auto"/>
        <w:ind w:firstLine="480"/>
        <w:rPr>
          <w:color w:val="000000"/>
          <w:sz w:val="24"/>
        </w:rPr>
      </w:pPr>
      <w:r>
        <w:rPr>
          <w:rFonts w:hint="eastAsia" w:ascii="宋体" w:hAnsi="宋体"/>
          <w:color w:val="000000"/>
          <w:sz w:val="24"/>
        </w:rPr>
        <w:t>项目内不使用燃煤、燃油锅炉，使用清洁能源，使用时不会对周围大气环境产生影响。项目运营期大气污染物主要为汽车尾气和食堂油烟气对周围环境空气的影响，由于停车场地开阔，比较利于扩散，因此汽车尾气对环境影响轻微。食堂安装处理效率不低于85%的大型油烟净化器，外排油烟可达到GB18483-2001《饮食业油烟排放标准》（试行）“最高允许排放浓度≤2mg/m</w:t>
      </w:r>
      <w:r>
        <w:rPr>
          <w:rFonts w:hint="eastAsia" w:ascii="宋体" w:hAnsi="宋体"/>
          <w:color w:val="000000"/>
          <w:sz w:val="24"/>
          <w:vertAlign w:val="superscript"/>
        </w:rPr>
        <w:t>3</w:t>
      </w:r>
      <w:r>
        <w:rPr>
          <w:rFonts w:hint="eastAsia" w:ascii="宋体" w:hAnsi="宋体"/>
          <w:color w:val="000000"/>
          <w:sz w:val="24"/>
        </w:rPr>
        <w:t>”的限制要求，达标外排的油烟废气不会对周围环境产生大的影响。</w:t>
      </w:r>
    </w:p>
    <w:p w14:paraId="3B2EB0F5">
      <w:pPr>
        <w:spacing w:line="360" w:lineRule="auto"/>
        <w:ind w:firstLine="482"/>
        <w:rPr>
          <w:b/>
          <w:color w:val="000000"/>
          <w:sz w:val="24"/>
        </w:rPr>
      </w:pPr>
      <w:r>
        <w:rPr>
          <w:b/>
          <w:color w:val="000000"/>
          <w:sz w:val="24"/>
        </w:rPr>
        <w:t>（2）地表水环境影响分析</w:t>
      </w:r>
    </w:p>
    <w:p w14:paraId="4196F5CE">
      <w:pPr>
        <w:spacing w:line="360" w:lineRule="auto"/>
        <w:ind w:firstLine="480"/>
        <w:rPr>
          <w:rFonts w:cs="宋体"/>
          <w:color w:val="000000"/>
          <w:sz w:val="24"/>
        </w:rPr>
      </w:pPr>
      <w:r>
        <w:rPr>
          <w:rFonts w:hint="eastAsia" w:ascii="宋体" w:hAnsi="宋体"/>
          <w:color w:val="000000"/>
          <w:sz w:val="24"/>
        </w:rPr>
        <w:t>本项目污水排放，芒市建设有污水处理厂，项目产生的医疗废水经自建化粪池和污水处理站处理达到《医疗机构水污染排放标准》（GB18466-2005）中表2的</w:t>
      </w:r>
      <w:r>
        <w:rPr>
          <w:rFonts w:ascii="宋体" w:hAnsi="宋体"/>
          <w:color w:val="000000"/>
          <w:sz w:val="24"/>
        </w:rPr>
        <w:t>预处理标准</w:t>
      </w:r>
      <w:r>
        <w:rPr>
          <w:rFonts w:hint="eastAsia" w:ascii="宋体" w:hAnsi="宋体"/>
          <w:color w:val="000000"/>
          <w:sz w:val="24"/>
        </w:rPr>
        <w:t>后排入市政污水管网。</w:t>
      </w:r>
    </w:p>
    <w:p w14:paraId="03631B63">
      <w:pPr>
        <w:spacing w:line="360" w:lineRule="auto"/>
        <w:ind w:firstLine="482"/>
        <w:rPr>
          <w:b/>
          <w:color w:val="000000"/>
          <w:sz w:val="24"/>
        </w:rPr>
      </w:pPr>
      <w:r>
        <w:rPr>
          <w:b/>
          <w:color w:val="000000"/>
          <w:sz w:val="24"/>
        </w:rPr>
        <w:t>（3）声环境影响分析</w:t>
      </w:r>
    </w:p>
    <w:p w14:paraId="4F4BDCC1">
      <w:pPr>
        <w:spacing w:line="360" w:lineRule="auto"/>
        <w:ind w:firstLine="480"/>
        <w:rPr>
          <w:color w:val="000000"/>
          <w:sz w:val="24"/>
        </w:rPr>
      </w:pPr>
      <w:r>
        <w:rPr>
          <w:color w:val="000000"/>
          <w:sz w:val="24"/>
        </w:rPr>
        <w:t>项目运营期噪声主要是中心内各设备噪声、交通噪声和人群嘈杂声，但由于项目各设备采取了隔声、消声、减震及合理布局等措施经行治理后，根据影响预测结果可知，项目噪声排放场界值能够满足《工业企业厂界环境噪声排放标准》（GB12348-2008）中2类标准，项目内整体声环境质量达标。因此，项目营运期间不会给周围声环境质量造成大的影响。</w:t>
      </w:r>
    </w:p>
    <w:p w14:paraId="1D3A7BF1">
      <w:pPr>
        <w:spacing w:line="360" w:lineRule="auto"/>
        <w:ind w:firstLine="482"/>
        <w:rPr>
          <w:b/>
          <w:color w:val="000000"/>
          <w:sz w:val="24"/>
        </w:rPr>
      </w:pPr>
      <w:r>
        <w:rPr>
          <w:b/>
          <w:color w:val="000000"/>
          <w:sz w:val="24"/>
        </w:rPr>
        <w:t>（4）固体废物处置分析</w:t>
      </w:r>
    </w:p>
    <w:p w14:paraId="192D18C3">
      <w:pPr>
        <w:spacing w:line="360" w:lineRule="auto"/>
        <w:ind w:firstLine="480"/>
        <w:rPr>
          <w:color w:val="000000"/>
          <w:sz w:val="24"/>
        </w:rPr>
      </w:pPr>
      <w:r>
        <w:rPr>
          <w:color w:val="000000"/>
          <w:sz w:val="24"/>
        </w:rPr>
        <w:t>项目内产生的生活垃圾收集后委托环卫部门处置，处置率100%，对环境影响较小。实验固废按照国家和行业有关规定和要求进行收集后，委托有资质的</w:t>
      </w:r>
      <w:r>
        <w:rPr>
          <w:rFonts w:hint="eastAsia"/>
          <w:color w:val="000000"/>
          <w:sz w:val="24"/>
        </w:rPr>
        <w:t>相关</w:t>
      </w:r>
      <w:r>
        <w:rPr>
          <w:color w:val="000000"/>
          <w:sz w:val="24"/>
        </w:rPr>
        <w:t>单位处置，</w:t>
      </w:r>
      <w:r>
        <w:rPr>
          <w:rFonts w:cs="宋体"/>
          <w:color w:val="000000"/>
          <w:sz w:val="24"/>
        </w:rPr>
        <w:t>安全处置率100％</w:t>
      </w:r>
      <w:r>
        <w:rPr>
          <w:color w:val="000000"/>
          <w:sz w:val="24"/>
        </w:rPr>
        <w:t>，无害化处置率100％。不会对周围环境产生大的不良影响。</w:t>
      </w:r>
    </w:p>
    <w:p w14:paraId="5BB0F74E">
      <w:pPr>
        <w:pStyle w:val="182"/>
        <w:ind w:firstLine="275"/>
        <w:rPr>
          <w:rFonts w:ascii="Times New Roman" w:hAnsi="Times New Roman" w:eastAsia="仿宋_GB2312" w:cs="Times New Roman"/>
          <w:color w:val="000000"/>
          <w:sz w:val="28"/>
          <w:szCs w:val="28"/>
        </w:rPr>
      </w:pPr>
      <w:r>
        <w:rPr>
          <w:rFonts w:ascii="Times New Roman" w:hAnsi="Times New Roman" w:eastAsia="仿宋_GB2312" w:cs="Times New Roman"/>
          <w:color w:val="000000"/>
          <w:sz w:val="28"/>
          <w:szCs w:val="28"/>
        </w:rPr>
        <w:t>14.3污染物总量控制结论</w:t>
      </w:r>
    </w:p>
    <w:p w14:paraId="09CF992D">
      <w:pPr>
        <w:spacing w:line="360" w:lineRule="auto"/>
        <w:ind w:firstLine="480"/>
        <w:rPr>
          <w:color w:val="000000"/>
          <w:sz w:val="24"/>
        </w:rPr>
      </w:pPr>
      <w:r>
        <w:rPr>
          <w:rFonts w:hint="eastAsia"/>
          <w:color w:val="000000"/>
          <w:sz w:val="24"/>
        </w:rPr>
        <w:t>根据工程分析、水环境影响分析的结果、污染防治对策措施与建议及国家有关废水的排放标准和地方总量控制指标，本项目对所排放的污染物采取了污染控制措施，污染物达标排放。建设项目实施后，废水达标排放，新增排污量须向上级环境保护管理部门申请。建议项目的总量申报量如下：</w:t>
      </w:r>
    </w:p>
    <w:p w14:paraId="5D0DDD14">
      <w:pPr>
        <w:spacing w:line="360" w:lineRule="auto"/>
        <w:ind w:firstLine="480"/>
        <w:rPr>
          <w:color w:val="000000"/>
          <w:sz w:val="24"/>
        </w:rPr>
      </w:pPr>
      <w:r>
        <w:rPr>
          <w:rFonts w:hint="eastAsia"/>
          <w:color w:val="000000"/>
          <w:sz w:val="24"/>
        </w:rPr>
        <w:t>废水：COD</w:t>
      </w:r>
      <w:r>
        <w:rPr>
          <w:rFonts w:hint="eastAsia"/>
          <w:color w:val="000000"/>
          <w:sz w:val="24"/>
          <w:vertAlign w:val="subscript"/>
        </w:rPr>
        <w:t>cr</w:t>
      </w:r>
      <w:r>
        <w:rPr>
          <w:rFonts w:hint="eastAsia"/>
          <w:color w:val="000000"/>
          <w:sz w:val="24"/>
        </w:rPr>
        <w:t>：0.78t/a，氨氮：0.077 t/a。</w:t>
      </w:r>
    </w:p>
    <w:p w14:paraId="5DA8B739">
      <w:pPr>
        <w:pStyle w:val="182"/>
        <w:ind w:firstLine="275"/>
        <w:rPr>
          <w:rFonts w:ascii="Times New Roman" w:hAnsi="Times New Roman" w:eastAsia="仿宋_GB2312" w:cs="Times New Roman"/>
          <w:color w:val="000000"/>
          <w:sz w:val="28"/>
          <w:szCs w:val="28"/>
        </w:rPr>
      </w:pPr>
      <w:r>
        <w:rPr>
          <w:rFonts w:ascii="Times New Roman" w:hAnsi="Times New Roman" w:eastAsia="仿宋_GB2312" w:cs="Times New Roman"/>
          <w:color w:val="000000"/>
          <w:sz w:val="28"/>
          <w:szCs w:val="28"/>
        </w:rPr>
        <w:t>14.4产业政策符合性结论</w:t>
      </w:r>
    </w:p>
    <w:p w14:paraId="6BA4CDCF">
      <w:pPr>
        <w:spacing w:line="360" w:lineRule="auto"/>
        <w:ind w:firstLine="480"/>
        <w:rPr>
          <w:color w:val="000000"/>
          <w:sz w:val="24"/>
        </w:rPr>
      </w:pPr>
      <w:r>
        <w:rPr>
          <w:color w:val="000000"/>
          <w:sz w:val="24"/>
        </w:rPr>
        <w:t>本项目为卫生基础设施建设，属改善基本医疗服务设施，属于《产业结构调整指导目录(2011年本)（2013年修正）》鼓励类中第三十六条29项“医疗卫生服务设施建设”，即项目属国家鼓励类项目，因此项目的建设符合国家产业政策。</w:t>
      </w:r>
    </w:p>
    <w:p w14:paraId="77C01CA8">
      <w:pPr>
        <w:pStyle w:val="182"/>
        <w:ind w:firstLine="275"/>
        <w:rPr>
          <w:rFonts w:ascii="Times New Roman" w:hAnsi="Times New Roman" w:eastAsia="仿宋_GB2312" w:cs="Times New Roman"/>
          <w:color w:val="000000"/>
          <w:sz w:val="28"/>
          <w:szCs w:val="28"/>
        </w:rPr>
      </w:pPr>
      <w:r>
        <w:rPr>
          <w:rFonts w:ascii="Times New Roman" w:hAnsi="Times New Roman" w:eastAsia="仿宋_GB2312" w:cs="Times New Roman"/>
          <w:color w:val="000000"/>
          <w:sz w:val="28"/>
          <w:szCs w:val="28"/>
        </w:rPr>
        <w:t>14.5环境经济损益分析结论</w:t>
      </w:r>
    </w:p>
    <w:p w14:paraId="2BF686E0">
      <w:pPr>
        <w:spacing w:line="360" w:lineRule="auto"/>
        <w:ind w:firstLine="480"/>
        <w:rPr>
          <w:color w:val="000000"/>
        </w:rPr>
      </w:pPr>
      <w:r>
        <w:rPr>
          <w:color w:val="000000"/>
          <w:sz w:val="24"/>
        </w:rPr>
        <w:t>从项目的整体进行分析，项目建成营运后必将产生显著的环境效益、社会效益和一定的经济效益。本项目具有完善的基础设施，</w:t>
      </w:r>
      <w:r>
        <w:rPr>
          <w:rFonts w:hint="eastAsia"/>
          <w:color w:val="000000"/>
          <w:sz w:val="24"/>
          <w:lang w:eastAsia="zh-CN"/>
        </w:rPr>
        <w:t>设置</w:t>
      </w:r>
      <w:r>
        <w:rPr>
          <w:color w:val="000000"/>
          <w:sz w:val="24"/>
        </w:rPr>
        <w:t>了高效可行的管理方案和治理措施，项目建设及营运过程中所产生的各项负面影响将被削弱或消除，从而使项目的建设取得较好的经济、社会效益和环境效益，实现经济、社会和环境相互协调发展的良性循环。</w:t>
      </w:r>
    </w:p>
    <w:p w14:paraId="66ABDB09">
      <w:pPr>
        <w:pStyle w:val="182"/>
        <w:ind w:firstLine="275"/>
        <w:rPr>
          <w:rFonts w:ascii="Times New Roman" w:hAnsi="Times New Roman" w:eastAsia="仿宋_GB2312" w:cs="Times New Roman"/>
          <w:color w:val="000000"/>
          <w:sz w:val="28"/>
          <w:szCs w:val="28"/>
        </w:rPr>
      </w:pPr>
      <w:r>
        <w:rPr>
          <w:rFonts w:ascii="Times New Roman" w:hAnsi="Times New Roman" w:eastAsia="仿宋_GB2312" w:cs="Times New Roman"/>
          <w:color w:val="000000"/>
          <w:sz w:val="28"/>
          <w:szCs w:val="28"/>
        </w:rPr>
        <w:t>14.6公众参与调查结论</w:t>
      </w:r>
    </w:p>
    <w:p w14:paraId="56370DF1">
      <w:pPr>
        <w:spacing w:line="360" w:lineRule="auto"/>
        <w:ind w:firstLine="480"/>
        <w:rPr>
          <w:color w:val="000000"/>
          <w:sz w:val="24"/>
        </w:rPr>
      </w:pPr>
      <w:r>
        <w:rPr>
          <w:color w:val="000000"/>
          <w:sz w:val="24"/>
        </w:rPr>
        <w:t>根据《环境影响评价公众参与暂行办法》环发[2006]28号文件对建设项目环境影响评价公众参与的要求，在编制报告书时，建设方采取问卷调查的方式征求了公众的意见。</w:t>
      </w:r>
    </w:p>
    <w:p w14:paraId="564D7B57">
      <w:pPr>
        <w:spacing w:line="360" w:lineRule="auto"/>
        <w:ind w:firstLine="480"/>
        <w:rPr>
          <w:color w:val="000000"/>
          <w:sz w:val="24"/>
        </w:rPr>
      </w:pPr>
      <w:r>
        <w:rPr>
          <w:rFonts w:hint="eastAsia"/>
          <w:color w:val="000000"/>
          <w:sz w:val="24"/>
        </w:rPr>
        <w:t>从公众参与的角度分析，认为本项目的实施可行。</w:t>
      </w:r>
      <w:r>
        <w:rPr>
          <w:color w:val="000000"/>
          <w:sz w:val="24"/>
        </w:rPr>
        <w:t>公众认识到本</w:t>
      </w:r>
      <w:r>
        <w:rPr>
          <w:rFonts w:hint="eastAsia"/>
          <w:color w:val="000000"/>
          <w:sz w:val="24"/>
        </w:rPr>
        <w:t>项目</w:t>
      </w:r>
      <w:r>
        <w:rPr>
          <w:color w:val="000000"/>
          <w:sz w:val="24"/>
        </w:rPr>
        <w:t>的</w:t>
      </w:r>
      <w:r>
        <w:rPr>
          <w:rFonts w:hint="eastAsia"/>
          <w:color w:val="000000"/>
          <w:sz w:val="24"/>
        </w:rPr>
        <w:t>实施</w:t>
      </w:r>
      <w:r>
        <w:rPr>
          <w:color w:val="000000"/>
          <w:sz w:val="24"/>
        </w:rPr>
        <w:t>有利于当地</w:t>
      </w:r>
      <w:r>
        <w:rPr>
          <w:rFonts w:hint="eastAsia"/>
          <w:color w:val="000000"/>
          <w:sz w:val="24"/>
        </w:rPr>
        <w:t>医疗</w:t>
      </w:r>
      <w:r>
        <w:rPr>
          <w:color w:val="000000"/>
          <w:sz w:val="24"/>
        </w:rPr>
        <w:t>的发展，同时针对</w:t>
      </w:r>
      <w:r>
        <w:rPr>
          <w:rFonts w:hint="eastAsia"/>
          <w:color w:val="000000"/>
          <w:sz w:val="24"/>
        </w:rPr>
        <w:t>项目</w:t>
      </w:r>
      <w:r>
        <w:rPr>
          <w:color w:val="000000"/>
          <w:sz w:val="24"/>
        </w:rPr>
        <w:t>施工期、营运期的环境影响，被调查者提出了一些意见和建议，设计单位和建设单位在设计、建设和运行中应认真考虑，并采取措施对有关意见加以采纳</w:t>
      </w:r>
      <w:r>
        <w:rPr>
          <w:rFonts w:hint="eastAsia"/>
          <w:color w:val="000000"/>
          <w:sz w:val="24"/>
        </w:rPr>
        <w:t>。</w:t>
      </w:r>
      <w:r>
        <w:rPr>
          <w:color w:val="000000"/>
          <w:sz w:val="24"/>
        </w:rPr>
        <w:t>本项目</w:t>
      </w:r>
      <w:r>
        <w:rPr>
          <w:rFonts w:hint="eastAsia"/>
          <w:color w:val="000000"/>
          <w:sz w:val="24"/>
        </w:rPr>
        <w:t>建设单位应</w:t>
      </w:r>
      <w:r>
        <w:rPr>
          <w:color w:val="000000"/>
          <w:sz w:val="24"/>
        </w:rPr>
        <w:t>认真执行国家的环境保护法及相关法规，加强废气、废水、噪声</w:t>
      </w:r>
      <w:r>
        <w:rPr>
          <w:rFonts w:hint="eastAsia"/>
          <w:color w:val="000000"/>
          <w:sz w:val="24"/>
        </w:rPr>
        <w:t>、固废</w:t>
      </w:r>
      <w:r>
        <w:rPr>
          <w:color w:val="000000"/>
          <w:sz w:val="24"/>
        </w:rPr>
        <w:t>的治理，做到达标排放，尽可能减少对当地环境的污染和影响</w:t>
      </w:r>
      <w:r>
        <w:rPr>
          <w:rFonts w:hint="eastAsia"/>
          <w:color w:val="000000"/>
          <w:sz w:val="24"/>
        </w:rPr>
        <w:t>。关于公众所担心的其他环境问题，如：噪声、固体废物等，在环评报告书已经提出了相应的防治措施，只要建设方</w:t>
      </w:r>
      <w:r>
        <w:rPr>
          <w:color w:val="000000"/>
          <w:sz w:val="24"/>
        </w:rPr>
        <w:t>坚持“三同时”制度，</w:t>
      </w:r>
      <w:r>
        <w:rPr>
          <w:rFonts w:hint="eastAsia"/>
          <w:color w:val="000000"/>
          <w:sz w:val="24"/>
        </w:rPr>
        <w:t>规范化管理，其不利影响基本可以减免。</w:t>
      </w:r>
    </w:p>
    <w:p w14:paraId="1B6C9D49">
      <w:pPr>
        <w:spacing w:line="360" w:lineRule="auto"/>
        <w:ind w:firstLine="480"/>
        <w:rPr>
          <w:color w:val="000000"/>
          <w:sz w:val="24"/>
        </w:rPr>
      </w:pPr>
      <w:r>
        <w:rPr>
          <w:color w:val="000000"/>
          <w:sz w:val="24"/>
        </w:rPr>
        <w:t>综上所述，在做好污染防治工作、保证环境质量的前提下，公众支持该项目的建设。</w:t>
      </w:r>
    </w:p>
    <w:p w14:paraId="069885F6">
      <w:pPr>
        <w:pStyle w:val="182"/>
        <w:ind w:firstLine="275"/>
        <w:rPr>
          <w:rFonts w:ascii="Times New Roman" w:hAnsi="Times New Roman" w:eastAsia="仿宋_GB2312" w:cs="Times New Roman"/>
          <w:color w:val="000000"/>
          <w:sz w:val="28"/>
          <w:szCs w:val="28"/>
        </w:rPr>
      </w:pPr>
      <w:r>
        <w:rPr>
          <w:rFonts w:ascii="Times New Roman" w:hAnsi="Times New Roman" w:eastAsia="仿宋_GB2312" w:cs="Times New Roman"/>
          <w:color w:val="000000"/>
          <w:sz w:val="28"/>
          <w:szCs w:val="28"/>
        </w:rPr>
        <w:t>14.7总结论</w:t>
      </w:r>
    </w:p>
    <w:p w14:paraId="04CCD705">
      <w:pPr>
        <w:spacing w:line="360" w:lineRule="auto"/>
        <w:ind w:firstLine="480"/>
        <w:rPr>
          <w:rFonts w:hint="eastAsia"/>
          <w:color w:val="000000"/>
          <w:sz w:val="24"/>
        </w:rPr>
      </w:pPr>
      <w:r>
        <w:rPr>
          <w:color w:val="000000"/>
          <w:sz w:val="24"/>
        </w:rPr>
        <w:t>本项目的建设符合国家及地方产业政策，符合《</w:t>
      </w:r>
      <w:r>
        <w:rPr>
          <w:rFonts w:hint="eastAsia"/>
          <w:color w:val="000000"/>
          <w:sz w:val="24"/>
        </w:rPr>
        <w:t>芒市</w:t>
      </w:r>
      <w:r>
        <w:rPr>
          <w:color w:val="000000"/>
          <w:sz w:val="24"/>
        </w:rPr>
        <w:t>国民经济和社会发展第十三个五年规划纲要》和《</w:t>
      </w:r>
      <w:r>
        <w:rPr>
          <w:rFonts w:hint="eastAsia" w:ascii="宋体" w:hAnsi="宋体"/>
          <w:color w:val="000000"/>
          <w:sz w:val="24"/>
        </w:rPr>
        <w:t>芒市城市总体规划（2011—2030）</w:t>
      </w:r>
      <w:r>
        <w:rPr>
          <w:color w:val="000000"/>
          <w:sz w:val="24"/>
        </w:rPr>
        <w:t>》，符合达标排放、总量控制和不降低当地环境功能的原则要求；环境影响预测分析结果表明，本项目建成后，对当地环境质量及主要关心点环境影响很小，符合国家法律法规要求。本项目在严格执行环境保护“三同时”规定，严格进行环境管理，严格落实本评价提出的各项污染防治措施，特别是严格执行国务院[2003]第380号令《医疗废物管理条例》，卫生部[2003]第36号令《医疗卫生机构医疗废物管理办法》等规定；保证项目内的污水处理设施及其他环保设施的正常运行，污染物达标排放的条件下，对周围环境的影响较小。通过严格管理，按规范进行收集、转运、处置，疾病控制中心内各种固体废物可得到100%的妥善处置。因此项目的建设能实现社会、经济、环境效益的统一。从环境影响角度认为，该项目的建设是可行的。</w:t>
      </w:r>
    </w:p>
    <w:p w14:paraId="7CBE79DC">
      <w:pPr>
        <w:spacing w:line="360" w:lineRule="auto"/>
        <w:rPr>
          <w:rFonts w:hint="eastAsia"/>
          <w:color w:val="000000"/>
          <w:sz w:val="24"/>
        </w:rPr>
      </w:pPr>
    </w:p>
    <w:p w14:paraId="3D8A57C1">
      <w:pPr>
        <w:spacing w:line="360" w:lineRule="auto"/>
        <w:rPr>
          <w:rFonts w:hint="eastAsia"/>
          <w:color w:val="000000"/>
          <w:sz w:val="24"/>
        </w:rPr>
      </w:pPr>
    </w:p>
    <w:p w14:paraId="51B85ECD">
      <w:pPr>
        <w:spacing w:line="360" w:lineRule="auto"/>
        <w:rPr>
          <w:rFonts w:hint="eastAsia"/>
          <w:color w:val="000000"/>
          <w:sz w:val="24"/>
        </w:rPr>
      </w:pPr>
    </w:p>
    <w:p w14:paraId="5F11B85D">
      <w:pPr>
        <w:spacing w:line="360" w:lineRule="auto"/>
        <w:rPr>
          <w:rFonts w:hint="eastAsia"/>
          <w:color w:val="000000"/>
          <w:sz w:val="24"/>
        </w:rPr>
      </w:pPr>
    </w:p>
    <w:p w14:paraId="45101D7B">
      <w:pPr>
        <w:spacing w:line="360" w:lineRule="auto"/>
        <w:rPr>
          <w:rFonts w:hint="eastAsia"/>
          <w:color w:val="000000"/>
          <w:sz w:val="24"/>
        </w:rPr>
      </w:pPr>
    </w:p>
    <w:p w14:paraId="0D809EEC">
      <w:pPr>
        <w:spacing w:line="360" w:lineRule="auto"/>
        <w:rPr>
          <w:rFonts w:hint="eastAsia"/>
          <w:color w:val="000000"/>
          <w:sz w:val="24"/>
        </w:rPr>
      </w:pPr>
    </w:p>
    <w:p w14:paraId="71F6DCAF">
      <w:pPr>
        <w:spacing w:line="360" w:lineRule="auto"/>
        <w:rPr>
          <w:rFonts w:hint="eastAsia"/>
          <w:color w:val="000000"/>
          <w:sz w:val="24"/>
        </w:rPr>
      </w:pPr>
    </w:p>
    <w:p w14:paraId="172366A0">
      <w:pPr>
        <w:spacing w:line="360" w:lineRule="auto"/>
        <w:rPr>
          <w:rFonts w:hint="eastAsia"/>
          <w:color w:val="000000"/>
          <w:sz w:val="24"/>
        </w:rPr>
      </w:pPr>
    </w:p>
    <w:p w14:paraId="6D2E5487">
      <w:pPr>
        <w:spacing w:line="360" w:lineRule="auto"/>
        <w:rPr>
          <w:rFonts w:hint="eastAsia"/>
          <w:color w:val="000000"/>
          <w:sz w:val="24"/>
        </w:rPr>
      </w:pPr>
    </w:p>
    <w:p w14:paraId="24CA980A">
      <w:pPr>
        <w:spacing w:line="360" w:lineRule="auto"/>
        <w:rPr>
          <w:rFonts w:hint="eastAsia"/>
          <w:color w:val="000000"/>
          <w:sz w:val="24"/>
        </w:rPr>
      </w:pPr>
    </w:p>
    <w:p w14:paraId="15CA9023">
      <w:pPr>
        <w:spacing w:line="360" w:lineRule="auto"/>
        <w:rPr>
          <w:rFonts w:hint="eastAsia"/>
          <w:color w:val="000000"/>
          <w:sz w:val="24"/>
        </w:rPr>
      </w:pPr>
    </w:p>
    <w:p w14:paraId="4A2C3CC8">
      <w:pPr>
        <w:spacing w:line="360" w:lineRule="auto"/>
        <w:rPr>
          <w:rFonts w:hint="eastAsia"/>
          <w:color w:val="000000"/>
          <w:sz w:val="24"/>
        </w:rPr>
      </w:pPr>
    </w:p>
    <w:p w14:paraId="2075FAB8">
      <w:pPr>
        <w:spacing w:line="360" w:lineRule="auto"/>
        <w:rPr>
          <w:rFonts w:hint="eastAsia"/>
          <w:color w:val="000000"/>
          <w:sz w:val="24"/>
        </w:rPr>
      </w:pPr>
    </w:p>
    <w:p w14:paraId="31565096">
      <w:pPr>
        <w:spacing w:line="360" w:lineRule="auto"/>
        <w:rPr>
          <w:rFonts w:hint="eastAsia"/>
          <w:color w:val="000000"/>
          <w:sz w:val="24"/>
        </w:rPr>
      </w:pPr>
    </w:p>
    <w:p w14:paraId="05E390F5">
      <w:pPr>
        <w:spacing w:line="360" w:lineRule="auto"/>
        <w:rPr>
          <w:rFonts w:hint="eastAsia"/>
          <w:color w:val="000000"/>
          <w:sz w:val="24"/>
        </w:rPr>
      </w:pPr>
    </w:p>
    <w:p w14:paraId="154EAD0A">
      <w:pPr>
        <w:spacing w:line="360" w:lineRule="auto"/>
        <w:rPr>
          <w:color w:val="000000"/>
          <w:sz w:val="24"/>
        </w:rPr>
        <w:sectPr>
          <w:headerReference r:id="rId13" w:type="default"/>
          <w:footerReference r:id="rId14" w:type="default"/>
          <w:pgSz w:w="11906" w:h="16838" w:orient="landscape"/>
          <w:pgMar w:top="1440" w:right="1797" w:bottom="1440" w:left="1797" w:header="851" w:footer="992" w:gutter="0"/>
          <w:cols w:space="1701" w:num="1"/>
        </w:sectPr>
      </w:pPr>
    </w:p>
    <w:p w14:paraId="42083DC2">
      <w:pPr>
        <w:spacing w:line="360" w:lineRule="auto"/>
        <w:rPr>
          <w:rFonts w:hint="eastAsia"/>
          <w:color w:val="000000"/>
          <w:sz w:val="24"/>
        </w:rPr>
      </w:pPr>
      <w:r>
        <w:rPr>
          <w:rFonts w:hint="eastAsia"/>
          <w:color w:val="000000"/>
          <w:sz w:val="24"/>
        </w:rPr>
        <w:drawing>
          <wp:inline distT="0" distB="0" distL="0" distR="0">
            <wp:extent cx="5276850" cy="8832215"/>
            <wp:effectExtent l="0" t="0" r="0" b="0"/>
            <wp:docPr id="188" name="_x0000_i1387"/>
            <wp:cNvGraphicFramePr/>
            <a:graphic xmlns:a="http://schemas.openxmlformats.org/drawingml/2006/main">
              <a:graphicData uri="http://schemas.openxmlformats.org/drawingml/2006/picture">
                <pic:pic xmlns:pic="http://schemas.openxmlformats.org/drawingml/2006/picture">
                  <pic:nvPicPr>
                    <pic:cNvPr id="188" name="_x0000_i1387"/>
                    <pic:cNvPicPr/>
                  </pic:nvPicPr>
                  <pic:blipFill>
                    <a:blip r:embed="rId55"/>
                    <a:stretch>
                      <a:fillRect/>
                    </a:stretch>
                  </pic:blipFill>
                  <pic:spPr>
                    <a:xfrm>
                      <a:off x="0" y="0"/>
                      <a:ext cx="5276863" cy="8832799"/>
                    </a:xfrm>
                    <a:prstGeom prst="rect">
                      <a:avLst/>
                    </a:prstGeom>
                    <a:noFill/>
                    <a:ln>
                      <a:noFill/>
                    </a:ln>
                  </pic:spPr>
                </pic:pic>
              </a:graphicData>
            </a:graphic>
          </wp:inline>
        </w:drawing>
      </w:r>
    </w:p>
    <w:p w14:paraId="55EFAD73">
      <w:pPr>
        <w:spacing w:line="360" w:lineRule="auto"/>
        <w:rPr>
          <w:rFonts w:hint="eastAsia"/>
          <w:color w:val="000000"/>
          <w:sz w:val="24"/>
        </w:rPr>
      </w:pPr>
      <w:r>
        <w:rPr>
          <w:color w:val="000000"/>
          <w:sz w:val="24"/>
        </w:rPr>
        <w:drawing>
          <wp:inline distT="0" distB="0" distL="0" distR="0">
            <wp:extent cx="5510530" cy="7293610"/>
            <wp:effectExtent l="0" t="0" r="0" b="0"/>
            <wp:docPr id="189" name="_x0000_i1388"/>
            <wp:cNvGraphicFramePr/>
            <a:graphic xmlns:a="http://schemas.openxmlformats.org/drawingml/2006/main">
              <a:graphicData uri="http://schemas.openxmlformats.org/drawingml/2006/picture">
                <pic:pic xmlns:pic="http://schemas.openxmlformats.org/drawingml/2006/picture">
                  <pic:nvPicPr>
                    <pic:cNvPr id="189" name="_x0000_i1388"/>
                    <pic:cNvPicPr/>
                  </pic:nvPicPr>
                  <pic:blipFill>
                    <a:blip r:embed="rId56"/>
                    <a:stretch>
                      <a:fillRect/>
                    </a:stretch>
                  </pic:blipFill>
                  <pic:spPr>
                    <a:xfrm>
                      <a:off x="0" y="0"/>
                      <a:ext cx="5510530" cy="7293610"/>
                    </a:xfrm>
                    <a:prstGeom prst="rect">
                      <a:avLst/>
                    </a:prstGeom>
                    <a:noFill/>
                    <a:ln>
                      <a:noFill/>
                    </a:ln>
                  </pic:spPr>
                </pic:pic>
              </a:graphicData>
            </a:graphic>
          </wp:inline>
        </w:drawing>
      </w:r>
    </w:p>
    <w:p w14:paraId="3C17BC09">
      <w:pPr>
        <w:spacing w:line="360" w:lineRule="auto"/>
        <w:rPr>
          <w:rFonts w:hint="eastAsia"/>
          <w:color w:val="000000"/>
          <w:sz w:val="24"/>
        </w:rPr>
      </w:pPr>
      <w:r>
        <w:rPr>
          <w:color w:val="000000"/>
          <w:sz w:val="24"/>
        </w:rPr>
        <w:drawing>
          <wp:inline distT="0" distB="0" distL="0" distR="0">
            <wp:extent cx="5479415" cy="7535545"/>
            <wp:effectExtent l="0" t="0" r="0" b="0"/>
            <wp:docPr id="190" name="_x0000_i1389"/>
            <wp:cNvGraphicFramePr/>
            <a:graphic xmlns:a="http://schemas.openxmlformats.org/drawingml/2006/main">
              <a:graphicData uri="http://schemas.openxmlformats.org/drawingml/2006/picture">
                <pic:pic xmlns:pic="http://schemas.openxmlformats.org/drawingml/2006/picture">
                  <pic:nvPicPr>
                    <pic:cNvPr id="190" name="_x0000_i1389"/>
                    <pic:cNvPicPr/>
                  </pic:nvPicPr>
                  <pic:blipFill>
                    <a:blip r:embed="rId57"/>
                    <a:stretch>
                      <a:fillRect/>
                    </a:stretch>
                  </pic:blipFill>
                  <pic:spPr>
                    <a:xfrm>
                      <a:off x="0" y="0"/>
                      <a:ext cx="5479542" cy="7536167"/>
                    </a:xfrm>
                    <a:prstGeom prst="rect">
                      <a:avLst/>
                    </a:prstGeom>
                    <a:noFill/>
                    <a:ln>
                      <a:noFill/>
                    </a:ln>
                  </pic:spPr>
                </pic:pic>
              </a:graphicData>
            </a:graphic>
          </wp:inline>
        </w:drawing>
      </w:r>
    </w:p>
    <w:p w14:paraId="0A4D4933">
      <w:pPr>
        <w:spacing w:line="360" w:lineRule="auto"/>
        <w:rPr>
          <w:rFonts w:hint="eastAsia"/>
          <w:color w:val="000000"/>
          <w:sz w:val="24"/>
        </w:rPr>
      </w:pPr>
      <w:r>
        <w:rPr>
          <w:color w:val="000000"/>
          <w:sz w:val="24"/>
        </w:rPr>
        <w:drawing>
          <wp:inline distT="0" distB="0" distL="0" distR="0">
            <wp:extent cx="5548630" cy="7631430"/>
            <wp:effectExtent l="0" t="0" r="0" b="0"/>
            <wp:docPr id="191" name="_x0000_i1390"/>
            <wp:cNvGraphicFramePr/>
            <a:graphic xmlns:a="http://schemas.openxmlformats.org/drawingml/2006/main">
              <a:graphicData uri="http://schemas.openxmlformats.org/drawingml/2006/picture">
                <pic:pic xmlns:pic="http://schemas.openxmlformats.org/drawingml/2006/picture">
                  <pic:nvPicPr>
                    <pic:cNvPr id="191" name="_x0000_i1390"/>
                    <pic:cNvPicPr/>
                  </pic:nvPicPr>
                  <pic:blipFill>
                    <a:blip r:embed="rId58"/>
                    <a:stretch>
                      <a:fillRect/>
                    </a:stretch>
                  </pic:blipFill>
                  <pic:spPr>
                    <a:xfrm>
                      <a:off x="0" y="0"/>
                      <a:ext cx="5549036" cy="7631913"/>
                    </a:xfrm>
                    <a:prstGeom prst="rect">
                      <a:avLst/>
                    </a:prstGeom>
                    <a:noFill/>
                    <a:ln>
                      <a:noFill/>
                    </a:ln>
                  </pic:spPr>
                </pic:pic>
              </a:graphicData>
            </a:graphic>
          </wp:inline>
        </w:drawing>
      </w:r>
    </w:p>
    <w:p w14:paraId="6B91F7F9">
      <w:pPr>
        <w:spacing w:line="360" w:lineRule="auto"/>
        <w:rPr>
          <w:rFonts w:hint="eastAsia"/>
          <w:color w:val="000000"/>
          <w:sz w:val="24"/>
        </w:rPr>
      </w:pPr>
      <w:r>
        <w:rPr>
          <w:rFonts w:hint="eastAsia"/>
          <w:color w:val="000000"/>
          <w:sz w:val="24"/>
        </w:rPr>
        <w:drawing>
          <wp:inline distT="0" distB="0" distL="0" distR="0">
            <wp:extent cx="4943475" cy="6086475"/>
            <wp:effectExtent l="0" t="0" r="0" b="0"/>
            <wp:docPr id="192" name="_x0000_i1391"/>
            <wp:cNvGraphicFramePr/>
            <a:graphic xmlns:a="http://schemas.openxmlformats.org/drawingml/2006/main">
              <a:graphicData uri="http://schemas.openxmlformats.org/drawingml/2006/picture">
                <pic:pic xmlns:pic="http://schemas.openxmlformats.org/drawingml/2006/picture">
                  <pic:nvPicPr>
                    <pic:cNvPr id="192" name="_x0000_i1391"/>
                    <pic:cNvPicPr/>
                  </pic:nvPicPr>
                  <pic:blipFill>
                    <a:blip r:embed="rId59"/>
                    <a:stretch>
                      <a:fillRect/>
                    </a:stretch>
                  </pic:blipFill>
                  <pic:spPr>
                    <a:xfrm>
                      <a:off x="0" y="0"/>
                      <a:ext cx="4943475" cy="6086475"/>
                    </a:xfrm>
                    <a:prstGeom prst="rect">
                      <a:avLst/>
                    </a:prstGeom>
                    <a:noFill/>
                    <a:ln>
                      <a:noFill/>
                    </a:ln>
                  </pic:spPr>
                </pic:pic>
              </a:graphicData>
            </a:graphic>
          </wp:inline>
        </w:drawing>
      </w:r>
    </w:p>
    <w:p w14:paraId="273A6B3F">
      <w:pPr>
        <w:spacing w:line="360" w:lineRule="auto"/>
        <w:rPr>
          <w:rFonts w:hint="eastAsia"/>
          <w:color w:val="000000"/>
          <w:sz w:val="24"/>
        </w:rPr>
      </w:pPr>
      <w:r>
        <w:rPr>
          <w:rFonts w:hint="eastAsia"/>
          <w:color w:val="000000"/>
          <w:sz w:val="24"/>
        </w:rPr>
        <w:drawing>
          <wp:inline distT="0" distB="0" distL="0" distR="0">
            <wp:extent cx="4905375" cy="6124575"/>
            <wp:effectExtent l="0" t="0" r="0" b="0"/>
            <wp:docPr id="193" name="_x0000_i1392"/>
            <wp:cNvGraphicFramePr/>
            <a:graphic xmlns:a="http://schemas.openxmlformats.org/drawingml/2006/main">
              <a:graphicData uri="http://schemas.openxmlformats.org/drawingml/2006/picture">
                <pic:pic xmlns:pic="http://schemas.openxmlformats.org/drawingml/2006/picture">
                  <pic:nvPicPr>
                    <pic:cNvPr id="193" name="_x0000_i1392"/>
                    <pic:cNvPicPr/>
                  </pic:nvPicPr>
                  <pic:blipFill>
                    <a:blip r:embed="rId60"/>
                    <a:stretch>
                      <a:fillRect/>
                    </a:stretch>
                  </pic:blipFill>
                  <pic:spPr>
                    <a:xfrm>
                      <a:off x="0" y="0"/>
                      <a:ext cx="4905375" cy="6124575"/>
                    </a:xfrm>
                    <a:prstGeom prst="rect">
                      <a:avLst/>
                    </a:prstGeom>
                    <a:noFill/>
                    <a:ln>
                      <a:noFill/>
                    </a:ln>
                  </pic:spPr>
                </pic:pic>
              </a:graphicData>
            </a:graphic>
          </wp:inline>
        </w:drawing>
      </w:r>
    </w:p>
    <w:p w14:paraId="3BC65072">
      <w:pPr>
        <w:spacing w:line="360" w:lineRule="auto"/>
        <w:rPr>
          <w:rFonts w:hint="eastAsia"/>
          <w:color w:val="000000"/>
          <w:sz w:val="24"/>
        </w:rPr>
      </w:pPr>
      <w:r>
        <w:rPr>
          <w:rFonts w:hint="eastAsia"/>
          <w:color w:val="000000"/>
          <w:sz w:val="24"/>
        </w:rPr>
        <w:drawing>
          <wp:inline distT="0" distB="0" distL="0" distR="0">
            <wp:extent cx="5277485" cy="6545580"/>
            <wp:effectExtent l="0" t="0" r="0" b="0"/>
            <wp:docPr id="194" name="_x0000_i1393"/>
            <wp:cNvGraphicFramePr/>
            <a:graphic xmlns:a="http://schemas.openxmlformats.org/drawingml/2006/main">
              <a:graphicData uri="http://schemas.openxmlformats.org/drawingml/2006/picture">
                <pic:pic xmlns:pic="http://schemas.openxmlformats.org/drawingml/2006/picture">
                  <pic:nvPicPr>
                    <pic:cNvPr id="194" name="_x0000_i1393"/>
                    <pic:cNvPicPr/>
                  </pic:nvPicPr>
                  <pic:blipFill>
                    <a:blip r:embed="rId61"/>
                    <a:stretch>
                      <a:fillRect/>
                    </a:stretch>
                  </pic:blipFill>
                  <pic:spPr>
                    <a:xfrm>
                      <a:off x="0" y="0"/>
                      <a:ext cx="5277929" cy="6546126"/>
                    </a:xfrm>
                    <a:prstGeom prst="rect">
                      <a:avLst/>
                    </a:prstGeom>
                    <a:noFill/>
                    <a:ln>
                      <a:noFill/>
                    </a:ln>
                  </pic:spPr>
                </pic:pic>
              </a:graphicData>
            </a:graphic>
          </wp:inline>
        </w:drawing>
      </w:r>
    </w:p>
    <w:p w14:paraId="39B7A2DE">
      <w:pPr>
        <w:spacing w:line="360" w:lineRule="auto"/>
        <w:rPr>
          <w:rFonts w:hint="eastAsia"/>
          <w:color w:val="000000"/>
          <w:sz w:val="24"/>
        </w:rPr>
      </w:pPr>
      <w:r>
        <w:rPr>
          <w:rFonts w:hint="eastAsia"/>
          <w:color w:val="000000"/>
          <w:sz w:val="24"/>
        </w:rPr>
        <w:drawing>
          <wp:inline distT="0" distB="0" distL="0" distR="0">
            <wp:extent cx="4762500" cy="6696075"/>
            <wp:effectExtent l="0" t="0" r="0" b="0"/>
            <wp:docPr id="195" name="_x0000_i1394"/>
            <wp:cNvGraphicFramePr/>
            <a:graphic xmlns:a="http://schemas.openxmlformats.org/drawingml/2006/main">
              <a:graphicData uri="http://schemas.openxmlformats.org/drawingml/2006/picture">
                <pic:pic xmlns:pic="http://schemas.openxmlformats.org/drawingml/2006/picture">
                  <pic:nvPicPr>
                    <pic:cNvPr id="195" name="_x0000_i1394"/>
                    <pic:cNvPicPr/>
                  </pic:nvPicPr>
                  <pic:blipFill>
                    <a:blip r:embed="rId62"/>
                    <a:stretch>
                      <a:fillRect/>
                    </a:stretch>
                  </pic:blipFill>
                  <pic:spPr>
                    <a:xfrm>
                      <a:off x="0" y="0"/>
                      <a:ext cx="4762500" cy="6696075"/>
                    </a:xfrm>
                    <a:prstGeom prst="rect">
                      <a:avLst/>
                    </a:prstGeom>
                    <a:noFill/>
                    <a:ln>
                      <a:noFill/>
                    </a:ln>
                  </pic:spPr>
                </pic:pic>
              </a:graphicData>
            </a:graphic>
          </wp:inline>
        </w:drawing>
      </w:r>
    </w:p>
    <w:p w14:paraId="74922C3A">
      <w:pPr>
        <w:spacing w:line="360" w:lineRule="auto"/>
        <w:rPr>
          <w:rFonts w:hint="eastAsia"/>
          <w:color w:val="000000"/>
          <w:sz w:val="24"/>
        </w:rPr>
      </w:pPr>
      <w:r>
        <w:rPr>
          <w:rFonts w:hint="eastAsia"/>
          <w:color w:val="000000"/>
          <w:sz w:val="24"/>
        </w:rPr>
        <w:drawing>
          <wp:inline distT="0" distB="0" distL="0" distR="0">
            <wp:extent cx="4752975" cy="6686550"/>
            <wp:effectExtent l="0" t="0" r="0" b="0"/>
            <wp:docPr id="196" name="_x0000_i1395"/>
            <wp:cNvGraphicFramePr/>
            <a:graphic xmlns:a="http://schemas.openxmlformats.org/drawingml/2006/main">
              <a:graphicData uri="http://schemas.openxmlformats.org/drawingml/2006/picture">
                <pic:pic xmlns:pic="http://schemas.openxmlformats.org/drawingml/2006/picture">
                  <pic:nvPicPr>
                    <pic:cNvPr id="196" name="_x0000_i1395"/>
                    <pic:cNvPicPr/>
                  </pic:nvPicPr>
                  <pic:blipFill>
                    <a:blip r:embed="rId63"/>
                    <a:stretch>
                      <a:fillRect/>
                    </a:stretch>
                  </pic:blipFill>
                  <pic:spPr>
                    <a:xfrm>
                      <a:off x="0" y="0"/>
                      <a:ext cx="4752975" cy="6686550"/>
                    </a:xfrm>
                    <a:prstGeom prst="rect">
                      <a:avLst/>
                    </a:prstGeom>
                    <a:noFill/>
                    <a:ln>
                      <a:noFill/>
                    </a:ln>
                  </pic:spPr>
                </pic:pic>
              </a:graphicData>
            </a:graphic>
          </wp:inline>
        </w:drawing>
      </w:r>
    </w:p>
    <w:p w14:paraId="3D52C3EA">
      <w:pPr>
        <w:spacing w:line="360" w:lineRule="auto"/>
        <w:rPr>
          <w:rFonts w:hint="eastAsia"/>
          <w:color w:val="000000"/>
          <w:sz w:val="24"/>
        </w:rPr>
      </w:pPr>
      <w:r>
        <w:rPr>
          <w:rFonts w:hint="eastAsia"/>
          <w:color w:val="000000"/>
          <w:sz w:val="24"/>
        </w:rPr>
        <w:drawing>
          <wp:inline distT="0" distB="0" distL="0" distR="0">
            <wp:extent cx="4972050" cy="6743700"/>
            <wp:effectExtent l="0" t="0" r="0" b="0"/>
            <wp:docPr id="197" name="_x0000_i1396"/>
            <wp:cNvGraphicFramePr/>
            <a:graphic xmlns:a="http://schemas.openxmlformats.org/drawingml/2006/main">
              <a:graphicData uri="http://schemas.openxmlformats.org/drawingml/2006/picture">
                <pic:pic xmlns:pic="http://schemas.openxmlformats.org/drawingml/2006/picture">
                  <pic:nvPicPr>
                    <pic:cNvPr id="197" name="_x0000_i1396"/>
                    <pic:cNvPicPr/>
                  </pic:nvPicPr>
                  <pic:blipFill>
                    <a:blip r:embed="rId64"/>
                    <a:stretch>
                      <a:fillRect/>
                    </a:stretch>
                  </pic:blipFill>
                  <pic:spPr>
                    <a:xfrm>
                      <a:off x="0" y="0"/>
                      <a:ext cx="4972050" cy="6743700"/>
                    </a:xfrm>
                    <a:prstGeom prst="rect">
                      <a:avLst/>
                    </a:prstGeom>
                    <a:noFill/>
                    <a:ln>
                      <a:noFill/>
                    </a:ln>
                  </pic:spPr>
                </pic:pic>
              </a:graphicData>
            </a:graphic>
          </wp:inline>
        </w:drawing>
      </w:r>
    </w:p>
    <w:p w14:paraId="41445708">
      <w:pPr>
        <w:spacing w:line="360" w:lineRule="auto"/>
        <w:rPr>
          <w:rFonts w:hint="eastAsia"/>
          <w:color w:val="000000"/>
          <w:sz w:val="24"/>
        </w:rPr>
      </w:pPr>
      <w:r>
        <w:rPr>
          <w:rFonts w:hint="eastAsia"/>
          <w:color w:val="000000"/>
          <w:sz w:val="24"/>
        </w:rPr>
        <w:drawing>
          <wp:inline distT="0" distB="0" distL="0" distR="0">
            <wp:extent cx="4676775" cy="6553200"/>
            <wp:effectExtent l="0" t="0" r="0" b="0"/>
            <wp:docPr id="198" name="_x0000_i1397"/>
            <wp:cNvGraphicFramePr/>
            <a:graphic xmlns:a="http://schemas.openxmlformats.org/drawingml/2006/main">
              <a:graphicData uri="http://schemas.openxmlformats.org/drawingml/2006/picture">
                <pic:pic xmlns:pic="http://schemas.openxmlformats.org/drawingml/2006/picture">
                  <pic:nvPicPr>
                    <pic:cNvPr id="198" name="_x0000_i1397"/>
                    <pic:cNvPicPr/>
                  </pic:nvPicPr>
                  <pic:blipFill>
                    <a:blip r:embed="rId65"/>
                    <a:stretch>
                      <a:fillRect/>
                    </a:stretch>
                  </pic:blipFill>
                  <pic:spPr>
                    <a:xfrm>
                      <a:off x="0" y="0"/>
                      <a:ext cx="4676775" cy="6553200"/>
                    </a:xfrm>
                    <a:prstGeom prst="rect">
                      <a:avLst/>
                    </a:prstGeom>
                    <a:noFill/>
                    <a:ln>
                      <a:noFill/>
                    </a:ln>
                  </pic:spPr>
                </pic:pic>
              </a:graphicData>
            </a:graphic>
          </wp:inline>
        </w:drawing>
      </w:r>
    </w:p>
    <w:p w14:paraId="250E3914">
      <w:pPr>
        <w:spacing w:line="360" w:lineRule="auto"/>
        <w:rPr>
          <w:rFonts w:hint="eastAsia"/>
          <w:color w:val="000000"/>
          <w:sz w:val="24"/>
        </w:rPr>
      </w:pPr>
      <w:r>
        <w:rPr>
          <w:rFonts w:hint="eastAsia"/>
          <w:color w:val="000000"/>
          <w:sz w:val="24"/>
        </w:rPr>
        <w:drawing>
          <wp:inline distT="0" distB="0" distL="0" distR="0">
            <wp:extent cx="4924425" cy="6705600"/>
            <wp:effectExtent l="0" t="0" r="0" b="0"/>
            <wp:docPr id="199" name="_x0000_i1398"/>
            <wp:cNvGraphicFramePr/>
            <a:graphic xmlns:a="http://schemas.openxmlformats.org/drawingml/2006/main">
              <a:graphicData uri="http://schemas.openxmlformats.org/drawingml/2006/picture">
                <pic:pic xmlns:pic="http://schemas.openxmlformats.org/drawingml/2006/picture">
                  <pic:nvPicPr>
                    <pic:cNvPr id="199" name="_x0000_i1398"/>
                    <pic:cNvPicPr/>
                  </pic:nvPicPr>
                  <pic:blipFill>
                    <a:blip r:embed="rId66"/>
                    <a:stretch>
                      <a:fillRect/>
                    </a:stretch>
                  </pic:blipFill>
                  <pic:spPr>
                    <a:xfrm>
                      <a:off x="0" y="0"/>
                      <a:ext cx="4924425" cy="6705600"/>
                    </a:xfrm>
                    <a:prstGeom prst="rect">
                      <a:avLst/>
                    </a:prstGeom>
                    <a:noFill/>
                    <a:ln>
                      <a:noFill/>
                    </a:ln>
                  </pic:spPr>
                </pic:pic>
              </a:graphicData>
            </a:graphic>
          </wp:inline>
        </w:drawing>
      </w:r>
    </w:p>
    <w:p w14:paraId="606B09EF">
      <w:pPr>
        <w:spacing w:line="360" w:lineRule="auto"/>
        <w:rPr>
          <w:rFonts w:hint="eastAsia"/>
          <w:color w:val="000000"/>
          <w:sz w:val="24"/>
        </w:rPr>
      </w:pPr>
      <w:r>
        <w:rPr>
          <w:color w:val="000000"/>
          <w:sz w:val="24"/>
        </w:rPr>
        <w:drawing>
          <wp:inline distT="0" distB="0" distL="0" distR="0">
            <wp:extent cx="5569585" cy="4561840"/>
            <wp:effectExtent l="0" t="0" r="0" b="0"/>
            <wp:docPr id="200" name="_x0000_i1399"/>
            <wp:cNvGraphicFramePr/>
            <a:graphic xmlns:a="http://schemas.openxmlformats.org/drawingml/2006/main">
              <a:graphicData uri="http://schemas.openxmlformats.org/drawingml/2006/picture">
                <pic:pic xmlns:pic="http://schemas.openxmlformats.org/drawingml/2006/picture">
                  <pic:nvPicPr>
                    <pic:cNvPr id="200" name="_x0000_i1399"/>
                    <pic:cNvPicPr/>
                  </pic:nvPicPr>
                  <pic:blipFill>
                    <a:blip r:embed="rId67"/>
                    <a:stretch>
                      <a:fillRect/>
                    </a:stretch>
                  </pic:blipFill>
                  <pic:spPr>
                    <a:xfrm>
                      <a:off x="0" y="0"/>
                      <a:ext cx="5569610" cy="4562399"/>
                    </a:xfrm>
                    <a:prstGeom prst="rect">
                      <a:avLst/>
                    </a:prstGeom>
                    <a:noFill/>
                    <a:ln>
                      <a:noFill/>
                    </a:ln>
                  </pic:spPr>
                </pic:pic>
              </a:graphicData>
            </a:graphic>
          </wp:inline>
        </w:drawing>
      </w:r>
    </w:p>
    <w:p w14:paraId="0D8FFC17">
      <w:pPr>
        <w:spacing w:line="360" w:lineRule="auto"/>
        <w:rPr>
          <w:rFonts w:hint="eastAsia"/>
          <w:color w:val="000000"/>
          <w:sz w:val="24"/>
        </w:rPr>
      </w:pPr>
      <w:r>
        <w:rPr>
          <w:color w:val="000000"/>
          <w:sz w:val="24"/>
        </w:rPr>
        <w:drawing>
          <wp:inline distT="0" distB="0" distL="0" distR="0">
            <wp:extent cx="5633720" cy="4095115"/>
            <wp:effectExtent l="0" t="0" r="0" b="0"/>
            <wp:docPr id="201" name="_x0000_i1400"/>
            <wp:cNvGraphicFramePr/>
            <a:graphic xmlns:a="http://schemas.openxmlformats.org/drawingml/2006/main">
              <a:graphicData uri="http://schemas.openxmlformats.org/drawingml/2006/picture">
                <pic:pic xmlns:pic="http://schemas.openxmlformats.org/drawingml/2006/picture">
                  <pic:nvPicPr>
                    <pic:cNvPr id="201" name="_x0000_i1400"/>
                    <pic:cNvPicPr/>
                  </pic:nvPicPr>
                  <pic:blipFill>
                    <a:blip r:embed="rId68"/>
                    <a:stretch>
                      <a:fillRect/>
                    </a:stretch>
                  </pic:blipFill>
                  <pic:spPr>
                    <a:xfrm>
                      <a:off x="0" y="0"/>
                      <a:ext cx="5633745" cy="4095725"/>
                    </a:xfrm>
                    <a:prstGeom prst="rect">
                      <a:avLst/>
                    </a:prstGeom>
                    <a:noFill/>
                    <a:ln>
                      <a:noFill/>
                      <a:bevel/>
                    </a:ln>
                  </pic:spPr>
                </pic:pic>
              </a:graphicData>
            </a:graphic>
          </wp:inline>
        </w:drawing>
      </w:r>
    </w:p>
    <w:p w14:paraId="5F65A549">
      <w:pPr>
        <w:spacing w:line="360" w:lineRule="auto"/>
        <w:rPr>
          <w:rFonts w:hint="eastAsia"/>
          <w:color w:val="000000"/>
          <w:sz w:val="24"/>
        </w:rPr>
      </w:pPr>
      <w:r>
        <w:rPr>
          <w:color w:val="000000"/>
          <w:sz w:val="24"/>
        </w:rPr>
        <w:drawing>
          <wp:inline distT="0" distB="0" distL="0" distR="0">
            <wp:extent cx="5665470" cy="7781925"/>
            <wp:effectExtent l="0" t="0" r="0" b="0"/>
            <wp:docPr id="202" name="_x0000_i1401"/>
            <wp:cNvGraphicFramePr/>
            <a:graphic xmlns:a="http://schemas.openxmlformats.org/drawingml/2006/main">
              <a:graphicData uri="http://schemas.openxmlformats.org/drawingml/2006/picture">
                <pic:pic xmlns:pic="http://schemas.openxmlformats.org/drawingml/2006/picture">
                  <pic:nvPicPr>
                    <pic:cNvPr id="202" name="_x0000_i1401"/>
                    <pic:cNvPicPr/>
                  </pic:nvPicPr>
                  <pic:blipFill>
                    <a:blip r:embed="rId69"/>
                    <a:stretch>
                      <a:fillRect/>
                    </a:stretch>
                  </pic:blipFill>
                  <pic:spPr>
                    <a:xfrm>
                      <a:off x="0" y="0"/>
                      <a:ext cx="5666080" cy="7782027"/>
                    </a:xfrm>
                    <a:prstGeom prst="rect">
                      <a:avLst/>
                    </a:prstGeom>
                    <a:noFill/>
                    <a:ln>
                      <a:noFill/>
                    </a:ln>
                  </pic:spPr>
                </pic:pic>
              </a:graphicData>
            </a:graphic>
          </wp:inline>
        </w:drawing>
      </w:r>
    </w:p>
    <w:p w14:paraId="096D8997">
      <w:pPr>
        <w:spacing w:line="360" w:lineRule="auto"/>
        <w:rPr>
          <w:rFonts w:hint="eastAsia"/>
          <w:color w:val="000000"/>
          <w:sz w:val="24"/>
        </w:rPr>
      </w:pPr>
    </w:p>
    <w:p w14:paraId="679C01AD">
      <w:pPr>
        <w:spacing w:line="360" w:lineRule="auto"/>
        <w:rPr>
          <w:rFonts w:hint="eastAsia"/>
          <w:color w:val="000000"/>
          <w:sz w:val="24"/>
        </w:rPr>
      </w:pPr>
      <w:r>
        <w:rPr>
          <w:color w:val="000000"/>
          <w:sz w:val="24"/>
        </w:rPr>
        <w:drawing>
          <wp:inline distT="0" distB="0" distL="0" distR="0">
            <wp:extent cx="5354955" cy="5191760"/>
            <wp:effectExtent l="0" t="0" r="0" b="0"/>
            <wp:docPr id="203" name="_x0000_i1402"/>
            <wp:cNvGraphicFramePr/>
            <a:graphic xmlns:a="http://schemas.openxmlformats.org/drawingml/2006/main">
              <a:graphicData uri="http://schemas.openxmlformats.org/drawingml/2006/picture">
                <pic:pic xmlns:pic="http://schemas.openxmlformats.org/drawingml/2006/picture">
                  <pic:nvPicPr>
                    <pic:cNvPr id="203" name="_x0000_i1402"/>
                    <pic:cNvPicPr/>
                  </pic:nvPicPr>
                  <pic:blipFill>
                    <a:blip r:embed="rId70"/>
                    <a:stretch>
                      <a:fillRect/>
                    </a:stretch>
                  </pic:blipFill>
                  <pic:spPr>
                    <a:xfrm>
                      <a:off x="0" y="0"/>
                      <a:ext cx="5355488" cy="5191963"/>
                    </a:xfrm>
                    <a:prstGeom prst="rect">
                      <a:avLst/>
                    </a:prstGeom>
                    <a:noFill/>
                    <a:ln>
                      <a:noFill/>
                    </a:ln>
                  </pic:spPr>
                </pic:pic>
              </a:graphicData>
            </a:graphic>
          </wp:inline>
        </w:drawing>
      </w:r>
    </w:p>
    <w:p w14:paraId="24852EB2">
      <w:pPr>
        <w:spacing w:line="360" w:lineRule="auto"/>
        <w:rPr>
          <w:rFonts w:hint="eastAsia"/>
          <w:color w:val="000000"/>
          <w:sz w:val="24"/>
        </w:rPr>
      </w:pPr>
      <w:r>
        <w:rPr>
          <w:color w:val="000000"/>
          <w:sz w:val="24"/>
        </w:rPr>
        <w:drawing>
          <wp:inline distT="0" distB="0" distL="0" distR="0">
            <wp:extent cx="5533390" cy="6873240"/>
            <wp:effectExtent l="0" t="0" r="0" b="0"/>
            <wp:docPr id="204" name="_x0000_i1403"/>
            <wp:cNvGraphicFramePr/>
            <a:graphic xmlns:a="http://schemas.openxmlformats.org/drawingml/2006/main">
              <a:graphicData uri="http://schemas.openxmlformats.org/drawingml/2006/picture">
                <pic:pic xmlns:pic="http://schemas.openxmlformats.org/drawingml/2006/picture">
                  <pic:nvPicPr>
                    <pic:cNvPr id="204" name="_x0000_i1403"/>
                    <pic:cNvPicPr/>
                  </pic:nvPicPr>
                  <pic:blipFill>
                    <a:blip r:embed="rId71"/>
                    <a:stretch>
                      <a:fillRect/>
                    </a:stretch>
                  </pic:blipFill>
                  <pic:spPr>
                    <a:xfrm>
                      <a:off x="0" y="0"/>
                      <a:ext cx="5533949" cy="6873405"/>
                    </a:xfrm>
                    <a:prstGeom prst="rect">
                      <a:avLst/>
                    </a:prstGeom>
                    <a:noFill/>
                    <a:ln>
                      <a:noFill/>
                    </a:ln>
                  </pic:spPr>
                </pic:pic>
              </a:graphicData>
            </a:graphic>
          </wp:inline>
        </w:drawing>
      </w:r>
    </w:p>
    <w:p w14:paraId="43A8FA5A">
      <w:pPr>
        <w:spacing w:line="360" w:lineRule="auto"/>
        <w:rPr>
          <w:rFonts w:hint="eastAsia"/>
          <w:color w:val="000000"/>
          <w:sz w:val="24"/>
        </w:rPr>
      </w:pPr>
      <w:r>
        <w:rPr>
          <w:color w:val="000000"/>
          <w:sz w:val="24"/>
        </w:rPr>
        <w:drawing>
          <wp:inline distT="0" distB="0" distL="0" distR="0">
            <wp:extent cx="5815330" cy="4375785"/>
            <wp:effectExtent l="0" t="0" r="0" b="0"/>
            <wp:docPr id="205" name="_x0000_i1404"/>
            <wp:cNvGraphicFramePr/>
            <a:graphic xmlns:a="http://schemas.openxmlformats.org/drawingml/2006/main">
              <a:graphicData uri="http://schemas.openxmlformats.org/drawingml/2006/picture">
                <pic:pic xmlns:pic="http://schemas.openxmlformats.org/drawingml/2006/picture">
                  <pic:nvPicPr>
                    <pic:cNvPr id="205" name="_x0000_i1404"/>
                    <pic:cNvPicPr/>
                  </pic:nvPicPr>
                  <pic:blipFill>
                    <a:blip r:embed="rId72"/>
                    <a:stretch>
                      <a:fillRect/>
                    </a:stretch>
                  </pic:blipFill>
                  <pic:spPr>
                    <a:xfrm>
                      <a:off x="0" y="0"/>
                      <a:ext cx="5815482" cy="4375861"/>
                    </a:xfrm>
                    <a:prstGeom prst="rect">
                      <a:avLst/>
                    </a:prstGeom>
                    <a:noFill/>
                    <a:ln>
                      <a:noFill/>
                    </a:ln>
                  </pic:spPr>
                </pic:pic>
              </a:graphicData>
            </a:graphic>
          </wp:inline>
        </w:drawing>
      </w:r>
    </w:p>
    <w:p w14:paraId="2C380F5D">
      <w:pPr>
        <w:spacing w:line="360" w:lineRule="auto"/>
        <w:rPr>
          <w:rFonts w:hint="eastAsia"/>
          <w:color w:val="000000"/>
          <w:sz w:val="24"/>
        </w:rPr>
      </w:pPr>
      <w:r>
        <w:rPr>
          <w:color w:val="000000"/>
          <w:sz w:val="24"/>
        </w:rPr>
        <w:drawing>
          <wp:inline distT="0" distB="0" distL="0" distR="0">
            <wp:extent cx="6135370" cy="4608195"/>
            <wp:effectExtent l="0" t="0" r="0" b="0"/>
            <wp:docPr id="206" name="_x0000_i1405"/>
            <wp:cNvGraphicFramePr/>
            <a:graphic xmlns:a="http://schemas.openxmlformats.org/drawingml/2006/main">
              <a:graphicData uri="http://schemas.openxmlformats.org/drawingml/2006/picture">
                <pic:pic xmlns:pic="http://schemas.openxmlformats.org/drawingml/2006/picture">
                  <pic:nvPicPr>
                    <pic:cNvPr id="206" name="_x0000_i1405"/>
                    <pic:cNvPicPr/>
                  </pic:nvPicPr>
                  <pic:blipFill>
                    <a:blip r:embed="rId73"/>
                    <a:stretch>
                      <a:fillRect/>
                    </a:stretch>
                  </pic:blipFill>
                  <pic:spPr>
                    <a:xfrm>
                      <a:off x="0" y="0"/>
                      <a:ext cx="6135827" cy="4608652"/>
                    </a:xfrm>
                    <a:prstGeom prst="rect">
                      <a:avLst/>
                    </a:prstGeom>
                    <a:noFill/>
                    <a:ln>
                      <a:noFill/>
                    </a:ln>
                  </pic:spPr>
                </pic:pic>
              </a:graphicData>
            </a:graphic>
          </wp:inline>
        </w:drawing>
      </w:r>
    </w:p>
    <w:p w14:paraId="75C342C2">
      <w:pPr>
        <w:spacing w:line="360" w:lineRule="auto"/>
        <w:rPr>
          <w:rFonts w:hint="eastAsia"/>
          <w:color w:val="000000"/>
          <w:sz w:val="24"/>
        </w:rPr>
      </w:pPr>
      <w:r>
        <w:rPr>
          <w:color w:val="000000"/>
          <w:sz w:val="24"/>
        </w:rPr>
        <w:drawing>
          <wp:inline distT="0" distB="0" distL="0" distR="0">
            <wp:extent cx="5455285" cy="7491095"/>
            <wp:effectExtent l="0" t="0" r="0" b="0"/>
            <wp:docPr id="207" name="_x0000_i1406"/>
            <wp:cNvGraphicFramePr/>
            <a:graphic xmlns:a="http://schemas.openxmlformats.org/drawingml/2006/main">
              <a:graphicData uri="http://schemas.openxmlformats.org/drawingml/2006/picture">
                <pic:pic xmlns:pic="http://schemas.openxmlformats.org/drawingml/2006/picture">
                  <pic:nvPicPr>
                    <pic:cNvPr id="207" name="_x0000_i1406"/>
                    <pic:cNvPicPr/>
                  </pic:nvPicPr>
                  <pic:blipFill>
                    <a:blip r:embed="rId74"/>
                    <a:stretch>
                      <a:fillRect/>
                    </a:stretch>
                  </pic:blipFill>
                  <pic:spPr>
                    <a:xfrm>
                      <a:off x="0" y="0"/>
                      <a:ext cx="5455780" cy="7491159"/>
                    </a:xfrm>
                    <a:prstGeom prst="rect">
                      <a:avLst/>
                    </a:prstGeom>
                    <a:noFill/>
                    <a:ln>
                      <a:noFill/>
                    </a:ln>
                  </pic:spPr>
                </pic:pic>
              </a:graphicData>
            </a:graphic>
          </wp:inline>
        </w:drawing>
      </w:r>
    </w:p>
    <w:p w14:paraId="09BC499F">
      <w:pPr>
        <w:rPr>
          <w:rFonts w:hint="eastAsia"/>
          <w:color w:val="000000"/>
        </w:rPr>
      </w:pPr>
      <w:r>
        <w:rPr>
          <w:color w:val="000000"/>
        </w:rPr>
        <w:drawing>
          <wp:inline distT="0" distB="0" distL="0" distR="0">
            <wp:extent cx="5253990" cy="8054340"/>
            <wp:effectExtent l="0" t="0" r="0" b="0"/>
            <wp:docPr id="208" name="_x0000_i1407"/>
            <wp:cNvGraphicFramePr/>
            <a:graphic xmlns:a="http://schemas.openxmlformats.org/drawingml/2006/main">
              <a:graphicData uri="http://schemas.openxmlformats.org/drawingml/2006/picture">
                <pic:pic xmlns:pic="http://schemas.openxmlformats.org/drawingml/2006/picture">
                  <pic:nvPicPr>
                    <pic:cNvPr id="208" name="_x0000_i1407"/>
                    <pic:cNvPicPr/>
                  </pic:nvPicPr>
                  <pic:blipFill>
                    <a:blip r:embed="rId75"/>
                    <a:stretch>
                      <a:fillRect/>
                    </a:stretch>
                  </pic:blipFill>
                  <pic:spPr>
                    <a:xfrm>
                      <a:off x="0" y="0"/>
                      <a:ext cx="5254142" cy="8054340"/>
                    </a:xfrm>
                    <a:prstGeom prst="rect">
                      <a:avLst/>
                    </a:prstGeom>
                    <a:noFill/>
                    <a:ln>
                      <a:noFill/>
                    </a:ln>
                  </pic:spPr>
                </pic:pic>
              </a:graphicData>
            </a:graphic>
          </wp:inline>
        </w:drawing>
      </w:r>
    </w:p>
    <w:p w14:paraId="1517AB7A">
      <w:pPr>
        <w:rPr>
          <w:rFonts w:hint="eastAsia"/>
          <w:color w:val="000000"/>
        </w:rPr>
      </w:pPr>
    </w:p>
    <w:p w14:paraId="3D59AECA">
      <w:pPr>
        <w:rPr>
          <w:rFonts w:hint="eastAsia"/>
          <w:color w:val="000000"/>
        </w:rPr>
      </w:pPr>
    </w:p>
    <w:p w14:paraId="71D40A99">
      <w:pPr>
        <w:rPr>
          <w:rFonts w:hint="eastAsia"/>
          <w:color w:val="000000"/>
        </w:rPr>
      </w:pPr>
    </w:p>
    <w:p w14:paraId="00FA7A7C">
      <w:pPr>
        <w:rPr>
          <w:rFonts w:hint="eastAsia"/>
          <w:color w:val="000000"/>
        </w:rPr>
      </w:pPr>
      <w:r>
        <w:rPr>
          <w:color w:val="000000"/>
        </w:rPr>
        <w:drawing>
          <wp:inline distT="0" distB="0" distL="0" distR="0">
            <wp:extent cx="5253990" cy="8107680"/>
            <wp:effectExtent l="0" t="0" r="0" b="0"/>
            <wp:docPr id="209" name="_x0000_i1408"/>
            <wp:cNvGraphicFramePr/>
            <a:graphic xmlns:a="http://schemas.openxmlformats.org/drawingml/2006/main">
              <a:graphicData uri="http://schemas.openxmlformats.org/drawingml/2006/picture">
                <pic:pic xmlns:pic="http://schemas.openxmlformats.org/drawingml/2006/picture">
                  <pic:nvPicPr>
                    <pic:cNvPr id="209" name="_x0000_i1408"/>
                    <pic:cNvPicPr/>
                  </pic:nvPicPr>
                  <pic:blipFill>
                    <a:blip r:embed="rId76"/>
                    <a:stretch>
                      <a:fillRect/>
                    </a:stretch>
                  </pic:blipFill>
                  <pic:spPr>
                    <a:xfrm>
                      <a:off x="0" y="0"/>
                      <a:ext cx="5254142" cy="8107680"/>
                    </a:xfrm>
                    <a:prstGeom prst="rect">
                      <a:avLst/>
                    </a:prstGeom>
                    <a:noFill/>
                    <a:ln>
                      <a:noFill/>
                    </a:ln>
                  </pic:spPr>
                </pic:pic>
              </a:graphicData>
            </a:graphic>
          </wp:inline>
        </w:drawing>
      </w:r>
    </w:p>
    <w:p w14:paraId="3E17D6C3">
      <w:pPr>
        <w:rPr>
          <w:rFonts w:hint="eastAsia"/>
          <w:color w:val="000000"/>
        </w:rPr>
      </w:pPr>
    </w:p>
    <w:p w14:paraId="4D4C7384">
      <w:pPr>
        <w:rPr>
          <w:rFonts w:hint="eastAsia"/>
          <w:color w:val="000000"/>
        </w:rPr>
      </w:pPr>
    </w:p>
    <w:p w14:paraId="60B4F03B">
      <w:pPr>
        <w:rPr>
          <w:rFonts w:hint="eastAsia"/>
          <w:color w:val="000000"/>
        </w:rPr>
      </w:pPr>
    </w:p>
    <w:p w14:paraId="6FA602BB">
      <w:pPr>
        <w:rPr>
          <w:rFonts w:hint="eastAsia"/>
          <w:color w:val="000000"/>
        </w:rPr>
      </w:pPr>
      <w:r>
        <w:rPr>
          <w:color w:val="000000"/>
        </w:rPr>
        <w:drawing>
          <wp:inline distT="0" distB="0" distL="0" distR="0">
            <wp:extent cx="5370195" cy="9099550"/>
            <wp:effectExtent l="0" t="0" r="0" b="0"/>
            <wp:docPr id="210" name="_x0000_i1409"/>
            <wp:cNvGraphicFramePr/>
            <a:graphic xmlns:a="http://schemas.openxmlformats.org/drawingml/2006/main">
              <a:graphicData uri="http://schemas.openxmlformats.org/drawingml/2006/picture">
                <pic:pic xmlns:pic="http://schemas.openxmlformats.org/drawingml/2006/picture">
                  <pic:nvPicPr>
                    <pic:cNvPr id="210" name="_x0000_i1409"/>
                    <pic:cNvPicPr/>
                  </pic:nvPicPr>
                  <pic:blipFill>
                    <a:blip r:embed="rId77"/>
                    <a:stretch>
                      <a:fillRect/>
                    </a:stretch>
                  </pic:blipFill>
                  <pic:spPr>
                    <a:xfrm>
                      <a:off x="0" y="0"/>
                      <a:ext cx="5370728" cy="9099804"/>
                    </a:xfrm>
                    <a:prstGeom prst="rect">
                      <a:avLst/>
                    </a:prstGeom>
                    <a:noFill/>
                    <a:ln>
                      <a:noFill/>
                    </a:ln>
                  </pic:spPr>
                </pic:pic>
              </a:graphicData>
            </a:graphic>
          </wp:inline>
        </w:drawing>
      </w:r>
    </w:p>
    <w:p w14:paraId="60A81117">
      <w:pPr>
        <w:jc w:val="left"/>
        <w:rPr>
          <w:b/>
          <w:color w:val="000000"/>
          <w:sz w:val="36"/>
          <w:szCs w:val="36"/>
        </w:rPr>
      </w:pPr>
      <w:r>
        <w:rPr>
          <w:b/>
          <w:color w:val="000000"/>
          <w:sz w:val="36"/>
          <w:szCs w:val="36"/>
        </w:rPr>
        <w:t>一、样品情况一览表</w:t>
      </w:r>
    </w:p>
    <w:p w14:paraId="490F9254">
      <w:pPr>
        <w:jc w:val="left"/>
        <w:rPr>
          <w:b/>
          <w:color w:val="000000"/>
          <w:sz w:val="10"/>
          <w:szCs w:val="10"/>
        </w:rPr>
      </w:pPr>
    </w:p>
    <w:tbl>
      <w:tblPr>
        <w:tblStyle w:val="27"/>
        <w:tblW w:w="0" w:type="auto"/>
        <w:tblInd w:w="-99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086"/>
        <w:gridCol w:w="787"/>
        <w:gridCol w:w="787"/>
        <w:gridCol w:w="712"/>
        <w:gridCol w:w="75"/>
        <w:gridCol w:w="788"/>
        <w:gridCol w:w="134"/>
        <w:gridCol w:w="654"/>
        <w:gridCol w:w="794"/>
        <w:gridCol w:w="788"/>
        <w:gridCol w:w="326"/>
        <w:gridCol w:w="462"/>
        <w:gridCol w:w="789"/>
        <w:gridCol w:w="788"/>
        <w:gridCol w:w="788"/>
        <w:gridCol w:w="790"/>
      </w:tblGrid>
      <w:tr w14:paraId="3FB751E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36" w:hRule="atLeast"/>
        </w:trPr>
        <w:tc>
          <w:tcPr>
            <w:tcW w:w="1086" w:type="dxa"/>
            <w:noWrap w:val="0"/>
            <w:vAlign w:val="center"/>
          </w:tcPr>
          <w:p w14:paraId="3955E458">
            <w:pPr>
              <w:jc w:val="center"/>
              <w:rPr>
                <w:b/>
                <w:color w:val="000000"/>
                <w:szCs w:val="21"/>
              </w:rPr>
            </w:pPr>
            <w:r>
              <w:rPr>
                <w:rFonts w:hAnsi="宋体"/>
                <w:b/>
                <w:color w:val="000000"/>
                <w:szCs w:val="21"/>
              </w:rPr>
              <w:t>委托单位</w:t>
            </w:r>
          </w:p>
        </w:tc>
        <w:tc>
          <w:tcPr>
            <w:tcW w:w="3283" w:type="dxa"/>
            <w:gridSpan w:val="6"/>
            <w:noWrap w:val="0"/>
            <w:vAlign w:val="center"/>
          </w:tcPr>
          <w:p w14:paraId="7A0BF248">
            <w:pPr>
              <w:jc w:val="center"/>
              <w:rPr>
                <w:color w:val="000000"/>
                <w:szCs w:val="21"/>
              </w:rPr>
            </w:pPr>
            <w:r>
              <w:rPr>
                <w:rFonts w:hint="eastAsia" w:hAnsi="宋体"/>
                <w:b/>
                <w:bCs/>
                <w:color w:val="000000"/>
                <w:szCs w:val="21"/>
              </w:rPr>
              <w:t>曲靖华府医院</w:t>
            </w:r>
          </w:p>
        </w:tc>
        <w:tc>
          <w:tcPr>
            <w:tcW w:w="2562" w:type="dxa"/>
            <w:gridSpan w:val="4"/>
            <w:noWrap w:val="0"/>
            <w:vAlign w:val="center"/>
          </w:tcPr>
          <w:p w14:paraId="2599C1D5">
            <w:pPr>
              <w:spacing w:line="320" w:lineRule="exact"/>
              <w:jc w:val="center"/>
              <w:rPr>
                <w:b/>
                <w:color w:val="000000"/>
                <w:szCs w:val="21"/>
              </w:rPr>
            </w:pPr>
            <w:r>
              <w:rPr>
                <w:rFonts w:hAnsi="宋体"/>
                <w:b/>
                <w:color w:val="000000"/>
                <w:szCs w:val="21"/>
              </w:rPr>
              <w:t>采样地点</w:t>
            </w:r>
          </w:p>
        </w:tc>
        <w:tc>
          <w:tcPr>
            <w:tcW w:w="3617" w:type="dxa"/>
            <w:gridSpan w:val="5"/>
            <w:noWrap w:val="0"/>
            <w:vAlign w:val="center"/>
          </w:tcPr>
          <w:p w14:paraId="27B64485">
            <w:pPr>
              <w:jc w:val="center"/>
              <w:rPr>
                <w:color w:val="000000"/>
                <w:szCs w:val="21"/>
              </w:rPr>
            </w:pPr>
            <w:r>
              <w:rPr>
                <w:rFonts w:hint="eastAsia" w:hAnsi="宋体"/>
                <w:b/>
                <w:bCs/>
                <w:color w:val="000000"/>
                <w:szCs w:val="21"/>
              </w:rPr>
              <w:t>曲靖华府医院</w:t>
            </w:r>
          </w:p>
        </w:tc>
      </w:tr>
      <w:tr w14:paraId="122A573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54" w:hRule="atLeast"/>
        </w:trPr>
        <w:tc>
          <w:tcPr>
            <w:tcW w:w="1086" w:type="dxa"/>
            <w:noWrap w:val="0"/>
            <w:vAlign w:val="center"/>
          </w:tcPr>
          <w:p w14:paraId="1ECDB42D">
            <w:pPr>
              <w:jc w:val="center"/>
              <w:rPr>
                <w:b/>
                <w:color w:val="000000"/>
                <w:szCs w:val="21"/>
              </w:rPr>
            </w:pPr>
            <w:r>
              <w:rPr>
                <w:rFonts w:hAnsi="宋体"/>
                <w:b/>
                <w:color w:val="000000"/>
                <w:szCs w:val="21"/>
              </w:rPr>
              <w:t>采样时间</w:t>
            </w:r>
          </w:p>
        </w:tc>
        <w:tc>
          <w:tcPr>
            <w:tcW w:w="3283" w:type="dxa"/>
            <w:gridSpan w:val="6"/>
            <w:noWrap w:val="0"/>
            <w:vAlign w:val="center"/>
          </w:tcPr>
          <w:p w14:paraId="430D672C">
            <w:pPr>
              <w:jc w:val="center"/>
              <w:rPr>
                <w:color w:val="000000"/>
                <w:szCs w:val="21"/>
              </w:rPr>
            </w:pPr>
            <w:r>
              <w:rPr>
                <w:rFonts w:hint="eastAsia" w:ascii="宋体" w:hAnsi="宋体" w:cs="宋体"/>
                <w:color w:val="000000"/>
                <w:spacing w:val="14"/>
                <w:sz w:val="24"/>
              </w:rPr>
              <w:t>2014年09月10日至09月12日</w:t>
            </w:r>
          </w:p>
        </w:tc>
        <w:tc>
          <w:tcPr>
            <w:tcW w:w="2562" w:type="dxa"/>
            <w:gridSpan w:val="4"/>
            <w:noWrap w:val="0"/>
            <w:vAlign w:val="center"/>
          </w:tcPr>
          <w:p w14:paraId="2B1DBF43">
            <w:pPr>
              <w:jc w:val="center"/>
              <w:rPr>
                <w:b/>
                <w:color w:val="000000"/>
                <w:szCs w:val="21"/>
              </w:rPr>
            </w:pPr>
            <w:r>
              <w:rPr>
                <w:rFonts w:hAnsi="宋体"/>
                <w:b/>
                <w:color w:val="000000"/>
                <w:szCs w:val="21"/>
              </w:rPr>
              <w:t>采样人</w:t>
            </w:r>
          </w:p>
        </w:tc>
        <w:tc>
          <w:tcPr>
            <w:tcW w:w="3617" w:type="dxa"/>
            <w:gridSpan w:val="5"/>
            <w:noWrap w:val="0"/>
            <w:vAlign w:val="center"/>
          </w:tcPr>
          <w:p w14:paraId="15E26BFA">
            <w:pPr>
              <w:jc w:val="center"/>
              <w:rPr>
                <w:color w:val="000000"/>
                <w:szCs w:val="21"/>
              </w:rPr>
            </w:pPr>
            <w:r>
              <w:rPr>
                <w:rFonts w:hAnsi="宋体"/>
                <w:color w:val="000000"/>
                <w:szCs w:val="21"/>
              </w:rPr>
              <w:t>保凡</w:t>
            </w:r>
            <w:r>
              <w:rPr>
                <w:rFonts w:hint="eastAsia" w:hAnsi="宋体"/>
                <w:color w:val="000000"/>
                <w:szCs w:val="21"/>
              </w:rPr>
              <w:t>，陈俊</w:t>
            </w:r>
          </w:p>
        </w:tc>
      </w:tr>
      <w:tr w14:paraId="0D74DF3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60" w:hRule="atLeast"/>
        </w:trPr>
        <w:tc>
          <w:tcPr>
            <w:tcW w:w="1086" w:type="dxa"/>
            <w:noWrap w:val="0"/>
            <w:vAlign w:val="center"/>
          </w:tcPr>
          <w:p w14:paraId="5A3C00F5">
            <w:pPr>
              <w:jc w:val="center"/>
              <w:rPr>
                <w:b/>
                <w:color w:val="000000"/>
                <w:szCs w:val="21"/>
              </w:rPr>
            </w:pPr>
            <w:r>
              <w:rPr>
                <w:rFonts w:hAnsi="宋体"/>
                <w:b/>
                <w:color w:val="000000"/>
                <w:szCs w:val="21"/>
              </w:rPr>
              <w:t>检测时间</w:t>
            </w:r>
          </w:p>
        </w:tc>
        <w:tc>
          <w:tcPr>
            <w:tcW w:w="2286" w:type="dxa"/>
            <w:gridSpan w:val="3"/>
            <w:noWrap w:val="0"/>
            <w:vAlign w:val="center"/>
          </w:tcPr>
          <w:p w14:paraId="64A6EFBD">
            <w:pPr>
              <w:jc w:val="center"/>
              <w:rPr>
                <w:color w:val="000000"/>
                <w:szCs w:val="21"/>
              </w:rPr>
            </w:pPr>
            <w:r>
              <w:rPr>
                <w:color w:val="000000"/>
                <w:szCs w:val="21"/>
              </w:rPr>
              <w:t>2014.0</w:t>
            </w:r>
            <w:r>
              <w:rPr>
                <w:rFonts w:hint="eastAsia"/>
                <w:color w:val="000000"/>
                <w:szCs w:val="21"/>
              </w:rPr>
              <w:t>9</w:t>
            </w:r>
            <w:r>
              <w:rPr>
                <w:color w:val="000000"/>
                <w:szCs w:val="21"/>
              </w:rPr>
              <w:t>.</w:t>
            </w:r>
            <w:r>
              <w:rPr>
                <w:rFonts w:hint="eastAsia"/>
                <w:color w:val="000000"/>
                <w:szCs w:val="21"/>
              </w:rPr>
              <w:t>010</w:t>
            </w:r>
            <w:r>
              <w:rPr>
                <w:color w:val="000000"/>
                <w:szCs w:val="21"/>
              </w:rPr>
              <w:t>-0</w:t>
            </w:r>
            <w:r>
              <w:rPr>
                <w:rFonts w:hint="eastAsia"/>
                <w:color w:val="000000"/>
                <w:szCs w:val="21"/>
              </w:rPr>
              <w:t>9</w:t>
            </w:r>
            <w:r>
              <w:rPr>
                <w:color w:val="000000"/>
                <w:szCs w:val="21"/>
              </w:rPr>
              <w:t>.</w:t>
            </w:r>
            <w:r>
              <w:rPr>
                <w:rFonts w:hint="eastAsia"/>
                <w:color w:val="000000"/>
                <w:szCs w:val="21"/>
              </w:rPr>
              <w:t>16</w:t>
            </w:r>
          </w:p>
        </w:tc>
        <w:tc>
          <w:tcPr>
            <w:tcW w:w="997" w:type="dxa"/>
            <w:gridSpan w:val="3"/>
            <w:noWrap w:val="0"/>
            <w:vAlign w:val="center"/>
          </w:tcPr>
          <w:p w14:paraId="1FF20D3E">
            <w:pPr>
              <w:jc w:val="center"/>
              <w:rPr>
                <w:b/>
                <w:color w:val="000000"/>
                <w:szCs w:val="21"/>
              </w:rPr>
            </w:pPr>
            <w:r>
              <w:rPr>
                <w:rFonts w:hAnsi="宋体"/>
                <w:b/>
                <w:color w:val="000000"/>
                <w:szCs w:val="21"/>
              </w:rPr>
              <w:t>保存方式</w:t>
            </w:r>
          </w:p>
        </w:tc>
        <w:tc>
          <w:tcPr>
            <w:tcW w:w="2562" w:type="dxa"/>
            <w:gridSpan w:val="4"/>
            <w:noWrap w:val="0"/>
            <w:vAlign w:val="center"/>
          </w:tcPr>
          <w:p w14:paraId="27A5A974">
            <w:pPr>
              <w:jc w:val="center"/>
              <w:rPr>
                <w:color w:val="000000"/>
                <w:szCs w:val="21"/>
              </w:rPr>
            </w:pPr>
            <w:r>
              <w:rPr>
                <w:rFonts w:hAnsi="宋体"/>
                <w:color w:val="000000"/>
                <w:szCs w:val="21"/>
              </w:rPr>
              <w:t>常温</w:t>
            </w:r>
          </w:p>
        </w:tc>
        <w:tc>
          <w:tcPr>
            <w:tcW w:w="1251" w:type="dxa"/>
            <w:gridSpan w:val="2"/>
            <w:noWrap w:val="0"/>
            <w:vAlign w:val="center"/>
          </w:tcPr>
          <w:p w14:paraId="12BEB33A">
            <w:pPr>
              <w:jc w:val="center"/>
              <w:rPr>
                <w:b/>
                <w:color w:val="000000"/>
                <w:szCs w:val="21"/>
              </w:rPr>
            </w:pPr>
            <w:r>
              <w:rPr>
                <w:rFonts w:hAnsi="宋体"/>
                <w:b/>
                <w:color w:val="000000"/>
                <w:szCs w:val="21"/>
              </w:rPr>
              <w:t>接样人</w:t>
            </w:r>
          </w:p>
        </w:tc>
        <w:tc>
          <w:tcPr>
            <w:tcW w:w="2366" w:type="dxa"/>
            <w:gridSpan w:val="3"/>
            <w:noWrap w:val="0"/>
            <w:vAlign w:val="center"/>
          </w:tcPr>
          <w:p w14:paraId="2E70AB14">
            <w:pPr>
              <w:widowControl/>
              <w:jc w:val="center"/>
              <w:rPr>
                <w:color w:val="000000"/>
                <w:szCs w:val="21"/>
              </w:rPr>
            </w:pPr>
            <w:r>
              <w:rPr>
                <w:color w:val="000000"/>
                <w:szCs w:val="21"/>
              </w:rPr>
              <w:t>杨秀华</w:t>
            </w:r>
          </w:p>
        </w:tc>
      </w:tr>
      <w:tr w14:paraId="521204F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1" w:hRule="atLeast"/>
        </w:trPr>
        <w:tc>
          <w:tcPr>
            <w:tcW w:w="1086" w:type="dxa"/>
            <w:noWrap w:val="0"/>
            <w:vAlign w:val="center"/>
          </w:tcPr>
          <w:p w14:paraId="09A4D314">
            <w:pPr>
              <w:jc w:val="center"/>
              <w:rPr>
                <w:b/>
                <w:color w:val="000000"/>
                <w:szCs w:val="21"/>
              </w:rPr>
            </w:pPr>
            <w:r>
              <w:rPr>
                <w:rFonts w:hAnsi="宋体"/>
                <w:b/>
                <w:color w:val="000000"/>
                <w:szCs w:val="21"/>
              </w:rPr>
              <w:t>样品编号</w:t>
            </w:r>
            <w:r>
              <w:rPr>
                <w:b/>
                <w:color w:val="000000"/>
                <w:szCs w:val="21"/>
              </w:rPr>
              <w:t xml:space="preserve">     </w:t>
            </w:r>
          </w:p>
        </w:tc>
        <w:tc>
          <w:tcPr>
            <w:tcW w:w="787" w:type="dxa"/>
            <w:noWrap w:val="0"/>
            <w:vAlign w:val="center"/>
          </w:tcPr>
          <w:p w14:paraId="7AF9D35B">
            <w:pPr>
              <w:pStyle w:val="216"/>
              <w:spacing w:after="0" w:line="240" w:lineRule="auto"/>
              <w:jc w:val="center"/>
              <w:rPr>
                <w:color w:val="000000"/>
                <w:szCs w:val="21"/>
              </w:rPr>
            </w:pPr>
            <w:r>
              <w:rPr>
                <w:color w:val="000000"/>
                <w:szCs w:val="21"/>
              </w:rPr>
              <w:t>S140</w:t>
            </w:r>
            <w:r>
              <w:rPr>
                <w:rFonts w:hint="eastAsia"/>
                <w:color w:val="000000"/>
                <w:szCs w:val="21"/>
              </w:rPr>
              <w:t>911</w:t>
            </w:r>
            <w:r>
              <w:rPr>
                <w:color w:val="000000"/>
                <w:szCs w:val="21"/>
              </w:rPr>
              <w:t>01</w:t>
            </w:r>
          </w:p>
        </w:tc>
        <w:tc>
          <w:tcPr>
            <w:tcW w:w="787" w:type="dxa"/>
            <w:noWrap w:val="0"/>
            <w:vAlign w:val="center"/>
          </w:tcPr>
          <w:p w14:paraId="41A4A67F">
            <w:pPr>
              <w:pStyle w:val="216"/>
              <w:spacing w:after="0" w:line="240" w:lineRule="auto"/>
              <w:jc w:val="center"/>
              <w:rPr>
                <w:rFonts w:hint="eastAsia"/>
                <w:color w:val="000000"/>
                <w:szCs w:val="21"/>
              </w:rPr>
            </w:pPr>
            <w:r>
              <w:rPr>
                <w:color w:val="000000"/>
                <w:szCs w:val="21"/>
              </w:rPr>
              <w:t>S140</w:t>
            </w:r>
            <w:r>
              <w:rPr>
                <w:rFonts w:hint="eastAsia"/>
                <w:color w:val="000000"/>
                <w:szCs w:val="21"/>
              </w:rPr>
              <w:t>911</w:t>
            </w:r>
            <w:r>
              <w:rPr>
                <w:color w:val="000000"/>
                <w:szCs w:val="21"/>
              </w:rPr>
              <w:t>0</w:t>
            </w:r>
            <w:r>
              <w:rPr>
                <w:rFonts w:hint="eastAsia"/>
                <w:color w:val="000000"/>
                <w:szCs w:val="21"/>
              </w:rPr>
              <w:t>2</w:t>
            </w:r>
          </w:p>
        </w:tc>
        <w:tc>
          <w:tcPr>
            <w:tcW w:w="787" w:type="dxa"/>
            <w:gridSpan w:val="2"/>
            <w:noWrap w:val="0"/>
            <w:vAlign w:val="center"/>
          </w:tcPr>
          <w:p w14:paraId="572CF142">
            <w:pPr>
              <w:pStyle w:val="216"/>
              <w:spacing w:after="0" w:line="240" w:lineRule="auto"/>
              <w:jc w:val="center"/>
              <w:rPr>
                <w:rFonts w:hint="eastAsia"/>
                <w:color w:val="000000"/>
                <w:szCs w:val="21"/>
              </w:rPr>
            </w:pPr>
            <w:r>
              <w:rPr>
                <w:color w:val="000000"/>
                <w:szCs w:val="21"/>
              </w:rPr>
              <w:t>S140</w:t>
            </w:r>
            <w:r>
              <w:rPr>
                <w:rFonts w:hint="eastAsia"/>
                <w:color w:val="000000"/>
                <w:szCs w:val="21"/>
              </w:rPr>
              <w:t>911</w:t>
            </w:r>
            <w:r>
              <w:rPr>
                <w:color w:val="000000"/>
                <w:szCs w:val="21"/>
              </w:rPr>
              <w:t>0</w:t>
            </w:r>
            <w:r>
              <w:rPr>
                <w:rFonts w:hint="eastAsia"/>
                <w:color w:val="000000"/>
                <w:szCs w:val="21"/>
              </w:rPr>
              <w:t>3</w:t>
            </w:r>
          </w:p>
        </w:tc>
        <w:tc>
          <w:tcPr>
            <w:tcW w:w="788" w:type="dxa"/>
            <w:noWrap w:val="0"/>
            <w:vAlign w:val="center"/>
          </w:tcPr>
          <w:p w14:paraId="0A372BF9">
            <w:pPr>
              <w:pStyle w:val="216"/>
              <w:spacing w:after="0" w:line="240" w:lineRule="auto"/>
              <w:jc w:val="center"/>
              <w:rPr>
                <w:color w:val="000000"/>
                <w:szCs w:val="21"/>
              </w:rPr>
            </w:pPr>
            <w:r>
              <w:rPr>
                <w:color w:val="000000"/>
                <w:szCs w:val="21"/>
              </w:rPr>
              <w:t>S140</w:t>
            </w:r>
            <w:r>
              <w:rPr>
                <w:rFonts w:hint="eastAsia"/>
                <w:color w:val="000000"/>
                <w:szCs w:val="21"/>
              </w:rPr>
              <w:t>912</w:t>
            </w:r>
            <w:r>
              <w:rPr>
                <w:color w:val="000000"/>
                <w:szCs w:val="21"/>
              </w:rPr>
              <w:t>01</w:t>
            </w:r>
          </w:p>
        </w:tc>
        <w:tc>
          <w:tcPr>
            <w:tcW w:w="788" w:type="dxa"/>
            <w:gridSpan w:val="2"/>
            <w:noWrap w:val="0"/>
            <w:vAlign w:val="center"/>
          </w:tcPr>
          <w:p w14:paraId="09B0CE4E">
            <w:pPr>
              <w:pStyle w:val="216"/>
              <w:spacing w:after="0" w:line="240" w:lineRule="auto"/>
              <w:jc w:val="center"/>
              <w:rPr>
                <w:rFonts w:hint="eastAsia"/>
                <w:color w:val="000000"/>
                <w:szCs w:val="21"/>
              </w:rPr>
            </w:pPr>
            <w:r>
              <w:rPr>
                <w:color w:val="000000"/>
                <w:szCs w:val="21"/>
              </w:rPr>
              <w:t>S140</w:t>
            </w:r>
            <w:r>
              <w:rPr>
                <w:rFonts w:hint="eastAsia"/>
                <w:color w:val="000000"/>
                <w:szCs w:val="21"/>
              </w:rPr>
              <w:t>912</w:t>
            </w:r>
            <w:r>
              <w:rPr>
                <w:color w:val="000000"/>
                <w:szCs w:val="21"/>
              </w:rPr>
              <w:t>0</w:t>
            </w:r>
            <w:r>
              <w:rPr>
                <w:rFonts w:hint="eastAsia"/>
                <w:color w:val="000000"/>
                <w:szCs w:val="21"/>
              </w:rPr>
              <w:t>2</w:t>
            </w:r>
          </w:p>
        </w:tc>
        <w:tc>
          <w:tcPr>
            <w:tcW w:w="794" w:type="dxa"/>
            <w:noWrap w:val="0"/>
            <w:vAlign w:val="center"/>
          </w:tcPr>
          <w:p w14:paraId="24712746">
            <w:pPr>
              <w:pStyle w:val="216"/>
              <w:spacing w:after="0" w:line="240" w:lineRule="auto"/>
              <w:jc w:val="center"/>
              <w:rPr>
                <w:rFonts w:hint="eastAsia"/>
                <w:color w:val="000000"/>
                <w:szCs w:val="21"/>
              </w:rPr>
            </w:pPr>
            <w:r>
              <w:rPr>
                <w:color w:val="000000"/>
                <w:szCs w:val="21"/>
              </w:rPr>
              <w:t>S140</w:t>
            </w:r>
            <w:r>
              <w:rPr>
                <w:rFonts w:hint="eastAsia"/>
                <w:color w:val="000000"/>
                <w:szCs w:val="21"/>
              </w:rPr>
              <w:t>912</w:t>
            </w:r>
            <w:r>
              <w:rPr>
                <w:color w:val="000000"/>
                <w:szCs w:val="21"/>
              </w:rPr>
              <w:t>0</w:t>
            </w:r>
            <w:r>
              <w:rPr>
                <w:rFonts w:hint="eastAsia"/>
                <w:color w:val="000000"/>
                <w:szCs w:val="21"/>
              </w:rPr>
              <w:t>3</w:t>
            </w:r>
          </w:p>
        </w:tc>
        <w:tc>
          <w:tcPr>
            <w:tcW w:w="788" w:type="dxa"/>
            <w:noWrap w:val="0"/>
            <w:vAlign w:val="center"/>
          </w:tcPr>
          <w:p w14:paraId="331A22B2">
            <w:pPr>
              <w:pStyle w:val="216"/>
              <w:spacing w:after="0" w:line="240" w:lineRule="auto"/>
              <w:jc w:val="center"/>
              <w:rPr>
                <w:rFonts w:hint="eastAsia"/>
                <w:color w:val="000000"/>
                <w:szCs w:val="21"/>
              </w:rPr>
            </w:pPr>
            <w:r>
              <w:rPr>
                <w:color w:val="000000"/>
                <w:szCs w:val="21"/>
              </w:rPr>
              <w:t>S140</w:t>
            </w:r>
            <w:r>
              <w:rPr>
                <w:rFonts w:hint="eastAsia"/>
                <w:color w:val="000000"/>
                <w:szCs w:val="21"/>
              </w:rPr>
              <w:t>911</w:t>
            </w:r>
            <w:r>
              <w:rPr>
                <w:color w:val="000000"/>
                <w:szCs w:val="21"/>
              </w:rPr>
              <w:t>0</w:t>
            </w:r>
            <w:r>
              <w:rPr>
                <w:rFonts w:hint="eastAsia"/>
                <w:color w:val="000000"/>
                <w:szCs w:val="21"/>
              </w:rPr>
              <w:t>4</w:t>
            </w:r>
          </w:p>
        </w:tc>
        <w:tc>
          <w:tcPr>
            <w:tcW w:w="788" w:type="dxa"/>
            <w:gridSpan w:val="2"/>
            <w:noWrap w:val="0"/>
            <w:vAlign w:val="center"/>
          </w:tcPr>
          <w:p w14:paraId="6DE8070E">
            <w:pPr>
              <w:pStyle w:val="216"/>
              <w:spacing w:after="0" w:line="240" w:lineRule="auto"/>
              <w:jc w:val="center"/>
              <w:rPr>
                <w:rFonts w:hint="eastAsia"/>
                <w:color w:val="000000"/>
                <w:szCs w:val="21"/>
              </w:rPr>
            </w:pPr>
            <w:r>
              <w:rPr>
                <w:color w:val="000000"/>
                <w:szCs w:val="21"/>
              </w:rPr>
              <w:t>S140</w:t>
            </w:r>
            <w:r>
              <w:rPr>
                <w:rFonts w:hint="eastAsia"/>
                <w:color w:val="000000"/>
                <w:szCs w:val="21"/>
              </w:rPr>
              <w:t>911</w:t>
            </w:r>
            <w:r>
              <w:rPr>
                <w:color w:val="000000"/>
                <w:szCs w:val="21"/>
              </w:rPr>
              <w:t>0</w:t>
            </w:r>
            <w:r>
              <w:rPr>
                <w:rFonts w:hint="eastAsia"/>
                <w:color w:val="000000"/>
                <w:szCs w:val="21"/>
              </w:rPr>
              <w:t>5</w:t>
            </w:r>
          </w:p>
        </w:tc>
        <w:tc>
          <w:tcPr>
            <w:tcW w:w="789" w:type="dxa"/>
            <w:noWrap w:val="0"/>
            <w:vAlign w:val="center"/>
          </w:tcPr>
          <w:p w14:paraId="7439A55A">
            <w:pPr>
              <w:pStyle w:val="216"/>
              <w:spacing w:after="0" w:line="240" w:lineRule="auto"/>
              <w:jc w:val="center"/>
              <w:rPr>
                <w:rFonts w:hint="eastAsia"/>
                <w:color w:val="000000"/>
                <w:szCs w:val="21"/>
              </w:rPr>
            </w:pPr>
            <w:r>
              <w:rPr>
                <w:color w:val="000000"/>
                <w:szCs w:val="21"/>
              </w:rPr>
              <w:t>S140</w:t>
            </w:r>
            <w:r>
              <w:rPr>
                <w:rFonts w:hint="eastAsia"/>
                <w:color w:val="000000"/>
                <w:szCs w:val="21"/>
              </w:rPr>
              <w:t>911</w:t>
            </w:r>
            <w:r>
              <w:rPr>
                <w:color w:val="000000"/>
                <w:szCs w:val="21"/>
              </w:rPr>
              <w:t>0</w:t>
            </w:r>
            <w:r>
              <w:rPr>
                <w:rFonts w:hint="eastAsia"/>
                <w:color w:val="000000"/>
                <w:szCs w:val="21"/>
              </w:rPr>
              <w:t>6</w:t>
            </w:r>
          </w:p>
        </w:tc>
        <w:tc>
          <w:tcPr>
            <w:tcW w:w="788" w:type="dxa"/>
            <w:noWrap w:val="0"/>
            <w:vAlign w:val="center"/>
          </w:tcPr>
          <w:p w14:paraId="0189C0DA">
            <w:pPr>
              <w:pStyle w:val="216"/>
              <w:spacing w:after="0" w:line="240" w:lineRule="auto"/>
              <w:jc w:val="center"/>
              <w:rPr>
                <w:rFonts w:hint="eastAsia"/>
                <w:color w:val="000000"/>
                <w:szCs w:val="21"/>
              </w:rPr>
            </w:pPr>
            <w:r>
              <w:rPr>
                <w:color w:val="000000"/>
                <w:szCs w:val="21"/>
              </w:rPr>
              <w:t>S140</w:t>
            </w:r>
            <w:r>
              <w:rPr>
                <w:rFonts w:hint="eastAsia"/>
                <w:color w:val="000000"/>
                <w:szCs w:val="21"/>
              </w:rPr>
              <w:t>912</w:t>
            </w:r>
            <w:r>
              <w:rPr>
                <w:color w:val="000000"/>
                <w:szCs w:val="21"/>
              </w:rPr>
              <w:t>0</w:t>
            </w:r>
            <w:r>
              <w:rPr>
                <w:rFonts w:hint="eastAsia"/>
                <w:color w:val="000000"/>
                <w:szCs w:val="21"/>
              </w:rPr>
              <w:t>4</w:t>
            </w:r>
          </w:p>
        </w:tc>
        <w:tc>
          <w:tcPr>
            <w:tcW w:w="788" w:type="dxa"/>
            <w:noWrap w:val="0"/>
            <w:vAlign w:val="center"/>
          </w:tcPr>
          <w:p w14:paraId="2C1AE70A">
            <w:pPr>
              <w:pStyle w:val="216"/>
              <w:spacing w:after="0" w:line="240" w:lineRule="auto"/>
              <w:jc w:val="center"/>
              <w:rPr>
                <w:rFonts w:hint="eastAsia"/>
                <w:color w:val="000000"/>
                <w:szCs w:val="21"/>
              </w:rPr>
            </w:pPr>
            <w:r>
              <w:rPr>
                <w:color w:val="000000"/>
                <w:szCs w:val="21"/>
              </w:rPr>
              <w:t>S140</w:t>
            </w:r>
            <w:r>
              <w:rPr>
                <w:rFonts w:hint="eastAsia"/>
                <w:color w:val="000000"/>
                <w:szCs w:val="21"/>
              </w:rPr>
              <w:t>912</w:t>
            </w:r>
            <w:r>
              <w:rPr>
                <w:color w:val="000000"/>
                <w:szCs w:val="21"/>
              </w:rPr>
              <w:t>0</w:t>
            </w:r>
            <w:r>
              <w:rPr>
                <w:rFonts w:hint="eastAsia"/>
                <w:color w:val="000000"/>
                <w:szCs w:val="21"/>
              </w:rPr>
              <w:t>5</w:t>
            </w:r>
          </w:p>
        </w:tc>
        <w:tc>
          <w:tcPr>
            <w:tcW w:w="790" w:type="dxa"/>
            <w:noWrap w:val="0"/>
            <w:vAlign w:val="center"/>
          </w:tcPr>
          <w:p w14:paraId="53EB9232">
            <w:pPr>
              <w:pStyle w:val="216"/>
              <w:spacing w:after="0" w:line="240" w:lineRule="auto"/>
              <w:jc w:val="center"/>
              <w:rPr>
                <w:rFonts w:hint="eastAsia"/>
                <w:color w:val="000000"/>
                <w:szCs w:val="21"/>
              </w:rPr>
            </w:pPr>
            <w:r>
              <w:rPr>
                <w:color w:val="000000"/>
                <w:szCs w:val="21"/>
              </w:rPr>
              <w:t>S140</w:t>
            </w:r>
            <w:r>
              <w:rPr>
                <w:rFonts w:hint="eastAsia"/>
                <w:color w:val="000000"/>
                <w:szCs w:val="21"/>
              </w:rPr>
              <w:t>912</w:t>
            </w:r>
            <w:r>
              <w:rPr>
                <w:color w:val="000000"/>
                <w:szCs w:val="21"/>
              </w:rPr>
              <w:t>0</w:t>
            </w:r>
            <w:r>
              <w:rPr>
                <w:rFonts w:hint="eastAsia"/>
                <w:color w:val="000000"/>
                <w:szCs w:val="21"/>
              </w:rPr>
              <w:t>6</w:t>
            </w:r>
          </w:p>
        </w:tc>
      </w:tr>
      <w:tr w14:paraId="1209E78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1" w:hRule="atLeast"/>
        </w:trPr>
        <w:tc>
          <w:tcPr>
            <w:tcW w:w="1086" w:type="dxa"/>
            <w:noWrap w:val="0"/>
            <w:vAlign w:val="center"/>
          </w:tcPr>
          <w:p w14:paraId="5D38C68E">
            <w:pPr>
              <w:jc w:val="center"/>
              <w:rPr>
                <w:b/>
                <w:color w:val="000000"/>
                <w:szCs w:val="21"/>
              </w:rPr>
            </w:pPr>
            <w:r>
              <w:rPr>
                <w:rFonts w:hAnsi="宋体"/>
                <w:b/>
                <w:color w:val="000000"/>
                <w:szCs w:val="21"/>
              </w:rPr>
              <w:t>采样地点</w:t>
            </w:r>
          </w:p>
        </w:tc>
        <w:tc>
          <w:tcPr>
            <w:tcW w:w="4731" w:type="dxa"/>
            <w:gridSpan w:val="8"/>
            <w:noWrap w:val="0"/>
            <w:vAlign w:val="center"/>
          </w:tcPr>
          <w:p w14:paraId="5A126A16">
            <w:pPr>
              <w:jc w:val="center"/>
              <w:rPr>
                <w:color w:val="000000"/>
                <w:szCs w:val="21"/>
              </w:rPr>
            </w:pPr>
            <w:r>
              <w:rPr>
                <w:rFonts w:hint="eastAsia" w:ascii="宋体" w:hAnsi="宋体" w:cs="宋体"/>
                <w:color w:val="000000"/>
                <w:sz w:val="24"/>
              </w:rPr>
              <w:t>医院污水处理站进水口</w:t>
            </w:r>
          </w:p>
        </w:tc>
        <w:tc>
          <w:tcPr>
            <w:tcW w:w="4731" w:type="dxa"/>
            <w:gridSpan w:val="7"/>
            <w:noWrap w:val="0"/>
            <w:vAlign w:val="center"/>
          </w:tcPr>
          <w:p w14:paraId="3C70B672">
            <w:pPr>
              <w:jc w:val="center"/>
              <w:rPr>
                <w:color w:val="000000"/>
                <w:szCs w:val="21"/>
              </w:rPr>
            </w:pPr>
            <w:r>
              <w:rPr>
                <w:rFonts w:hint="eastAsia" w:ascii="宋体" w:hAnsi="宋体" w:cs="宋体"/>
                <w:color w:val="000000"/>
                <w:sz w:val="24"/>
              </w:rPr>
              <w:t>医院污水处理站出水口</w:t>
            </w:r>
          </w:p>
        </w:tc>
      </w:tr>
      <w:tr w14:paraId="3AE45CF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1" w:hRule="atLeast"/>
        </w:trPr>
        <w:tc>
          <w:tcPr>
            <w:tcW w:w="1086" w:type="dxa"/>
            <w:noWrap w:val="0"/>
            <w:vAlign w:val="center"/>
          </w:tcPr>
          <w:p w14:paraId="3E0A241F">
            <w:pPr>
              <w:jc w:val="center"/>
              <w:rPr>
                <w:b/>
                <w:color w:val="000000"/>
                <w:szCs w:val="21"/>
              </w:rPr>
            </w:pPr>
            <w:r>
              <w:rPr>
                <w:rFonts w:hAnsi="宋体"/>
                <w:b/>
                <w:color w:val="000000"/>
                <w:szCs w:val="21"/>
              </w:rPr>
              <w:t>样品类型</w:t>
            </w:r>
          </w:p>
        </w:tc>
        <w:tc>
          <w:tcPr>
            <w:tcW w:w="787" w:type="dxa"/>
            <w:noWrap w:val="0"/>
            <w:vAlign w:val="center"/>
          </w:tcPr>
          <w:p w14:paraId="40B43C1D">
            <w:pPr>
              <w:pStyle w:val="216"/>
              <w:spacing w:after="0" w:line="240" w:lineRule="auto"/>
              <w:jc w:val="center"/>
              <w:rPr>
                <w:color w:val="000000"/>
                <w:szCs w:val="21"/>
              </w:rPr>
            </w:pPr>
            <w:r>
              <w:rPr>
                <w:color w:val="000000"/>
                <w:szCs w:val="21"/>
              </w:rPr>
              <w:t>废水</w:t>
            </w:r>
          </w:p>
        </w:tc>
        <w:tc>
          <w:tcPr>
            <w:tcW w:w="787" w:type="dxa"/>
            <w:noWrap w:val="0"/>
            <w:vAlign w:val="center"/>
          </w:tcPr>
          <w:p w14:paraId="658316D8">
            <w:pPr>
              <w:jc w:val="center"/>
              <w:rPr>
                <w:color w:val="000000"/>
                <w:szCs w:val="21"/>
              </w:rPr>
            </w:pPr>
            <w:r>
              <w:rPr>
                <w:color w:val="000000"/>
                <w:szCs w:val="21"/>
              </w:rPr>
              <w:t>废水</w:t>
            </w:r>
          </w:p>
        </w:tc>
        <w:tc>
          <w:tcPr>
            <w:tcW w:w="787" w:type="dxa"/>
            <w:gridSpan w:val="2"/>
            <w:noWrap w:val="0"/>
            <w:vAlign w:val="center"/>
          </w:tcPr>
          <w:p w14:paraId="122A9322">
            <w:pPr>
              <w:pStyle w:val="216"/>
              <w:spacing w:after="0" w:line="240" w:lineRule="auto"/>
              <w:jc w:val="center"/>
              <w:rPr>
                <w:color w:val="000000"/>
                <w:szCs w:val="21"/>
              </w:rPr>
            </w:pPr>
            <w:r>
              <w:rPr>
                <w:color w:val="000000"/>
                <w:szCs w:val="21"/>
              </w:rPr>
              <w:t>废水</w:t>
            </w:r>
          </w:p>
        </w:tc>
        <w:tc>
          <w:tcPr>
            <w:tcW w:w="788" w:type="dxa"/>
            <w:noWrap w:val="0"/>
            <w:vAlign w:val="center"/>
          </w:tcPr>
          <w:p w14:paraId="76080E37">
            <w:pPr>
              <w:pStyle w:val="216"/>
              <w:spacing w:after="0" w:line="240" w:lineRule="auto"/>
              <w:jc w:val="center"/>
              <w:rPr>
                <w:color w:val="000000"/>
                <w:szCs w:val="21"/>
              </w:rPr>
            </w:pPr>
            <w:r>
              <w:rPr>
                <w:color w:val="000000"/>
                <w:szCs w:val="21"/>
              </w:rPr>
              <w:t>废水</w:t>
            </w:r>
          </w:p>
        </w:tc>
        <w:tc>
          <w:tcPr>
            <w:tcW w:w="788" w:type="dxa"/>
            <w:gridSpan w:val="2"/>
            <w:noWrap w:val="0"/>
            <w:vAlign w:val="center"/>
          </w:tcPr>
          <w:p w14:paraId="43DA7AEF">
            <w:pPr>
              <w:jc w:val="center"/>
              <w:rPr>
                <w:color w:val="000000"/>
                <w:szCs w:val="21"/>
              </w:rPr>
            </w:pPr>
            <w:r>
              <w:rPr>
                <w:color w:val="000000"/>
                <w:szCs w:val="21"/>
              </w:rPr>
              <w:t>废水</w:t>
            </w:r>
          </w:p>
        </w:tc>
        <w:tc>
          <w:tcPr>
            <w:tcW w:w="794" w:type="dxa"/>
            <w:noWrap w:val="0"/>
            <w:vAlign w:val="center"/>
          </w:tcPr>
          <w:p w14:paraId="584B2180">
            <w:pPr>
              <w:pStyle w:val="216"/>
              <w:spacing w:after="0" w:line="240" w:lineRule="auto"/>
              <w:jc w:val="center"/>
              <w:rPr>
                <w:color w:val="000000"/>
                <w:szCs w:val="21"/>
              </w:rPr>
            </w:pPr>
            <w:r>
              <w:rPr>
                <w:color w:val="000000"/>
                <w:szCs w:val="21"/>
              </w:rPr>
              <w:t>废水</w:t>
            </w:r>
          </w:p>
        </w:tc>
        <w:tc>
          <w:tcPr>
            <w:tcW w:w="788" w:type="dxa"/>
            <w:noWrap w:val="0"/>
            <w:vAlign w:val="center"/>
          </w:tcPr>
          <w:p w14:paraId="7A4C6869">
            <w:pPr>
              <w:jc w:val="center"/>
              <w:rPr>
                <w:color w:val="000000"/>
                <w:szCs w:val="21"/>
              </w:rPr>
            </w:pPr>
            <w:r>
              <w:rPr>
                <w:color w:val="000000"/>
                <w:szCs w:val="21"/>
              </w:rPr>
              <w:t>废水</w:t>
            </w:r>
          </w:p>
        </w:tc>
        <w:tc>
          <w:tcPr>
            <w:tcW w:w="788" w:type="dxa"/>
            <w:gridSpan w:val="2"/>
            <w:noWrap w:val="0"/>
            <w:vAlign w:val="center"/>
          </w:tcPr>
          <w:p w14:paraId="578DD646">
            <w:pPr>
              <w:pStyle w:val="216"/>
              <w:spacing w:after="0" w:line="240" w:lineRule="auto"/>
              <w:jc w:val="center"/>
              <w:rPr>
                <w:color w:val="000000"/>
                <w:szCs w:val="21"/>
              </w:rPr>
            </w:pPr>
            <w:r>
              <w:rPr>
                <w:color w:val="000000"/>
                <w:szCs w:val="21"/>
              </w:rPr>
              <w:t>废水</w:t>
            </w:r>
          </w:p>
        </w:tc>
        <w:tc>
          <w:tcPr>
            <w:tcW w:w="789" w:type="dxa"/>
            <w:noWrap w:val="0"/>
            <w:vAlign w:val="center"/>
          </w:tcPr>
          <w:p w14:paraId="1EC101CC">
            <w:pPr>
              <w:jc w:val="center"/>
              <w:rPr>
                <w:color w:val="000000"/>
                <w:szCs w:val="21"/>
              </w:rPr>
            </w:pPr>
            <w:r>
              <w:rPr>
                <w:color w:val="000000"/>
                <w:szCs w:val="21"/>
              </w:rPr>
              <w:t>废水</w:t>
            </w:r>
          </w:p>
        </w:tc>
        <w:tc>
          <w:tcPr>
            <w:tcW w:w="788" w:type="dxa"/>
            <w:noWrap w:val="0"/>
            <w:vAlign w:val="center"/>
          </w:tcPr>
          <w:p w14:paraId="46821947">
            <w:pPr>
              <w:pStyle w:val="216"/>
              <w:spacing w:after="0" w:line="240" w:lineRule="auto"/>
              <w:jc w:val="center"/>
              <w:rPr>
                <w:color w:val="000000"/>
                <w:szCs w:val="21"/>
              </w:rPr>
            </w:pPr>
            <w:r>
              <w:rPr>
                <w:color w:val="000000"/>
                <w:szCs w:val="21"/>
              </w:rPr>
              <w:t>废水</w:t>
            </w:r>
          </w:p>
        </w:tc>
        <w:tc>
          <w:tcPr>
            <w:tcW w:w="788" w:type="dxa"/>
            <w:noWrap w:val="0"/>
            <w:vAlign w:val="center"/>
          </w:tcPr>
          <w:p w14:paraId="0C7D454C">
            <w:pPr>
              <w:jc w:val="center"/>
              <w:rPr>
                <w:color w:val="000000"/>
                <w:szCs w:val="21"/>
              </w:rPr>
            </w:pPr>
            <w:r>
              <w:rPr>
                <w:color w:val="000000"/>
                <w:szCs w:val="21"/>
              </w:rPr>
              <w:t>废水</w:t>
            </w:r>
          </w:p>
        </w:tc>
        <w:tc>
          <w:tcPr>
            <w:tcW w:w="790" w:type="dxa"/>
            <w:noWrap w:val="0"/>
            <w:vAlign w:val="center"/>
          </w:tcPr>
          <w:p w14:paraId="6722552B">
            <w:pPr>
              <w:pStyle w:val="216"/>
              <w:spacing w:after="0" w:line="240" w:lineRule="auto"/>
              <w:jc w:val="center"/>
              <w:rPr>
                <w:color w:val="000000"/>
                <w:szCs w:val="21"/>
              </w:rPr>
            </w:pPr>
            <w:r>
              <w:rPr>
                <w:color w:val="000000"/>
                <w:szCs w:val="21"/>
              </w:rPr>
              <w:t>废水</w:t>
            </w:r>
          </w:p>
        </w:tc>
      </w:tr>
      <w:tr w14:paraId="68207EE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5" w:hRule="atLeast"/>
        </w:trPr>
        <w:tc>
          <w:tcPr>
            <w:tcW w:w="1086" w:type="dxa"/>
            <w:noWrap w:val="0"/>
            <w:vAlign w:val="center"/>
          </w:tcPr>
          <w:p w14:paraId="6A51EECA">
            <w:pPr>
              <w:jc w:val="center"/>
              <w:rPr>
                <w:b/>
                <w:color w:val="000000"/>
                <w:szCs w:val="21"/>
              </w:rPr>
            </w:pPr>
            <w:r>
              <w:rPr>
                <w:rFonts w:hAnsi="宋体"/>
                <w:b/>
                <w:color w:val="000000"/>
                <w:szCs w:val="21"/>
              </w:rPr>
              <w:t>样品状态</w:t>
            </w:r>
          </w:p>
        </w:tc>
        <w:tc>
          <w:tcPr>
            <w:tcW w:w="787" w:type="dxa"/>
            <w:noWrap w:val="0"/>
            <w:vAlign w:val="center"/>
          </w:tcPr>
          <w:p w14:paraId="1CEA442D">
            <w:pPr>
              <w:jc w:val="center"/>
              <w:rPr>
                <w:color w:val="000000"/>
                <w:szCs w:val="21"/>
              </w:rPr>
            </w:pPr>
            <w:r>
              <w:rPr>
                <w:rFonts w:hint="eastAsia" w:hAnsi="宋体"/>
                <w:color w:val="000000"/>
                <w:szCs w:val="21"/>
              </w:rPr>
              <w:t>微浊</w:t>
            </w:r>
          </w:p>
        </w:tc>
        <w:tc>
          <w:tcPr>
            <w:tcW w:w="787" w:type="dxa"/>
            <w:noWrap w:val="0"/>
            <w:vAlign w:val="center"/>
          </w:tcPr>
          <w:p w14:paraId="1F1CA060">
            <w:pPr>
              <w:jc w:val="center"/>
              <w:rPr>
                <w:color w:val="000000"/>
                <w:szCs w:val="21"/>
              </w:rPr>
            </w:pPr>
            <w:r>
              <w:rPr>
                <w:rFonts w:hint="eastAsia" w:hAnsi="宋体"/>
                <w:color w:val="000000"/>
                <w:szCs w:val="21"/>
              </w:rPr>
              <w:t>微浊</w:t>
            </w:r>
          </w:p>
        </w:tc>
        <w:tc>
          <w:tcPr>
            <w:tcW w:w="787" w:type="dxa"/>
            <w:gridSpan w:val="2"/>
            <w:noWrap w:val="0"/>
            <w:vAlign w:val="center"/>
          </w:tcPr>
          <w:p w14:paraId="3E115AE2">
            <w:pPr>
              <w:jc w:val="center"/>
              <w:rPr>
                <w:color w:val="000000"/>
                <w:szCs w:val="21"/>
              </w:rPr>
            </w:pPr>
            <w:r>
              <w:rPr>
                <w:rFonts w:hint="eastAsia" w:hAnsi="宋体"/>
                <w:color w:val="000000"/>
                <w:szCs w:val="21"/>
              </w:rPr>
              <w:t>微浊</w:t>
            </w:r>
          </w:p>
        </w:tc>
        <w:tc>
          <w:tcPr>
            <w:tcW w:w="788" w:type="dxa"/>
            <w:noWrap w:val="0"/>
            <w:vAlign w:val="center"/>
          </w:tcPr>
          <w:p w14:paraId="40CB8A31">
            <w:pPr>
              <w:jc w:val="center"/>
              <w:rPr>
                <w:color w:val="000000"/>
                <w:szCs w:val="21"/>
              </w:rPr>
            </w:pPr>
            <w:r>
              <w:rPr>
                <w:rFonts w:hint="eastAsia" w:hAnsi="宋体"/>
                <w:color w:val="000000"/>
                <w:szCs w:val="21"/>
              </w:rPr>
              <w:t>微浊</w:t>
            </w:r>
          </w:p>
        </w:tc>
        <w:tc>
          <w:tcPr>
            <w:tcW w:w="788" w:type="dxa"/>
            <w:gridSpan w:val="2"/>
            <w:noWrap w:val="0"/>
            <w:vAlign w:val="center"/>
          </w:tcPr>
          <w:p w14:paraId="2DC1692C">
            <w:pPr>
              <w:jc w:val="center"/>
              <w:rPr>
                <w:color w:val="000000"/>
                <w:szCs w:val="21"/>
              </w:rPr>
            </w:pPr>
            <w:r>
              <w:rPr>
                <w:rFonts w:hint="eastAsia" w:hAnsi="宋体"/>
                <w:color w:val="000000"/>
                <w:szCs w:val="21"/>
              </w:rPr>
              <w:t>微浊</w:t>
            </w:r>
          </w:p>
        </w:tc>
        <w:tc>
          <w:tcPr>
            <w:tcW w:w="794" w:type="dxa"/>
            <w:noWrap w:val="0"/>
            <w:vAlign w:val="center"/>
          </w:tcPr>
          <w:p w14:paraId="437151E8">
            <w:pPr>
              <w:jc w:val="center"/>
              <w:rPr>
                <w:color w:val="000000"/>
                <w:szCs w:val="21"/>
              </w:rPr>
            </w:pPr>
            <w:r>
              <w:rPr>
                <w:rFonts w:hint="eastAsia" w:hAnsi="宋体"/>
                <w:color w:val="000000"/>
                <w:szCs w:val="21"/>
              </w:rPr>
              <w:t>微浊</w:t>
            </w:r>
          </w:p>
        </w:tc>
        <w:tc>
          <w:tcPr>
            <w:tcW w:w="788" w:type="dxa"/>
            <w:noWrap w:val="0"/>
            <w:vAlign w:val="center"/>
          </w:tcPr>
          <w:p w14:paraId="7433562D">
            <w:pPr>
              <w:jc w:val="center"/>
              <w:rPr>
                <w:color w:val="000000"/>
                <w:szCs w:val="21"/>
              </w:rPr>
            </w:pPr>
            <w:r>
              <w:rPr>
                <w:rFonts w:hAnsi="宋体"/>
                <w:color w:val="000000"/>
                <w:szCs w:val="21"/>
              </w:rPr>
              <w:t>透明无色</w:t>
            </w:r>
          </w:p>
        </w:tc>
        <w:tc>
          <w:tcPr>
            <w:tcW w:w="788" w:type="dxa"/>
            <w:gridSpan w:val="2"/>
            <w:noWrap w:val="0"/>
            <w:vAlign w:val="center"/>
          </w:tcPr>
          <w:p w14:paraId="75C41A3B">
            <w:pPr>
              <w:jc w:val="center"/>
              <w:rPr>
                <w:color w:val="000000"/>
                <w:szCs w:val="21"/>
              </w:rPr>
            </w:pPr>
            <w:r>
              <w:rPr>
                <w:rFonts w:hAnsi="宋体"/>
                <w:color w:val="000000"/>
                <w:szCs w:val="21"/>
              </w:rPr>
              <w:t>透明无色</w:t>
            </w:r>
          </w:p>
        </w:tc>
        <w:tc>
          <w:tcPr>
            <w:tcW w:w="789" w:type="dxa"/>
            <w:noWrap w:val="0"/>
            <w:vAlign w:val="center"/>
          </w:tcPr>
          <w:p w14:paraId="1EF1EB37">
            <w:pPr>
              <w:jc w:val="center"/>
              <w:rPr>
                <w:color w:val="000000"/>
                <w:szCs w:val="21"/>
              </w:rPr>
            </w:pPr>
            <w:r>
              <w:rPr>
                <w:rFonts w:hAnsi="宋体"/>
                <w:color w:val="000000"/>
                <w:szCs w:val="21"/>
              </w:rPr>
              <w:t>透明无色</w:t>
            </w:r>
          </w:p>
        </w:tc>
        <w:tc>
          <w:tcPr>
            <w:tcW w:w="788" w:type="dxa"/>
            <w:noWrap w:val="0"/>
            <w:vAlign w:val="center"/>
          </w:tcPr>
          <w:p w14:paraId="287C1761">
            <w:pPr>
              <w:jc w:val="center"/>
              <w:rPr>
                <w:color w:val="000000"/>
                <w:szCs w:val="21"/>
              </w:rPr>
            </w:pPr>
            <w:r>
              <w:rPr>
                <w:rFonts w:hAnsi="宋体"/>
                <w:color w:val="000000"/>
                <w:szCs w:val="21"/>
              </w:rPr>
              <w:t>透明无色</w:t>
            </w:r>
          </w:p>
        </w:tc>
        <w:tc>
          <w:tcPr>
            <w:tcW w:w="788" w:type="dxa"/>
            <w:noWrap w:val="0"/>
            <w:vAlign w:val="center"/>
          </w:tcPr>
          <w:p w14:paraId="3A8B1F2A">
            <w:pPr>
              <w:jc w:val="center"/>
              <w:rPr>
                <w:color w:val="000000"/>
                <w:szCs w:val="21"/>
              </w:rPr>
            </w:pPr>
            <w:r>
              <w:rPr>
                <w:rFonts w:hAnsi="宋体"/>
                <w:color w:val="000000"/>
                <w:szCs w:val="21"/>
              </w:rPr>
              <w:t>透明无色</w:t>
            </w:r>
          </w:p>
        </w:tc>
        <w:tc>
          <w:tcPr>
            <w:tcW w:w="790" w:type="dxa"/>
            <w:noWrap w:val="0"/>
            <w:vAlign w:val="center"/>
          </w:tcPr>
          <w:p w14:paraId="2380F66A">
            <w:pPr>
              <w:jc w:val="center"/>
              <w:rPr>
                <w:color w:val="000000"/>
                <w:szCs w:val="21"/>
              </w:rPr>
            </w:pPr>
            <w:r>
              <w:rPr>
                <w:rFonts w:hAnsi="宋体"/>
                <w:color w:val="000000"/>
                <w:szCs w:val="21"/>
              </w:rPr>
              <w:t>透明无色</w:t>
            </w:r>
          </w:p>
        </w:tc>
      </w:tr>
      <w:tr w14:paraId="4BDF04B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35" w:hRule="atLeast"/>
        </w:trPr>
        <w:tc>
          <w:tcPr>
            <w:tcW w:w="1086" w:type="dxa"/>
            <w:noWrap w:val="0"/>
            <w:vAlign w:val="center"/>
          </w:tcPr>
          <w:p w14:paraId="494C135A">
            <w:pPr>
              <w:jc w:val="center"/>
              <w:rPr>
                <w:b/>
                <w:color w:val="000000"/>
                <w:szCs w:val="21"/>
              </w:rPr>
            </w:pPr>
            <w:r>
              <w:rPr>
                <w:rFonts w:hAnsi="宋体"/>
                <w:b/>
                <w:color w:val="000000"/>
                <w:szCs w:val="21"/>
              </w:rPr>
              <w:t>包装</w:t>
            </w:r>
          </w:p>
        </w:tc>
        <w:tc>
          <w:tcPr>
            <w:tcW w:w="787" w:type="dxa"/>
            <w:noWrap w:val="0"/>
            <w:vAlign w:val="center"/>
          </w:tcPr>
          <w:p w14:paraId="71AEB5A0">
            <w:pPr>
              <w:ind w:left="-105" w:right="-105"/>
              <w:jc w:val="center"/>
              <w:rPr>
                <w:color w:val="000000"/>
                <w:szCs w:val="21"/>
              </w:rPr>
            </w:pPr>
            <w:r>
              <w:rPr>
                <w:rFonts w:hAnsi="宋体"/>
                <w:color w:val="000000"/>
                <w:szCs w:val="21"/>
              </w:rPr>
              <w:t>聚乙烯桶</w:t>
            </w:r>
            <w:r>
              <w:rPr>
                <w:color w:val="000000"/>
                <w:szCs w:val="21"/>
              </w:rPr>
              <w:t>/</w:t>
            </w:r>
            <w:r>
              <w:rPr>
                <w:rFonts w:hAnsi="宋体"/>
                <w:color w:val="000000"/>
                <w:szCs w:val="21"/>
              </w:rPr>
              <w:t>玻璃瓶</w:t>
            </w:r>
          </w:p>
        </w:tc>
        <w:tc>
          <w:tcPr>
            <w:tcW w:w="787" w:type="dxa"/>
            <w:noWrap w:val="0"/>
            <w:vAlign w:val="center"/>
          </w:tcPr>
          <w:p w14:paraId="0DA32159">
            <w:pPr>
              <w:ind w:left="-105" w:right="-105"/>
              <w:jc w:val="center"/>
              <w:rPr>
                <w:color w:val="000000"/>
                <w:szCs w:val="21"/>
              </w:rPr>
            </w:pPr>
            <w:r>
              <w:rPr>
                <w:rFonts w:hAnsi="宋体"/>
                <w:color w:val="000000"/>
                <w:szCs w:val="21"/>
              </w:rPr>
              <w:t>聚乙烯桶</w:t>
            </w:r>
            <w:r>
              <w:rPr>
                <w:color w:val="000000"/>
                <w:szCs w:val="21"/>
              </w:rPr>
              <w:t>/</w:t>
            </w:r>
            <w:r>
              <w:rPr>
                <w:rFonts w:hAnsi="宋体"/>
                <w:color w:val="000000"/>
                <w:szCs w:val="21"/>
              </w:rPr>
              <w:t>玻璃瓶</w:t>
            </w:r>
          </w:p>
        </w:tc>
        <w:tc>
          <w:tcPr>
            <w:tcW w:w="787" w:type="dxa"/>
            <w:gridSpan w:val="2"/>
            <w:noWrap w:val="0"/>
            <w:vAlign w:val="center"/>
          </w:tcPr>
          <w:p w14:paraId="0AB18E40">
            <w:pPr>
              <w:ind w:left="-105" w:right="-105"/>
              <w:jc w:val="center"/>
              <w:rPr>
                <w:color w:val="000000"/>
                <w:szCs w:val="21"/>
              </w:rPr>
            </w:pPr>
            <w:r>
              <w:rPr>
                <w:rFonts w:hAnsi="宋体"/>
                <w:color w:val="000000"/>
                <w:szCs w:val="21"/>
              </w:rPr>
              <w:t>聚乙烯桶</w:t>
            </w:r>
            <w:r>
              <w:rPr>
                <w:color w:val="000000"/>
                <w:szCs w:val="21"/>
              </w:rPr>
              <w:t>/</w:t>
            </w:r>
            <w:r>
              <w:rPr>
                <w:rFonts w:hAnsi="宋体"/>
                <w:color w:val="000000"/>
                <w:szCs w:val="21"/>
              </w:rPr>
              <w:t>玻璃瓶</w:t>
            </w:r>
          </w:p>
        </w:tc>
        <w:tc>
          <w:tcPr>
            <w:tcW w:w="788" w:type="dxa"/>
            <w:noWrap w:val="0"/>
            <w:vAlign w:val="center"/>
          </w:tcPr>
          <w:p w14:paraId="60840F60">
            <w:pPr>
              <w:ind w:left="-105" w:right="-105"/>
              <w:jc w:val="center"/>
              <w:rPr>
                <w:color w:val="000000"/>
                <w:szCs w:val="21"/>
              </w:rPr>
            </w:pPr>
            <w:r>
              <w:rPr>
                <w:rFonts w:hAnsi="宋体"/>
                <w:color w:val="000000"/>
                <w:szCs w:val="21"/>
              </w:rPr>
              <w:t>聚乙烯桶</w:t>
            </w:r>
            <w:r>
              <w:rPr>
                <w:color w:val="000000"/>
                <w:szCs w:val="21"/>
              </w:rPr>
              <w:t>/</w:t>
            </w:r>
            <w:r>
              <w:rPr>
                <w:rFonts w:hAnsi="宋体"/>
                <w:color w:val="000000"/>
                <w:szCs w:val="21"/>
              </w:rPr>
              <w:t>玻璃瓶</w:t>
            </w:r>
          </w:p>
        </w:tc>
        <w:tc>
          <w:tcPr>
            <w:tcW w:w="788" w:type="dxa"/>
            <w:gridSpan w:val="2"/>
            <w:noWrap w:val="0"/>
            <w:vAlign w:val="center"/>
          </w:tcPr>
          <w:p w14:paraId="0FAAD2B6">
            <w:pPr>
              <w:ind w:left="-105" w:right="-105"/>
              <w:jc w:val="center"/>
              <w:rPr>
                <w:color w:val="000000"/>
                <w:szCs w:val="21"/>
              </w:rPr>
            </w:pPr>
            <w:r>
              <w:rPr>
                <w:rFonts w:hAnsi="宋体"/>
                <w:color w:val="000000"/>
                <w:szCs w:val="21"/>
              </w:rPr>
              <w:t>聚乙烯桶</w:t>
            </w:r>
            <w:r>
              <w:rPr>
                <w:color w:val="000000"/>
                <w:szCs w:val="21"/>
              </w:rPr>
              <w:t>/</w:t>
            </w:r>
            <w:r>
              <w:rPr>
                <w:rFonts w:hAnsi="宋体"/>
                <w:color w:val="000000"/>
                <w:szCs w:val="21"/>
              </w:rPr>
              <w:t>玻璃瓶</w:t>
            </w:r>
          </w:p>
        </w:tc>
        <w:tc>
          <w:tcPr>
            <w:tcW w:w="794" w:type="dxa"/>
            <w:noWrap w:val="0"/>
            <w:vAlign w:val="center"/>
          </w:tcPr>
          <w:p w14:paraId="7E0300F5">
            <w:pPr>
              <w:ind w:left="-105" w:right="-105"/>
              <w:jc w:val="center"/>
              <w:rPr>
                <w:color w:val="000000"/>
                <w:szCs w:val="21"/>
              </w:rPr>
            </w:pPr>
            <w:r>
              <w:rPr>
                <w:rFonts w:hAnsi="宋体"/>
                <w:color w:val="000000"/>
                <w:szCs w:val="21"/>
              </w:rPr>
              <w:t>聚乙烯桶</w:t>
            </w:r>
            <w:r>
              <w:rPr>
                <w:color w:val="000000"/>
                <w:szCs w:val="21"/>
              </w:rPr>
              <w:t>/</w:t>
            </w:r>
            <w:r>
              <w:rPr>
                <w:rFonts w:hAnsi="宋体"/>
                <w:color w:val="000000"/>
                <w:szCs w:val="21"/>
              </w:rPr>
              <w:t>玻璃瓶</w:t>
            </w:r>
          </w:p>
        </w:tc>
        <w:tc>
          <w:tcPr>
            <w:tcW w:w="788" w:type="dxa"/>
            <w:noWrap w:val="0"/>
            <w:vAlign w:val="center"/>
          </w:tcPr>
          <w:p w14:paraId="0652774C">
            <w:pPr>
              <w:ind w:left="-105" w:right="-105"/>
              <w:jc w:val="center"/>
              <w:rPr>
                <w:color w:val="000000"/>
                <w:szCs w:val="21"/>
              </w:rPr>
            </w:pPr>
            <w:r>
              <w:rPr>
                <w:rFonts w:hAnsi="宋体"/>
                <w:color w:val="000000"/>
                <w:szCs w:val="21"/>
              </w:rPr>
              <w:t>聚乙烯桶</w:t>
            </w:r>
            <w:r>
              <w:rPr>
                <w:color w:val="000000"/>
                <w:szCs w:val="21"/>
              </w:rPr>
              <w:t>/</w:t>
            </w:r>
            <w:r>
              <w:rPr>
                <w:rFonts w:hAnsi="宋体"/>
                <w:color w:val="000000"/>
                <w:szCs w:val="21"/>
              </w:rPr>
              <w:t>玻璃瓶</w:t>
            </w:r>
          </w:p>
        </w:tc>
        <w:tc>
          <w:tcPr>
            <w:tcW w:w="788" w:type="dxa"/>
            <w:gridSpan w:val="2"/>
            <w:noWrap w:val="0"/>
            <w:vAlign w:val="center"/>
          </w:tcPr>
          <w:p w14:paraId="35DF4017">
            <w:pPr>
              <w:ind w:left="-105" w:right="-105"/>
              <w:jc w:val="center"/>
              <w:rPr>
                <w:color w:val="000000"/>
                <w:szCs w:val="21"/>
              </w:rPr>
            </w:pPr>
            <w:r>
              <w:rPr>
                <w:rFonts w:hAnsi="宋体"/>
                <w:color w:val="000000"/>
                <w:szCs w:val="21"/>
              </w:rPr>
              <w:t>聚乙烯桶</w:t>
            </w:r>
            <w:r>
              <w:rPr>
                <w:color w:val="000000"/>
                <w:szCs w:val="21"/>
              </w:rPr>
              <w:t>/</w:t>
            </w:r>
            <w:r>
              <w:rPr>
                <w:rFonts w:hAnsi="宋体"/>
                <w:color w:val="000000"/>
                <w:szCs w:val="21"/>
              </w:rPr>
              <w:t>玻璃瓶</w:t>
            </w:r>
          </w:p>
        </w:tc>
        <w:tc>
          <w:tcPr>
            <w:tcW w:w="789" w:type="dxa"/>
            <w:noWrap w:val="0"/>
            <w:vAlign w:val="center"/>
          </w:tcPr>
          <w:p w14:paraId="65702949">
            <w:pPr>
              <w:ind w:left="-105" w:right="-105"/>
              <w:jc w:val="center"/>
              <w:rPr>
                <w:color w:val="000000"/>
                <w:szCs w:val="21"/>
              </w:rPr>
            </w:pPr>
            <w:r>
              <w:rPr>
                <w:rFonts w:hAnsi="宋体"/>
                <w:color w:val="000000"/>
                <w:szCs w:val="21"/>
              </w:rPr>
              <w:t>聚乙烯桶</w:t>
            </w:r>
            <w:r>
              <w:rPr>
                <w:color w:val="000000"/>
                <w:szCs w:val="21"/>
              </w:rPr>
              <w:t>/</w:t>
            </w:r>
            <w:r>
              <w:rPr>
                <w:rFonts w:hAnsi="宋体"/>
                <w:color w:val="000000"/>
                <w:szCs w:val="21"/>
              </w:rPr>
              <w:t>玻璃瓶</w:t>
            </w:r>
          </w:p>
        </w:tc>
        <w:tc>
          <w:tcPr>
            <w:tcW w:w="788" w:type="dxa"/>
            <w:noWrap w:val="0"/>
            <w:vAlign w:val="center"/>
          </w:tcPr>
          <w:p w14:paraId="7A3D5C48">
            <w:pPr>
              <w:ind w:left="-105" w:right="-105"/>
              <w:jc w:val="center"/>
              <w:rPr>
                <w:color w:val="000000"/>
                <w:szCs w:val="21"/>
              </w:rPr>
            </w:pPr>
            <w:r>
              <w:rPr>
                <w:rFonts w:hAnsi="宋体"/>
                <w:color w:val="000000"/>
                <w:szCs w:val="21"/>
              </w:rPr>
              <w:t>聚乙烯桶</w:t>
            </w:r>
            <w:r>
              <w:rPr>
                <w:color w:val="000000"/>
                <w:szCs w:val="21"/>
              </w:rPr>
              <w:t>/</w:t>
            </w:r>
            <w:r>
              <w:rPr>
                <w:rFonts w:hAnsi="宋体"/>
                <w:color w:val="000000"/>
                <w:szCs w:val="21"/>
              </w:rPr>
              <w:t>玻璃瓶</w:t>
            </w:r>
          </w:p>
        </w:tc>
        <w:tc>
          <w:tcPr>
            <w:tcW w:w="788" w:type="dxa"/>
            <w:noWrap w:val="0"/>
            <w:vAlign w:val="center"/>
          </w:tcPr>
          <w:p w14:paraId="271631C4">
            <w:pPr>
              <w:ind w:left="-105" w:right="-105"/>
              <w:jc w:val="center"/>
              <w:rPr>
                <w:color w:val="000000"/>
                <w:szCs w:val="21"/>
              </w:rPr>
            </w:pPr>
            <w:r>
              <w:rPr>
                <w:rFonts w:hAnsi="宋体"/>
                <w:color w:val="000000"/>
                <w:szCs w:val="21"/>
              </w:rPr>
              <w:t>聚乙烯桶</w:t>
            </w:r>
            <w:r>
              <w:rPr>
                <w:color w:val="000000"/>
                <w:szCs w:val="21"/>
              </w:rPr>
              <w:t>/</w:t>
            </w:r>
            <w:r>
              <w:rPr>
                <w:rFonts w:hAnsi="宋体"/>
                <w:color w:val="000000"/>
                <w:szCs w:val="21"/>
              </w:rPr>
              <w:t>玻璃瓶</w:t>
            </w:r>
          </w:p>
        </w:tc>
        <w:tc>
          <w:tcPr>
            <w:tcW w:w="790" w:type="dxa"/>
            <w:noWrap w:val="0"/>
            <w:vAlign w:val="center"/>
          </w:tcPr>
          <w:p w14:paraId="700BE347">
            <w:pPr>
              <w:ind w:left="-105" w:right="-105"/>
              <w:jc w:val="center"/>
              <w:rPr>
                <w:color w:val="000000"/>
                <w:szCs w:val="21"/>
              </w:rPr>
            </w:pPr>
            <w:r>
              <w:rPr>
                <w:rFonts w:hAnsi="宋体"/>
                <w:color w:val="000000"/>
                <w:szCs w:val="21"/>
              </w:rPr>
              <w:t>聚乙烯桶</w:t>
            </w:r>
            <w:r>
              <w:rPr>
                <w:color w:val="000000"/>
                <w:szCs w:val="21"/>
              </w:rPr>
              <w:t>/</w:t>
            </w:r>
            <w:r>
              <w:rPr>
                <w:rFonts w:hAnsi="宋体"/>
                <w:color w:val="000000"/>
                <w:szCs w:val="21"/>
              </w:rPr>
              <w:t>玻璃瓶</w:t>
            </w:r>
          </w:p>
        </w:tc>
      </w:tr>
    </w:tbl>
    <w:p w14:paraId="0E8EEF23">
      <w:pPr>
        <w:rPr>
          <w:b/>
          <w:color w:val="000000"/>
          <w:sz w:val="36"/>
          <w:szCs w:val="36"/>
        </w:rPr>
      </w:pPr>
    </w:p>
    <w:p w14:paraId="1576CC65">
      <w:pPr>
        <w:rPr>
          <w:b/>
          <w:color w:val="000000"/>
          <w:sz w:val="36"/>
          <w:szCs w:val="36"/>
        </w:rPr>
      </w:pPr>
      <w:r>
        <w:rPr>
          <w:b/>
          <w:color w:val="000000"/>
          <w:sz w:val="36"/>
          <w:szCs w:val="36"/>
        </w:rPr>
        <w:t>二、检测方法、设备一览表</w:t>
      </w:r>
    </w:p>
    <w:tbl>
      <w:tblPr>
        <w:tblStyle w:val="27"/>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399"/>
        <w:gridCol w:w="4046"/>
        <w:gridCol w:w="2475"/>
        <w:gridCol w:w="1742"/>
      </w:tblGrid>
      <w:tr w14:paraId="4296361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tblHeader/>
          <w:jc w:val="center"/>
        </w:trPr>
        <w:tc>
          <w:tcPr>
            <w:tcW w:w="1399" w:type="dxa"/>
            <w:noWrap w:val="0"/>
            <w:vAlign w:val="center"/>
          </w:tcPr>
          <w:p w14:paraId="5323A447">
            <w:pPr>
              <w:jc w:val="center"/>
              <w:rPr>
                <w:b/>
                <w:color w:val="000000"/>
                <w:szCs w:val="21"/>
              </w:rPr>
            </w:pPr>
            <w:r>
              <w:rPr>
                <w:b/>
                <w:color w:val="000000"/>
                <w:szCs w:val="21"/>
              </w:rPr>
              <w:t>检测项目</w:t>
            </w:r>
          </w:p>
        </w:tc>
        <w:tc>
          <w:tcPr>
            <w:tcW w:w="4046" w:type="dxa"/>
            <w:noWrap w:val="0"/>
            <w:vAlign w:val="center"/>
          </w:tcPr>
          <w:p w14:paraId="1DDBC5E7">
            <w:pPr>
              <w:jc w:val="center"/>
              <w:rPr>
                <w:b/>
                <w:color w:val="000000"/>
                <w:szCs w:val="21"/>
              </w:rPr>
            </w:pPr>
            <w:r>
              <w:rPr>
                <w:b/>
                <w:color w:val="000000"/>
                <w:szCs w:val="21"/>
              </w:rPr>
              <w:t>检测方法依据标准代号</w:t>
            </w:r>
          </w:p>
          <w:p w14:paraId="2940F2F4">
            <w:pPr>
              <w:jc w:val="center"/>
              <w:rPr>
                <w:b/>
                <w:color w:val="000000"/>
                <w:szCs w:val="21"/>
              </w:rPr>
            </w:pPr>
            <w:r>
              <w:rPr>
                <w:b/>
                <w:color w:val="000000"/>
                <w:szCs w:val="21"/>
              </w:rPr>
              <w:t>及名称</w:t>
            </w:r>
          </w:p>
        </w:tc>
        <w:tc>
          <w:tcPr>
            <w:tcW w:w="2475" w:type="dxa"/>
            <w:noWrap w:val="0"/>
            <w:vAlign w:val="center"/>
          </w:tcPr>
          <w:p w14:paraId="300FD0FC">
            <w:pPr>
              <w:jc w:val="center"/>
              <w:rPr>
                <w:b/>
                <w:color w:val="000000"/>
                <w:szCs w:val="21"/>
              </w:rPr>
            </w:pPr>
            <w:r>
              <w:rPr>
                <w:b/>
                <w:color w:val="000000"/>
                <w:szCs w:val="21"/>
              </w:rPr>
              <w:t>主要检测仪器设备</w:t>
            </w:r>
          </w:p>
          <w:p w14:paraId="0C05A86B">
            <w:pPr>
              <w:jc w:val="center"/>
              <w:rPr>
                <w:b/>
                <w:color w:val="000000"/>
                <w:szCs w:val="21"/>
              </w:rPr>
            </w:pPr>
            <w:r>
              <w:rPr>
                <w:b/>
                <w:color w:val="000000"/>
                <w:szCs w:val="21"/>
              </w:rPr>
              <w:t>型号及名称</w:t>
            </w:r>
          </w:p>
        </w:tc>
        <w:tc>
          <w:tcPr>
            <w:tcW w:w="1742" w:type="dxa"/>
            <w:noWrap w:val="0"/>
            <w:vAlign w:val="center"/>
          </w:tcPr>
          <w:p w14:paraId="2E78662D">
            <w:pPr>
              <w:jc w:val="center"/>
              <w:rPr>
                <w:b/>
                <w:color w:val="000000"/>
                <w:szCs w:val="21"/>
              </w:rPr>
            </w:pPr>
            <w:r>
              <w:rPr>
                <w:b/>
                <w:color w:val="000000"/>
                <w:szCs w:val="21"/>
              </w:rPr>
              <w:t>方法</w:t>
            </w:r>
          </w:p>
          <w:p w14:paraId="586561DF">
            <w:pPr>
              <w:jc w:val="center"/>
              <w:rPr>
                <w:b/>
                <w:color w:val="000000"/>
                <w:szCs w:val="21"/>
              </w:rPr>
            </w:pPr>
            <w:r>
              <w:rPr>
                <w:b/>
                <w:color w:val="000000"/>
                <w:szCs w:val="21"/>
              </w:rPr>
              <w:t>检出限</w:t>
            </w:r>
          </w:p>
        </w:tc>
      </w:tr>
      <w:tr w14:paraId="002C412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009" w:hRule="atLeast"/>
          <w:jc w:val="center"/>
        </w:trPr>
        <w:tc>
          <w:tcPr>
            <w:tcW w:w="1399" w:type="dxa"/>
            <w:noWrap w:val="0"/>
            <w:vAlign w:val="center"/>
          </w:tcPr>
          <w:p w14:paraId="47C47CB5">
            <w:pPr>
              <w:spacing w:line="340" w:lineRule="exact"/>
              <w:jc w:val="center"/>
              <w:rPr>
                <w:color w:val="000000"/>
                <w:szCs w:val="21"/>
              </w:rPr>
            </w:pPr>
            <w:r>
              <w:rPr>
                <w:color w:val="000000"/>
                <w:szCs w:val="21"/>
              </w:rPr>
              <w:t>氨氮</w:t>
            </w:r>
          </w:p>
        </w:tc>
        <w:tc>
          <w:tcPr>
            <w:tcW w:w="4046" w:type="dxa"/>
            <w:noWrap w:val="0"/>
            <w:vAlign w:val="center"/>
          </w:tcPr>
          <w:p w14:paraId="2E38FD1B">
            <w:pPr>
              <w:spacing w:line="340" w:lineRule="exact"/>
              <w:jc w:val="center"/>
              <w:rPr>
                <w:rFonts w:hint="eastAsia"/>
                <w:color w:val="000000"/>
                <w:szCs w:val="21"/>
              </w:rPr>
            </w:pPr>
            <w:r>
              <w:rPr>
                <w:color w:val="000000"/>
                <w:szCs w:val="21"/>
              </w:rPr>
              <w:t>水质 氨氮的测定</w:t>
            </w:r>
          </w:p>
          <w:p w14:paraId="1DE9EF59">
            <w:pPr>
              <w:spacing w:line="340" w:lineRule="exact"/>
              <w:jc w:val="center"/>
              <w:rPr>
                <w:color w:val="000000"/>
                <w:szCs w:val="21"/>
              </w:rPr>
            </w:pPr>
            <w:r>
              <w:rPr>
                <w:color w:val="000000"/>
                <w:szCs w:val="21"/>
              </w:rPr>
              <w:t>纳氏试剂分光光度法</w:t>
            </w:r>
          </w:p>
          <w:p w14:paraId="05595C45">
            <w:pPr>
              <w:spacing w:line="340" w:lineRule="exact"/>
              <w:jc w:val="center"/>
              <w:rPr>
                <w:color w:val="000000"/>
                <w:szCs w:val="21"/>
              </w:rPr>
            </w:pPr>
            <w:r>
              <w:rPr>
                <w:color w:val="000000"/>
                <w:szCs w:val="21"/>
              </w:rPr>
              <w:t>HJ 535-2009</w:t>
            </w:r>
          </w:p>
        </w:tc>
        <w:tc>
          <w:tcPr>
            <w:tcW w:w="2475" w:type="dxa"/>
            <w:noWrap w:val="0"/>
            <w:vAlign w:val="center"/>
          </w:tcPr>
          <w:p w14:paraId="2A38D29E">
            <w:pPr>
              <w:spacing w:line="340" w:lineRule="exact"/>
              <w:jc w:val="center"/>
              <w:rPr>
                <w:color w:val="000000"/>
                <w:szCs w:val="21"/>
              </w:rPr>
            </w:pPr>
            <w:r>
              <w:rPr>
                <w:color w:val="000000"/>
                <w:szCs w:val="21"/>
              </w:rPr>
              <w:t>722S分光光度计YQ008</w:t>
            </w:r>
          </w:p>
        </w:tc>
        <w:tc>
          <w:tcPr>
            <w:tcW w:w="1742" w:type="dxa"/>
            <w:noWrap w:val="0"/>
            <w:vAlign w:val="center"/>
          </w:tcPr>
          <w:p w14:paraId="7C28FC6C">
            <w:pPr>
              <w:spacing w:line="340" w:lineRule="exact"/>
              <w:jc w:val="center"/>
              <w:rPr>
                <w:color w:val="000000"/>
                <w:szCs w:val="21"/>
              </w:rPr>
            </w:pPr>
            <w:r>
              <w:rPr>
                <w:color w:val="000000"/>
                <w:szCs w:val="21"/>
              </w:rPr>
              <w:t>0.025mg/L</w:t>
            </w:r>
          </w:p>
        </w:tc>
      </w:tr>
      <w:tr w14:paraId="6859C15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009" w:hRule="atLeast"/>
          <w:jc w:val="center"/>
        </w:trPr>
        <w:tc>
          <w:tcPr>
            <w:tcW w:w="1399" w:type="dxa"/>
            <w:noWrap w:val="0"/>
            <w:vAlign w:val="center"/>
          </w:tcPr>
          <w:p w14:paraId="239DEEAC">
            <w:pPr>
              <w:spacing w:line="340" w:lineRule="exact"/>
              <w:jc w:val="center"/>
              <w:rPr>
                <w:color w:val="000000"/>
                <w:szCs w:val="21"/>
              </w:rPr>
            </w:pPr>
            <w:r>
              <w:rPr>
                <w:color w:val="000000"/>
                <w:szCs w:val="21"/>
              </w:rPr>
              <w:t>悬浮物</w:t>
            </w:r>
          </w:p>
        </w:tc>
        <w:tc>
          <w:tcPr>
            <w:tcW w:w="4046" w:type="dxa"/>
            <w:noWrap w:val="0"/>
            <w:vAlign w:val="center"/>
          </w:tcPr>
          <w:p w14:paraId="54D04CEA">
            <w:pPr>
              <w:spacing w:line="340" w:lineRule="exact"/>
              <w:jc w:val="center"/>
              <w:rPr>
                <w:color w:val="000000"/>
                <w:szCs w:val="21"/>
              </w:rPr>
            </w:pPr>
            <w:r>
              <w:rPr>
                <w:color w:val="000000"/>
                <w:szCs w:val="21"/>
              </w:rPr>
              <w:t>水质 悬浮物的测定 重量法</w:t>
            </w:r>
          </w:p>
          <w:p w14:paraId="7212A757">
            <w:pPr>
              <w:spacing w:line="340" w:lineRule="exact"/>
              <w:jc w:val="center"/>
              <w:rPr>
                <w:color w:val="000000"/>
                <w:szCs w:val="21"/>
              </w:rPr>
            </w:pPr>
            <w:r>
              <w:rPr>
                <w:color w:val="000000"/>
                <w:szCs w:val="21"/>
              </w:rPr>
              <w:t>GB 11901-89</w:t>
            </w:r>
          </w:p>
        </w:tc>
        <w:tc>
          <w:tcPr>
            <w:tcW w:w="2475" w:type="dxa"/>
            <w:noWrap w:val="0"/>
            <w:vAlign w:val="center"/>
          </w:tcPr>
          <w:p w14:paraId="2F937E10">
            <w:pPr>
              <w:spacing w:line="340" w:lineRule="exact"/>
              <w:jc w:val="center"/>
              <w:rPr>
                <w:color w:val="000000"/>
                <w:szCs w:val="21"/>
              </w:rPr>
            </w:pPr>
            <w:r>
              <w:rPr>
                <w:color w:val="000000"/>
                <w:szCs w:val="21"/>
              </w:rPr>
              <w:t>万分之一分析天平FA1004 YQ001</w:t>
            </w:r>
          </w:p>
        </w:tc>
        <w:tc>
          <w:tcPr>
            <w:tcW w:w="1742" w:type="dxa"/>
            <w:noWrap w:val="0"/>
            <w:vAlign w:val="center"/>
          </w:tcPr>
          <w:p w14:paraId="5A62DE49">
            <w:pPr>
              <w:spacing w:line="340" w:lineRule="exact"/>
              <w:jc w:val="center"/>
              <w:rPr>
                <w:color w:val="000000"/>
                <w:szCs w:val="21"/>
              </w:rPr>
            </w:pPr>
            <w:r>
              <w:rPr>
                <w:color w:val="000000"/>
                <w:szCs w:val="21"/>
              </w:rPr>
              <w:t>—</w:t>
            </w:r>
          </w:p>
        </w:tc>
      </w:tr>
      <w:tr w14:paraId="4F21802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63" w:hRule="atLeast"/>
          <w:jc w:val="center"/>
        </w:trPr>
        <w:tc>
          <w:tcPr>
            <w:tcW w:w="1399" w:type="dxa"/>
            <w:noWrap w:val="0"/>
            <w:vAlign w:val="center"/>
          </w:tcPr>
          <w:p w14:paraId="4206F285">
            <w:pPr>
              <w:spacing w:line="340" w:lineRule="exact"/>
              <w:jc w:val="center"/>
              <w:rPr>
                <w:color w:val="000000"/>
                <w:szCs w:val="21"/>
              </w:rPr>
            </w:pPr>
            <w:r>
              <w:rPr>
                <w:color w:val="000000"/>
                <w:szCs w:val="21"/>
              </w:rPr>
              <w:t>pH</w:t>
            </w:r>
          </w:p>
        </w:tc>
        <w:tc>
          <w:tcPr>
            <w:tcW w:w="4046" w:type="dxa"/>
            <w:noWrap w:val="0"/>
            <w:vAlign w:val="center"/>
          </w:tcPr>
          <w:p w14:paraId="5D32C9C4">
            <w:pPr>
              <w:spacing w:line="340" w:lineRule="exact"/>
              <w:jc w:val="center"/>
              <w:rPr>
                <w:color w:val="000000"/>
                <w:szCs w:val="21"/>
              </w:rPr>
            </w:pPr>
            <w:r>
              <w:rPr>
                <w:color w:val="000000"/>
                <w:szCs w:val="21"/>
              </w:rPr>
              <w:t>水质 pH值的测定玻璃电极法</w:t>
            </w:r>
          </w:p>
          <w:p w14:paraId="08F2EC69">
            <w:pPr>
              <w:spacing w:line="340" w:lineRule="exact"/>
              <w:jc w:val="center"/>
              <w:rPr>
                <w:color w:val="000000"/>
                <w:szCs w:val="21"/>
              </w:rPr>
            </w:pPr>
            <w:r>
              <w:rPr>
                <w:color w:val="000000"/>
                <w:szCs w:val="21"/>
              </w:rPr>
              <w:t>GB 6920-86</w:t>
            </w:r>
          </w:p>
        </w:tc>
        <w:tc>
          <w:tcPr>
            <w:tcW w:w="2475" w:type="dxa"/>
            <w:noWrap w:val="0"/>
            <w:vAlign w:val="center"/>
          </w:tcPr>
          <w:p w14:paraId="7B66D116">
            <w:pPr>
              <w:spacing w:line="340" w:lineRule="exact"/>
              <w:jc w:val="center"/>
              <w:rPr>
                <w:color w:val="000000"/>
                <w:szCs w:val="21"/>
              </w:rPr>
            </w:pPr>
            <w:r>
              <w:rPr>
                <w:color w:val="000000"/>
                <w:szCs w:val="21"/>
              </w:rPr>
              <w:t>pH计PHS-3C YQ00</w:t>
            </w:r>
            <w:r>
              <w:rPr>
                <w:rFonts w:hint="eastAsia"/>
                <w:color w:val="000000"/>
                <w:szCs w:val="21"/>
              </w:rPr>
              <w:t>2</w:t>
            </w:r>
          </w:p>
        </w:tc>
        <w:tc>
          <w:tcPr>
            <w:tcW w:w="1742" w:type="dxa"/>
            <w:noWrap w:val="0"/>
            <w:vAlign w:val="center"/>
          </w:tcPr>
          <w:p w14:paraId="3B0EBFE0">
            <w:pPr>
              <w:spacing w:line="340" w:lineRule="exact"/>
              <w:jc w:val="center"/>
              <w:rPr>
                <w:color w:val="000000"/>
                <w:szCs w:val="21"/>
              </w:rPr>
            </w:pPr>
            <w:r>
              <w:rPr>
                <w:color w:val="000000"/>
                <w:szCs w:val="21"/>
              </w:rPr>
              <w:t>0.</w:t>
            </w:r>
            <w:r>
              <w:rPr>
                <w:rFonts w:hint="eastAsia"/>
                <w:color w:val="000000"/>
                <w:szCs w:val="21"/>
              </w:rPr>
              <w:t>0</w:t>
            </w:r>
            <w:r>
              <w:rPr>
                <w:color w:val="000000"/>
                <w:szCs w:val="21"/>
              </w:rPr>
              <w:t>1pH</w:t>
            </w:r>
          </w:p>
        </w:tc>
      </w:tr>
      <w:tr w14:paraId="49FB490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63" w:hRule="atLeast"/>
          <w:jc w:val="center"/>
        </w:trPr>
        <w:tc>
          <w:tcPr>
            <w:tcW w:w="1399" w:type="dxa"/>
            <w:noWrap w:val="0"/>
            <w:vAlign w:val="center"/>
          </w:tcPr>
          <w:p w14:paraId="0EE93AAA">
            <w:pPr>
              <w:spacing w:line="340" w:lineRule="exact"/>
              <w:jc w:val="center"/>
              <w:rPr>
                <w:color w:val="000000"/>
                <w:szCs w:val="21"/>
              </w:rPr>
            </w:pPr>
            <w:r>
              <w:rPr>
                <w:color w:val="000000"/>
                <w:szCs w:val="21"/>
              </w:rPr>
              <w:t>化学需氧量</w:t>
            </w:r>
          </w:p>
        </w:tc>
        <w:tc>
          <w:tcPr>
            <w:tcW w:w="4046" w:type="dxa"/>
            <w:noWrap w:val="0"/>
            <w:vAlign w:val="center"/>
          </w:tcPr>
          <w:p w14:paraId="74FFD9BB">
            <w:pPr>
              <w:spacing w:line="340" w:lineRule="exact"/>
              <w:jc w:val="center"/>
              <w:rPr>
                <w:rFonts w:hint="eastAsia"/>
                <w:color w:val="000000"/>
                <w:szCs w:val="21"/>
              </w:rPr>
            </w:pPr>
            <w:r>
              <w:rPr>
                <w:color w:val="000000"/>
                <w:szCs w:val="21"/>
              </w:rPr>
              <w:t xml:space="preserve">水质 化学需氧量的测定 </w:t>
            </w:r>
          </w:p>
          <w:p w14:paraId="54773C23">
            <w:pPr>
              <w:spacing w:line="340" w:lineRule="exact"/>
              <w:jc w:val="center"/>
              <w:rPr>
                <w:color w:val="000000"/>
                <w:szCs w:val="21"/>
              </w:rPr>
            </w:pPr>
            <w:r>
              <w:rPr>
                <w:color w:val="000000"/>
                <w:szCs w:val="21"/>
              </w:rPr>
              <w:t>重铬酸盐法 GB 11914-89</w:t>
            </w:r>
          </w:p>
        </w:tc>
        <w:tc>
          <w:tcPr>
            <w:tcW w:w="2475" w:type="dxa"/>
            <w:noWrap w:val="0"/>
            <w:vAlign w:val="center"/>
          </w:tcPr>
          <w:p w14:paraId="3F08CF0F">
            <w:pPr>
              <w:spacing w:line="340" w:lineRule="exact"/>
              <w:jc w:val="center"/>
              <w:rPr>
                <w:color w:val="000000"/>
                <w:szCs w:val="21"/>
              </w:rPr>
            </w:pPr>
            <w:r>
              <w:rPr>
                <w:color w:val="000000"/>
                <w:szCs w:val="21"/>
              </w:rPr>
              <w:t>滴定管 LSS45</w:t>
            </w:r>
          </w:p>
        </w:tc>
        <w:tc>
          <w:tcPr>
            <w:tcW w:w="1742" w:type="dxa"/>
            <w:noWrap w:val="0"/>
            <w:vAlign w:val="center"/>
          </w:tcPr>
          <w:p w14:paraId="636C9ADF">
            <w:pPr>
              <w:spacing w:line="340" w:lineRule="exact"/>
              <w:jc w:val="center"/>
              <w:rPr>
                <w:color w:val="000000"/>
                <w:szCs w:val="21"/>
              </w:rPr>
            </w:pPr>
            <w:r>
              <w:rPr>
                <w:color w:val="000000"/>
                <w:szCs w:val="21"/>
              </w:rPr>
              <w:t>10 mg/L</w:t>
            </w:r>
          </w:p>
        </w:tc>
      </w:tr>
      <w:tr w14:paraId="6ED1449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097" w:hRule="atLeast"/>
          <w:jc w:val="center"/>
        </w:trPr>
        <w:tc>
          <w:tcPr>
            <w:tcW w:w="1399" w:type="dxa"/>
            <w:noWrap w:val="0"/>
            <w:vAlign w:val="center"/>
          </w:tcPr>
          <w:p w14:paraId="61F737F6">
            <w:pPr>
              <w:spacing w:line="340" w:lineRule="exact"/>
              <w:jc w:val="center"/>
              <w:rPr>
                <w:color w:val="000000"/>
                <w:szCs w:val="21"/>
              </w:rPr>
            </w:pPr>
            <w:r>
              <w:rPr>
                <w:color w:val="000000"/>
                <w:szCs w:val="21"/>
              </w:rPr>
              <w:t>五日生化</w:t>
            </w:r>
          </w:p>
          <w:p w14:paraId="6891E947">
            <w:pPr>
              <w:spacing w:line="340" w:lineRule="exact"/>
              <w:jc w:val="center"/>
              <w:rPr>
                <w:color w:val="000000"/>
                <w:szCs w:val="21"/>
              </w:rPr>
            </w:pPr>
            <w:r>
              <w:rPr>
                <w:color w:val="000000"/>
                <w:szCs w:val="21"/>
              </w:rPr>
              <w:t>需氧量</w:t>
            </w:r>
          </w:p>
        </w:tc>
        <w:tc>
          <w:tcPr>
            <w:tcW w:w="4046" w:type="dxa"/>
            <w:noWrap w:val="0"/>
            <w:vAlign w:val="center"/>
          </w:tcPr>
          <w:p w14:paraId="71112E21">
            <w:pPr>
              <w:spacing w:line="340" w:lineRule="exact"/>
              <w:jc w:val="center"/>
              <w:rPr>
                <w:rFonts w:hint="eastAsia"/>
                <w:color w:val="000000"/>
                <w:szCs w:val="21"/>
              </w:rPr>
            </w:pPr>
            <w:r>
              <w:rPr>
                <w:color w:val="000000"/>
                <w:szCs w:val="21"/>
              </w:rPr>
              <w:t xml:space="preserve">水质 五日生化需氧量的测定 </w:t>
            </w:r>
          </w:p>
          <w:p w14:paraId="23E00F90">
            <w:pPr>
              <w:spacing w:line="340" w:lineRule="exact"/>
              <w:jc w:val="center"/>
              <w:rPr>
                <w:color w:val="000000"/>
                <w:szCs w:val="21"/>
              </w:rPr>
            </w:pPr>
            <w:r>
              <w:rPr>
                <w:color w:val="000000"/>
                <w:szCs w:val="21"/>
              </w:rPr>
              <w:t>稀释与接种法 HJ 505-2009</w:t>
            </w:r>
          </w:p>
        </w:tc>
        <w:tc>
          <w:tcPr>
            <w:tcW w:w="2475" w:type="dxa"/>
            <w:noWrap w:val="0"/>
            <w:vAlign w:val="center"/>
          </w:tcPr>
          <w:p w14:paraId="29307489">
            <w:pPr>
              <w:spacing w:line="340" w:lineRule="exact"/>
              <w:jc w:val="center"/>
              <w:rPr>
                <w:color w:val="000000"/>
                <w:szCs w:val="21"/>
              </w:rPr>
            </w:pPr>
            <w:r>
              <w:rPr>
                <w:color w:val="000000"/>
                <w:szCs w:val="21"/>
              </w:rPr>
              <w:t>滴定管 LSS45</w:t>
            </w:r>
          </w:p>
          <w:p w14:paraId="6961CE05">
            <w:pPr>
              <w:spacing w:line="340" w:lineRule="exact"/>
              <w:jc w:val="center"/>
              <w:rPr>
                <w:color w:val="000000"/>
                <w:szCs w:val="21"/>
              </w:rPr>
            </w:pPr>
            <w:r>
              <w:rPr>
                <w:color w:val="000000"/>
                <w:szCs w:val="21"/>
              </w:rPr>
              <w:t>生化培养箱SPX-250-</w:t>
            </w:r>
            <w:r>
              <w:rPr>
                <w:rFonts w:hAnsi="宋体"/>
                <w:color w:val="000000"/>
                <w:szCs w:val="21"/>
              </w:rPr>
              <w:t>Ⅱ</w:t>
            </w:r>
            <w:r>
              <w:rPr>
                <w:color w:val="000000"/>
                <w:szCs w:val="21"/>
              </w:rPr>
              <w:t>YQ013</w:t>
            </w:r>
          </w:p>
        </w:tc>
        <w:tc>
          <w:tcPr>
            <w:tcW w:w="1742" w:type="dxa"/>
            <w:noWrap w:val="0"/>
            <w:vAlign w:val="center"/>
          </w:tcPr>
          <w:p w14:paraId="1152BC11">
            <w:pPr>
              <w:spacing w:line="340" w:lineRule="exact"/>
              <w:jc w:val="center"/>
              <w:rPr>
                <w:color w:val="000000"/>
                <w:szCs w:val="21"/>
              </w:rPr>
            </w:pPr>
            <w:r>
              <w:rPr>
                <w:color w:val="000000"/>
                <w:szCs w:val="21"/>
              </w:rPr>
              <w:t>0.5 mg/L</w:t>
            </w:r>
          </w:p>
        </w:tc>
      </w:tr>
      <w:tr w14:paraId="79590AC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63" w:hRule="atLeast"/>
          <w:jc w:val="center"/>
        </w:trPr>
        <w:tc>
          <w:tcPr>
            <w:tcW w:w="1399" w:type="dxa"/>
            <w:noWrap w:val="0"/>
            <w:vAlign w:val="center"/>
          </w:tcPr>
          <w:p w14:paraId="0A02A00E">
            <w:pPr>
              <w:spacing w:line="340" w:lineRule="exact"/>
              <w:ind w:firstLine="4"/>
              <w:jc w:val="center"/>
              <w:rPr>
                <w:color w:val="000000"/>
                <w:szCs w:val="21"/>
              </w:rPr>
            </w:pPr>
            <w:r>
              <w:rPr>
                <w:color w:val="000000"/>
                <w:szCs w:val="21"/>
              </w:rPr>
              <w:t>阴离子表面活性剂</w:t>
            </w:r>
          </w:p>
        </w:tc>
        <w:tc>
          <w:tcPr>
            <w:tcW w:w="4046" w:type="dxa"/>
            <w:noWrap w:val="0"/>
            <w:vAlign w:val="center"/>
          </w:tcPr>
          <w:p w14:paraId="0C7920ED">
            <w:pPr>
              <w:spacing w:line="340" w:lineRule="exact"/>
              <w:jc w:val="center"/>
              <w:rPr>
                <w:bCs/>
                <w:color w:val="000000"/>
                <w:szCs w:val="21"/>
              </w:rPr>
            </w:pPr>
            <w:r>
              <w:rPr>
                <w:bCs/>
                <w:color w:val="000000"/>
                <w:szCs w:val="21"/>
              </w:rPr>
              <w:t>水质   阴离子表面活性剂的测定 亚甲蓝分光光度法</w:t>
            </w:r>
          </w:p>
          <w:p w14:paraId="4E697207">
            <w:pPr>
              <w:spacing w:line="340" w:lineRule="exact"/>
              <w:jc w:val="center"/>
              <w:rPr>
                <w:color w:val="000000"/>
                <w:szCs w:val="21"/>
              </w:rPr>
            </w:pPr>
            <w:r>
              <w:rPr>
                <w:bCs/>
                <w:color w:val="000000"/>
                <w:szCs w:val="21"/>
              </w:rPr>
              <w:t>GB7494-87</w:t>
            </w:r>
          </w:p>
        </w:tc>
        <w:tc>
          <w:tcPr>
            <w:tcW w:w="2475" w:type="dxa"/>
            <w:noWrap w:val="0"/>
            <w:vAlign w:val="center"/>
          </w:tcPr>
          <w:p w14:paraId="41C4C684">
            <w:pPr>
              <w:spacing w:line="340" w:lineRule="exact"/>
              <w:jc w:val="center"/>
              <w:rPr>
                <w:color w:val="000000"/>
                <w:szCs w:val="21"/>
              </w:rPr>
            </w:pPr>
            <w:r>
              <w:rPr>
                <w:color w:val="000000"/>
                <w:szCs w:val="21"/>
              </w:rPr>
              <w:t>可见分光光度计722S YQ031</w:t>
            </w:r>
          </w:p>
        </w:tc>
        <w:tc>
          <w:tcPr>
            <w:tcW w:w="1742" w:type="dxa"/>
            <w:noWrap w:val="0"/>
            <w:vAlign w:val="center"/>
          </w:tcPr>
          <w:p w14:paraId="6B4FDEE3">
            <w:pPr>
              <w:spacing w:line="340" w:lineRule="exact"/>
              <w:jc w:val="center"/>
              <w:rPr>
                <w:color w:val="000000"/>
                <w:szCs w:val="21"/>
              </w:rPr>
            </w:pPr>
            <w:r>
              <w:rPr>
                <w:color w:val="000000"/>
                <w:szCs w:val="21"/>
                <w:shd w:val="clear" w:color="auto" w:fill="FFFFFF"/>
              </w:rPr>
              <w:t>0.05mg/L</w:t>
            </w:r>
          </w:p>
        </w:tc>
      </w:tr>
      <w:tr w14:paraId="605F09A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860" w:hRule="atLeast"/>
          <w:jc w:val="center"/>
        </w:trPr>
        <w:tc>
          <w:tcPr>
            <w:tcW w:w="1399" w:type="dxa"/>
            <w:noWrap w:val="0"/>
            <w:vAlign w:val="center"/>
          </w:tcPr>
          <w:p w14:paraId="685E5827">
            <w:pPr>
              <w:spacing w:line="340" w:lineRule="exact"/>
              <w:jc w:val="center"/>
              <w:rPr>
                <w:color w:val="000000"/>
                <w:szCs w:val="21"/>
              </w:rPr>
            </w:pPr>
            <w:r>
              <w:rPr>
                <w:rFonts w:hint="eastAsia"/>
                <w:color w:val="000000"/>
                <w:szCs w:val="21"/>
              </w:rPr>
              <w:t>粪</w:t>
            </w:r>
            <w:r>
              <w:rPr>
                <w:color w:val="000000"/>
                <w:szCs w:val="21"/>
              </w:rPr>
              <w:t>大肠菌群</w:t>
            </w:r>
          </w:p>
        </w:tc>
        <w:tc>
          <w:tcPr>
            <w:tcW w:w="4046" w:type="dxa"/>
            <w:noWrap w:val="0"/>
            <w:vAlign w:val="center"/>
          </w:tcPr>
          <w:p w14:paraId="2946FBC7">
            <w:pPr>
              <w:spacing w:line="340" w:lineRule="exact"/>
              <w:jc w:val="center"/>
              <w:rPr>
                <w:color w:val="000000"/>
                <w:szCs w:val="21"/>
              </w:rPr>
            </w:pPr>
            <w:r>
              <w:rPr>
                <w:rFonts w:hint="eastAsia" w:ascii="宋体" w:hAnsi="宋体"/>
                <w:color w:val="000000"/>
                <w:szCs w:val="21"/>
              </w:rPr>
              <w:t>水质 粪大肠菌群的测定 多管发酵法和滤膜法（试行）HJ/T347-2007</w:t>
            </w:r>
          </w:p>
        </w:tc>
        <w:tc>
          <w:tcPr>
            <w:tcW w:w="2475" w:type="dxa"/>
            <w:noWrap w:val="0"/>
            <w:vAlign w:val="center"/>
          </w:tcPr>
          <w:p w14:paraId="6C8AE612">
            <w:pPr>
              <w:spacing w:line="340" w:lineRule="exact"/>
              <w:jc w:val="center"/>
              <w:rPr>
                <w:rFonts w:hint="eastAsia"/>
                <w:color w:val="000000"/>
                <w:szCs w:val="21"/>
              </w:rPr>
            </w:pPr>
            <w:r>
              <w:rPr>
                <w:rFonts w:hint="eastAsia"/>
                <w:color w:val="000000"/>
                <w:szCs w:val="21"/>
              </w:rPr>
              <w:t>隔水式恒温培养箱</w:t>
            </w:r>
          </w:p>
          <w:p w14:paraId="504FC969">
            <w:pPr>
              <w:spacing w:line="340" w:lineRule="exact"/>
              <w:jc w:val="center"/>
              <w:rPr>
                <w:color w:val="000000"/>
                <w:szCs w:val="21"/>
              </w:rPr>
            </w:pPr>
            <w:r>
              <w:rPr>
                <w:rFonts w:hint="eastAsia"/>
                <w:color w:val="000000"/>
                <w:szCs w:val="21"/>
              </w:rPr>
              <w:t>GSP-9160MBE YQ059</w:t>
            </w:r>
          </w:p>
        </w:tc>
        <w:tc>
          <w:tcPr>
            <w:tcW w:w="1742" w:type="dxa"/>
            <w:noWrap w:val="0"/>
            <w:vAlign w:val="center"/>
          </w:tcPr>
          <w:p w14:paraId="1992BA73">
            <w:pPr>
              <w:spacing w:line="340" w:lineRule="exact"/>
              <w:jc w:val="center"/>
              <w:rPr>
                <w:color w:val="000000"/>
                <w:szCs w:val="21"/>
              </w:rPr>
            </w:pPr>
            <w:r>
              <w:rPr>
                <w:color w:val="000000"/>
                <w:szCs w:val="21"/>
              </w:rPr>
              <w:t>—</w:t>
            </w:r>
          </w:p>
        </w:tc>
      </w:tr>
      <w:tr w14:paraId="7D876A8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38" w:hRule="atLeast"/>
          <w:jc w:val="center"/>
        </w:trPr>
        <w:tc>
          <w:tcPr>
            <w:tcW w:w="1399" w:type="dxa"/>
            <w:noWrap w:val="0"/>
            <w:vAlign w:val="center"/>
          </w:tcPr>
          <w:p w14:paraId="4701F158">
            <w:pPr>
              <w:jc w:val="center"/>
              <w:rPr>
                <w:color w:val="000000"/>
                <w:szCs w:val="21"/>
              </w:rPr>
            </w:pPr>
            <w:r>
              <w:rPr>
                <w:color w:val="000000"/>
                <w:szCs w:val="21"/>
              </w:rPr>
              <w:t>石油类和动植物油</w:t>
            </w:r>
          </w:p>
        </w:tc>
        <w:tc>
          <w:tcPr>
            <w:tcW w:w="4046" w:type="dxa"/>
            <w:noWrap w:val="0"/>
            <w:vAlign w:val="center"/>
          </w:tcPr>
          <w:p w14:paraId="5FB791C4">
            <w:pPr>
              <w:jc w:val="center"/>
              <w:rPr>
                <w:bCs/>
                <w:color w:val="000000"/>
                <w:szCs w:val="21"/>
              </w:rPr>
            </w:pPr>
            <w:r>
              <w:rPr>
                <w:bCs/>
                <w:color w:val="000000"/>
                <w:szCs w:val="21"/>
              </w:rPr>
              <w:t>水质 石油类和动植物油类的测定 红外分光光度法 HJ 637-2012</w:t>
            </w:r>
          </w:p>
        </w:tc>
        <w:tc>
          <w:tcPr>
            <w:tcW w:w="2475" w:type="dxa"/>
            <w:noWrap w:val="0"/>
            <w:vAlign w:val="center"/>
          </w:tcPr>
          <w:p w14:paraId="3C685F1F">
            <w:pPr>
              <w:jc w:val="center"/>
              <w:rPr>
                <w:color w:val="000000"/>
                <w:szCs w:val="21"/>
              </w:rPr>
            </w:pPr>
            <w:r>
              <w:rPr>
                <w:color w:val="000000"/>
                <w:szCs w:val="21"/>
              </w:rPr>
              <w:t>红外测油仪 MAI-50G YQ012</w:t>
            </w:r>
          </w:p>
        </w:tc>
        <w:tc>
          <w:tcPr>
            <w:tcW w:w="1742" w:type="dxa"/>
            <w:noWrap w:val="0"/>
            <w:vAlign w:val="center"/>
          </w:tcPr>
          <w:p w14:paraId="60A9AB87">
            <w:pPr>
              <w:spacing w:line="340" w:lineRule="exact"/>
              <w:jc w:val="center"/>
              <w:rPr>
                <w:color w:val="000000"/>
                <w:szCs w:val="21"/>
              </w:rPr>
            </w:pPr>
            <w:r>
              <w:rPr>
                <w:color w:val="000000"/>
                <w:szCs w:val="21"/>
              </w:rPr>
              <w:t>0.04mg/L</w:t>
            </w:r>
          </w:p>
        </w:tc>
      </w:tr>
      <w:tr w14:paraId="5AE4AAE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38" w:hRule="atLeast"/>
          <w:jc w:val="center"/>
        </w:trPr>
        <w:tc>
          <w:tcPr>
            <w:tcW w:w="1399" w:type="dxa"/>
            <w:noWrap w:val="0"/>
            <w:vAlign w:val="center"/>
          </w:tcPr>
          <w:p w14:paraId="33AD93F1">
            <w:pPr>
              <w:jc w:val="center"/>
              <w:rPr>
                <w:rFonts w:hint="eastAsia"/>
                <w:color w:val="000000"/>
                <w:szCs w:val="21"/>
              </w:rPr>
            </w:pPr>
            <w:r>
              <w:rPr>
                <w:rFonts w:hint="eastAsia"/>
                <w:color w:val="000000"/>
                <w:szCs w:val="21"/>
              </w:rPr>
              <w:t>色度</w:t>
            </w:r>
          </w:p>
        </w:tc>
        <w:tc>
          <w:tcPr>
            <w:tcW w:w="4046" w:type="dxa"/>
            <w:noWrap w:val="0"/>
            <w:vAlign w:val="center"/>
          </w:tcPr>
          <w:p w14:paraId="3B65189B">
            <w:pPr>
              <w:spacing w:line="280" w:lineRule="exact"/>
              <w:rPr>
                <w:rFonts w:hint="eastAsia" w:ascii="宋体" w:hAnsi="宋体"/>
                <w:color w:val="000000"/>
                <w:szCs w:val="21"/>
              </w:rPr>
            </w:pPr>
            <w:r>
              <w:rPr>
                <w:rFonts w:ascii="宋体" w:hAnsi="宋体"/>
                <w:color w:val="000000"/>
                <w:szCs w:val="21"/>
              </w:rPr>
              <w:t>水质色度的测定铂钴比色法稀释倍数法</w:t>
            </w:r>
          </w:p>
          <w:p w14:paraId="7CA07880">
            <w:pPr>
              <w:jc w:val="center"/>
              <w:rPr>
                <w:color w:val="000000"/>
                <w:szCs w:val="21"/>
              </w:rPr>
            </w:pPr>
            <w:r>
              <w:rPr>
                <w:rFonts w:ascii="宋体" w:hAnsi="宋体"/>
                <w:color w:val="000000"/>
                <w:szCs w:val="21"/>
              </w:rPr>
              <w:t>GB11903-1989</w:t>
            </w:r>
          </w:p>
        </w:tc>
        <w:tc>
          <w:tcPr>
            <w:tcW w:w="2475" w:type="dxa"/>
            <w:noWrap w:val="0"/>
            <w:vAlign w:val="center"/>
          </w:tcPr>
          <w:p w14:paraId="7BC90C96">
            <w:pPr>
              <w:jc w:val="center"/>
              <w:rPr>
                <w:color w:val="000000"/>
                <w:szCs w:val="21"/>
              </w:rPr>
            </w:pPr>
            <w:r>
              <w:rPr>
                <w:rFonts w:hint="eastAsia"/>
                <w:color w:val="000000"/>
                <w:szCs w:val="21"/>
              </w:rPr>
              <w:t>比色管</w:t>
            </w:r>
          </w:p>
        </w:tc>
        <w:tc>
          <w:tcPr>
            <w:tcW w:w="1742" w:type="dxa"/>
            <w:noWrap w:val="0"/>
            <w:vAlign w:val="center"/>
          </w:tcPr>
          <w:p w14:paraId="3FA34376">
            <w:pPr>
              <w:spacing w:line="400" w:lineRule="exact"/>
              <w:jc w:val="center"/>
              <w:rPr>
                <w:color w:val="000000"/>
                <w:szCs w:val="21"/>
              </w:rPr>
            </w:pPr>
            <w:r>
              <w:rPr>
                <w:color w:val="000000"/>
                <w:szCs w:val="21"/>
              </w:rPr>
              <w:t>—</w:t>
            </w:r>
          </w:p>
        </w:tc>
      </w:tr>
      <w:tr w14:paraId="7931876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38" w:hRule="atLeast"/>
          <w:jc w:val="center"/>
        </w:trPr>
        <w:tc>
          <w:tcPr>
            <w:tcW w:w="1399" w:type="dxa"/>
            <w:noWrap w:val="0"/>
            <w:vAlign w:val="center"/>
          </w:tcPr>
          <w:p w14:paraId="6A8D5A47">
            <w:pPr>
              <w:jc w:val="center"/>
              <w:rPr>
                <w:rFonts w:hint="eastAsia"/>
                <w:color w:val="000000"/>
                <w:szCs w:val="21"/>
              </w:rPr>
            </w:pPr>
            <w:r>
              <w:rPr>
                <w:rFonts w:hint="eastAsia"/>
                <w:color w:val="000000"/>
                <w:szCs w:val="21"/>
              </w:rPr>
              <w:t>总氮</w:t>
            </w:r>
          </w:p>
        </w:tc>
        <w:tc>
          <w:tcPr>
            <w:tcW w:w="4046" w:type="dxa"/>
            <w:noWrap w:val="0"/>
            <w:vAlign w:val="center"/>
          </w:tcPr>
          <w:p w14:paraId="0D662E81">
            <w:pPr>
              <w:jc w:val="center"/>
              <w:rPr>
                <w:color w:val="000000"/>
                <w:szCs w:val="21"/>
              </w:rPr>
            </w:pPr>
            <w:r>
              <w:rPr>
                <w:rFonts w:hint="eastAsia" w:ascii="宋体" w:hAnsi="宋体"/>
                <w:color w:val="000000"/>
                <w:szCs w:val="21"/>
              </w:rPr>
              <w:t>水质 总氮的测定 碱性过硫酸钾消解紫外分光光度法 HJ636-2012</w:t>
            </w:r>
          </w:p>
        </w:tc>
        <w:tc>
          <w:tcPr>
            <w:tcW w:w="2475" w:type="dxa"/>
            <w:noWrap w:val="0"/>
            <w:vAlign w:val="center"/>
          </w:tcPr>
          <w:p w14:paraId="3FB60A0D">
            <w:pPr>
              <w:jc w:val="center"/>
              <w:rPr>
                <w:color w:val="000000"/>
                <w:szCs w:val="21"/>
              </w:rPr>
            </w:pPr>
            <w:r>
              <w:rPr>
                <w:rFonts w:hint="eastAsia"/>
                <w:color w:val="000000"/>
                <w:szCs w:val="21"/>
              </w:rPr>
              <w:t>紫外可见分光光度计</w:t>
            </w:r>
            <w:r>
              <w:rPr>
                <w:color w:val="000000"/>
                <w:szCs w:val="21"/>
              </w:rPr>
              <w:t>YQ0</w:t>
            </w:r>
            <w:r>
              <w:rPr>
                <w:rFonts w:hint="eastAsia"/>
                <w:color w:val="000000"/>
                <w:szCs w:val="21"/>
              </w:rPr>
              <w:t>7</w:t>
            </w:r>
            <w:r>
              <w:rPr>
                <w:color w:val="000000"/>
                <w:szCs w:val="21"/>
              </w:rPr>
              <w:t>1</w:t>
            </w:r>
          </w:p>
        </w:tc>
        <w:tc>
          <w:tcPr>
            <w:tcW w:w="1742" w:type="dxa"/>
            <w:noWrap w:val="0"/>
            <w:vAlign w:val="center"/>
          </w:tcPr>
          <w:p w14:paraId="0997E6BF">
            <w:pPr>
              <w:spacing w:line="400" w:lineRule="exact"/>
              <w:jc w:val="center"/>
              <w:rPr>
                <w:color w:val="000000"/>
                <w:szCs w:val="21"/>
              </w:rPr>
            </w:pPr>
            <w:r>
              <w:rPr>
                <w:rFonts w:hint="eastAsia"/>
                <w:color w:val="000000"/>
                <w:szCs w:val="21"/>
              </w:rPr>
              <w:t>0.05</w:t>
            </w:r>
            <w:r>
              <w:rPr>
                <w:color w:val="000000"/>
                <w:szCs w:val="21"/>
              </w:rPr>
              <w:t xml:space="preserve"> mg/L</w:t>
            </w:r>
          </w:p>
        </w:tc>
      </w:tr>
      <w:tr w14:paraId="4E504CA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38" w:hRule="atLeast"/>
          <w:jc w:val="center"/>
        </w:trPr>
        <w:tc>
          <w:tcPr>
            <w:tcW w:w="1399" w:type="dxa"/>
            <w:noWrap w:val="0"/>
            <w:vAlign w:val="center"/>
          </w:tcPr>
          <w:p w14:paraId="1CDE77A8">
            <w:pPr>
              <w:jc w:val="center"/>
              <w:rPr>
                <w:rFonts w:hint="eastAsia"/>
                <w:color w:val="000000"/>
                <w:szCs w:val="21"/>
              </w:rPr>
            </w:pPr>
            <w:r>
              <w:rPr>
                <w:rFonts w:hint="eastAsia"/>
                <w:color w:val="000000"/>
                <w:szCs w:val="21"/>
              </w:rPr>
              <w:t>总磷</w:t>
            </w:r>
          </w:p>
        </w:tc>
        <w:tc>
          <w:tcPr>
            <w:tcW w:w="4046" w:type="dxa"/>
            <w:noWrap w:val="0"/>
            <w:vAlign w:val="center"/>
          </w:tcPr>
          <w:p w14:paraId="59D71B52">
            <w:pPr>
              <w:jc w:val="center"/>
              <w:rPr>
                <w:color w:val="000000"/>
                <w:szCs w:val="21"/>
              </w:rPr>
            </w:pPr>
            <w:r>
              <w:rPr>
                <w:rFonts w:hint="eastAsia" w:ascii="宋体" w:hAnsi="宋体"/>
                <w:color w:val="000000"/>
                <w:szCs w:val="21"/>
              </w:rPr>
              <w:t>水质 总磷的测定 钼酸铵分光光度法 GB11893-89</w:t>
            </w:r>
          </w:p>
        </w:tc>
        <w:tc>
          <w:tcPr>
            <w:tcW w:w="2475" w:type="dxa"/>
            <w:noWrap w:val="0"/>
            <w:vAlign w:val="center"/>
          </w:tcPr>
          <w:p w14:paraId="2555498B">
            <w:pPr>
              <w:jc w:val="center"/>
              <w:rPr>
                <w:color w:val="000000"/>
                <w:szCs w:val="21"/>
              </w:rPr>
            </w:pPr>
            <w:r>
              <w:rPr>
                <w:color w:val="000000"/>
                <w:szCs w:val="21"/>
              </w:rPr>
              <w:t>可见分光光度计722S YQ031</w:t>
            </w:r>
          </w:p>
        </w:tc>
        <w:tc>
          <w:tcPr>
            <w:tcW w:w="1742" w:type="dxa"/>
            <w:noWrap w:val="0"/>
            <w:vAlign w:val="center"/>
          </w:tcPr>
          <w:p w14:paraId="1ECEF33A">
            <w:pPr>
              <w:spacing w:line="400" w:lineRule="exact"/>
              <w:jc w:val="center"/>
              <w:rPr>
                <w:color w:val="000000"/>
                <w:szCs w:val="21"/>
              </w:rPr>
            </w:pPr>
            <w:r>
              <w:rPr>
                <w:color w:val="000000"/>
                <w:szCs w:val="21"/>
              </w:rPr>
              <w:t>0.01mg/L</w:t>
            </w:r>
          </w:p>
        </w:tc>
      </w:tr>
      <w:tr w14:paraId="5A43A39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38" w:hRule="atLeast"/>
          <w:jc w:val="center"/>
        </w:trPr>
        <w:tc>
          <w:tcPr>
            <w:tcW w:w="1399" w:type="dxa"/>
            <w:noWrap w:val="0"/>
            <w:vAlign w:val="center"/>
          </w:tcPr>
          <w:p w14:paraId="35988DB7">
            <w:pPr>
              <w:jc w:val="center"/>
              <w:rPr>
                <w:color w:val="000000"/>
                <w:szCs w:val="21"/>
              </w:rPr>
            </w:pPr>
            <w:r>
              <w:rPr>
                <w:rFonts w:hint="eastAsia"/>
                <w:color w:val="000000"/>
                <w:szCs w:val="21"/>
              </w:rPr>
              <w:t>挥发酚</w:t>
            </w:r>
          </w:p>
        </w:tc>
        <w:tc>
          <w:tcPr>
            <w:tcW w:w="4046" w:type="dxa"/>
            <w:noWrap w:val="0"/>
            <w:vAlign w:val="center"/>
          </w:tcPr>
          <w:p w14:paraId="2630D373">
            <w:pPr>
              <w:jc w:val="center"/>
              <w:rPr>
                <w:rFonts w:hint="eastAsia" w:ascii="宋体" w:hAnsi="宋体"/>
                <w:color w:val="000000"/>
                <w:sz w:val="24"/>
              </w:rPr>
            </w:pPr>
            <w:r>
              <w:rPr>
                <w:rFonts w:hint="eastAsia" w:ascii="宋体" w:hAnsi="宋体"/>
                <w:color w:val="000000"/>
                <w:sz w:val="24"/>
              </w:rPr>
              <w:t xml:space="preserve">水质 挥发酚的测定 </w:t>
            </w:r>
          </w:p>
          <w:p w14:paraId="5EDFAA9E">
            <w:pPr>
              <w:jc w:val="center"/>
              <w:rPr>
                <w:rFonts w:hint="eastAsia" w:ascii="宋体" w:hAnsi="宋体"/>
                <w:color w:val="000000"/>
                <w:sz w:val="24"/>
              </w:rPr>
            </w:pPr>
            <w:r>
              <w:rPr>
                <w:rFonts w:hint="eastAsia" w:ascii="宋体" w:hAnsi="宋体"/>
                <w:color w:val="000000"/>
                <w:sz w:val="24"/>
              </w:rPr>
              <w:t>4-氨基安替比林分光光度法</w:t>
            </w:r>
          </w:p>
          <w:p w14:paraId="7158FB30">
            <w:pPr>
              <w:jc w:val="center"/>
              <w:rPr>
                <w:color w:val="000000"/>
                <w:szCs w:val="21"/>
              </w:rPr>
            </w:pPr>
            <w:r>
              <w:rPr>
                <w:rFonts w:hint="eastAsia" w:ascii="宋体" w:hAnsi="宋体"/>
                <w:color w:val="000000"/>
                <w:sz w:val="24"/>
              </w:rPr>
              <w:t>HJ 503—2009</w:t>
            </w:r>
          </w:p>
        </w:tc>
        <w:tc>
          <w:tcPr>
            <w:tcW w:w="2475" w:type="dxa"/>
            <w:noWrap w:val="0"/>
            <w:vAlign w:val="center"/>
          </w:tcPr>
          <w:p w14:paraId="36DD36B1">
            <w:pPr>
              <w:jc w:val="center"/>
              <w:rPr>
                <w:color w:val="000000"/>
                <w:szCs w:val="21"/>
              </w:rPr>
            </w:pPr>
            <w:r>
              <w:rPr>
                <w:color w:val="000000"/>
                <w:szCs w:val="21"/>
              </w:rPr>
              <w:t>可见分光光度计722S YQ031</w:t>
            </w:r>
          </w:p>
        </w:tc>
        <w:tc>
          <w:tcPr>
            <w:tcW w:w="1742" w:type="dxa"/>
            <w:noWrap w:val="0"/>
            <w:vAlign w:val="center"/>
          </w:tcPr>
          <w:p w14:paraId="5FAC19A7">
            <w:pPr>
              <w:spacing w:line="400" w:lineRule="exact"/>
              <w:jc w:val="center"/>
              <w:rPr>
                <w:color w:val="000000"/>
                <w:szCs w:val="21"/>
              </w:rPr>
            </w:pPr>
            <w:r>
              <w:rPr>
                <w:rFonts w:hint="eastAsia" w:ascii="宋体" w:hAnsi="宋体" w:cs="宋体"/>
                <w:color w:val="000000"/>
                <w:szCs w:val="21"/>
              </w:rPr>
              <w:t>0.0003mg/L</w:t>
            </w:r>
          </w:p>
        </w:tc>
      </w:tr>
      <w:tr w14:paraId="255AE1C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38" w:hRule="atLeast"/>
          <w:jc w:val="center"/>
        </w:trPr>
        <w:tc>
          <w:tcPr>
            <w:tcW w:w="1399" w:type="dxa"/>
            <w:noWrap w:val="0"/>
            <w:vAlign w:val="center"/>
          </w:tcPr>
          <w:p w14:paraId="3404F77A">
            <w:pPr>
              <w:jc w:val="center"/>
              <w:rPr>
                <w:rFonts w:hint="eastAsia"/>
                <w:color w:val="000000"/>
                <w:szCs w:val="21"/>
              </w:rPr>
            </w:pPr>
            <w:r>
              <w:rPr>
                <w:rFonts w:hint="eastAsia"/>
                <w:color w:val="000000"/>
                <w:szCs w:val="21"/>
              </w:rPr>
              <w:t>氰化物</w:t>
            </w:r>
          </w:p>
        </w:tc>
        <w:tc>
          <w:tcPr>
            <w:tcW w:w="4046" w:type="dxa"/>
            <w:noWrap w:val="0"/>
            <w:vAlign w:val="center"/>
          </w:tcPr>
          <w:p w14:paraId="3F314601">
            <w:pPr>
              <w:jc w:val="center"/>
              <w:rPr>
                <w:color w:val="000000"/>
                <w:szCs w:val="21"/>
              </w:rPr>
            </w:pPr>
            <w:r>
              <w:rPr>
                <w:rFonts w:hint="eastAsia" w:ascii="宋体" w:hAnsi="宋体"/>
                <w:color w:val="000000"/>
                <w:sz w:val="24"/>
              </w:rPr>
              <w:t>水质 氰化物的测定 分光光度法HJ 484-2009</w:t>
            </w:r>
          </w:p>
        </w:tc>
        <w:tc>
          <w:tcPr>
            <w:tcW w:w="2475" w:type="dxa"/>
            <w:noWrap w:val="0"/>
            <w:vAlign w:val="center"/>
          </w:tcPr>
          <w:p w14:paraId="1D31BB2B">
            <w:pPr>
              <w:jc w:val="center"/>
              <w:rPr>
                <w:color w:val="000000"/>
                <w:szCs w:val="21"/>
              </w:rPr>
            </w:pPr>
            <w:r>
              <w:rPr>
                <w:color w:val="000000"/>
                <w:szCs w:val="21"/>
              </w:rPr>
              <w:t>可见分光光度计722S YQ031</w:t>
            </w:r>
          </w:p>
        </w:tc>
        <w:tc>
          <w:tcPr>
            <w:tcW w:w="1742" w:type="dxa"/>
            <w:noWrap w:val="0"/>
            <w:vAlign w:val="center"/>
          </w:tcPr>
          <w:p w14:paraId="0E19783F">
            <w:pPr>
              <w:spacing w:line="400" w:lineRule="exact"/>
              <w:jc w:val="center"/>
              <w:rPr>
                <w:color w:val="000000"/>
                <w:szCs w:val="21"/>
              </w:rPr>
            </w:pPr>
            <w:r>
              <w:rPr>
                <w:rFonts w:hint="eastAsia" w:ascii="宋体" w:hAnsi="宋体" w:cs="宋体"/>
                <w:color w:val="000000"/>
                <w:szCs w:val="21"/>
              </w:rPr>
              <w:t>0.004 mg/L</w:t>
            </w:r>
          </w:p>
        </w:tc>
      </w:tr>
      <w:tr w14:paraId="60D7169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38" w:hRule="atLeast"/>
          <w:jc w:val="center"/>
        </w:trPr>
        <w:tc>
          <w:tcPr>
            <w:tcW w:w="1399" w:type="dxa"/>
            <w:noWrap w:val="0"/>
            <w:vAlign w:val="center"/>
          </w:tcPr>
          <w:p w14:paraId="4E17DCE9">
            <w:pPr>
              <w:jc w:val="center"/>
              <w:rPr>
                <w:rFonts w:hint="eastAsia"/>
                <w:color w:val="000000"/>
                <w:szCs w:val="21"/>
              </w:rPr>
            </w:pPr>
            <w:r>
              <w:rPr>
                <w:rFonts w:hint="eastAsia"/>
                <w:color w:val="000000"/>
                <w:szCs w:val="21"/>
              </w:rPr>
              <w:t>汞</w:t>
            </w:r>
          </w:p>
        </w:tc>
        <w:tc>
          <w:tcPr>
            <w:tcW w:w="4046" w:type="dxa"/>
            <w:noWrap w:val="0"/>
            <w:vAlign w:val="center"/>
          </w:tcPr>
          <w:p w14:paraId="275F6BB9">
            <w:pPr>
              <w:jc w:val="center"/>
              <w:rPr>
                <w:bCs/>
                <w:color w:val="000000"/>
                <w:szCs w:val="21"/>
              </w:rPr>
            </w:pPr>
            <w:r>
              <w:rPr>
                <w:rFonts w:hint="eastAsia"/>
                <w:bCs/>
                <w:color w:val="000000"/>
                <w:szCs w:val="21"/>
              </w:rPr>
              <w:t>水质</w:t>
            </w:r>
            <w:r>
              <w:rPr>
                <w:bCs/>
                <w:color w:val="000000"/>
                <w:szCs w:val="21"/>
              </w:rPr>
              <w:t xml:space="preserve"> </w:t>
            </w:r>
            <w:r>
              <w:rPr>
                <w:rFonts w:hint="eastAsia"/>
                <w:bCs/>
                <w:color w:val="000000"/>
                <w:szCs w:val="21"/>
              </w:rPr>
              <w:t>总汞的测定</w:t>
            </w:r>
            <w:r>
              <w:rPr>
                <w:bCs/>
                <w:color w:val="000000"/>
                <w:szCs w:val="21"/>
              </w:rPr>
              <w:t xml:space="preserve"> </w:t>
            </w:r>
            <w:r>
              <w:rPr>
                <w:rFonts w:hint="eastAsia"/>
                <w:bCs/>
                <w:color w:val="000000"/>
                <w:szCs w:val="21"/>
              </w:rPr>
              <w:t>冷原子吸收分光度法</w:t>
            </w:r>
            <w:r>
              <w:rPr>
                <w:bCs/>
                <w:color w:val="000000"/>
                <w:szCs w:val="21"/>
              </w:rPr>
              <w:t xml:space="preserve"> HJ 597-2011</w:t>
            </w:r>
          </w:p>
        </w:tc>
        <w:tc>
          <w:tcPr>
            <w:tcW w:w="2475" w:type="dxa"/>
            <w:noWrap w:val="0"/>
            <w:vAlign w:val="center"/>
          </w:tcPr>
          <w:p w14:paraId="520929D4">
            <w:pPr>
              <w:jc w:val="center"/>
              <w:rPr>
                <w:color w:val="000000"/>
                <w:szCs w:val="21"/>
              </w:rPr>
            </w:pPr>
            <w:r>
              <w:rPr>
                <w:rFonts w:hint="eastAsia"/>
                <w:color w:val="000000"/>
                <w:szCs w:val="21"/>
              </w:rPr>
              <w:t>冷原子测汞仪</w:t>
            </w:r>
            <w:r>
              <w:rPr>
                <w:color w:val="000000"/>
                <w:szCs w:val="21"/>
              </w:rPr>
              <w:t xml:space="preserve"> FT32-VJ YQ066</w:t>
            </w:r>
          </w:p>
        </w:tc>
        <w:tc>
          <w:tcPr>
            <w:tcW w:w="1742" w:type="dxa"/>
            <w:noWrap w:val="0"/>
            <w:vAlign w:val="center"/>
          </w:tcPr>
          <w:p w14:paraId="6C27F629">
            <w:pPr>
              <w:jc w:val="center"/>
              <w:rPr>
                <w:color w:val="000000"/>
                <w:szCs w:val="21"/>
              </w:rPr>
            </w:pPr>
            <w:r>
              <w:rPr>
                <w:color w:val="000000"/>
                <w:szCs w:val="21"/>
              </w:rPr>
              <w:t>0.00002 mg/L</w:t>
            </w:r>
          </w:p>
        </w:tc>
      </w:tr>
      <w:tr w14:paraId="0181583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38" w:hRule="atLeast"/>
          <w:jc w:val="center"/>
        </w:trPr>
        <w:tc>
          <w:tcPr>
            <w:tcW w:w="1399" w:type="dxa"/>
            <w:noWrap w:val="0"/>
            <w:vAlign w:val="center"/>
          </w:tcPr>
          <w:p w14:paraId="6CA697C3">
            <w:pPr>
              <w:jc w:val="center"/>
              <w:rPr>
                <w:rFonts w:hint="eastAsia"/>
                <w:color w:val="000000"/>
                <w:szCs w:val="21"/>
              </w:rPr>
            </w:pPr>
            <w:r>
              <w:rPr>
                <w:rFonts w:hint="eastAsia"/>
                <w:color w:val="000000"/>
                <w:szCs w:val="21"/>
              </w:rPr>
              <w:t>总镉</w:t>
            </w:r>
          </w:p>
        </w:tc>
        <w:tc>
          <w:tcPr>
            <w:tcW w:w="4046" w:type="dxa"/>
            <w:vMerge w:val="restart"/>
            <w:noWrap w:val="0"/>
            <w:vAlign w:val="center"/>
          </w:tcPr>
          <w:p w14:paraId="3A8A0B94">
            <w:pPr>
              <w:jc w:val="center"/>
              <w:rPr>
                <w:color w:val="000000"/>
                <w:szCs w:val="21"/>
              </w:rPr>
            </w:pPr>
            <w:r>
              <w:rPr>
                <w:rFonts w:hint="eastAsia"/>
                <w:bCs/>
                <w:color w:val="000000"/>
                <w:szCs w:val="21"/>
              </w:rPr>
              <w:t>水质</w:t>
            </w:r>
            <w:r>
              <w:rPr>
                <w:bCs/>
                <w:color w:val="000000"/>
                <w:szCs w:val="21"/>
              </w:rPr>
              <w:t xml:space="preserve"> </w:t>
            </w:r>
            <w:r>
              <w:rPr>
                <w:rFonts w:hint="eastAsia"/>
                <w:bCs/>
                <w:color w:val="000000"/>
                <w:szCs w:val="21"/>
              </w:rPr>
              <w:t>铜、镉、铅、锌的测定</w:t>
            </w:r>
            <w:r>
              <w:rPr>
                <w:bCs/>
                <w:color w:val="000000"/>
                <w:szCs w:val="21"/>
              </w:rPr>
              <w:t xml:space="preserve"> </w:t>
            </w:r>
            <w:r>
              <w:rPr>
                <w:rFonts w:hint="eastAsia"/>
                <w:bCs/>
                <w:color w:val="000000"/>
                <w:szCs w:val="21"/>
              </w:rPr>
              <w:t>原子吸收分光光度法</w:t>
            </w:r>
            <w:r>
              <w:rPr>
                <w:bCs/>
                <w:color w:val="000000"/>
                <w:szCs w:val="21"/>
              </w:rPr>
              <w:t xml:space="preserve"> GB 7475-87</w:t>
            </w:r>
          </w:p>
        </w:tc>
        <w:tc>
          <w:tcPr>
            <w:tcW w:w="2475" w:type="dxa"/>
            <w:vMerge w:val="restart"/>
            <w:noWrap w:val="0"/>
            <w:vAlign w:val="center"/>
          </w:tcPr>
          <w:p w14:paraId="473A1A48">
            <w:pPr>
              <w:jc w:val="center"/>
              <w:rPr>
                <w:color w:val="000000"/>
                <w:szCs w:val="21"/>
              </w:rPr>
            </w:pPr>
            <w:r>
              <w:rPr>
                <w:rFonts w:hint="eastAsia"/>
                <w:color w:val="000000"/>
                <w:szCs w:val="21"/>
              </w:rPr>
              <w:t>原子吸收分光光度计</w:t>
            </w:r>
            <w:r>
              <w:rPr>
                <w:color w:val="000000"/>
                <w:szCs w:val="21"/>
              </w:rPr>
              <w:t>AAS-6300C</w:t>
            </w:r>
          </w:p>
          <w:p w14:paraId="3CA95619">
            <w:pPr>
              <w:jc w:val="center"/>
              <w:rPr>
                <w:color w:val="000000"/>
                <w:szCs w:val="21"/>
              </w:rPr>
            </w:pPr>
            <w:r>
              <w:rPr>
                <w:color w:val="000000"/>
                <w:szCs w:val="21"/>
              </w:rPr>
              <w:t>YQ073</w:t>
            </w:r>
          </w:p>
        </w:tc>
        <w:tc>
          <w:tcPr>
            <w:tcW w:w="1742" w:type="dxa"/>
            <w:noWrap w:val="0"/>
            <w:vAlign w:val="center"/>
          </w:tcPr>
          <w:p w14:paraId="61389EE2">
            <w:pPr>
              <w:spacing w:line="400" w:lineRule="exact"/>
              <w:jc w:val="center"/>
              <w:rPr>
                <w:color w:val="000000"/>
                <w:szCs w:val="21"/>
              </w:rPr>
            </w:pPr>
            <w:r>
              <w:rPr>
                <w:color w:val="000000"/>
                <w:szCs w:val="21"/>
              </w:rPr>
              <w:t>0.00</w:t>
            </w:r>
            <w:r>
              <w:rPr>
                <w:rFonts w:hint="eastAsia"/>
                <w:color w:val="000000"/>
                <w:szCs w:val="21"/>
              </w:rPr>
              <w:t>3</w:t>
            </w:r>
            <w:r>
              <w:rPr>
                <w:color w:val="000000"/>
                <w:szCs w:val="21"/>
              </w:rPr>
              <w:t>mg/L</w:t>
            </w:r>
          </w:p>
        </w:tc>
      </w:tr>
      <w:tr w14:paraId="312BD92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38" w:hRule="atLeast"/>
          <w:jc w:val="center"/>
        </w:trPr>
        <w:tc>
          <w:tcPr>
            <w:tcW w:w="1399" w:type="dxa"/>
            <w:noWrap w:val="0"/>
            <w:vAlign w:val="center"/>
          </w:tcPr>
          <w:p w14:paraId="51E6C57C">
            <w:pPr>
              <w:jc w:val="center"/>
              <w:rPr>
                <w:rFonts w:hint="eastAsia"/>
                <w:color w:val="000000"/>
                <w:szCs w:val="21"/>
              </w:rPr>
            </w:pPr>
            <w:r>
              <w:rPr>
                <w:rFonts w:hint="eastAsia"/>
                <w:color w:val="000000"/>
                <w:szCs w:val="21"/>
              </w:rPr>
              <w:t>铅</w:t>
            </w:r>
          </w:p>
        </w:tc>
        <w:tc>
          <w:tcPr>
            <w:tcW w:w="4046" w:type="dxa"/>
            <w:vMerge w:val="continue"/>
            <w:noWrap w:val="0"/>
            <w:vAlign w:val="center"/>
          </w:tcPr>
          <w:p w14:paraId="2C64A981">
            <w:pPr>
              <w:jc w:val="center"/>
              <w:rPr>
                <w:color w:val="000000"/>
                <w:szCs w:val="21"/>
              </w:rPr>
            </w:pPr>
          </w:p>
        </w:tc>
        <w:tc>
          <w:tcPr>
            <w:tcW w:w="2475" w:type="dxa"/>
            <w:vMerge w:val="continue"/>
            <w:noWrap w:val="0"/>
            <w:vAlign w:val="center"/>
          </w:tcPr>
          <w:p w14:paraId="155607C1">
            <w:pPr>
              <w:jc w:val="center"/>
              <w:rPr>
                <w:color w:val="000000"/>
                <w:szCs w:val="21"/>
              </w:rPr>
            </w:pPr>
          </w:p>
        </w:tc>
        <w:tc>
          <w:tcPr>
            <w:tcW w:w="1742" w:type="dxa"/>
            <w:noWrap w:val="0"/>
            <w:vAlign w:val="center"/>
          </w:tcPr>
          <w:p w14:paraId="6CCC458E">
            <w:pPr>
              <w:spacing w:line="400" w:lineRule="exact"/>
              <w:jc w:val="center"/>
              <w:rPr>
                <w:color w:val="000000"/>
                <w:szCs w:val="21"/>
              </w:rPr>
            </w:pPr>
            <w:r>
              <w:rPr>
                <w:color w:val="000000"/>
                <w:szCs w:val="21"/>
              </w:rPr>
              <w:t>0.0</w:t>
            </w:r>
            <w:r>
              <w:rPr>
                <w:rFonts w:hint="eastAsia"/>
                <w:color w:val="000000"/>
                <w:szCs w:val="21"/>
              </w:rPr>
              <w:t>5</w:t>
            </w:r>
            <w:r>
              <w:rPr>
                <w:color w:val="000000"/>
                <w:szCs w:val="21"/>
              </w:rPr>
              <w:t xml:space="preserve"> mg/L</w:t>
            </w:r>
          </w:p>
        </w:tc>
      </w:tr>
      <w:tr w14:paraId="52DD0DF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38" w:hRule="atLeast"/>
          <w:jc w:val="center"/>
        </w:trPr>
        <w:tc>
          <w:tcPr>
            <w:tcW w:w="1399" w:type="dxa"/>
            <w:noWrap w:val="0"/>
            <w:vAlign w:val="center"/>
          </w:tcPr>
          <w:p w14:paraId="10D5D6B6">
            <w:pPr>
              <w:jc w:val="center"/>
              <w:rPr>
                <w:rFonts w:hint="eastAsia"/>
                <w:color w:val="000000"/>
                <w:szCs w:val="21"/>
              </w:rPr>
            </w:pPr>
            <w:r>
              <w:rPr>
                <w:rFonts w:hint="eastAsia"/>
                <w:color w:val="000000"/>
                <w:szCs w:val="21"/>
              </w:rPr>
              <w:t>总铬</w:t>
            </w:r>
          </w:p>
        </w:tc>
        <w:tc>
          <w:tcPr>
            <w:tcW w:w="4046" w:type="dxa"/>
            <w:noWrap w:val="0"/>
            <w:vAlign w:val="center"/>
          </w:tcPr>
          <w:p w14:paraId="72B0A20D">
            <w:pPr>
              <w:jc w:val="center"/>
              <w:rPr>
                <w:rFonts w:hint="eastAsia"/>
                <w:bCs/>
                <w:color w:val="000000"/>
                <w:szCs w:val="21"/>
              </w:rPr>
            </w:pPr>
            <w:r>
              <w:rPr>
                <w:rFonts w:hint="eastAsia" w:ascii="宋体" w:hAnsi="宋体"/>
                <w:color w:val="000000"/>
                <w:szCs w:val="21"/>
              </w:rPr>
              <w:t>水质 总铬的测定 高锰酸钾氧化—二苯碳酰二肼分光光度法GB7466-87</w:t>
            </w:r>
          </w:p>
        </w:tc>
        <w:tc>
          <w:tcPr>
            <w:tcW w:w="2475" w:type="dxa"/>
            <w:noWrap w:val="0"/>
            <w:vAlign w:val="center"/>
          </w:tcPr>
          <w:p w14:paraId="3342BC7D">
            <w:pPr>
              <w:jc w:val="center"/>
              <w:rPr>
                <w:color w:val="000000"/>
                <w:szCs w:val="21"/>
              </w:rPr>
            </w:pPr>
            <w:r>
              <w:rPr>
                <w:color w:val="000000"/>
                <w:szCs w:val="21"/>
              </w:rPr>
              <w:t>722S 分光光度计 YQ008</w:t>
            </w:r>
          </w:p>
        </w:tc>
        <w:tc>
          <w:tcPr>
            <w:tcW w:w="1742" w:type="dxa"/>
            <w:noWrap w:val="0"/>
            <w:vAlign w:val="center"/>
          </w:tcPr>
          <w:p w14:paraId="54CD9F92">
            <w:pPr>
              <w:spacing w:line="400" w:lineRule="exact"/>
              <w:jc w:val="center"/>
              <w:rPr>
                <w:color w:val="000000"/>
                <w:szCs w:val="21"/>
              </w:rPr>
            </w:pPr>
            <w:r>
              <w:rPr>
                <w:color w:val="000000"/>
                <w:szCs w:val="21"/>
              </w:rPr>
              <w:t>0.0</w:t>
            </w:r>
            <w:r>
              <w:rPr>
                <w:rFonts w:hint="eastAsia"/>
                <w:color w:val="000000"/>
                <w:szCs w:val="21"/>
              </w:rPr>
              <w:t>1</w:t>
            </w:r>
            <w:r>
              <w:rPr>
                <w:color w:val="000000"/>
                <w:szCs w:val="21"/>
              </w:rPr>
              <w:t xml:space="preserve"> </w:t>
            </w:r>
            <w:r>
              <w:rPr>
                <w:rFonts w:hint="eastAsia"/>
                <w:color w:val="000000"/>
                <w:szCs w:val="21"/>
              </w:rPr>
              <w:t>m</w:t>
            </w:r>
            <w:r>
              <w:rPr>
                <w:color w:val="000000"/>
                <w:szCs w:val="21"/>
              </w:rPr>
              <w:t>g/L</w:t>
            </w:r>
          </w:p>
        </w:tc>
      </w:tr>
      <w:tr w14:paraId="45E52B4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38" w:hRule="atLeast"/>
          <w:jc w:val="center"/>
        </w:trPr>
        <w:tc>
          <w:tcPr>
            <w:tcW w:w="1399" w:type="dxa"/>
            <w:noWrap w:val="0"/>
            <w:vAlign w:val="center"/>
          </w:tcPr>
          <w:p w14:paraId="1E249AE8">
            <w:pPr>
              <w:jc w:val="center"/>
              <w:rPr>
                <w:rFonts w:hint="eastAsia"/>
                <w:color w:val="000000"/>
                <w:szCs w:val="21"/>
              </w:rPr>
            </w:pPr>
            <w:r>
              <w:rPr>
                <w:rFonts w:hint="eastAsia"/>
                <w:color w:val="000000"/>
                <w:szCs w:val="21"/>
              </w:rPr>
              <w:t>六价铬</w:t>
            </w:r>
          </w:p>
        </w:tc>
        <w:tc>
          <w:tcPr>
            <w:tcW w:w="4046" w:type="dxa"/>
            <w:noWrap w:val="0"/>
            <w:vAlign w:val="center"/>
          </w:tcPr>
          <w:p w14:paraId="501D15F3">
            <w:pPr>
              <w:jc w:val="center"/>
              <w:rPr>
                <w:bCs/>
                <w:color w:val="000000"/>
                <w:szCs w:val="21"/>
              </w:rPr>
            </w:pPr>
            <w:r>
              <w:rPr>
                <w:rFonts w:hint="eastAsia"/>
                <w:bCs/>
                <w:color w:val="000000"/>
                <w:szCs w:val="21"/>
              </w:rPr>
              <w:t>水质</w:t>
            </w:r>
            <w:r>
              <w:rPr>
                <w:bCs/>
                <w:color w:val="000000"/>
                <w:szCs w:val="21"/>
              </w:rPr>
              <w:t xml:space="preserve"> </w:t>
            </w:r>
            <w:r>
              <w:rPr>
                <w:rFonts w:hint="eastAsia"/>
                <w:bCs/>
                <w:color w:val="000000"/>
                <w:szCs w:val="21"/>
              </w:rPr>
              <w:t>六价铬的测定</w:t>
            </w:r>
            <w:r>
              <w:rPr>
                <w:bCs/>
                <w:color w:val="000000"/>
                <w:szCs w:val="21"/>
              </w:rPr>
              <w:t xml:space="preserve"> </w:t>
            </w:r>
            <w:r>
              <w:rPr>
                <w:rFonts w:hint="eastAsia"/>
                <w:bCs/>
                <w:color w:val="000000"/>
                <w:szCs w:val="21"/>
              </w:rPr>
              <w:t>二苯碳酰二肼分光光度法</w:t>
            </w:r>
            <w:r>
              <w:rPr>
                <w:bCs/>
                <w:color w:val="000000"/>
                <w:szCs w:val="21"/>
              </w:rPr>
              <w:t xml:space="preserve"> GB 7467-87</w:t>
            </w:r>
          </w:p>
        </w:tc>
        <w:tc>
          <w:tcPr>
            <w:tcW w:w="2475" w:type="dxa"/>
            <w:noWrap w:val="0"/>
            <w:vAlign w:val="center"/>
          </w:tcPr>
          <w:p w14:paraId="04DD4313">
            <w:pPr>
              <w:jc w:val="center"/>
              <w:rPr>
                <w:color w:val="000000"/>
                <w:szCs w:val="21"/>
              </w:rPr>
            </w:pPr>
            <w:r>
              <w:rPr>
                <w:rFonts w:hint="eastAsia"/>
                <w:color w:val="000000"/>
                <w:szCs w:val="21"/>
              </w:rPr>
              <w:t>可见分光光度计</w:t>
            </w:r>
            <w:r>
              <w:rPr>
                <w:color w:val="000000"/>
                <w:szCs w:val="21"/>
              </w:rPr>
              <w:t>722S YQ008</w:t>
            </w:r>
          </w:p>
        </w:tc>
        <w:tc>
          <w:tcPr>
            <w:tcW w:w="1742" w:type="dxa"/>
            <w:noWrap w:val="0"/>
            <w:vAlign w:val="center"/>
          </w:tcPr>
          <w:p w14:paraId="12FAE8A7">
            <w:pPr>
              <w:jc w:val="center"/>
              <w:rPr>
                <w:color w:val="000000"/>
                <w:szCs w:val="21"/>
              </w:rPr>
            </w:pPr>
            <w:r>
              <w:rPr>
                <w:color w:val="000000"/>
                <w:szCs w:val="21"/>
              </w:rPr>
              <w:t>0.004mg/L</w:t>
            </w:r>
          </w:p>
        </w:tc>
      </w:tr>
      <w:tr w14:paraId="3BC6F88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38" w:hRule="atLeast"/>
          <w:jc w:val="center"/>
        </w:trPr>
        <w:tc>
          <w:tcPr>
            <w:tcW w:w="1399" w:type="dxa"/>
            <w:noWrap w:val="0"/>
            <w:vAlign w:val="center"/>
          </w:tcPr>
          <w:p w14:paraId="7519E73C">
            <w:pPr>
              <w:jc w:val="center"/>
              <w:rPr>
                <w:rFonts w:hint="eastAsia"/>
                <w:color w:val="000000"/>
                <w:szCs w:val="21"/>
              </w:rPr>
            </w:pPr>
            <w:r>
              <w:rPr>
                <w:rFonts w:hint="eastAsia"/>
                <w:color w:val="000000"/>
                <w:szCs w:val="21"/>
              </w:rPr>
              <w:t>砷</w:t>
            </w:r>
          </w:p>
        </w:tc>
        <w:tc>
          <w:tcPr>
            <w:tcW w:w="4046" w:type="dxa"/>
            <w:noWrap w:val="0"/>
            <w:vAlign w:val="center"/>
          </w:tcPr>
          <w:p w14:paraId="1595790D">
            <w:pPr>
              <w:jc w:val="center"/>
              <w:rPr>
                <w:color w:val="000000"/>
                <w:szCs w:val="21"/>
              </w:rPr>
            </w:pPr>
            <w:r>
              <w:rPr>
                <w:rFonts w:hint="eastAsia"/>
                <w:color w:val="000000"/>
                <w:szCs w:val="21"/>
              </w:rPr>
              <w:t>水质</w:t>
            </w:r>
            <w:r>
              <w:rPr>
                <w:color w:val="000000"/>
                <w:szCs w:val="21"/>
              </w:rPr>
              <w:t xml:space="preserve"> </w:t>
            </w:r>
            <w:r>
              <w:rPr>
                <w:rFonts w:hint="eastAsia"/>
                <w:color w:val="000000"/>
                <w:szCs w:val="21"/>
              </w:rPr>
              <w:t>砷的测定</w:t>
            </w:r>
          </w:p>
          <w:p w14:paraId="6A4774C4">
            <w:pPr>
              <w:jc w:val="center"/>
              <w:rPr>
                <w:color w:val="000000"/>
                <w:szCs w:val="21"/>
              </w:rPr>
            </w:pPr>
            <w:r>
              <w:rPr>
                <w:rFonts w:hint="eastAsia"/>
                <w:color w:val="000000"/>
                <w:szCs w:val="21"/>
              </w:rPr>
              <w:t>原子荧光光度法</w:t>
            </w:r>
            <w:r>
              <w:rPr>
                <w:color w:val="000000"/>
                <w:szCs w:val="21"/>
              </w:rPr>
              <w:t>SL 327.1-2005</w:t>
            </w:r>
          </w:p>
        </w:tc>
        <w:tc>
          <w:tcPr>
            <w:tcW w:w="2475" w:type="dxa"/>
            <w:noWrap w:val="0"/>
            <w:vAlign w:val="center"/>
          </w:tcPr>
          <w:p w14:paraId="4CCC3B11">
            <w:pPr>
              <w:jc w:val="center"/>
              <w:rPr>
                <w:rFonts w:hint="eastAsia"/>
                <w:color w:val="000000"/>
                <w:szCs w:val="21"/>
              </w:rPr>
            </w:pPr>
            <w:r>
              <w:rPr>
                <w:rFonts w:hint="eastAsia"/>
                <w:color w:val="000000"/>
                <w:szCs w:val="21"/>
              </w:rPr>
              <w:t>原子荧光分光光度计</w:t>
            </w:r>
            <w:r>
              <w:rPr>
                <w:color w:val="000000"/>
                <w:szCs w:val="21"/>
              </w:rPr>
              <w:t xml:space="preserve">SK-2003AZ </w:t>
            </w:r>
            <w:r>
              <w:rPr>
                <w:rFonts w:hint="eastAsia"/>
                <w:color w:val="000000"/>
                <w:szCs w:val="21"/>
              </w:rPr>
              <w:t xml:space="preserve"> </w:t>
            </w:r>
            <w:r>
              <w:rPr>
                <w:color w:val="000000"/>
                <w:szCs w:val="21"/>
              </w:rPr>
              <w:t>YQ011</w:t>
            </w:r>
          </w:p>
        </w:tc>
        <w:tc>
          <w:tcPr>
            <w:tcW w:w="1742" w:type="dxa"/>
            <w:noWrap w:val="0"/>
            <w:vAlign w:val="center"/>
          </w:tcPr>
          <w:p w14:paraId="29878032">
            <w:pPr>
              <w:jc w:val="center"/>
              <w:rPr>
                <w:color w:val="000000"/>
                <w:szCs w:val="21"/>
              </w:rPr>
            </w:pPr>
            <w:r>
              <w:rPr>
                <w:color w:val="000000"/>
                <w:szCs w:val="21"/>
              </w:rPr>
              <w:t>0.0002 mg/L</w:t>
            </w:r>
          </w:p>
        </w:tc>
      </w:tr>
      <w:tr w14:paraId="69307D7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38" w:hRule="atLeast"/>
          <w:jc w:val="center"/>
        </w:trPr>
        <w:tc>
          <w:tcPr>
            <w:tcW w:w="1399" w:type="dxa"/>
            <w:noWrap w:val="0"/>
            <w:vAlign w:val="center"/>
          </w:tcPr>
          <w:p w14:paraId="7E4A4973">
            <w:pPr>
              <w:jc w:val="center"/>
              <w:rPr>
                <w:rFonts w:hint="eastAsia"/>
                <w:color w:val="000000"/>
                <w:szCs w:val="21"/>
              </w:rPr>
            </w:pPr>
            <w:r>
              <w:rPr>
                <w:rFonts w:hint="eastAsia"/>
                <w:color w:val="000000"/>
                <w:szCs w:val="21"/>
              </w:rPr>
              <w:t>#银</w:t>
            </w:r>
          </w:p>
        </w:tc>
        <w:tc>
          <w:tcPr>
            <w:tcW w:w="4046" w:type="dxa"/>
            <w:noWrap w:val="0"/>
            <w:vAlign w:val="center"/>
          </w:tcPr>
          <w:p w14:paraId="2771A262">
            <w:pPr>
              <w:jc w:val="center"/>
              <w:rPr>
                <w:rFonts w:hint="eastAsia" w:ascii="宋体" w:hAnsi="宋体"/>
                <w:color w:val="000000"/>
                <w:sz w:val="24"/>
              </w:rPr>
            </w:pPr>
            <w:r>
              <w:rPr>
                <w:rFonts w:hint="eastAsia" w:ascii="宋体" w:hAnsi="宋体"/>
                <w:color w:val="000000"/>
                <w:sz w:val="24"/>
              </w:rPr>
              <w:t>GB/T 5750.6-2006</w:t>
            </w:r>
          </w:p>
          <w:p w14:paraId="2514E5E2">
            <w:pPr>
              <w:jc w:val="center"/>
              <w:rPr>
                <w:color w:val="000000"/>
                <w:szCs w:val="21"/>
              </w:rPr>
            </w:pPr>
            <w:r>
              <w:rPr>
                <w:rFonts w:hint="eastAsia" w:ascii="宋体" w:hAnsi="宋体"/>
                <w:color w:val="000000"/>
                <w:sz w:val="24"/>
              </w:rPr>
              <w:t>生活饮用水标准检验方法  金属指标（电感耦合-等离子体发射光谱法</w:t>
            </w:r>
            <w:r>
              <w:rPr>
                <w:rFonts w:hint="eastAsia" w:ascii="宋体" w:hAnsi="宋体"/>
                <w:color w:val="000000"/>
                <w:szCs w:val="21"/>
              </w:rPr>
              <w:t>）</w:t>
            </w:r>
          </w:p>
        </w:tc>
        <w:tc>
          <w:tcPr>
            <w:tcW w:w="2475" w:type="dxa"/>
            <w:noWrap w:val="0"/>
            <w:vAlign w:val="center"/>
          </w:tcPr>
          <w:p w14:paraId="48881539">
            <w:pPr>
              <w:jc w:val="center"/>
              <w:rPr>
                <w:rFonts w:hint="eastAsia" w:ascii="宋体" w:hAnsi="宋体" w:cs="宋体"/>
                <w:color w:val="000000"/>
                <w:sz w:val="24"/>
              </w:rPr>
            </w:pPr>
            <w:r>
              <w:rPr>
                <w:rFonts w:hint="eastAsia" w:ascii="宋体" w:hAnsi="宋体" w:cs="宋体"/>
                <w:color w:val="000000"/>
                <w:sz w:val="24"/>
              </w:rPr>
              <w:t>ICP-2000</w:t>
            </w:r>
          </w:p>
          <w:p w14:paraId="495C5D5B">
            <w:pPr>
              <w:jc w:val="center"/>
              <w:rPr>
                <w:color w:val="000000"/>
                <w:szCs w:val="21"/>
              </w:rPr>
            </w:pPr>
            <w:r>
              <w:rPr>
                <w:rFonts w:hint="eastAsia" w:ascii="宋体" w:hAnsi="宋体" w:cs="宋体"/>
                <w:color w:val="000000"/>
                <w:sz w:val="24"/>
              </w:rPr>
              <w:t>电感耦合等离子体发射光谱仪</w:t>
            </w:r>
          </w:p>
        </w:tc>
        <w:tc>
          <w:tcPr>
            <w:tcW w:w="1742" w:type="dxa"/>
            <w:noWrap w:val="0"/>
            <w:vAlign w:val="center"/>
          </w:tcPr>
          <w:p w14:paraId="12F4A4E3">
            <w:pPr>
              <w:spacing w:line="400" w:lineRule="exact"/>
              <w:jc w:val="center"/>
              <w:rPr>
                <w:color w:val="000000"/>
                <w:szCs w:val="21"/>
              </w:rPr>
            </w:pPr>
            <w:r>
              <w:rPr>
                <w:rFonts w:hint="eastAsia" w:ascii="宋体" w:hAnsi="宋体" w:cs="宋体"/>
                <w:color w:val="000000"/>
                <w:szCs w:val="21"/>
              </w:rPr>
              <w:t>0.013mg/L</w:t>
            </w:r>
          </w:p>
        </w:tc>
      </w:tr>
      <w:tr w14:paraId="1B8F79B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38" w:hRule="atLeast"/>
          <w:jc w:val="center"/>
        </w:trPr>
        <w:tc>
          <w:tcPr>
            <w:tcW w:w="1399" w:type="dxa"/>
            <w:noWrap w:val="0"/>
            <w:vAlign w:val="center"/>
          </w:tcPr>
          <w:p w14:paraId="0805FCBA">
            <w:pPr>
              <w:jc w:val="center"/>
              <w:rPr>
                <w:rFonts w:hint="eastAsia" w:ascii="宋体" w:hAnsi="宋体"/>
                <w:color w:val="000000"/>
                <w:szCs w:val="21"/>
              </w:rPr>
            </w:pPr>
            <w:r>
              <w:rPr>
                <w:rFonts w:hint="eastAsia" w:ascii="宋体" w:hAnsi="宋体"/>
                <w:color w:val="000000"/>
                <w:szCs w:val="21"/>
              </w:rPr>
              <w:t>氨</w:t>
            </w:r>
          </w:p>
        </w:tc>
        <w:tc>
          <w:tcPr>
            <w:tcW w:w="4046" w:type="dxa"/>
            <w:noWrap w:val="0"/>
            <w:vAlign w:val="center"/>
          </w:tcPr>
          <w:p w14:paraId="00F154DF">
            <w:pPr>
              <w:jc w:val="center"/>
              <w:rPr>
                <w:rFonts w:hint="eastAsia" w:ascii="宋体" w:hAnsi="宋体"/>
                <w:color w:val="000000"/>
                <w:szCs w:val="21"/>
              </w:rPr>
            </w:pPr>
            <w:r>
              <w:rPr>
                <w:rFonts w:hint="eastAsia" w:ascii="宋体" w:hAnsi="宋体"/>
                <w:color w:val="000000"/>
                <w:spacing w:val="-4"/>
                <w:szCs w:val="21"/>
              </w:rPr>
              <w:t xml:space="preserve">环境空气和废气 氨的测定  纳氏试剂分光光度法  </w:t>
            </w:r>
            <w:r>
              <w:rPr>
                <w:rFonts w:hint="eastAsia" w:ascii="宋体" w:hAnsi="宋体"/>
                <w:color w:val="000000"/>
                <w:szCs w:val="21"/>
              </w:rPr>
              <w:t>HJ 533-2009</w:t>
            </w:r>
          </w:p>
        </w:tc>
        <w:tc>
          <w:tcPr>
            <w:tcW w:w="2475" w:type="dxa"/>
            <w:noWrap w:val="0"/>
            <w:vAlign w:val="center"/>
          </w:tcPr>
          <w:p w14:paraId="440180B1">
            <w:pPr>
              <w:jc w:val="center"/>
              <w:rPr>
                <w:rFonts w:ascii="宋体" w:hAnsi="宋体"/>
                <w:bCs/>
                <w:color w:val="000000"/>
                <w:szCs w:val="21"/>
              </w:rPr>
            </w:pPr>
            <w:r>
              <w:rPr>
                <w:color w:val="000000"/>
                <w:szCs w:val="21"/>
              </w:rPr>
              <w:t>722S 分光光度计 YQ008</w:t>
            </w:r>
          </w:p>
        </w:tc>
        <w:tc>
          <w:tcPr>
            <w:tcW w:w="1742" w:type="dxa"/>
            <w:noWrap w:val="0"/>
            <w:vAlign w:val="center"/>
          </w:tcPr>
          <w:p w14:paraId="0CF22279">
            <w:pPr>
              <w:jc w:val="center"/>
              <w:rPr>
                <w:rFonts w:ascii="宋体" w:hAnsi="宋体"/>
                <w:bCs/>
                <w:color w:val="000000"/>
                <w:szCs w:val="21"/>
              </w:rPr>
            </w:pPr>
            <w:r>
              <w:rPr>
                <w:rFonts w:ascii="宋体" w:hAnsi="宋体"/>
                <w:bCs/>
                <w:color w:val="000000"/>
                <w:szCs w:val="21"/>
              </w:rPr>
              <w:t>0.00</w:t>
            </w:r>
            <w:r>
              <w:rPr>
                <w:rFonts w:hint="eastAsia" w:ascii="宋体" w:hAnsi="宋体"/>
                <w:bCs/>
                <w:color w:val="000000"/>
                <w:szCs w:val="21"/>
              </w:rPr>
              <w:t>4</w:t>
            </w:r>
            <w:r>
              <w:rPr>
                <w:rFonts w:hint="eastAsia" w:ascii="宋体" w:hAnsi="宋体"/>
                <w:color w:val="000000"/>
                <w:szCs w:val="21"/>
              </w:rPr>
              <w:t>mg/m</w:t>
            </w:r>
            <w:r>
              <w:rPr>
                <w:rFonts w:hint="eastAsia" w:ascii="宋体" w:hAnsi="宋体"/>
                <w:color w:val="000000"/>
                <w:szCs w:val="21"/>
                <w:vertAlign w:val="superscript"/>
              </w:rPr>
              <w:t>3</w:t>
            </w:r>
          </w:p>
        </w:tc>
      </w:tr>
      <w:tr w14:paraId="72718F9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38" w:hRule="atLeast"/>
          <w:jc w:val="center"/>
        </w:trPr>
        <w:tc>
          <w:tcPr>
            <w:tcW w:w="1399" w:type="dxa"/>
            <w:noWrap w:val="0"/>
            <w:vAlign w:val="center"/>
          </w:tcPr>
          <w:p w14:paraId="5F5AFE0A">
            <w:pPr>
              <w:jc w:val="center"/>
              <w:rPr>
                <w:rFonts w:hint="eastAsia" w:ascii="宋体" w:hAnsi="宋体"/>
                <w:color w:val="000000"/>
                <w:szCs w:val="21"/>
              </w:rPr>
            </w:pPr>
            <w:r>
              <w:rPr>
                <w:rFonts w:hint="eastAsia" w:ascii="宋体" w:hAnsi="宋体"/>
                <w:color w:val="000000"/>
                <w:szCs w:val="21"/>
              </w:rPr>
              <w:t>硫化氢</w:t>
            </w:r>
          </w:p>
        </w:tc>
        <w:tc>
          <w:tcPr>
            <w:tcW w:w="4046" w:type="dxa"/>
            <w:noWrap w:val="0"/>
            <w:vAlign w:val="center"/>
          </w:tcPr>
          <w:p w14:paraId="41827561">
            <w:pPr>
              <w:jc w:val="center"/>
              <w:rPr>
                <w:rFonts w:hint="eastAsia" w:ascii="宋体" w:hAnsi="宋体"/>
                <w:color w:val="000000"/>
                <w:szCs w:val="21"/>
              </w:rPr>
            </w:pPr>
            <w:r>
              <w:rPr>
                <w:rFonts w:hint="eastAsia" w:ascii="宋体" w:hAnsi="宋体"/>
                <w:color w:val="000000"/>
                <w:szCs w:val="21"/>
              </w:rPr>
              <w:t>亚甲基蓝分光光度法《空气和废气监测分析方法》（第四版）国家环境保护局 （2003年）</w:t>
            </w:r>
          </w:p>
        </w:tc>
        <w:tc>
          <w:tcPr>
            <w:tcW w:w="2475" w:type="dxa"/>
            <w:noWrap w:val="0"/>
            <w:vAlign w:val="center"/>
          </w:tcPr>
          <w:p w14:paraId="75847BE9">
            <w:pPr>
              <w:jc w:val="center"/>
              <w:rPr>
                <w:rFonts w:ascii="宋体" w:hAnsi="宋体"/>
                <w:bCs/>
                <w:color w:val="000000"/>
                <w:szCs w:val="21"/>
              </w:rPr>
            </w:pPr>
            <w:r>
              <w:rPr>
                <w:color w:val="000000"/>
                <w:szCs w:val="21"/>
              </w:rPr>
              <w:t>722S 分光光度计 YQ008</w:t>
            </w:r>
          </w:p>
        </w:tc>
        <w:tc>
          <w:tcPr>
            <w:tcW w:w="1742" w:type="dxa"/>
            <w:noWrap w:val="0"/>
            <w:vAlign w:val="center"/>
          </w:tcPr>
          <w:p w14:paraId="4CDF6C57">
            <w:pPr>
              <w:jc w:val="center"/>
              <w:rPr>
                <w:rFonts w:ascii="宋体" w:hAnsi="宋体"/>
                <w:bCs/>
                <w:color w:val="000000"/>
                <w:szCs w:val="21"/>
              </w:rPr>
            </w:pPr>
            <w:r>
              <w:rPr>
                <w:rFonts w:ascii="宋体" w:hAnsi="宋体"/>
                <w:bCs/>
                <w:color w:val="000000"/>
                <w:szCs w:val="21"/>
              </w:rPr>
              <w:t>0.00</w:t>
            </w:r>
            <w:r>
              <w:rPr>
                <w:rFonts w:hint="eastAsia" w:ascii="宋体" w:hAnsi="宋体"/>
                <w:bCs/>
                <w:color w:val="000000"/>
                <w:szCs w:val="21"/>
              </w:rPr>
              <w:t>1</w:t>
            </w:r>
            <w:r>
              <w:rPr>
                <w:rFonts w:hint="eastAsia" w:ascii="宋体" w:hAnsi="宋体"/>
                <w:color w:val="000000"/>
                <w:szCs w:val="21"/>
              </w:rPr>
              <w:t>mg/m</w:t>
            </w:r>
            <w:r>
              <w:rPr>
                <w:rFonts w:hint="eastAsia" w:ascii="宋体" w:hAnsi="宋体"/>
                <w:color w:val="000000"/>
                <w:szCs w:val="21"/>
                <w:vertAlign w:val="superscript"/>
              </w:rPr>
              <w:t>3</w:t>
            </w:r>
          </w:p>
        </w:tc>
      </w:tr>
      <w:tr w14:paraId="02AB51E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38" w:hRule="atLeast"/>
          <w:jc w:val="center"/>
        </w:trPr>
        <w:tc>
          <w:tcPr>
            <w:tcW w:w="1399" w:type="dxa"/>
            <w:noWrap w:val="0"/>
            <w:vAlign w:val="center"/>
          </w:tcPr>
          <w:p w14:paraId="097B2124">
            <w:pPr>
              <w:jc w:val="center"/>
              <w:rPr>
                <w:rFonts w:hint="eastAsia" w:ascii="宋体" w:hAnsi="宋体"/>
                <w:color w:val="000000"/>
                <w:szCs w:val="21"/>
              </w:rPr>
            </w:pPr>
            <w:r>
              <w:rPr>
                <w:rFonts w:hint="eastAsia" w:ascii="宋体" w:hAnsi="宋体"/>
                <w:color w:val="000000"/>
                <w:szCs w:val="21"/>
              </w:rPr>
              <w:t>#甲烷</w:t>
            </w:r>
          </w:p>
        </w:tc>
        <w:tc>
          <w:tcPr>
            <w:tcW w:w="4046" w:type="dxa"/>
            <w:noWrap w:val="0"/>
            <w:vAlign w:val="center"/>
          </w:tcPr>
          <w:p w14:paraId="5A52519B">
            <w:pPr>
              <w:jc w:val="center"/>
              <w:rPr>
                <w:rFonts w:hint="eastAsia" w:ascii="宋体" w:hAnsi="宋体"/>
                <w:color w:val="000000"/>
                <w:szCs w:val="21"/>
              </w:rPr>
            </w:pPr>
            <w:r>
              <w:rPr>
                <w:rFonts w:hint="eastAsia" w:ascii="宋体" w:hAnsi="宋体"/>
                <w:color w:val="000000"/>
                <w:szCs w:val="21"/>
              </w:rPr>
              <w:t>《空气和废气监测分析方法》(第四版)国家环保总局（2003）6.1.5.1总烃和非甲烷烃的气相色谱法</w:t>
            </w:r>
          </w:p>
        </w:tc>
        <w:tc>
          <w:tcPr>
            <w:tcW w:w="2475" w:type="dxa"/>
            <w:noWrap w:val="0"/>
            <w:vAlign w:val="center"/>
          </w:tcPr>
          <w:p w14:paraId="13104585">
            <w:pPr>
              <w:jc w:val="center"/>
              <w:rPr>
                <w:rFonts w:hint="eastAsia" w:ascii="宋体" w:hAnsi="宋体"/>
                <w:color w:val="000000"/>
                <w:szCs w:val="21"/>
              </w:rPr>
            </w:pPr>
            <w:r>
              <w:rPr>
                <w:rFonts w:hint="eastAsia" w:ascii="宋体" w:hAnsi="宋体"/>
                <w:color w:val="000000"/>
                <w:szCs w:val="21"/>
              </w:rPr>
              <w:t>GC9560</w:t>
            </w:r>
          </w:p>
          <w:p w14:paraId="22AE4E7B">
            <w:pPr>
              <w:jc w:val="center"/>
              <w:rPr>
                <w:rFonts w:hint="eastAsia" w:ascii="宋体" w:hAnsi="宋体"/>
                <w:color w:val="000000"/>
                <w:szCs w:val="21"/>
              </w:rPr>
            </w:pPr>
            <w:r>
              <w:rPr>
                <w:rFonts w:hint="eastAsia" w:ascii="宋体" w:hAnsi="宋体"/>
                <w:color w:val="000000"/>
                <w:szCs w:val="21"/>
              </w:rPr>
              <w:t>气相色谱仪</w:t>
            </w:r>
          </w:p>
        </w:tc>
        <w:tc>
          <w:tcPr>
            <w:tcW w:w="1742" w:type="dxa"/>
            <w:noWrap w:val="0"/>
            <w:vAlign w:val="center"/>
          </w:tcPr>
          <w:p w14:paraId="58C67504">
            <w:pPr>
              <w:jc w:val="center"/>
              <w:rPr>
                <w:rFonts w:hint="eastAsia" w:ascii="宋体" w:hAnsi="宋体"/>
                <w:bCs/>
                <w:color w:val="000000"/>
                <w:szCs w:val="21"/>
              </w:rPr>
            </w:pPr>
            <w:r>
              <w:rPr>
                <w:rFonts w:hint="eastAsia" w:ascii="宋体" w:hAnsi="宋体" w:cs="宋体"/>
                <w:color w:val="000000"/>
                <w:szCs w:val="21"/>
              </w:rPr>
              <w:t>/</w:t>
            </w:r>
          </w:p>
        </w:tc>
      </w:tr>
      <w:tr w14:paraId="0ECF5D6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38" w:hRule="atLeast"/>
          <w:jc w:val="center"/>
        </w:trPr>
        <w:tc>
          <w:tcPr>
            <w:tcW w:w="1399" w:type="dxa"/>
            <w:noWrap w:val="0"/>
            <w:vAlign w:val="center"/>
          </w:tcPr>
          <w:p w14:paraId="5D4CE880">
            <w:pPr>
              <w:jc w:val="center"/>
              <w:rPr>
                <w:rFonts w:hint="eastAsia" w:ascii="宋体" w:hAnsi="宋体"/>
                <w:color w:val="000000"/>
                <w:szCs w:val="21"/>
              </w:rPr>
            </w:pPr>
            <w:r>
              <w:rPr>
                <w:rFonts w:hint="eastAsia" w:ascii="宋体" w:hAnsi="宋体"/>
                <w:color w:val="000000"/>
                <w:szCs w:val="21"/>
              </w:rPr>
              <w:t>#臭气</w:t>
            </w:r>
          </w:p>
        </w:tc>
        <w:tc>
          <w:tcPr>
            <w:tcW w:w="4046" w:type="dxa"/>
            <w:noWrap w:val="0"/>
            <w:vAlign w:val="center"/>
          </w:tcPr>
          <w:p w14:paraId="75DE4125">
            <w:pPr>
              <w:ind w:firstLine="180"/>
              <w:jc w:val="center"/>
              <w:rPr>
                <w:rFonts w:hint="eastAsia" w:ascii="宋体" w:hAnsi="宋体" w:cs="宋体"/>
                <w:color w:val="000000"/>
                <w:szCs w:val="21"/>
              </w:rPr>
            </w:pPr>
            <w:r>
              <w:rPr>
                <w:rFonts w:hint="eastAsia" w:ascii="宋体" w:hAnsi="宋体" w:cs="宋体"/>
                <w:color w:val="000000"/>
                <w:szCs w:val="21"/>
              </w:rPr>
              <w:t>空气质量 恶臭的测定 三点式比较式臭袋法GB/T 14675-1993</w:t>
            </w:r>
          </w:p>
        </w:tc>
        <w:tc>
          <w:tcPr>
            <w:tcW w:w="2475" w:type="dxa"/>
            <w:noWrap w:val="0"/>
            <w:vAlign w:val="center"/>
          </w:tcPr>
          <w:p w14:paraId="7C3C9B88">
            <w:pPr>
              <w:jc w:val="center"/>
              <w:rPr>
                <w:rFonts w:hint="eastAsia" w:ascii="宋体" w:hAnsi="宋体" w:cs="宋体"/>
                <w:color w:val="000000"/>
                <w:szCs w:val="21"/>
              </w:rPr>
            </w:pPr>
            <w:r>
              <w:rPr>
                <w:rFonts w:hint="eastAsia" w:ascii="宋体" w:hAnsi="宋体" w:cs="宋体"/>
                <w:color w:val="000000"/>
                <w:szCs w:val="21"/>
              </w:rPr>
              <w:t>臭气装置</w:t>
            </w:r>
          </w:p>
        </w:tc>
        <w:tc>
          <w:tcPr>
            <w:tcW w:w="1742" w:type="dxa"/>
            <w:noWrap w:val="0"/>
            <w:vAlign w:val="center"/>
          </w:tcPr>
          <w:p w14:paraId="62F129E9">
            <w:pPr>
              <w:jc w:val="center"/>
              <w:rPr>
                <w:rFonts w:hint="eastAsia" w:ascii="宋体" w:hAnsi="宋体"/>
                <w:color w:val="000000"/>
                <w:szCs w:val="21"/>
              </w:rPr>
            </w:pPr>
            <w:r>
              <w:rPr>
                <w:rFonts w:hint="eastAsia" w:ascii="宋体" w:hAnsi="宋体" w:cs="宋体"/>
                <w:color w:val="000000"/>
                <w:szCs w:val="21"/>
              </w:rPr>
              <w:t>＜10</w:t>
            </w:r>
          </w:p>
        </w:tc>
      </w:tr>
      <w:tr w14:paraId="53D712E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65" w:hRule="atLeast"/>
          <w:jc w:val="center"/>
        </w:trPr>
        <w:tc>
          <w:tcPr>
            <w:tcW w:w="1399" w:type="dxa"/>
            <w:vMerge w:val="restart"/>
            <w:noWrap w:val="0"/>
            <w:vAlign w:val="center"/>
          </w:tcPr>
          <w:p w14:paraId="04E759CB">
            <w:pPr>
              <w:jc w:val="center"/>
              <w:rPr>
                <w:rFonts w:hAnsi="Arial" w:cs="Arial"/>
                <w:color w:val="000000"/>
                <w:szCs w:val="21"/>
              </w:rPr>
            </w:pPr>
            <w:r>
              <w:rPr>
                <w:rFonts w:hint="eastAsia" w:hAnsi="Arial" w:cs="Arial"/>
                <w:color w:val="000000"/>
                <w:szCs w:val="21"/>
              </w:rPr>
              <w:t>厂界噪声</w:t>
            </w:r>
          </w:p>
        </w:tc>
        <w:tc>
          <w:tcPr>
            <w:tcW w:w="4046" w:type="dxa"/>
            <w:vMerge w:val="restart"/>
            <w:noWrap w:val="0"/>
            <w:vAlign w:val="center"/>
          </w:tcPr>
          <w:p w14:paraId="1D1E4FD4">
            <w:pPr>
              <w:jc w:val="center"/>
              <w:rPr>
                <w:color w:val="000000"/>
                <w:szCs w:val="21"/>
              </w:rPr>
            </w:pPr>
            <w:r>
              <w:rPr>
                <w:color w:val="000000"/>
                <w:szCs w:val="21"/>
              </w:rPr>
              <w:t xml:space="preserve">工业企业厂界环境噪声排放标准 </w:t>
            </w:r>
            <w:r>
              <w:rPr>
                <w:rFonts w:hint="eastAsia"/>
                <w:color w:val="000000"/>
                <w:szCs w:val="21"/>
              </w:rPr>
              <w:t>GB12348-2008</w:t>
            </w:r>
          </w:p>
        </w:tc>
        <w:tc>
          <w:tcPr>
            <w:tcW w:w="2475" w:type="dxa"/>
            <w:noWrap w:val="0"/>
            <w:vAlign w:val="center"/>
          </w:tcPr>
          <w:p w14:paraId="648B61A2">
            <w:pPr>
              <w:jc w:val="center"/>
              <w:rPr>
                <w:b/>
                <w:color w:val="000000"/>
                <w:szCs w:val="21"/>
              </w:rPr>
            </w:pPr>
            <w:r>
              <w:rPr>
                <w:rFonts w:hint="eastAsia" w:cs="Arial"/>
                <w:color w:val="000000"/>
                <w:szCs w:val="21"/>
              </w:rPr>
              <w:t>噪声振动监测仪AWA5680 YQ026</w:t>
            </w:r>
          </w:p>
        </w:tc>
        <w:tc>
          <w:tcPr>
            <w:tcW w:w="1742" w:type="dxa"/>
            <w:vMerge w:val="restart"/>
            <w:noWrap w:val="0"/>
            <w:vAlign w:val="center"/>
          </w:tcPr>
          <w:p w14:paraId="07239497">
            <w:pPr>
              <w:spacing w:line="400" w:lineRule="exact"/>
              <w:jc w:val="center"/>
              <w:rPr>
                <w:rFonts w:cs="Arial"/>
                <w:color w:val="000000"/>
                <w:szCs w:val="21"/>
              </w:rPr>
            </w:pPr>
            <w:r>
              <w:rPr>
                <w:rFonts w:hint="eastAsia" w:cs="Arial"/>
                <w:color w:val="000000"/>
                <w:szCs w:val="21"/>
              </w:rPr>
              <w:t>0.1dB</w:t>
            </w:r>
          </w:p>
        </w:tc>
      </w:tr>
      <w:tr w14:paraId="21996BB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0" w:hRule="atLeast"/>
          <w:jc w:val="center"/>
        </w:trPr>
        <w:tc>
          <w:tcPr>
            <w:tcW w:w="1399" w:type="dxa"/>
            <w:vMerge w:val="continue"/>
            <w:noWrap w:val="0"/>
            <w:vAlign w:val="center"/>
          </w:tcPr>
          <w:p w14:paraId="1B85E766">
            <w:pPr>
              <w:jc w:val="center"/>
              <w:rPr>
                <w:rFonts w:hint="eastAsia" w:hAnsi="Arial" w:cs="Arial"/>
                <w:color w:val="000000"/>
                <w:szCs w:val="21"/>
              </w:rPr>
            </w:pPr>
          </w:p>
        </w:tc>
        <w:tc>
          <w:tcPr>
            <w:tcW w:w="4046" w:type="dxa"/>
            <w:vMerge w:val="continue"/>
            <w:noWrap w:val="0"/>
            <w:vAlign w:val="center"/>
          </w:tcPr>
          <w:p w14:paraId="7FE377E4">
            <w:pPr>
              <w:jc w:val="center"/>
              <w:rPr>
                <w:color w:val="000000"/>
                <w:szCs w:val="21"/>
              </w:rPr>
            </w:pPr>
          </w:p>
        </w:tc>
        <w:tc>
          <w:tcPr>
            <w:tcW w:w="2475" w:type="dxa"/>
            <w:noWrap w:val="0"/>
            <w:vAlign w:val="center"/>
          </w:tcPr>
          <w:p w14:paraId="418EE6C3">
            <w:pPr>
              <w:jc w:val="center"/>
              <w:rPr>
                <w:rFonts w:hint="eastAsia" w:cs="Arial"/>
                <w:color w:val="000000"/>
                <w:szCs w:val="21"/>
              </w:rPr>
            </w:pPr>
            <w:r>
              <w:rPr>
                <w:rFonts w:hint="eastAsia" w:cs="Arial"/>
                <w:color w:val="000000"/>
                <w:szCs w:val="21"/>
              </w:rPr>
              <w:t>噪声振动监测仪AWA6228-6 YQ028</w:t>
            </w:r>
          </w:p>
        </w:tc>
        <w:tc>
          <w:tcPr>
            <w:tcW w:w="1742" w:type="dxa"/>
            <w:vMerge w:val="continue"/>
            <w:noWrap w:val="0"/>
            <w:vAlign w:val="center"/>
          </w:tcPr>
          <w:p w14:paraId="229B7968">
            <w:pPr>
              <w:spacing w:line="400" w:lineRule="exact"/>
              <w:jc w:val="center"/>
              <w:rPr>
                <w:rFonts w:hint="eastAsia" w:cs="Arial"/>
                <w:color w:val="000000"/>
                <w:szCs w:val="21"/>
              </w:rPr>
            </w:pPr>
          </w:p>
        </w:tc>
      </w:tr>
    </w:tbl>
    <w:p w14:paraId="40DECD4B">
      <w:pPr>
        <w:rPr>
          <w:b/>
          <w:color w:val="000000"/>
          <w:sz w:val="10"/>
          <w:szCs w:val="10"/>
        </w:rPr>
      </w:pPr>
    </w:p>
    <w:p w14:paraId="17BD753D">
      <w:pPr>
        <w:rPr>
          <w:b/>
          <w:color w:val="000000"/>
          <w:szCs w:val="21"/>
        </w:rPr>
      </w:pPr>
      <w:r>
        <w:rPr>
          <w:b/>
          <w:color w:val="000000"/>
          <w:szCs w:val="21"/>
        </w:rPr>
        <w:t xml:space="preserve">注：*为非认证项目 </w:t>
      </w:r>
      <w:r>
        <w:rPr>
          <w:rFonts w:hint="eastAsia"/>
          <w:b/>
          <w:color w:val="000000"/>
          <w:szCs w:val="21"/>
        </w:rPr>
        <w:t xml:space="preserve"> #为分包项目</w:t>
      </w:r>
    </w:p>
    <w:p w14:paraId="30A6D34B">
      <w:pPr>
        <w:rPr>
          <w:b/>
          <w:color w:val="000000"/>
          <w:sz w:val="30"/>
          <w:szCs w:val="30"/>
        </w:rPr>
      </w:pPr>
    </w:p>
    <w:p w14:paraId="63EC49BB">
      <w:pPr>
        <w:rPr>
          <w:b/>
          <w:color w:val="000000"/>
          <w:sz w:val="30"/>
          <w:szCs w:val="30"/>
        </w:rPr>
      </w:pPr>
      <w:r>
        <w:rPr>
          <w:b/>
          <w:color w:val="000000"/>
          <w:sz w:val="30"/>
          <w:szCs w:val="30"/>
        </w:rPr>
        <w:t>三、水质监测结果一览表（单位：pH为无量纲</w:t>
      </w:r>
      <w:r>
        <w:rPr>
          <w:rFonts w:hint="eastAsia"/>
          <w:b/>
          <w:color w:val="000000"/>
          <w:sz w:val="30"/>
          <w:szCs w:val="30"/>
        </w:rPr>
        <w:t>、色度单位为倍</w:t>
      </w:r>
      <w:r>
        <w:rPr>
          <w:b/>
          <w:color w:val="000000"/>
          <w:sz w:val="30"/>
          <w:szCs w:val="30"/>
        </w:rPr>
        <w:t>，</w:t>
      </w:r>
      <w:r>
        <w:rPr>
          <w:rFonts w:hint="eastAsia"/>
          <w:b/>
          <w:color w:val="000000"/>
          <w:sz w:val="30"/>
          <w:szCs w:val="30"/>
        </w:rPr>
        <w:t>粪大肠</w:t>
      </w:r>
      <w:r>
        <w:rPr>
          <w:b/>
          <w:color w:val="000000"/>
          <w:sz w:val="30"/>
          <w:szCs w:val="30"/>
        </w:rPr>
        <w:t>菌群为个/L，其他为mg/L）</w:t>
      </w:r>
    </w:p>
    <w:tbl>
      <w:tblPr>
        <w:tblStyle w:val="27"/>
        <w:tblW w:w="0" w:type="auto"/>
        <w:tblInd w:w="-426"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034"/>
        <w:gridCol w:w="1301"/>
        <w:gridCol w:w="1301"/>
        <w:gridCol w:w="1301"/>
        <w:gridCol w:w="1301"/>
        <w:gridCol w:w="1301"/>
        <w:gridCol w:w="1301"/>
      </w:tblGrid>
      <w:tr w14:paraId="0AF3BFC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67" w:hRule="atLeast"/>
        </w:trPr>
        <w:tc>
          <w:tcPr>
            <w:tcW w:w="1034" w:type="dxa"/>
            <w:vMerge w:val="restart"/>
            <w:noWrap w:val="0"/>
            <w:vAlign w:val="center"/>
          </w:tcPr>
          <w:p w14:paraId="2BB32543">
            <w:pPr>
              <w:ind w:firstLine="480"/>
              <w:jc w:val="center"/>
              <w:rPr>
                <w:rFonts w:hint="eastAsia"/>
                <w:b/>
                <w:color w:val="000000"/>
                <w:szCs w:val="21"/>
              </w:rPr>
            </w:pPr>
            <w:r>
              <w:rPr>
                <w:rFonts w:hint="eastAsia"/>
                <w:b/>
                <w:color w:val="000000"/>
                <w:szCs w:val="21"/>
              </w:rPr>
              <w:t xml:space="preserve">  </w:t>
            </w:r>
            <w:r>
              <w:rPr>
                <w:b/>
                <w:color w:val="000000"/>
                <w:szCs w:val="21"/>
              </w:rPr>
              <w:t>监测点位</w:t>
            </w:r>
          </w:p>
          <w:p w14:paraId="2CBC67DA">
            <w:pPr>
              <w:jc w:val="left"/>
              <w:rPr>
                <w:b/>
                <w:color w:val="000000"/>
                <w:szCs w:val="21"/>
              </w:rPr>
            </w:pPr>
            <w:r>
              <w:rPr>
                <w:b/>
                <w:color w:val="000000"/>
                <w:szCs w:val="21"/>
              </w:rPr>
              <w:t>检测项目</w:t>
            </w:r>
          </w:p>
        </w:tc>
        <w:tc>
          <w:tcPr>
            <w:tcW w:w="7806" w:type="dxa"/>
            <w:gridSpan w:val="6"/>
            <w:noWrap w:val="0"/>
            <w:vAlign w:val="center"/>
          </w:tcPr>
          <w:p w14:paraId="2D58CABE">
            <w:pPr>
              <w:jc w:val="center"/>
              <w:rPr>
                <w:color w:val="000000"/>
                <w:szCs w:val="21"/>
              </w:rPr>
            </w:pPr>
            <w:r>
              <w:rPr>
                <w:rFonts w:hint="eastAsia"/>
                <w:b/>
                <w:color w:val="000000"/>
                <w:szCs w:val="21"/>
              </w:rPr>
              <w:t>废水处理站进口</w:t>
            </w:r>
          </w:p>
        </w:tc>
      </w:tr>
      <w:tr w14:paraId="2241FDD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67" w:hRule="atLeast"/>
        </w:trPr>
        <w:tc>
          <w:tcPr>
            <w:tcW w:w="1034" w:type="dxa"/>
            <w:vMerge w:val="continue"/>
            <w:noWrap w:val="0"/>
            <w:vAlign w:val="center"/>
          </w:tcPr>
          <w:p w14:paraId="6A519E84">
            <w:pPr>
              <w:jc w:val="center"/>
              <w:rPr>
                <w:b/>
                <w:color w:val="000000"/>
                <w:szCs w:val="21"/>
              </w:rPr>
            </w:pPr>
          </w:p>
        </w:tc>
        <w:tc>
          <w:tcPr>
            <w:tcW w:w="1301" w:type="dxa"/>
            <w:noWrap w:val="0"/>
            <w:vAlign w:val="center"/>
          </w:tcPr>
          <w:p w14:paraId="704D36E5">
            <w:pPr>
              <w:pStyle w:val="216"/>
              <w:spacing w:after="0" w:line="240" w:lineRule="auto"/>
              <w:jc w:val="center"/>
              <w:rPr>
                <w:color w:val="000000"/>
                <w:szCs w:val="21"/>
              </w:rPr>
            </w:pPr>
            <w:r>
              <w:rPr>
                <w:color w:val="000000"/>
                <w:szCs w:val="21"/>
              </w:rPr>
              <w:t>S140</w:t>
            </w:r>
            <w:r>
              <w:rPr>
                <w:rFonts w:hint="eastAsia"/>
                <w:color w:val="000000"/>
                <w:szCs w:val="21"/>
              </w:rPr>
              <w:t>911</w:t>
            </w:r>
            <w:r>
              <w:rPr>
                <w:color w:val="000000"/>
                <w:szCs w:val="21"/>
              </w:rPr>
              <w:t>01</w:t>
            </w:r>
          </w:p>
        </w:tc>
        <w:tc>
          <w:tcPr>
            <w:tcW w:w="1301" w:type="dxa"/>
            <w:noWrap w:val="0"/>
            <w:vAlign w:val="center"/>
          </w:tcPr>
          <w:p w14:paraId="1678806B">
            <w:pPr>
              <w:pStyle w:val="216"/>
              <w:spacing w:after="0" w:line="240" w:lineRule="auto"/>
              <w:jc w:val="center"/>
              <w:rPr>
                <w:rFonts w:hint="eastAsia"/>
                <w:color w:val="000000"/>
                <w:szCs w:val="21"/>
              </w:rPr>
            </w:pPr>
            <w:r>
              <w:rPr>
                <w:color w:val="000000"/>
                <w:szCs w:val="21"/>
              </w:rPr>
              <w:t>S140</w:t>
            </w:r>
            <w:r>
              <w:rPr>
                <w:rFonts w:hint="eastAsia"/>
                <w:color w:val="000000"/>
                <w:szCs w:val="21"/>
              </w:rPr>
              <w:t>911</w:t>
            </w:r>
            <w:r>
              <w:rPr>
                <w:color w:val="000000"/>
                <w:szCs w:val="21"/>
              </w:rPr>
              <w:t>0</w:t>
            </w:r>
            <w:r>
              <w:rPr>
                <w:rFonts w:hint="eastAsia"/>
                <w:color w:val="000000"/>
                <w:szCs w:val="21"/>
              </w:rPr>
              <w:t>2</w:t>
            </w:r>
          </w:p>
        </w:tc>
        <w:tc>
          <w:tcPr>
            <w:tcW w:w="1301" w:type="dxa"/>
            <w:noWrap w:val="0"/>
            <w:vAlign w:val="center"/>
          </w:tcPr>
          <w:p w14:paraId="51F89028">
            <w:pPr>
              <w:pStyle w:val="216"/>
              <w:spacing w:after="0" w:line="240" w:lineRule="auto"/>
              <w:jc w:val="center"/>
              <w:rPr>
                <w:rFonts w:hint="eastAsia"/>
                <w:color w:val="000000"/>
                <w:szCs w:val="21"/>
              </w:rPr>
            </w:pPr>
            <w:r>
              <w:rPr>
                <w:color w:val="000000"/>
                <w:szCs w:val="21"/>
              </w:rPr>
              <w:t>S140</w:t>
            </w:r>
            <w:r>
              <w:rPr>
                <w:rFonts w:hint="eastAsia"/>
                <w:color w:val="000000"/>
                <w:szCs w:val="21"/>
              </w:rPr>
              <w:t>911</w:t>
            </w:r>
            <w:r>
              <w:rPr>
                <w:color w:val="000000"/>
                <w:szCs w:val="21"/>
              </w:rPr>
              <w:t>0</w:t>
            </w:r>
            <w:r>
              <w:rPr>
                <w:rFonts w:hint="eastAsia"/>
                <w:color w:val="000000"/>
                <w:szCs w:val="21"/>
              </w:rPr>
              <w:t>3</w:t>
            </w:r>
          </w:p>
        </w:tc>
        <w:tc>
          <w:tcPr>
            <w:tcW w:w="1301" w:type="dxa"/>
            <w:noWrap w:val="0"/>
            <w:vAlign w:val="center"/>
          </w:tcPr>
          <w:p w14:paraId="582A8B7E">
            <w:pPr>
              <w:pStyle w:val="216"/>
              <w:spacing w:after="0" w:line="240" w:lineRule="auto"/>
              <w:jc w:val="center"/>
              <w:rPr>
                <w:rFonts w:hint="eastAsia"/>
                <w:color w:val="000000"/>
                <w:szCs w:val="21"/>
              </w:rPr>
            </w:pPr>
            <w:r>
              <w:rPr>
                <w:color w:val="000000"/>
                <w:szCs w:val="21"/>
              </w:rPr>
              <w:t>S140</w:t>
            </w:r>
            <w:r>
              <w:rPr>
                <w:rFonts w:hint="eastAsia"/>
                <w:color w:val="000000"/>
                <w:szCs w:val="21"/>
              </w:rPr>
              <w:t>911</w:t>
            </w:r>
            <w:r>
              <w:rPr>
                <w:color w:val="000000"/>
                <w:szCs w:val="21"/>
              </w:rPr>
              <w:t>0</w:t>
            </w:r>
            <w:r>
              <w:rPr>
                <w:rFonts w:hint="eastAsia"/>
                <w:color w:val="000000"/>
                <w:szCs w:val="21"/>
              </w:rPr>
              <w:t>4</w:t>
            </w:r>
          </w:p>
        </w:tc>
        <w:tc>
          <w:tcPr>
            <w:tcW w:w="1301" w:type="dxa"/>
            <w:noWrap w:val="0"/>
            <w:vAlign w:val="center"/>
          </w:tcPr>
          <w:p w14:paraId="0D3A034C">
            <w:pPr>
              <w:pStyle w:val="216"/>
              <w:spacing w:after="0" w:line="240" w:lineRule="auto"/>
              <w:jc w:val="center"/>
              <w:rPr>
                <w:rFonts w:hint="eastAsia"/>
                <w:color w:val="000000"/>
                <w:szCs w:val="21"/>
              </w:rPr>
            </w:pPr>
            <w:r>
              <w:rPr>
                <w:color w:val="000000"/>
                <w:szCs w:val="21"/>
              </w:rPr>
              <w:t>S140</w:t>
            </w:r>
            <w:r>
              <w:rPr>
                <w:rFonts w:hint="eastAsia"/>
                <w:color w:val="000000"/>
                <w:szCs w:val="21"/>
              </w:rPr>
              <w:t>911</w:t>
            </w:r>
            <w:r>
              <w:rPr>
                <w:color w:val="000000"/>
                <w:szCs w:val="21"/>
              </w:rPr>
              <w:t>0</w:t>
            </w:r>
            <w:r>
              <w:rPr>
                <w:rFonts w:hint="eastAsia"/>
                <w:color w:val="000000"/>
                <w:szCs w:val="21"/>
              </w:rPr>
              <w:t>5</w:t>
            </w:r>
          </w:p>
        </w:tc>
        <w:tc>
          <w:tcPr>
            <w:tcW w:w="1301" w:type="dxa"/>
            <w:noWrap w:val="0"/>
            <w:vAlign w:val="center"/>
          </w:tcPr>
          <w:p w14:paraId="2C07FA07">
            <w:pPr>
              <w:pStyle w:val="216"/>
              <w:spacing w:after="0" w:line="240" w:lineRule="auto"/>
              <w:jc w:val="center"/>
              <w:rPr>
                <w:rFonts w:hint="eastAsia"/>
                <w:color w:val="000000"/>
                <w:szCs w:val="21"/>
              </w:rPr>
            </w:pPr>
            <w:r>
              <w:rPr>
                <w:color w:val="000000"/>
                <w:szCs w:val="21"/>
              </w:rPr>
              <w:t>S140</w:t>
            </w:r>
            <w:r>
              <w:rPr>
                <w:rFonts w:hint="eastAsia"/>
                <w:color w:val="000000"/>
                <w:szCs w:val="21"/>
              </w:rPr>
              <w:t>911</w:t>
            </w:r>
            <w:r>
              <w:rPr>
                <w:color w:val="000000"/>
                <w:szCs w:val="21"/>
              </w:rPr>
              <w:t>0</w:t>
            </w:r>
            <w:r>
              <w:rPr>
                <w:rFonts w:hint="eastAsia"/>
                <w:color w:val="000000"/>
                <w:szCs w:val="21"/>
              </w:rPr>
              <w:t>6</w:t>
            </w:r>
          </w:p>
        </w:tc>
      </w:tr>
      <w:tr w14:paraId="7602FF5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1034" w:type="dxa"/>
            <w:noWrap w:val="0"/>
            <w:vAlign w:val="center"/>
          </w:tcPr>
          <w:p w14:paraId="55BC18E0">
            <w:pPr>
              <w:jc w:val="center"/>
              <w:rPr>
                <w:rFonts w:hint="eastAsia" w:ascii="宋体" w:hAnsi="宋体"/>
                <w:b/>
                <w:color w:val="000000"/>
                <w:szCs w:val="21"/>
              </w:rPr>
            </w:pPr>
            <w:r>
              <w:rPr>
                <w:rFonts w:hint="eastAsia" w:ascii="宋体" w:hAnsi="宋体"/>
                <w:b/>
                <w:color w:val="000000"/>
                <w:szCs w:val="21"/>
              </w:rPr>
              <w:t>pH</w:t>
            </w:r>
          </w:p>
        </w:tc>
        <w:tc>
          <w:tcPr>
            <w:tcW w:w="1301" w:type="dxa"/>
            <w:noWrap w:val="0"/>
            <w:vAlign w:val="center"/>
          </w:tcPr>
          <w:p w14:paraId="3287FF03">
            <w:pPr>
              <w:jc w:val="center"/>
              <w:rPr>
                <w:rFonts w:hint="eastAsia"/>
                <w:color w:val="000000"/>
                <w:szCs w:val="21"/>
              </w:rPr>
            </w:pPr>
            <w:r>
              <w:rPr>
                <w:rFonts w:hint="eastAsia"/>
                <w:color w:val="000000"/>
                <w:szCs w:val="21"/>
              </w:rPr>
              <w:t>6.88</w:t>
            </w:r>
          </w:p>
        </w:tc>
        <w:tc>
          <w:tcPr>
            <w:tcW w:w="1301" w:type="dxa"/>
            <w:noWrap w:val="0"/>
            <w:vAlign w:val="center"/>
          </w:tcPr>
          <w:p w14:paraId="65650744">
            <w:pPr>
              <w:jc w:val="center"/>
              <w:rPr>
                <w:rFonts w:hint="eastAsia"/>
                <w:color w:val="000000"/>
                <w:szCs w:val="21"/>
              </w:rPr>
            </w:pPr>
            <w:r>
              <w:rPr>
                <w:rFonts w:hint="eastAsia"/>
                <w:color w:val="000000"/>
                <w:szCs w:val="21"/>
              </w:rPr>
              <w:t>6.86</w:t>
            </w:r>
          </w:p>
        </w:tc>
        <w:tc>
          <w:tcPr>
            <w:tcW w:w="1301" w:type="dxa"/>
            <w:noWrap w:val="0"/>
            <w:vAlign w:val="center"/>
          </w:tcPr>
          <w:p w14:paraId="19F668FD">
            <w:pPr>
              <w:jc w:val="center"/>
              <w:rPr>
                <w:rFonts w:hint="eastAsia"/>
                <w:color w:val="000000"/>
                <w:szCs w:val="21"/>
              </w:rPr>
            </w:pPr>
            <w:r>
              <w:rPr>
                <w:rFonts w:hint="eastAsia"/>
                <w:color w:val="000000"/>
                <w:szCs w:val="21"/>
              </w:rPr>
              <w:t>6.82</w:t>
            </w:r>
          </w:p>
        </w:tc>
        <w:tc>
          <w:tcPr>
            <w:tcW w:w="1301" w:type="dxa"/>
            <w:noWrap w:val="0"/>
            <w:vAlign w:val="center"/>
          </w:tcPr>
          <w:p w14:paraId="54A717FF">
            <w:pPr>
              <w:jc w:val="center"/>
              <w:rPr>
                <w:rFonts w:hint="eastAsia"/>
                <w:color w:val="000000"/>
                <w:szCs w:val="21"/>
              </w:rPr>
            </w:pPr>
            <w:r>
              <w:rPr>
                <w:rFonts w:hint="eastAsia"/>
                <w:color w:val="000000"/>
                <w:szCs w:val="21"/>
              </w:rPr>
              <w:t>6.79</w:t>
            </w:r>
          </w:p>
        </w:tc>
        <w:tc>
          <w:tcPr>
            <w:tcW w:w="1301" w:type="dxa"/>
            <w:noWrap w:val="0"/>
            <w:vAlign w:val="center"/>
          </w:tcPr>
          <w:p w14:paraId="22581D51">
            <w:pPr>
              <w:jc w:val="center"/>
              <w:rPr>
                <w:rFonts w:hint="eastAsia"/>
                <w:color w:val="000000"/>
                <w:szCs w:val="21"/>
              </w:rPr>
            </w:pPr>
            <w:r>
              <w:rPr>
                <w:rFonts w:hint="eastAsia"/>
                <w:color w:val="000000"/>
                <w:szCs w:val="21"/>
              </w:rPr>
              <w:t>6.84</w:t>
            </w:r>
          </w:p>
        </w:tc>
        <w:tc>
          <w:tcPr>
            <w:tcW w:w="1301" w:type="dxa"/>
            <w:noWrap w:val="0"/>
            <w:vAlign w:val="center"/>
          </w:tcPr>
          <w:p w14:paraId="68D06262">
            <w:pPr>
              <w:jc w:val="center"/>
              <w:rPr>
                <w:rFonts w:hint="eastAsia"/>
                <w:color w:val="000000"/>
                <w:szCs w:val="21"/>
              </w:rPr>
            </w:pPr>
            <w:r>
              <w:rPr>
                <w:rFonts w:hint="eastAsia"/>
                <w:color w:val="000000"/>
                <w:szCs w:val="21"/>
              </w:rPr>
              <w:t>6.91</w:t>
            </w:r>
          </w:p>
        </w:tc>
      </w:tr>
      <w:tr w14:paraId="7CD05A3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1034" w:type="dxa"/>
            <w:noWrap w:val="0"/>
            <w:vAlign w:val="center"/>
          </w:tcPr>
          <w:p w14:paraId="5AC359BD">
            <w:pPr>
              <w:jc w:val="center"/>
              <w:rPr>
                <w:rFonts w:hint="eastAsia" w:ascii="宋体" w:hAnsi="宋体"/>
                <w:b/>
                <w:color w:val="000000"/>
                <w:szCs w:val="21"/>
              </w:rPr>
            </w:pPr>
            <w:r>
              <w:rPr>
                <w:rFonts w:hint="eastAsia" w:ascii="宋体" w:hAnsi="宋体"/>
                <w:b/>
                <w:color w:val="000000"/>
                <w:szCs w:val="21"/>
              </w:rPr>
              <w:t>色度</w:t>
            </w:r>
          </w:p>
        </w:tc>
        <w:tc>
          <w:tcPr>
            <w:tcW w:w="1301" w:type="dxa"/>
            <w:noWrap w:val="0"/>
            <w:vAlign w:val="center"/>
          </w:tcPr>
          <w:p w14:paraId="40B7E61E">
            <w:pPr>
              <w:jc w:val="center"/>
              <w:rPr>
                <w:rFonts w:hint="eastAsia"/>
                <w:color w:val="000000"/>
                <w:szCs w:val="21"/>
              </w:rPr>
            </w:pPr>
            <w:r>
              <w:rPr>
                <w:rFonts w:hint="eastAsia"/>
                <w:color w:val="000000"/>
                <w:szCs w:val="21"/>
              </w:rPr>
              <w:t>16</w:t>
            </w:r>
          </w:p>
        </w:tc>
        <w:tc>
          <w:tcPr>
            <w:tcW w:w="1301" w:type="dxa"/>
            <w:noWrap w:val="0"/>
            <w:vAlign w:val="center"/>
          </w:tcPr>
          <w:p w14:paraId="689CE938">
            <w:pPr>
              <w:jc w:val="center"/>
              <w:rPr>
                <w:rFonts w:hint="eastAsia"/>
                <w:color w:val="000000"/>
                <w:szCs w:val="21"/>
              </w:rPr>
            </w:pPr>
            <w:r>
              <w:rPr>
                <w:rFonts w:hint="eastAsia"/>
                <w:color w:val="000000"/>
                <w:szCs w:val="21"/>
              </w:rPr>
              <w:t>16</w:t>
            </w:r>
          </w:p>
        </w:tc>
        <w:tc>
          <w:tcPr>
            <w:tcW w:w="1301" w:type="dxa"/>
            <w:noWrap w:val="0"/>
            <w:vAlign w:val="center"/>
          </w:tcPr>
          <w:p w14:paraId="1421B2EA">
            <w:pPr>
              <w:jc w:val="center"/>
              <w:rPr>
                <w:rFonts w:hint="eastAsia"/>
                <w:color w:val="000000"/>
                <w:szCs w:val="21"/>
              </w:rPr>
            </w:pPr>
            <w:r>
              <w:rPr>
                <w:rFonts w:hint="eastAsia"/>
                <w:color w:val="000000"/>
                <w:szCs w:val="21"/>
              </w:rPr>
              <w:t>16</w:t>
            </w:r>
          </w:p>
        </w:tc>
        <w:tc>
          <w:tcPr>
            <w:tcW w:w="1301" w:type="dxa"/>
            <w:noWrap w:val="0"/>
            <w:vAlign w:val="center"/>
          </w:tcPr>
          <w:p w14:paraId="7B357A9C">
            <w:pPr>
              <w:jc w:val="center"/>
              <w:rPr>
                <w:rFonts w:hint="eastAsia"/>
                <w:color w:val="000000"/>
                <w:szCs w:val="21"/>
              </w:rPr>
            </w:pPr>
            <w:r>
              <w:rPr>
                <w:rFonts w:hint="eastAsia"/>
                <w:color w:val="000000"/>
                <w:szCs w:val="21"/>
              </w:rPr>
              <w:t>16</w:t>
            </w:r>
          </w:p>
        </w:tc>
        <w:tc>
          <w:tcPr>
            <w:tcW w:w="1301" w:type="dxa"/>
            <w:noWrap w:val="0"/>
            <w:vAlign w:val="center"/>
          </w:tcPr>
          <w:p w14:paraId="5BEBDAB3">
            <w:pPr>
              <w:jc w:val="center"/>
              <w:rPr>
                <w:rFonts w:hint="eastAsia"/>
                <w:color w:val="000000"/>
                <w:szCs w:val="21"/>
              </w:rPr>
            </w:pPr>
            <w:r>
              <w:rPr>
                <w:rFonts w:hint="eastAsia"/>
                <w:color w:val="000000"/>
                <w:szCs w:val="21"/>
              </w:rPr>
              <w:t>16</w:t>
            </w:r>
          </w:p>
        </w:tc>
        <w:tc>
          <w:tcPr>
            <w:tcW w:w="1301" w:type="dxa"/>
            <w:noWrap w:val="0"/>
            <w:vAlign w:val="center"/>
          </w:tcPr>
          <w:p w14:paraId="1B853983">
            <w:pPr>
              <w:jc w:val="center"/>
              <w:rPr>
                <w:rFonts w:hint="eastAsia"/>
                <w:color w:val="000000"/>
                <w:szCs w:val="21"/>
              </w:rPr>
            </w:pPr>
            <w:r>
              <w:rPr>
                <w:rFonts w:hint="eastAsia"/>
                <w:color w:val="000000"/>
                <w:szCs w:val="21"/>
              </w:rPr>
              <w:t>16</w:t>
            </w:r>
          </w:p>
        </w:tc>
      </w:tr>
      <w:tr w14:paraId="2BB67F9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1034" w:type="dxa"/>
            <w:noWrap w:val="0"/>
            <w:vAlign w:val="center"/>
          </w:tcPr>
          <w:p w14:paraId="6C0FD4A2">
            <w:pPr>
              <w:jc w:val="center"/>
              <w:rPr>
                <w:rFonts w:hint="eastAsia" w:ascii="宋体" w:hAnsi="宋体"/>
                <w:b/>
                <w:color w:val="000000"/>
                <w:szCs w:val="21"/>
              </w:rPr>
            </w:pPr>
            <w:r>
              <w:rPr>
                <w:rFonts w:hint="eastAsia" w:ascii="宋体" w:hAnsi="宋体"/>
                <w:b/>
                <w:color w:val="000000"/>
                <w:szCs w:val="21"/>
              </w:rPr>
              <w:t>化学需氧量</w:t>
            </w:r>
          </w:p>
        </w:tc>
        <w:tc>
          <w:tcPr>
            <w:tcW w:w="1301" w:type="dxa"/>
            <w:noWrap w:val="0"/>
            <w:vAlign w:val="center"/>
          </w:tcPr>
          <w:p w14:paraId="4E7A1E26">
            <w:pPr>
              <w:jc w:val="center"/>
              <w:rPr>
                <w:rFonts w:hint="eastAsia"/>
                <w:color w:val="000000"/>
                <w:szCs w:val="21"/>
              </w:rPr>
            </w:pPr>
            <w:r>
              <w:rPr>
                <w:rFonts w:hint="eastAsia"/>
                <w:color w:val="000000"/>
                <w:szCs w:val="21"/>
              </w:rPr>
              <w:t>350.2</w:t>
            </w:r>
          </w:p>
        </w:tc>
        <w:tc>
          <w:tcPr>
            <w:tcW w:w="1301" w:type="dxa"/>
            <w:noWrap w:val="0"/>
            <w:vAlign w:val="center"/>
          </w:tcPr>
          <w:p w14:paraId="654F3BBF">
            <w:pPr>
              <w:jc w:val="center"/>
              <w:rPr>
                <w:rFonts w:hint="eastAsia"/>
                <w:color w:val="000000"/>
                <w:szCs w:val="21"/>
              </w:rPr>
            </w:pPr>
            <w:r>
              <w:rPr>
                <w:rFonts w:hint="eastAsia"/>
                <w:color w:val="000000"/>
                <w:szCs w:val="21"/>
              </w:rPr>
              <w:t>349.2</w:t>
            </w:r>
          </w:p>
        </w:tc>
        <w:tc>
          <w:tcPr>
            <w:tcW w:w="1301" w:type="dxa"/>
            <w:noWrap w:val="0"/>
            <w:vAlign w:val="center"/>
          </w:tcPr>
          <w:p w14:paraId="3C70728A">
            <w:pPr>
              <w:jc w:val="center"/>
              <w:rPr>
                <w:rFonts w:hint="eastAsia"/>
                <w:color w:val="000000"/>
                <w:szCs w:val="21"/>
              </w:rPr>
            </w:pPr>
            <w:r>
              <w:rPr>
                <w:rFonts w:hint="eastAsia"/>
                <w:color w:val="000000"/>
                <w:szCs w:val="21"/>
              </w:rPr>
              <w:t>350.0</w:t>
            </w:r>
          </w:p>
        </w:tc>
        <w:tc>
          <w:tcPr>
            <w:tcW w:w="1301" w:type="dxa"/>
            <w:noWrap w:val="0"/>
            <w:vAlign w:val="center"/>
          </w:tcPr>
          <w:p w14:paraId="5B7F6B93">
            <w:pPr>
              <w:jc w:val="center"/>
              <w:rPr>
                <w:rFonts w:hint="eastAsia"/>
                <w:color w:val="000000"/>
                <w:szCs w:val="21"/>
              </w:rPr>
            </w:pPr>
            <w:r>
              <w:rPr>
                <w:rFonts w:hint="eastAsia"/>
                <w:color w:val="000000"/>
                <w:szCs w:val="21"/>
              </w:rPr>
              <w:t>349.2</w:t>
            </w:r>
          </w:p>
        </w:tc>
        <w:tc>
          <w:tcPr>
            <w:tcW w:w="1301" w:type="dxa"/>
            <w:noWrap w:val="0"/>
            <w:vAlign w:val="center"/>
          </w:tcPr>
          <w:p w14:paraId="19E42173">
            <w:pPr>
              <w:jc w:val="center"/>
              <w:rPr>
                <w:rFonts w:hint="eastAsia"/>
                <w:color w:val="000000"/>
                <w:szCs w:val="21"/>
              </w:rPr>
            </w:pPr>
            <w:r>
              <w:rPr>
                <w:rFonts w:hint="eastAsia"/>
                <w:color w:val="000000"/>
                <w:szCs w:val="21"/>
              </w:rPr>
              <w:t>350.2</w:t>
            </w:r>
          </w:p>
        </w:tc>
        <w:tc>
          <w:tcPr>
            <w:tcW w:w="1301" w:type="dxa"/>
            <w:noWrap w:val="0"/>
            <w:vAlign w:val="center"/>
          </w:tcPr>
          <w:p w14:paraId="2C974F0E">
            <w:pPr>
              <w:jc w:val="center"/>
              <w:rPr>
                <w:rFonts w:hint="eastAsia"/>
                <w:color w:val="000000"/>
                <w:szCs w:val="21"/>
              </w:rPr>
            </w:pPr>
            <w:r>
              <w:rPr>
                <w:rFonts w:hint="eastAsia"/>
                <w:color w:val="000000"/>
                <w:szCs w:val="21"/>
              </w:rPr>
              <w:t>349.4</w:t>
            </w:r>
          </w:p>
        </w:tc>
      </w:tr>
      <w:tr w14:paraId="77BBB1E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1034" w:type="dxa"/>
            <w:noWrap w:val="0"/>
            <w:vAlign w:val="center"/>
          </w:tcPr>
          <w:p w14:paraId="3165473C">
            <w:pPr>
              <w:jc w:val="center"/>
              <w:rPr>
                <w:rFonts w:hint="eastAsia" w:ascii="宋体" w:hAnsi="宋体"/>
                <w:b/>
                <w:color w:val="000000"/>
                <w:szCs w:val="21"/>
              </w:rPr>
            </w:pPr>
            <w:r>
              <w:rPr>
                <w:rFonts w:hint="eastAsia" w:ascii="宋体" w:hAnsi="宋体"/>
                <w:b/>
                <w:color w:val="000000"/>
                <w:szCs w:val="21"/>
              </w:rPr>
              <w:t>氨氮</w:t>
            </w:r>
          </w:p>
        </w:tc>
        <w:tc>
          <w:tcPr>
            <w:tcW w:w="1301" w:type="dxa"/>
            <w:noWrap w:val="0"/>
            <w:vAlign w:val="center"/>
          </w:tcPr>
          <w:p w14:paraId="10208061">
            <w:pPr>
              <w:jc w:val="center"/>
              <w:rPr>
                <w:rFonts w:hint="eastAsia"/>
                <w:color w:val="000000"/>
                <w:szCs w:val="21"/>
              </w:rPr>
            </w:pPr>
            <w:r>
              <w:rPr>
                <w:rFonts w:hint="eastAsia"/>
                <w:color w:val="000000"/>
                <w:szCs w:val="21"/>
              </w:rPr>
              <w:t>56.037</w:t>
            </w:r>
          </w:p>
        </w:tc>
        <w:tc>
          <w:tcPr>
            <w:tcW w:w="1301" w:type="dxa"/>
            <w:noWrap w:val="0"/>
            <w:vAlign w:val="center"/>
          </w:tcPr>
          <w:p w14:paraId="413D1A76">
            <w:pPr>
              <w:jc w:val="center"/>
              <w:rPr>
                <w:rFonts w:hint="eastAsia"/>
                <w:color w:val="000000"/>
                <w:szCs w:val="21"/>
              </w:rPr>
            </w:pPr>
            <w:r>
              <w:rPr>
                <w:rFonts w:hint="eastAsia"/>
                <w:color w:val="000000"/>
                <w:szCs w:val="21"/>
              </w:rPr>
              <w:t>56.984</w:t>
            </w:r>
          </w:p>
        </w:tc>
        <w:tc>
          <w:tcPr>
            <w:tcW w:w="1301" w:type="dxa"/>
            <w:noWrap w:val="0"/>
            <w:vAlign w:val="center"/>
          </w:tcPr>
          <w:p w14:paraId="2343BADB">
            <w:pPr>
              <w:jc w:val="center"/>
              <w:rPr>
                <w:rFonts w:hint="eastAsia"/>
                <w:color w:val="000000"/>
                <w:szCs w:val="21"/>
              </w:rPr>
            </w:pPr>
            <w:r>
              <w:rPr>
                <w:rFonts w:hint="eastAsia"/>
                <w:color w:val="000000"/>
                <w:szCs w:val="21"/>
              </w:rPr>
              <w:t>55.984</w:t>
            </w:r>
          </w:p>
        </w:tc>
        <w:tc>
          <w:tcPr>
            <w:tcW w:w="1301" w:type="dxa"/>
            <w:noWrap w:val="0"/>
            <w:vAlign w:val="center"/>
          </w:tcPr>
          <w:p w14:paraId="6C353EF5">
            <w:pPr>
              <w:jc w:val="center"/>
              <w:rPr>
                <w:rFonts w:hint="eastAsia"/>
                <w:color w:val="000000"/>
                <w:szCs w:val="21"/>
              </w:rPr>
            </w:pPr>
            <w:r>
              <w:rPr>
                <w:rFonts w:hint="eastAsia"/>
                <w:color w:val="000000"/>
                <w:szCs w:val="21"/>
              </w:rPr>
              <w:t>56.197</w:t>
            </w:r>
          </w:p>
        </w:tc>
        <w:tc>
          <w:tcPr>
            <w:tcW w:w="1301" w:type="dxa"/>
            <w:noWrap w:val="0"/>
            <w:vAlign w:val="center"/>
          </w:tcPr>
          <w:p w14:paraId="3F737389">
            <w:pPr>
              <w:jc w:val="center"/>
              <w:rPr>
                <w:rFonts w:hint="eastAsia"/>
                <w:color w:val="000000"/>
                <w:szCs w:val="21"/>
              </w:rPr>
            </w:pPr>
            <w:r>
              <w:rPr>
                <w:rFonts w:hint="eastAsia"/>
                <w:color w:val="000000"/>
                <w:szCs w:val="21"/>
              </w:rPr>
              <w:t>55.091</w:t>
            </w:r>
          </w:p>
        </w:tc>
        <w:tc>
          <w:tcPr>
            <w:tcW w:w="1301" w:type="dxa"/>
            <w:noWrap w:val="0"/>
            <w:vAlign w:val="center"/>
          </w:tcPr>
          <w:p w14:paraId="7C804990">
            <w:pPr>
              <w:jc w:val="center"/>
              <w:rPr>
                <w:rFonts w:hint="eastAsia"/>
                <w:color w:val="000000"/>
                <w:szCs w:val="21"/>
              </w:rPr>
            </w:pPr>
            <w:r>
              <w:rPr>
                <w:rFonts w:hint="eastAsia"/>
                <w:color w:val="000000"/>
                <w:szCs w:val="21"/>
              </w:rPr>
              <w:t>55.878</w:t>
            </w:r>
          </w:p>
        </w:tc>
      </w:tr>
      <w:tr w14:paraId="255B582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1034" w:type="dxa"/>
            <w:noWrap w:val="0"/>
            <w:vAlign w:val="center"/>
          </w:tcPr>
          <w:p w14:paraId="7B1A6FF9">
            <w:pPr>
              <w:jc w:val="center"/>
              <w:rPr>
                <w:rFonts w:hint="eastAsia" w:ascii="宋体" w:hAnsi="宋体"/>
                <w:b/>
                <w:color w:val="000000"/>
                <w:szCs w:val="21"/>
              </w:rPr>
            </w:pPr>
            <w:r>
              <w:rPr>
                <w:rFonts w:hint="eastAsia" w:ascii="宋体" w:hAnsi="宋体"/>
                <w:b/>
                <w:color w:val="000000"/>
                <w:szCs w:val="21"/>
              </w:rPr>
              <w:t>总氮</w:t>
            </w:r>
          </w:p>
        </w:tc>
        <w:tc>
          <w:tcPr>
            <w:tcW w:w="1301" w:type="dxa"/>
            <w:noWrap w:val="0"/>
            <w:vAlign w:val="center"/>
          </w:tcPr>
          <w:p w14:paraId="018EA661">
            <w:pPr>
              <w:jc w:val="center"/>
              <w:rPr>
                <w:rFonts w:hint="eastAsia"/>
                <w:color w:val="000000"/>
                <w:szCs w:val="21"/>
              </w:rPr>
            </w:pPr>
            <w:r>
              <w:rPr>
                <w:rFonts w:hint="eastAsia"/>
                <w:color w:val="000000"/>
                <w:szCs w:val="21"/>
              </w:rPr>
              <w:t>22.99</w:t>
            </w:r>
          </w:p>
        </w:tc>
        <w:tc>
          <w:tcPr>
            <w:tcW w:w="1301" w:type="dxa"/>
            <w:noWrap w:val="0"/>
            <w:vAlign w:val="center"/>
          </w:tcPr>
          <w:p w14:paraId="36A50800">
            <w:pPr>
              <w:jc w:val="center"/>
              <w:rPr>
                <w:rFonts w:hint="eastAsia"/>
                <w:color w:val="000000"/>
                <w:szCs w:val="21"/>
              </w:rPr>
            </w:pPr>
            <w:r>
              <w:rPr>
                <w:rFonts w:hint="eastAsia"/>
                <w:color w:val="000000"/>
                <w:szCs w:val="21"/>
              </w:rPr>
              <w:t>23.04</w:t>
            </w:r>
          </w:p>
        </w:tc>
        <w:tc>
          <w:tcPr>
            <w:tcW w:w="1301" w:type="dxa"/>
            <w:noWrap w:val="0"/>
            <w:vAlign w:val="center"/>
          </w:tcPr>
          <w:p w14:paraId="721B5245">
            <w:pPr>
              <w:jc w:val="center"/>
              <w:rPr>
                <w:rFonts w:hint="eastAsia"/>
                <w:color w:val="000000"/>
                <w:szCs w:val="21"/>
              </w:rPr>
            </w:pPr>
            <w:r>
              <w:rPr>
                <w:rFonts w:hint="eastAsia"/>
                <w:color w:val="000000"/>
                <w:szCs w:val="21"/>
              </w:rPr>
              <w:t>23.04</w:t>
            </w:r>
          </w:p>
        </w:tc>
        <w:tc>
          <w:tcPr>
            <w:tcW w:w="1301" w:type="dxa"/>
            <w:noWrap w:val="0"/>
            <w:vAlign w:val="center"/>
          </w:tcPr>
          <w:p w14:paraId="464AEC7F">
            <w:pPr>
              <w:jc w:val="center"/>
              <w:rPr>
                <w:rFonts w:hint="eastAsia"/>
                <w:color w:val="000000"/>
                <w:szCs w:val="21"/>
              </w:rPr>
            </w:pPr>
            <w:r>
              <w:rPr>
                <w:rFonts w:hint="eastAsia"/>
                <w:color w:val="000000"/>
                <w:szCs w:val="21"/>
              </w:rPr>
              <w:t>22.94</w:t>
            </w:r>
          </w:p>
        </w:tc>
        <w:tc>
          <w:tcPr>
            <w:tcW w:w="1301" w:type="dxa"/>
            <w:noWrap w:val="0"/>
            <w:vAlign w:val="center"/>
          </w:tcPr>
          <w:p w14:paraId="5E700028">
            <w:pPr>
              <w:jc w:val="center"/>
              <w:rPr>
                <w:rFonts w:hint="eastAsia"/>
                <w:color w:val="000000"/>
                <w:szCs w:val="21"/>
              </w:rPr>
            </w:pPr>
            <w:r>
              <w:rPr>
                <w:rFonts w:hint="eastAsia"/>
                <w:color w:val="000000"/>
                <w:szCs w:val="21"/>
              </w:rPr>
              <w:t>22.94</w:t>
            </w:r>
          </w:p>
        </w:tc>
        <w:tc>
          <w:tcPr>
            <w:tcW w:w="1301" w:type="dxa"/>
            <w:noWrap w:val="0"/>
            <w:vAlign w:val="center"/>
          </w:tcPr>
          <w:p w14:paraId="1BDF137A">
            <w:pPr>
              <w:jc w:val="center"/>
              <w:rPr>
                <w:rFonts w:hint="eastAsia"/>
                <w:color w:val="000000"/>
                <w:szCs w:val="21"/>
              </w:rPr>
            </w:pPr>
            <w:r>
              <w:rPr>
                <w:rFonts w:hint="eastAsia"/>
                <w:color w:val="000000"/>
                <w:szCs w:val="21"/>
              </w:rPr>
              <w:t>23.04</w:t>
            </w:r>
          </w:p>
        </w:tc>
      </w:tr>
      <w:tr w14:paraId="0A80A99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1034" w:type="dxa"/>
            <w:noWrap w:val="0"/>
            <w:vAlign w:val="center"/>
          </w:tcPr>
          <w:p w14:paraId="076BC210">
            <w:pPr>
              <w:jc w:val="center"/>
              <w:rPr>
                <w:rFonts w:hint="eastAsia" w:ascii="宋体" w:hAnsi="宋体"/>
                <w:b/>
                <w:color w:val="000000"/>
                <w:szCs w:val="21"/>
              </w:rPr>
            </w:pPr>
            <w:r>
              <w:rPr>
                <w:rFonts w:hint="eastAsia" w:ascii="宋体" w:hAnsi="宋体"/>
                <w:b/>
                <w:color w:val="000000"/>
                <w:szCs w:val="21"/>
              </w:rPr>
              <w:t>总磷</w:t>
            </w:r>
          </w:p>
        </w:tc>
        <w:tc>
          <w:tcPr>
            <w:tcW w:w="1301" w:type="dxa"/>
            <w:noWrap w:val="0"/>
            <w:vAlign w:val="center"/>
          </w:tcPr>
          <w:p w14:paraId="6FF012C4">
            <w:pPr>
              <w:jc w:val="center"/>
              <w:rPr>
                <w:rFonts w:hint="eastAsia"/>
                <w:color w:val="000000"/>
                <w:szCs w:val="21"/>
              </w:rPr>
            </w:pPr>
            <w:r>
              <w:rPr>
                <w:rFonts w:hint="eastAsia"/>
                <w:color w:val="000000"/>
                <w:szCs w:val="21"/>
              </w:rPr>
              <w:t>1.380</w:t>
            </w:r>
          </w:p>
        </w:tc>
        <w:tc>
          <w:tcPr>
            <w:tcW w:w="1301" w:type="dxa"/>
            <w:noWrap w:val="0"/>
            <w:vAlign w:val="center"/>
          </w:tcPr>
          <w:p w14:paraId="512476AD">
            <w:pPr>
              <w:jc w:val="center"/>
              <w:rPr>
                <w:rFonts w:hint="eastAsia"/>
                <w:color w:val="000000"/>
                <w:szCs w:val="21"/>
              </w:rPr>
            </w:pPr>
            <w:r>
              <w:rPr>
                <w:rFonts w:hint="eastAsia"/>
                <w:color w:val="000000"/>
                <w:szCs w:val="21"/>
              </w:rPr>
              <w:t>1.363</w:t>
            </w:r>
          </w:p>
        </w:tc>
        <w:tc>
          <w:tcPr>
            <w:tcW w:w="1301" w:type="dxa"/>
            <w:noWrap w:val="0"/>
            <w:vAlign w:val="center"/>
          </w:tcPr>
          <w:p w14:paraId="5DBE9B67">
            <w:pPr>
              <w:jc w:val="center"/>
              <w:rPr>
                <w:rFonts w:hint="eastAsia"/>
                <w:color w:val="000000"/>
                <w:szCs w:val="21"/>
              </w:rPr>
            </w:pPr>
            <w:r>
              <w:rPr>
                <w:rFonts w:hint="eastAsia"/>
                <w:color w:val="000000"/>
                <w:szCs w:val="21"/>
              </w:rPr>
              <w:t>1.370</w:t>
            </w:r>
          </w:p>
        </w:tc>
        <w:tc>
          <w:tcPr>
            <w:tcW w:w="1301" w:type="dxa"/>
            <w:noWrap w:val="0"/>
            <w:vAlign w:val="center"/>
          </w:tcPr>
          <w:p w14:paraId="3826E1B8">
            <w:pPr>
              <w:jc w:val="center"/>
              <w:rPr>
                <w:rFonts w:hint="eastAsia"/>
                <w:color w:val="000000"/>
                <w:szCs w:val="21"/>
              </w:rPr>
            </w:pPr>
            <w:r>
              <w:rPr>
                <w:rFonts w:hint="eastAsia"/>
                <w:color w:val="000000"/>
                <w:szCs w:val="21"/>
              </w:rPr>
              <w:t>1.377</w:t>
            </w:r>
          </w:p>
        </w:tc>
        <w:tc>
          <w:tcPr>
            <w:tcW w:w="1301" w:type="dxa"/>
            <w:noWrap w:val="0"/>
            <w:vAlign w:val="center"/>
          </w:tcPr>
          <w:p w14:paraId="535104F2">
            <w:pPr>
              <w:jc w:val="center"/>
              <w:rPr>
                <w:rFonts w:hint="eastAsia"/>
                <w:color w:val="000000"/>
                <w:szCs w:val="21"/>
              </w:rPr>
            </w:pPr>
            <w:r>
              <w:rPr>
                <w:rFonts w:hint="eastAsia"/>
                <w:color w:val="000000"/>
                <w:szCs w:val="21"/>
              </w:rPr>
              <w:t>1.380</w:t>
            </w:r>
          </w:p>
        </w:tc>
        <w:tc>
          <w:tcPr>
            <w:tcW w:w="1301" w:type="dxa"/>
            <w:noWrap w:val="0"/>
            <w:vAlign w:val="center"/>
          </w:tcPr>
          <w:p w14:paraId="31D747D8">
            <w:pPr>
              <w:jc w:val="center"/>
              <w:rPr>
                <w:rFonts w:hint="eastAsia"/>
                <w:color w:val="000000"/>
                <w:szCs w:val="21"/>
              </w:rPr>
            </w:pPr>
            <w:r>
              <w:rPr>
                <w:rFonts w:hint="eastAsia"/>
                <w:color w:val="000000"/>
                <w:szCs w:val="21"/>
              </w:rPr>
              <w:t>1.356</w:t>
            </w:r>
          </w:p>
        </w:tc>
      </w:tr>
      <w:tr w14:paraId="29C0DC3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1034" w:type="dxa"/>
            <w:noWrap w:val="0"/>
            <w:vAlign w:val="center"/>
          </w:tcPr>
          <w:p w14:paraId="7392688F">
            <w:pPr>
              <w:jc w:val="center"/>
              <w:rPr>
                <w:rFonts w:hint="eastAsia" w:ascii="宋体" w:hAnsi="宋体"/>
                <w:b/>
                <w:color w:val="000000"/>
                <w:szCs w:val="21"/>
              </w:rPr>
            </w:pPr>
            <w:r>
              <w:rPr>
                <w:rFonts w:hint="eastAsia" w:ascii="宋体" w:hAnsi="宋体"/>
                <w:b/>
                <w:color w:val="000000"/>
                <w:szCs w:val="21"/>
              </w:rPr>
              <w:t>五日生化需氧量</w:t>
            </w:r>
          </w:p>
        </w:tc>
        <w:tc>
          <w:tcPr>
            <w:tcW w:w="1301" w:type="dxa"/>
            <w:noWrap w:val="0"/>
            <w:vAlign w:val="center"/>
          </w:tcPr>
          <w:p w14:paraId="6112150F">
            <w:pPr>
              <w:jc w:val="center"/>
              <w:rPr>
                <w:rFonts w:hint="eastAsia"/>
                <w:color w:val="000000"/>
                <w:szCs w:val="21"/>
              </w:rPr>
            </w:pPr>
            <w:r>
              <w:rPr>
                <w:rFonts w:hint="eastAsia"/>
                <w:color w:val="000000"/>
                <w:szCs w:val="21"/>
              </w:rPr>
              <w:t>120.2</w:t>
            </w:r>
          </w:p>
        </w:tc>
        <w:tc>
          <w:tcPr>
            <w:tcW w:w="1301" w:type="dxa"/>
            <w:noWrap w:val="0"/>
            <w:vAlign w:val="center"/>
          </w:tcPr>
          <w:p w14:paraId="0F8E69B8">
            <w:pPr>
              <w:jc w:val="center"/>
              <w:rPr>
                <w:rFonts w:hint="eastAsia"/>
                <w:color w:val="000000"/>
                <w:szCs w:val="21"/>
              </w:rPr>
            </w:pPr>
            <w:r>
              <w:rPr>
                <w:rFonts w:hint="eastAsia"/>
                <w:color w:val="000000"/>
                <w:szCs w:val="21"/>
              </w:rPr>
              <w:t>120.2</w:t>
            </w:r>
          </w:p>
        </w:tc>
        <w:tc>
          <w:tcPr>
            <w:tcW w:w="1301" w:type="dxa"/>
            <w:noWrap w:val="0"/>
            <w:vAlign w:val="center"/>
          </w:tcPr>
          <w:p w14:paraId="72B04764">
            <w:pPr>
              <w:jc w:val="center"/>
              <w:rPr>
                <w:rFonts w:hint="eastAsia"/>
                <w:color w:val="000000"/>
                <w:szCs w:val="21"/>
              </w:rPr>
            </w:pPr>
            <w:r>
              <w:rPr>
                <w:rFonts w:hint="eastAsia"/>
                <w:color w:val="000000"/>
                <w:szCs w:val="21"/>
              </w:rPr>
              <w:t>119.2</w:t>
            </w:r>
          </w:p>
        </w:tc>
        <w:tc>
          <w:tcPr>
            <w:tcW w:w="1301" w:type="dxa"/>
            <w:noWrap w:val="0"/>
            <w:vAlign w:val="center"/>
          </w:tcPr>
          <w:p w14:paraId="0A459E53">
            <w:pPr>
              <w:jc w:val="center"/>
              <w:rPr>
                <w:rFonts w:hint="eastAsia"/>
                <w:color w:val="000000"/>
                <w:szCs w:val="21"/>
              </w:rPr>
            </w:pPr>
            <w:r>
              <w:rPr>
                <w:rFonts w:hint="eastAsia"/>
                <w:color w:val="000000"/>
                <w:szCs w:val="21"/>
              </w:rPr>
              <w:t>120.2</w:t>
            </w:r>
          </w:p>
        </w:tc>
        <w:tc>
          <w:tcPr>
            <w:tcW w:w="1301" w:type="dxa"/>
            <w:noWrap w:val="0"/>
            <w:vAlign w:val="center"/>
          </w:tcPr>
          <w:p w14:paraId="6861403F">
            <w:pPr>
              <w:jc w:val="center"/>
              <w:rPr>
                <w:rFonts w:hint="eastAsia"/>
                <w:color w:val="000000"/>
                <w:szCs w:val="21"/>
              </w:rPr>
            </w:pPr>
            <w:r>
              <w:rPr>
                <w:rFonts w:hint="eastAsia"/>
                <w:color w:val="000000"/>
                <w:szCs w:val="21"/>
              </w:rPr>
              <w:t>119.2</w:t>
            </w:r>
          </w:p>
        </w:tc>
        <w:tc>
          <w:tcPr>
            <w:tcW w:w="1301" w:type="dxa"/>
            <w:noWrap w:val="0"/>
            <w:vAlign w:val="center"/>
          </w:tcPr>
          <w:p w14:paraId="4FD01BFD">
            <w:pPr>
              <w:jc w:val="center"/>
              <w:rPr>
                <w:rFonts w:hint="eastAsia"/>
                <w:color w:val="000000"/>
                <w:szCs w:val="21"/>
              </w:rPr>
            </w:pPr>
            <w:r>
              <w:rPr>
                <w:rFonts w:hint="eastAsia"/>
                <w:color w:val="000000"/>
                <w:szCs w:val="21"/>
              </w:rPr>
              <w:t>119.2</w:t>
            </w:r>
          </w:p>
        </w:tc>
      </w:tr>
      <w:tr w14:paraId="13C9398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1034" w:type="dxa"/>
            <w:noWrap w:val="0"/>
            <w:vAlign w:val="center"/>
          </w:tcPr>
          <w:p w14:paraId="5A76A843">
            <w:pPr>
              <w:jc w:val="center"/>
              <w:rPr>
                <w:rFonts w:hint="eastAsia" w:ascii="宋体" w:hAnsi="宋体"/>
                <w:b/>
                <w:color w:val="000000"/>
                <w:szCs w:val="21"/>
              </w:rPr>
            </w:pPr>
            <w:r>
              <w:rPr>
                <w:rFonts w:hint="eastAsia" w:ascii="宋体" w:hAnsi="宋体"/>
                <w:b/>
                <w:color w:val="000000"/>
                <w:szCs w:val="21"/>
              </w:rPr>
              <w:t>悬浮物</w:t>
            </w:r>
          </w:p>
        </w:tc>
        <w:tc>
          <w:tcPr>
            <w:tcW w:w="1301" w:type="dxa"/>
            <w:noWrap w:val="0"/>
            <w:vAlign w:val="center"/>
          </w:tcPr>
          <w:p w14:paraId="759F82D2">
            <w:pPr>
              <w:jc w:val="center"/>
              <w:rPr>
                <w:rFonts w:hint="eastAsia"/>
                <w:color w:val="000000"/>
                <w:szCs w:val="21"/>
              </w:rPr>
            </w:pPr>
            <w:r>
              <w:rPr>
                <w:rFonts w:hint="eastAsia"/>
                <w:color w:val="000000"/>
                <w:szCs w:val="21"/>
              </w:rPr>
              <w:t>210</w:t>
            </w:r>
          </w:p>
        </w:tc>
        <w:tc>
          <w:tcPr>
            <w:tcW w:w="1301" w:type="dxa"/>
            <w:noWrap w:val="0"/>
            <w:vAlign w:val="center"/>
          </w:tcPr>
          <w:p w14:paraId="40916B7F">
            <w:pPr>
              <w:jc w:val="center"/>
              <w:rPr>
                <w:rFonts w:hint="eastAsia"/>
                <w:color w:val="000000"/>
                <w:szCs w:val="21"/>
              </w:rPr>
            </w:pPr>
            <w:r>
              <w:rPr>
                <w:rFonts w:hint="eastAsia"/>
                <w:color w:val="000000"/>
                <w:szCs w:val="21"/>
              </w:rPr>
              <w:t>220</w:t>
            </w:r>
          </w:p>
        </w:tc>
        <w:tc>
          <w:tcPr>
            <w:tcW w:w="1301" w:type="dxa"/>
            <w:noWrap w:val="0"/>
            <w:vAlign w:val="center"/>
          </w:tcPr>
          <w:p w14:paraId="1B4B042E">
            <w:pPr>
              <w:jc w:val="center"/>
              <w:rPr>
                <w:rFonts w:hint="eastAsia"/>
                <w:color w:val="000000"/>
                <w:szCs w:val="21"/>
              </w:rPr>
            </w:pPr>
            <w:r>
              <w:rPr>
                <w:rFonts w:hint="eastAsia"/>
                <w:color w:val="000000"/>
                <w:szCs w:val="21"/>
              </w:rPr>
              <w:t>220</w:t>
            </w:r>
          </w:p>
        </w:tc>
        <w:tc>
          <w:tcPr>
            <w:tcW w:w="1301" w:type="dxa"/>
            <w:noWrap w:val="0"/>
            <w:vAlign w:val="center"/>
          </w:tcPr>
          <w:p w14:paraId="35291441">
            <w:pPr>
              <w:jc w:val="center"/>
              <w:rPr>
                <w:rFonts w:hint="eastAsia"/>
                <w:color w:val="000000"/>
                <w:szCs w:val="21"/>
              </w:rPr>
            </w:pPr>
            <w:r>
              <w:rPr>
                <w:rFonts w:hint="eastAsia"/>
                <w:color w:val="000000"/>
                <w:szCs w:val="21"/>
              </w:rPr>
              <w:t>210</w:t>
            </w:r>
          </w:p>
        </w:tc>
        <w:tc>
          <w:tcPr>
            <w:tcW w:w="1301" w:type="dxa"/>
            <w:noWrap w:val="0"/>
            <w:vAlign w:val="center"/>
          </w:tcPr>
          <w:p w14:paraId="281E55EB">
            <w:pPr>
              <w:jc w:val="center"/>
              <w:rPr>
                <w:rFonts w:hint="eastAsia"/>
                <w:color w:val="000000"/>
                <w:szCs w:val="21"/>
              </w:rPr>
            </w:pPr>
            <w:r>
              <w:rPr>
                <w:rFonts w:hint="eastAsia"/>
                <w:color w:val="000000"/>
                <w:szCs w:val="21"/>
              </w:rPr>
              <w:t>200</w:t>
            </w:r>
          </w:p>
        </w:tc>
        <w:tc>
          <w:tcPr>
            <w:tcW w:w="1301" w:type="dxa"/>
            <w:noWrap w:val="0"/>
            <w:vAlign w:val="center"/>
          </w:tcPr>
          <w:p w14:paraId="266D5676">
            <w:pPr>
              <w:jc w:val="center"/>
              <w:rPr>
                <w:rFonts w:hint="eastAsia"/>
                <w:color w:val="000000"/>
                <w:szCs w:val="21"/>
              </w:rPr>
            </w:pPr>
            <w:r>
              <w:rPr>
                <w:rFonts w:hint="eastAsia"/>
                <w:color w:val="000000"/>
                <w:szCs w:val="21"/>
              </w:rPr>
              <w:t>200</w:t>
            </w:r>
          </w:p>
        </w:tc>
      </w:tr>
      <w:tr w14:paraId="2054B08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1034" w:type="dxa"/>
            <w:noWrap w:val="0"/>
            <w:vAlign w:val="center"/>
          </w:tcPr>
          <w:p w14:paraId="62C88AF8">
            <w:pPr>
              <w:jc w:val="center"/>
              <w:rPr>
                <w:rFonts w:hint="eastAsia" w:ascii="宋体" w:hAnsi="宋体"/>
                <w:b/>
                <w:color w:val="000000"/>
                <w:szCs w:val="21"/>
              </w:rPr>
            </w:pPr>
            <w:r>
              <w:rPr>
                <w:rFonts w:hint="eastAsia" w:ascii="宋体" w:hAnsi="宋体"/>
                <w:b/>
                <w:color w:val="000000"/>
                <w:szCs w:val="21"/>
              </w:rPr>
              <w:t>动植物油</w:t>
            </w:r>
          </w:p>
        </w:tc>
        <w:tc>
          <w:tcPr>
            <w:tcW w:w="1301" w:type="dxa"/>
            <w:noWrap w:val="0"/>
            <w:vAlign w:val="center"/>
          </w:tcPr>
          <w:p w14:paraId="1EEE4771">
            <w:pPr>
              <w:jc w:val="center"/>
              <w:rPr>
                <w:rFonts w:hint="eastAsia"/>
                <w:color w:val="000000"/>
                <w:szCs w:val="21"/>
              </w:rPr>
            </w:pPr>
            <w:r>
              <w:rPr>
                <w:rFonts w:hint="eastAsia"/>
                <w:color w:val="000000"/>
                <w:szCs w:val="21"/>
              </w:rPr>
              <w:t>11</w:t>
            </w:r>
          </w:p>
        </w:tc>
        <w:tc>
          <w:tcPr>
            <w:tcW w:w="1301" w:type="dxa"/>
            <w:noWrap w:val="0"/>
            <w:vAlign w:val="center"/>
          </w:tcPr>
          <w:p w14:paraId="50DDF7E7">
            <w:pPr>
              <w:jc w:val="center"/>
              <w:rPr>
                <w:rFonts w:hint="eastAsia"/>
                <w:color w:val="000000"/>
                <w:szCs w:val="21"/>
              </w:rPr>
            </w:pPr>
            <w:r>
              <w:rPr>
                <w:rFonts w:hint="eastAsia"/>
                <w:color w:val="000000"/>
                <w:szCs w:val="21"/>
              </w:rPr>
              <w:t>10.9</w:t>
            </w:r>
          </w:p>
        </w:tc>
        <w:tc>
          <w:tcPr>
            <w:tcW w:w="1301" w:type="dxa"/>
            <w:noWrap w:val="0"/>
            <w:vAlign w:val="center"/>
          </w:tcPr>
          <w:p w14:paraId="396FBC8B">
            <w:pPr>
              <w:jc w:val="center"/>
              <w:rPr>
                <w:rFonts w:hint="eastAsia"/>
                <w:color w:val="000000"/>
                <w:szCs w:val="21"/>
              </w:rPr>
            </w:pPr>
            <w:r>
              <w:rPr>
                <w:rFonts w:hint="eastAsia"/>
                <w:color w:val="000000"/>
                <w:szCs w:val="21"/>
              </w:rPr>
              <w:t>10.9</w:t>
            </w:r>
          </w:p>
        </w:tc>
        <w:tc>
          <w:tcPr>
            <w:tcW w:w="1301" w:type="dxa"/>
            <w:noWrap w:val="0"/>
            <w:vAlign w:val="center"/>
          </w:tcPr>
          <w:p w14:paraId="1EACBDCE">
            <w:pPr>
              <w:jc w:val="center"/>
              <w:rPr>
                <w:rFonts w:hint="eastAsia"/>
                <w:color w:val="000000"/>
                <w:szCs w:val="21"/>
              </w:rPr>
            </w:pPr>
            <w:r>
              <w:rPr>
                <w:rFonts w:hint="eastAsia"/>
                <w:color w:val="000000"/>
                <w:szCs w:val="21"/>
              </w:rPr>
              <w:t>11</w:t>
            </w:r>
          </w:p>
        </w:tc>
        <w:tc>
          <w:tcPr>
            <w:tcW w:w="1301" w:type="dxa"/>
            <w:noWrap w:val="0"/>
            <w:vAlign w:val="center"/>
          </w:tcPr>
          <w:p w14:paraId="5E4FE28B">
            <w:pPr>
              <w:jc w:val="center"/>
              <w:rPr>
                <w:rFonts w:hint="eastAsia"/>
                <w:color w:val="000000"/>
                <w:szCs w:val="21"/>
              </w:rPr>
            </w:pPr>
            <w:r>
              <w:rPr>
                <w:rFonts w:hint="eastAsia"/>
                <w:color w:val="000000"/>
                <w:szCs w:val="21"/>
              </w:rPr>
              <w:t>10.9</w:t>
            </w:r>
          </w:p>
        </w:tc>
        <w:tc>
          <w:tcPr>
            <w:tcW w:w="1301" w:type="dxa"/>
            <w:noWrap w:val="0"/>
            <w:vAlign w:val="center"/>
          </w:tcPr>
          <w:p w14:paraId="13D8A963">
            <w:pPr>
              <w:jc w:val="center"/>
              <w:rPr>
                <w:rFonts w:hint="eastAsia"/>
                <w:color w:val="000000"/>
                <w:szCs w:val="21"/>
              </w:rPr>
            </w:pPr>
            <w:r>
              <w:rPr>
                <w:rFonts w:hint="eastAsia"/>
                <w:color w:val="000000"/>
                <w:szCs w:val="21"/>
              </w:rPr>
              <w:t>11</w:t>
            </w:r>
          </w:p>
        </w:tc>
      </w:tr>
      <w:tr w14:paraId="3BFE5AA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1034" w:type="dxa"/>
            <w:noWrap w:val="0"/>
            <w:vAlign w:val="center"/>
          </w:tcPr>
          <w:p w14:paraId="7E2B6E4E">
            <w:pPr>
              <w:jc w:val="center"/>
              <w:rPr>
                <w:rFonts w:hint="eastAsia" w:ascii="宋体" w:hAnsi="宋体"/>
                <w:b/>
                <w:color w:val="000000"/>
                <w:szCs w:val="21"/>
              </w:rPr>
            </w:pPr>
            <w:r>
              <w:rPr>
                <w:rFonts w:hint="eastAsia" w:ascii="宋体" w:hAnsi="宋体"/>
                <w:b/>
                <w:color w:val="000000"/>
                <w:szCs w:val="21"/>
              </w:rPr>
              <w:t>石油类</w:t>
            </w:r>
          </w:p>
        </w:tc>
        <w:tc>
          <w:tcPr>
            <w:tcW w:w="1301" w:type="dxa"/>
            <w:noWrap w:val="0"/>
            <w:vAlign w:val="center"/>
          </w:tcPr>
          <w:p w14:paraId="40AEF2B7">
            <w:pPr>
              <w:jc w:val="center"/>
              <w:rPr>
                <w:rFonts w:hint="eastAsia"/>
                <w:color w:val="000000"/>
                <w:szCs w:val="21"/>
              </w:rPr>
            </w:pPr>
            <w:r>
              <w:rPr>
                <w:rFonts w:hint="eastAsia"/>
                <w:color w:val="000000"/>
                <w:szCs w:val="21"/>
              </w:rPr>
              <w:t>0.17</w:t>
            </w:r>
          </w:p>
        </w:tc>
        <w:tc>
          <w:tcPr>
            <w:tcW w:w="1301" w:type="dxa"/>
            <w:noWrap w:val="0"/>
            <w:vAlign w:val="center"/>
          </w:tcPr>
          <w:p w14:paraId="4B10B819">
            <w:pPr>
              <w:jc w:val="center"/>
              <w:rPr>
                <w:rFonts w:hint="eastAsia"/>
                <w:color w:val="000000"/>
                <w:szCs w:val="21"/>
              </w:rPr>
            </w:pPr>
            <w:r>
              <w:rPr>
                <w:rFonts w:hint="eastAsia"/>
                <w:color w:val="000000"/>
                <w:szCs w:val="21"/>
              </w:rPr>
              <w:t>0.13</w:t>
            </w:r>
          </w:p>
        </w:tc>
        <w:tc>
          <w:tcPr>
            <w:tcW w:w="1301" w:type="dxa"/>
            <w:noWrap w:val="0"/>
            <w:vAlign w:val="center"/>
          </w:tcPr>
          <w:p w14:paraId="70B1A050">
            <w:pPr>
              <w:jc w:val="center"/>
              <w:rPr>
                <w:rFonts w:hint="eastAsia"/>
                <w:color w:val="000000"/>
                <w:szCs w:val="21"/>
              </w:rPr>
            </w:pPr>
            <w:r>
              <w:rPr>
                <w:rFonts w:hint="eastAsia"/>
                <w:color w:val="000000"/>
                <w:szCs w:val="21"/>
              </w:rPr>
              <w:t>0.16</w:t>
            </w:r>
          </w:p>
        </w:tc>
        <w:tc>
          <w:tcPr>
            <w:tcW w:w="1301" w:type="dxa"/>
            <w:noWrap w:val="0"/>
            <w:vAlign w:val="center"/>
          </w:tcPr>
          <w:p w14:paraId="16F8965B">
            <w:pPr>
              <w:jc w:val="center"/>
              <w:rPr>
                <w:rFonts w:hint="eastAsia"/>
                <w:color w:val="000000"/>
                <w:szCs w:val="21"/>
              </w:rPr>
            </w:pPr>
            <w:r>
              <w:rPr>
                <w:rFonts w:hint="eastAsia"/>
                <w:color w:val="000000"/>
                <w:szCs w:val="21"/>
              </w:rPr>
              <w:t>0.14</w:t>
            </w:r>
          </w:p>
        </w:tc>
        <w:tc>
          <w:tcPr>
            <w:tcW w:w="1301" w:type="dxa"/>
            <w:noWrap w:val="0"/>
            <w:vAlign w:val="center"/>
          </w:tcPr>
          <w:p w14:paraId="2236855F">
            <w:pPr>
              <w:jc w:val="center"/>
              <w:rPr>
                <w:rFonts w:hint="eastAsia"/>
                <w:color w:val="000000"/>
                <w:szCs w:val="21"/>
              </w:rPr>
            </w:pPr>
            <w:r>
              <w:rPr>
                <w:rFonts w:hint="eastAsia"/>
                <w:color w:val="000000"/>
                <w:szCs w:val="21"/>
              </w:rPr>
              <w:t>0.15</w:t>
            </w:r>
          </w:p>
        </w:tc>
        <w:tc>
          <w:tcPr>
            <w:tcW w:w="1301" w:type="dxa"/>
            <w:noWrap w:val="0"/>
            <w:vAlign w:val="center"/>
          </w:tcPr>
          <w:p w14:paraId="1AA072AD">
            <w:pPr>
              <w:jc w:val="center"/>
              <w:rPr>
                <w:rFonts w:hint="eastAsia"/>
                <w:color w:val="000000"/>
                <w:szCs w:val="21"/>
              </w:rPr>
            </w:pPr>
            <w:r>
              <w:rPr>
                <w:rFonts w:hint="eastAsia"/>
                <w:color w:val="000000"/>
                <w:szCs w:val="21"/>
              </w:rPr>
              <w:t>0.15</w:t>
            </w:r>
          </w:p>
        </w:tc>
      </w:tr>
      <w:tr w14:paraId="7796D87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1034" w:type="dxa"/>
            <w:noWrap w:val="0"/>
            <w:vAlign w:val="center"/>
          </w:tcPr>
          <w:p w14:paraId="2949966C">
            <w:pPr>
              <w:jc w:val="center"/>
              <w:rPr>
                <w:rFonts w:hint="eastAsia" w:ascii="宋体" w:hAnsi="宋体"/>
                <w:b/>
                <w:color w:val="000000"/>
                <w:szCs w:val="21"/>
              </w:rPr>
            </w:pPr>
            <w:r>
              <w:rPr>
                <w:rFonts w:hint="eastAsia" w:ascii="宋体" w:hAnsi="宋体"/>
                <w:b/>
                <w:color w:val="000000"/>
                <w:szCs w:val="21"/>
              </w:rPr>
              <w:t>氰化物</w:t>
            </w:r>
          </w:p>
        </w:tc>
        <w:tc>
          <w:tcPr>
            <w:tcW w:w="1301" w:type="dxa"/>
            <w:noWrap w:val="0"/>
            <w:vAlign w:val="center"/>
          </w:tcPr>
          <w:p w14:paraId="4B758BCC">
            <w:pPr>
              <w:jc w:val="center"/>
              <w:rPr>
                <w:rFonts w:hint="eastAsia"/>
                <w:color w:val="000000"/>
                <w:szCs w:val="21"/>
              </w:rPr>
            </w:pPr>
            <w:r>
              <w:rPr>
                <w:rFonts w:hint="eastAsia"/>
                <w:color w:val="000000"/>
              </w:rPr>
              <w:t>0.004</w:t>
            </w:r>
            <w:r>
              <w:rPr>
                <w:color w:val="000000"/>
                <w:szCs w:val="21"/>
              </w:rPr>
              <w:t>L</w:t>
            </w:r>
          </w:p>
        </w:tc>
        <w:tc>
          <w:tcPr>
            <w:tcW w:w="1301" w:type="dxa"/>
            <w:noWrap w:val="0"/>
            <w:vAlign w:val="center"/>
          </w:tcPr>
          <w:p w14:paraId="54DEB2F3">
            <w:pPr>
              <w:jc w:val="center"/>
              <w:rPr>
                <w:rFonts w:hint="eastAsia"/>
                <w:color w:val="000000"/>
                <w:szCs w:val="21"/>
              </w:rPr>
            </w:pPr>
            <w:r>
              <w:rPr>
                <w:rFonts w:hint="eastAsia"/>
                <w:color w:val="000000"/>
              </w:rPr>
              <w:t>0.004</w:t>
            </w:r>
            <w:r>
              <w:rPr>
                <w:color w:val="000000"/>
                <w:szCs w:val="21"/>
              </w:rPr>
              <w:t>L</w:t>
            </w:r>
          </w:p>
        </w:tc>
        <w:tc>
          <w:tcPr>
            <w:tcW w:w="1301" w:type="dxa"/>
            <w:noWrap w:val="0"/>
            <w:vAlign w:val="center"/>
          </w:tcPr>
          <w:p w14:paraId="38588943">
            <w:pPr>
              <w:jc w:val="center"/>
              <w:rPr>
                <w:rFonts w:hint="eastAsia"/>
                <w:color w:val="000000"/>
                <w:szCs w:val="21"/>
              </w:rPr>
            </w:pPr>
            <w:r>
              <w:rPr>
                <w:rFonts w:hint="eastAsia"/>
                <w:color w:val="000000"/>
              </w:rPr>
              <w:t>0.004</w:t>
            </w:r>
            <w:r>
              <w:rPr>
                <w:color w:val="000000"/>
                <w:szCs w:val="21"/>
              </w:rPr>
              <w:t>L</w:t>
            </w:r>
          </w:p>
        </w:tc>
        <w:tc>
          <w:tcPr>
            <w:tcW w:w="1301" w:type="dxa"/>
            <w:noWrap w:val="0"/>
            <w:vAlign w:val="center"/>
          </w:tcPr>
          <w:p w14:paraId="3970A9F2">
            <w:pPr>
              <w:jc w:val="center"/>
              <w:rPr>
                <w:rFonts w:hint="eastAsia"/>
                <w:color w:val="000000"/>
                <w:szCs w:val="21"/>
              </w:rPr>
            </w:pPr>
            <w:r>
              <w:rPr>
                <w:rFonts w:hint="eastAsia"/>
                <w:color w:val="000000"/>
              </w:rPr>
              <w:t>0.004</w:t>
            </w:r>
            <w:r>
              <w:rPr>
                <w:color w:val="000000"/>
                <w:szCs w:val="21"/>
              </w:rPr>
              <w:t>L</w:t>
            </w:r>
          </w:p>
        </w:tc>
        <w:tc>
          <w:tcPr>
            <w:tcW w:w="1301" w:type="dxa"/>
            <w:noWrap w:val="0"/>
            <w:vAlign w:val="center"/>
          </w:tcPr>
          <w:p w14:paraId="7C3A9927">
            <w:pPr>
              <w:jc w:val="center"/>
              <w:rPr>
                <w:rFonts w:hint="eastAsia"/>
                <w:color w:val="000000"/>
                <w:szCs w:val="21"/>
              </w:rPr>
            </w:pPr>
            <w:r>
              <w:rPr>
                <w:rFonts w:hint="eastAsia"/>
                <w:color w:val="000000"/>
              </w:rPr>
              <w:t>0.004</w:t>
            </w:r>
            <w:r>
              <w:rPr>
                <w:color w:val="000000"/>
                <w:szCs w:val="21"/>
              </w:rPr>
              <w:t>L</w:t>
            </w:r>
          </w:p>
        </w:tc>
        <w:tc>
          <w:tcPr>
            <w:tcW w:w="1301" w:type="dxa"/>
            <w:noWrap w:val="0"/>
            <w:vAlign w:val="center"/>
          </w:tcPr>
          <w:p w14:paraId="3FE6BCF2">
            <w:pPr>
              <w:jc w:val="center"/>
              <w:rPr>
                <w:rFonts w:hint="eastAsia"/>
                <w:color w:val="000000"/>
                <w:szCs w:val="21"/>
              </w:rPr>
            </w:pPr>
            <w:r>
              <w:rPr>
                <w:rFonts w:hint="eastAsia"/>
                <w:color w:val="000000"/>
              </w:rPr>
              <w:t>0.004</w:t>
            </w:r>
            <w:r>
              <w:rPr>
                <w:color w:val="000000"/>
                <w:szCs w:val="21"/>
              </w:rPr>
              <w:t>L</w:t>
            </w:r>
          </w:p>
        </w:tc>
      </w:tr>
      <w:tr w14:paraId="64330E5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1034" w:type="dxa"/>
            <w:noWrap w:val="0"/>
            <w:vAlign w:val="center"/>
          </w:tcPr>
          <w:p w14:paraId="22523894">
            <w:pPr>
              <w:jc w:val="center"/>
              <w:rPr>
                <w:rFonts w:hint="eastAsia" w:ascii="宋体" w:hAnsi="宋体"/>
                <w:b/>
                <w:color w:val="000000"/>
                <w:szCs w:val="21"/>
              </w:rPr>
            </w:pPr>
            <w:r>
              <w:rPr>
                <w:rFonts w:hint="eastAsia" w:ascii="宋体" w:hAnsi="宋体"/>
                <w:b/>
                <w:color w:val="000000"/>
                <w:szCs w:val="21"/>
              </w:rPr>
              <w:t>挥发酚</w:t>
            </w:r>
          </w:p>
        </w:tc>
        <w:tc>
          <w:tcPr>
            <w:tcW w:w="1301" w:type="dxa"/>
            <w:noWrap w:val="0"/>
            <w:vAlign w:val="center"/>
          </w:tcPr>
          <w:p w14:paraId="34296582">
            <w:pPr>
              <w:jc w:val="center"/>
              <w:rPr>
                <w:rFonts w:hint="eastAsia"/>
                <w:color w:val="000000"/>
                <w:szCs w:val="21"/>
              </w:rPr>
            </w:pPr>
            <w:r>
              <w:rPr>
                <w:rFonts w:hint="eastAsia"/>
                <w:color w:val="000000"/>
              </w:rPr>
              <w:t>0.0003</w:t>
            </w:r>
            <w:r>
              <w:rPr>
                <w:color w:val="000000"/>
                <w:szCs w:val="21"/>
              </w:rPr>
              <w:t>L</w:t>
            </w:r>
          </w:p>
        </w:tc>
        <w:tc>
          <w:tcPr>
            <w:tcW w:w="1301" w:type="dxa"/>
            <w:noWrap w:val="0"/>
            <w:vAlign w:val="center"/>
          </w:tcPr>
          <w:p w14:paraId="3822E37A">
            <w:pPr>
              <w:jc w:val="center"/>
              <w:rPr>
                <w:rFonts w:hint="eastAsia"/>
                <w:color w:val="000000"/>
                <w:szCs w:val="21"/>
              </w:rPr>
            </w:pPr>
            <w:r>
              <w:rPr>
                <w:rFonts w:hint="eastAsia"/>
                <w:color w:val="000000"/>
              </w:rPr>
              <w:t>0.0003</w:t>
            </w:r>
            <w:r>
              <w:rPr>
                <w:color w:val="000000"/>
                <w:szCs w:val="21"/>
              </w:rPr>
              <w:t>L</w:t>
            </w:r>
          </w:p>
        </w:tc>
        <w:tc>
          <w:tcPr>
            <w:tcW w:w="1301" w:type="dxa"/>
            <w:noWrap w:val="0"/>
            <w:vAlign w:val="center"/>
          </w:tcPr>
          <w:p w14:paraId="7CFD6016">
            <w:pPr>
              <w:jc w:val="center"/>
              <w:rPr>
                <w:rFonts w:hint="eastAsia"/>
                <w:color w:val="000000"/>
                <w:szCs w:val="21"/>
              </w:rPr>
            </w:pPr>
            <w:r>
              <w:rPr>
                <w:rFonts w:hint="eastAsia"/>
                <w:color w:val="000000"/>
              </w:rPr>
              <w:t>0.0003</w:t>
            </w:r>
            <w:r>
              <w:rPr>
                <w:color w:val="000000"/>
                <w:szCs w:val="21"/>
              </w:rPr>
              <w:t>L</w:t>
            </w:r>
          </w:p>
        </w:tc>
        <w:tc>
          <w:tcPr>
            <w:tcW w:w="1301" w:type="dxa"/>
            <w:noWrap w:val="0"/>
            <w:vAlign w:val="center"/>
          </w:tcPr>
          <w:p w14:paraId="461F9F00">
            <w:pPr>
              <w:jc w:val="center"/>
              <w:rPr>
                <w:rFonts w:hint="eastAsia"/>
                <w:color w:val="000000"/>
                <w:szCs w:val="21"/>
              </w:rPr>
            </w:pPr>
            <w:r>
              <w:rPr>
                <w:rFonts w:hint="eastAsia"/>
                <w:color w:val="000000"/>
              </w:rPr>
              <w:t>0.0003</w:t>
            </w:r>
            <w:r>
              <w:rPr>
                <w:color w:val="000000"/>
                <w:szCs w:val="21"/>
              </w:rPr>
              <w:t>L</w:t>
            </w:r>
          </w:p>
        </w:tc>
        <w:tc>
          <w:tcPr>
            <w:tcW w:w="1301" w:type="dxa"/>
            <w:noWrap w:val="0"/>
            <w:vAlign w:val="center"/>
          </w:tcPr>
          <w:p w14:paraId="66BA1245">
            <w:pPr>
              <w:jc w:val="center"/>
              <w:rPr>
                <w:rFonts w:hint="eastAsia"/>
                <w:color w:val="000000"/>
                <w:szCs w:val="21"/>
              </w:rPr>
            </w:pPr>
            <w:r>
              <w:rPr>
                <w:rFonts w:hint="eastAsia"/>
                <w:color w:val="000000"/>
              </w:rPr>
              <w:t>0.0003</w:t>
            </w:r>
            <w:r>
              <w:rPr>
                <w:color w:val="000000"/>
                <w:szCs w:val="21"/>
              </w:rPr>
              <w:t>L</w:t>
            </w:r>
          </w:p>
        </w:tc>
        <w:tc>
          <w:tcPr>
            <w:tcW w:w="1301" w:type="dxa"/>
            <w:noWrap w:val="0"/>
            <w:vAlign w:val="center"/>
          </w:tcPr>
          <w:p w14:paraId="4B41DE85">
            <w:pPr>
              <w:jc w:val="center"/>
              <w:rPr>
                <w:rFonts w:hint="eastAsia"/>
                <w:color w:val="000000"/>
                <w:szCs w:val="21"/>
              </w:rPr>
            </w:pPr>
            <w:r>
              <w:rPr>
                <w:rFonts w:hint="eastAsia"/>
                <w:color w:val="000000"/>
              </w:rPr>
              <w:t>0.0003</w:t>
            </w:r>
            <w:r>
              <w:rPr>
                <w:color w:val="000000"/>
                <w:szCs w:val="21"/>
              </w:rPr>
              <w:t>L</w:t>
            </w:r>
          </w:p>
        </w:tc>
      </w:tr>
      <w:tr w14:paraId="074F29A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1034" w:type="dxa"/>
            <w:noWrap w:val="0"/>
            <w:vAlign w:val="center"/>
          </w:tcPr>
          <w:p w14:paraId="481AE3B4">
            <w:pPr>
              <w:jc w:val="center"/>
              <w:rPr>
                <w:rFonts w:hint="eastAsia" w:ascii="宋体" w:hAnsi="宋体"/>
                <w:b/>
                <w:color w:val="000000"/>
                <w:szCs w:val="21"/>
              </w:rPr>
            </w:pPr>
            <w:r>
              <w:rPr>
                <w:rFonts w:hint="eastAsia" w:ascii="宋体" w:hAnsi="宋体"/>
                <w:b/>
                <w:color w:val="000000"/>
                <w:szCs w:val="21"/>
              </w:rPr>
              <w:t>阴离子表面</w:t>
            </w:r>
          </w:p>
          <w:p w14:paraId="5E0B9AE3">
            <w:pPr>
              <w:jc w:val="center"/>
              <w:rPr>
                <w:rFonts w:hint="eastAsia" w:ascii="宋体" w:hAnsi="宋体"/>
                <w:b/>
                <w:color w:val="000000"/>
                <w:szCs w:val="21"/>
              </w:rPr>
            </w:pPr>
            <w:r>
              <w:rPr>
                <w:rFonts w:hint="eastAsia" w:ascii="宋体" w:hAnsi="宋体"/>
                <w:b/>
                <w:color w:val="000000"/>
                <w:szCs w:val="21"/>
              </w:rPr>
              <w:t>活性剂</w:t>
            </w:r>
          </w:p>
        </w:tc>
        <w:tc>
          <w:tcPr>
            <w:tcW w:w="1301" w:type="dxa"/>
            <w:noWrap w:val="0"/>
            <w:vAlign w:val="center"/>
          </w:tcPr>
          <w:p w14:paraId="3608EB04">
            <w:pPr>
              <w:jc w:val="center"/>
              <w:rPr>
                <w:rFonts w:hint="eastAsia"/>
                <w:color w:val="000000"/>
                <w:szCs w:val="21"/>
              </w:rPr>
            </w:pPr>
            <w:r>
              <w:rPr>
                <w:rFonts w:hint="eastAsia"/>
                <w:color w:val="000000"/>
                <w:szCs w:val="21"/>
              </w:rPr>
              <w:t>0.20</w:t>
            </w:r>
          </w:p>
        </w:tc>
        <w:tc>
          <w:tcPr>
            <w:tcW w:w="1301" w:type="dxa"/>
            <w:noWrap w:val="0"/>
            <w:vAlign w:val="center"/>
          </w:tcPr>
          <w:p w14:paraId="4EC1221A">
            <w:pPr>
              <w:jc w:val="center"/>
              <w:rPr>
                <w:rFonts w:hint="eastAsia"/>
                <w:color w:val="000000"/>
                <w:szCs w:val="21"/>
              </w:rPr>
            </w:pPr>
            <w:r>
              <w:rPr>
                <w:rFonts w:hint="eastAsia"/>
                <w:color w:val="000000"/>
                <w:szCs w:val="21"/>
              </w:rPr>
              <w:t>0.20</w:t>
            </w:r>
          </w:p>
        </w:tc>
        <w:tc>
          <w:tcPr>
            <w:tcW w:w="1301" w:type="dxa"/>
            <w:noWrap w:val="0"/>
            <w:vAlign w:val="center"/>
          </w:tcPr>
          <w:p w14:paraId="4E7E6A87">
            <w:pPr>
              <w:jc w:val="center"/>
              <w:rPr>
                <w:rFonts w:hint="eastAsia"/>
                <w:color w:val="000000"/>
                <w:szCs w:val="21"/>
              </w:rPr>
            </w:pPr>
            <w:r>
              <w:rPr>
                <w:rFonts w:hint="eastAsia"/>
                <w:color w:val="000000"/>
                <w:szCs w:val="21"/>
              </w:rPr>
              <w:t>0.20</w:t>
            </w:r>
          </w:p>
        </w:tc>
        <w:tc>
          <w:tcPr>
            <w:tcW w:w="1301" w:type="dxa"/>
            <w:noWrap w:val="0"/>
            <w:vAlign w:val="center"/>
          </w:tcPr>
          <w:p w14:paraId="47BB6F6E">
            <w:pPr>
              <w:jc w:val="center"/>
              <w:rPr>
                <w:rFonts w:hint="eastAsia"/>
                <w:color w:val="000000"/>
                <w:szCs w:val="21"/>
              </w:rPr>
            </w:pPr>
            <w:r>
              <w:rPr>
                <w:rFonts w:hint="eastAsia"/>
                <w:color w:val="000000"/>
                <w:szCs w:val="21"/>
              </w:rPr>
              <w:t>0.20</w:t>
            </w:r>
          </w:p>
        </w:tc>
        <w:tc>
          <w:tcPr>
            <w:tcW w:w="1301" w:type="dxa"/>
            <w:noWrap w:val="0"/>
            <w:vAlign w:val="center"/>
          </w:tcPr>
          <w:p w14:paraId="321DF8A8">
            <w:pPr>
              <w:jc w:val="center"/>
              <w:rPr>
                <w:rFonts w:hint="eastAsia"/>
                <w:color w:val="000000"/>
                <w:szCs w:val="21"/>
              </w:rPr>
            </w:pPr>
            <w:r>
              <w:rPr>
                <w:rFonts w:hint="eastAsia"/>
                <w:color w:val="000000"/>
                <w:szCs w:val="21"/>
              </w:rPr>
              <w:t>0.20</w:t>
            </w:r>
          </w:p>
        </w:tc>
        <w:tc>
          <w:tcPr>
            <w:tcW w:w="1301" w:type="dxa"/>
            <w:noWrap w:val="0"/>
            <w:vAlign w:val="center"/>
          </w:tcPr>
          <w:p w14:paraId="45FEEAE5">
            <w:pPr>
              <w:jc w:val="center"/>
              <w:rPr>
                <w:rFonts w:hint="eastAsia"/>
                <w:color w:val="000000"/>
                <w:szCs w:val="21"/>
              </w:rPr>
            </w:pPr>
            <w:r>
              <w:rPr>
                <w:rFonts w:hint="eastAsia"/>
                <w:color w:val="000000"/>
                <w:szCs w:val="21"/>
              </w:rPr>
              <w:t>0.20</w:t>
            </w:r>
          </w:p>
        </w:tc>
      </w:tr>
      <w:tr w14:paraId="2036B25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1034" w:type="dxa"/>
            <w:noWrap w:val="0"/>
            <w:vAlign w:val="center"/>
          </w:tcPr>
          <w:p w14:paraId="102223F9">
            <w:pPr>
              <w:spacing w:line="240" w:lineRule="exact"/>
              <w:jc w:val="center"/>
              <w:rPr>
                <w:rFonts w:hint="eastAsia" w:ascii="宋体" w:hAnsi="宋体"/>
                <w:b/>
                <w:color w:val="000000"/>
                <w:szCs w:val="21"/>
              </w:rPr>
            </w:pPr>
            <w:r>
              <w:rPr>
                <w:rFonts w:hint="eastAsia" w:ascii="宋体" w:hAnsi="宋体"/>
                <w:b/>
                <w:color w:val="000000"/>
                <w:szCs w:val="21"/>
              </w:rPr>
              <w:t>粪大肠菌群</w:t>
            </w:r>
          </w:p>
          <w:p w14:paraId="0BD937F4">
            <w:pPr>
              <w:jc w:val="center"/>
              <w:rPr>
                <w:rFonts w:hint="eastAsia" w:ascii="宋体" w:hAnsi="宋体"/>
                <w:b/>
                <w:color w:val="000000"/>
                <w:szCs w:val="21"/>
              </w:rPr>
            </w:pPr>
            <w:r>
              <w:rPr>
                <w:rFonts w:hint="eastAsia" w:ascii="宋体" w:hAnsi="宋体"/>
                <w:b/>
                <w:color w:val="000000"/>
                <w:szCs w:val="21"/>
              </w:rPr>
              <w:t>（个/升）</w:t>
            </w:r>
          </w:p>
        </w:tc>
        <w:tc>
          <w:tcPr>
            <w:tcW w:w="1301" w:type="dxa"/>
            <w:noWrap w:val="0"/>
            <w:vAlign w:val="center"/>
          </w:tcPr>
          <w:p w14:paraId="70853814">
            <w:pPr>
              <w:ind w:left="-105" w:right="-105"/>
              <w:jc w:val="center"/>
              <w:rPr>
                <w:rFonts w:hint="eastAsia"/>
                <w:color w:val="000000"/>
                <w:szCs w:val="21"/>
              </w:rPr>
            </w:pPr>
            <w:r>
              <w:rPr>
                <w:rFonts w:hint="eastAsia"/>
                <w:color w:val="000000"/>
                <w:szCs w:val="21"/>
              </w:rPr>
              <w:t>≥2.4×10</w:t>
            </w:r>
            <w:r>
              <w:rPr>
                <w:rFonts w:hint="eastAsia"/>
                <w:color w:val="000000"/>
                <w:szCs w:val="21"/>
                <w:vertAlign w:val="superscript"/>
              </w:rPr>
              <w:t>5</w:t>
            </w:r>
          </w:p>
        </w:tc>
        <w:tc>
          <w:tcPr>
            <w:tcW w:w="1301" w:type="dxa"/>
            <w:noWrap w:val="0"/>
            <w:vAlign w:val="center"/>
          </w:tcPr>
          <w:p w14:paraId="0906FECB">
            <w:pPr>
              <w:ind w:left="-105" w:right="-105"/>
              <w:jc w:val="center"/>
              <w:rPr>
                <w:rFonts w:hint="eastAsia"/>
                <w:color w:val="000000"/>
                <w:szCs w:val="21"/>
              </w:rPr>
            </w:pPr>
            <w:r>
              <w:rPr>
                <w:rFonts w:hint="eastAsia"/>
                <w:color w:val="000000"/>
                <w:szCs w:val="21"/>
              </w:rPr>
              <w:t>≥2.4×10</w:t>
            </w:r>
            <w:r>
              <w:rPr>
                <w:rFonts w:hint="eastAsia"/>
                <w:color w:val="000000"/>
                <w:szCs w:val="21"/>
                <w:vertAlign w:val="superscript"/>
              </w:rPr>
              <w:t>5</w:t>
            </w:r>
          </w:p>
        </w:tc>
        <w:tc>
          <w:tcPr>
            <w:tcW w:w="1301" w:type="dxa"/>
            <w:noWrap w:val="0"/>
            <w:vAlign w:val="center"/>
          </w:tcPr>
          <w:p w14:paraId="38FFB03A">
            <w:pPr>
              <w:ind w:left="-105" w:right="-105"/>
              <w:jc w:val="center"/>
              <w:rPr>
                <w:rFonts w:hint="eastAsia"/>
                <w:color w:val="000000"/>
                <w:szCs w:val="21"/>
              </w:rPr>
            </w:pPr>
            <w:r>
              <w:rPr>
                <w:rFonts w:hint="eastAsia"/>
                <w:color w:val="000000"/>
                <w:szCs w:val="21"/>
              </w:rPr>
              <w:t>≥2.4×10</w:t>
            </w:r>
            <w:r>
              <w:rPr>
                <w:rFonts w:hint="eastAsia"/>
                <w:color w:val="000000"/>
                <w:szCs w:val="21"/>
                <w:vertAlign w:val="superscript"/>
              </w:rPr>
              <w:t>5</w:t>
            </w:r>
          </w:p>
        </w:tc>
        <w:tc>
          <w:tcPr>
            <w:tcW w:w="1301" w:type="dxa"/>
            <w:noWrap w:val="0"/>
            <w:vAlign w:val="center"/>
          </w:tcPr>
          <w:p w14:paraId="5895394C">
            <w:pPr>
              <w:ind w:left="-105" w:right="-105"/>
              <w:jc w:val="center"/>
              <w:rPr>
                <w:rFonts w:hint="eastAsia"/>
                <w:color w:val="000000"/>
                <w:szCs w:val="21"/>
              </w:rPr>
            </w:pPr>
            <w:r>
              <w:rPr>
                <w:rFonts w:hint="eastAsia"/>
                <w:color w:val="000000"/>
                <w:szCs w:val="21"/>
              </w:rPr>
              <w:t>≥2.4×10</w:t>
            </w:r>
            <w:r>
              <w:rPr>
                <w:rFonts w:hint="eastAsia"/>
                <w:color w:val="000000"/>
                <w:szCs w:val="21"/>
                <w:vertAlign w:val="superscript"/>
              </w:rPr>
              <w:t>5</w:t>
            </w:r>
          </w:p>
        </w:tc>
        <w:tc>
          <w:tcPr>
            <w:tcW w:w="1301" w:type="dxa"/>
            <w:noWrap w:val="0"/>
            <w:vAlign w:val="center"/>
          </w:tcPr>
          <w:p w14:paraId="4C6B5FD3">
            <w:pPr>
              <w:ind w:left="-105" w:right="-105"/>
              <w:jc w:val="center"/>
              <w:rPr>
                <w:rFonts w:hint="eastAsia"/>
                <w:color w:val="000000"/>
                <w:szCs w:val="21"/>
              </w:rPr>
            </w:pPr>
            <w:r>
              <w:rPr>
                <w:rFonts w:hint="eastAsia"/>
                <w:color w:val="000000"/>
                <w:szCs w:val="21"/>
              </w:rPr>
              <w:t>≥2.4×10</w:t>
            </w:r>
            <w:r>
              <w:rPr>
                <w:rFonts w:hint="eastAsia"/>
                <w:color w:val="000000"/>
                <w:szCs w:val="21"/>
                <w:vertAlign w:val="superscript"/>
              </w:rPr>
              <w:t>5</w:t>
            </w:r>
          </w:p>
        </w:tc>
        <w:tc>
          <w:tcPr>
            <w:tcW w:w="1301" w:type="dxa"/>
            <w:noWrap w:val="0"/>
            <w:vAlign w:val="center"/>
          </w:tcPr>
          <w:p w14:paraId="3068F86B">
            <w:pPr>
              <w:ind w:left="-105" w:right="-105"/>
              <w:jc w:val="center"/>
              <w:rPr>
                <w:rFonts w:hint="eastAsia"/>
                <w:color w:val="000000"/>
                <w:szCs w:val="21"/>
              </w:rPr>
            </w:pPr>
            <w:r>
              <w:rPr>
                <w:rFonts w:hint="eastAsia"/>
                <w:color w:val="000000"/>
                <w:szCs w:val="21"/>
              </w:rPr>
              <w:t>≥2.4×10</w:t>
            </w:r>
            <w:r>
              <w:rPr>
                <w:rFonts w:hint="eastAsia"/>
                <w:color w:val="000000"/>
                <w:szCs w:val="21"/>
                <w:vertAlign w:val="superscript"/>
              </w:rPr>
              <w:t>5</w:t>
            </w:r>
          </w:p>
        </w:tc>
      </w:tr>
      <w:tr w14:paraId="64373A2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1034" w:type="dxa"/>
            <w:noWrap w:val="0"/>
            <w:vAlign w:val="center"/>
          </w:tcPr>
          <w:p w14:paraId="088B1E5A">
            <w:pPr>
              <w:spacing w:line="240" w:lineRule="exact"/>
              <w:jc w:val="center"/>
              <w:rPr>
                <w:rFonts w:hint="eastAsia" w:ascii="宋体" w:hAnsi="宋体"/>
                <w:b/>
                <w:color w:val="000000"/>
                <w:szCs w:val="21"/>
              </w:rPr>
            </w:pPr>
            <w:r>
              <w:rPr>
                <w:rFonts w:hint="eastAsia" w:ascii="宋体" w:hAnsi="宋体"/>
                <w:b/>
                <w:color w:val="000000"/>
                <w:szCs w:val="21"/>
              </w:rPr>
              <w:t>六价铬</w:t>
            </w:r>
          </w:p>
        </w:tc>
        <w:tc>
          <w:tcPr>
            <w:tcW w:w="1301" w:type="dxa"/>
            <w:noWrap w:val="0"/>
            <w:vAlign w:val="center"/>
          </w:tcPr>
          <w:p w14:paraId="4EF26B1F">
            <w:pPr>
              <w:jc w:val="center"/>
              <w:rPr>
                <w:rFonts w:hint="eastAsia"/>
                <w:color w:val="000000"/>
                <w:szCs w:val="21"/>
              </w:rPr>
            </w:pPr>
            <w:r>
              <w:rPr>
                <w:rFonts w:hint="eastAsia"/>
                <w:color w:val="000000"/>
                <w:szCs w:val="21"/>
              </w:rPr>
              <w:t>0.007</w:t>
            </w:r>
          </w:p>
        </w:tc>
        <w:tc>
          <w:tcPr>
            <w:tcW w:w="1301" w:type="dxa"/>
            <w:noWrap w:val="0"/>
            <w:vAlign w:val="center"/>
          </w:tcPr>
          <w:p w14:paraId="4CC3ADCC">
            <w:pPr>
              <w:jc w:val="center"/>
              <w:rPr>
                <w:rFonts w:hint="eastAsia"/>
                <w:color w:val="000000"/>
                <w:szCs w:val="21"/>
              </w:rPr>
            </w:pPr>
            <w:r>
              <w:rPr>
                <w:rFonts w:hint="eastAsia"/>
                <w:color w:val="000000"/>
                <w:szCs w:val="21"/>
              </w:rPr>
              <w:t>0.006</w:t>
            </w:r>
          </w:p>
        </w:tc>
        <w:tc>
          <w:tcPr>
            <w:tcW w:w="1301" w:type="dxa"/>
            <w:noWrap w:val="0"/>
            <w:vAlign w:val="center"/>
          </w:tcPr>
          <w:p w14:paraId="10315A2F">
            <w:pPr>
              <w:jc w:val="center"/>
              <w:rPr>
                <w:rFonts w:hint="eastAsia"/>
                <w:color w:val="000000"/>
                <w:szCs w:val="21"/>
              </w:rPr>
            </w:pPr>
            <w:r>
              <w:rPr>
                <w:rFonts w:hint="eastAsia"/>
                <w:color w:val="000000"/>
                <w:szCs w:val="21"/>
              </w:rPr>
              <w:t>0.007</w:t>
            </w:r>
          </w:p>
        </w:tc>
        <w:tc>
          <w:tcPr>
            <w:tcW w:w="1301" w:type="dxa"/>
            <w:noWrap w:val="0"/>
            <w:vAlign w:val="center"/>
          </w:tcPr>
          <w:p w14:paraId="0E0A7772">
            <w:pPr>
              <w:jc w:val="center"/>
              <w:rPr>
                <w:rFonts w:hint="eastAsia"/>
                <w:color w:val="000000"/>
                <w:szCs w:val="21"/>
              </w:rPr>
            </w:pPr>
            <w:r>
              <w:rPr>
                <w:rFonts w:hint="eastAsia"/>
                <w:color w:val="000000"/>
                <w:szCs w:val="21"/>
              </w:rPr>
              <w:t>0.006</w:t>
            </w:r>
          </w:p>
        </w:tc>
        <w:tc>
          <w:tcPr>
            <w:tcW w:w="1301" w:type="dxa"/>
            <w:noWrap w:val="0"/>
            <w:vAlign w:val="center"/>
          </w:tcPr>
          <w:p w14:paraId="7A951703">
            <w:pPr>
              <w:jc w:val="center"/>
              <w:rPr>
                <w:rFonts w:hint="eastAsia"/>
                <w:color w:val="000000"/>
                <w:szCs w:val="21"/>
              </w:rPr>
            </w:pPr>
            <w:r>
              <w:rPr>
                <w:rFonts w:hint="eastAsia"/>
                <w:color w:val="000000"/>
                <w:szCs w:val="21"/>
              </w:rPr>
              <w:t>0.006</w:t>
            </w:r>
          </w:p>
        </w:tc>
        <w:tc>
          <w:tcPr>
            <w:tcW w:w="1301" w:type="dxa"/>
            <w:noWrap w:val="0"/>
            <w:vAlign w:val="center"/>
          </w:tcPr>
          <w:p w14:paraId="1AC41319">
            <w:pPr>
              <w:jc w:val="center"/>
              <w:rPr>
                <w:rFonts w:hint="eastAsia"/>
                <w:color w:val="000000"/>
                <w:szCs w:val="21"/>
              </w:rPr>
            </w:pPr>
            <w:r>
              <w:rPr>
                <w:rFonts w:hint="eastAsia"/>
                <w:color w:val="000000"/>
                <w:szCs w:val="21"/>
              </w:rPr>
              <w:t>0.006</w:t>
            </w:r>
          </w:p>
        </w:tc>
      </w:tr>
      <w:tr w14:paraId="2F7FF27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1034" w:type="dxa"/>
            <w:noWrap w:val="0"/>
            <w:vAlign w:val="center"/>
          </w:tcPr>
          <w:p w14:paraId="0578B7F3">
            <w:pPr>
              <w:jc w:val="center"/>
              <w:rPr>
                <w:rFonts w:hint="eastAsia" w:ascii="宋体" w:hAnsi="宋体"/>
                <w:b/>
                <w:color w:val="000000"/>
                <w:szCs w:val="21"/>
              </w:rPr>
            </w:pPr>
            <w:r>
              <w:rPr>
                <w:rFonts w:hint="eastAsia" w:ascii="宋体" w:hAnsi="宋体"/>
                <w:b/>
                <w:color w:val="000000"/>
                <w:szCs w:val="21"/>
              </w:rPr>
              <w:t>总铬</w:t>
            </w:r>
          </w:p>
        </w:tc>
        <w:tc>
          <w:tcPr>
            <w:tcW w:w="1301" w:type="dxa"/>
            <w:noWrap w:val="0"/>
            <w:vAlign w:val="center"/>
          </w:tcPr>
          <w:p w14:paraId="08DD5DA3">
            <w:pPr>
              <w:jc w:val="center"/>
              <w:rPr>
                <w:rFonts w:hint="eastAsia"/>
                <w:color w:val="000000"/>
                <w:szCs w:val="21"/>
              </w:rPr>
            </w:pPr>
            <w:r>
              <w:rPr>
                <w:rFonts w:hint="eastAsia"/>
                <w:color w:val="000000"/>
              </w:rPr>
              <w:t>0.01</w:t>
            </w:r>
            <w:r>
              <w:rPr>
                <w:color w:val="000000"/>
                <w:szCs w:val="21"/>
              </w:rPr>
              <w:t>L</w:t>
            </w:r>
          </w:p>
        </w:tc>
        <w:tc>
          <w:tcPr>
            <w:tcW w:w="1301" w:type="dxa"/>
            <w:noWrap w:val="0"/>
            <w:vAlign w:val="center"/>
          </w:tcPr>
          <w:p w14:paraId="71C0EA0C">
            <w:pPr>
              <w:jc w:val="center"/>
              <w:rPr>
                <w:rFonts w:hint="eastAsia"/>
                <w:color w:val="000000"/>
                <w:szCs w:val="21"/>
              </w:rPr>
            </w:pPr>
            <w:r>
              <w:rPr>
                <w:rFonts w:hint="eastAsia"/>
                <w:color w:val="000000"/>
              </w:rPr>
              <w:t>0.01</w:t>
            </w:r>
            <w:r>
              <w:rPr>
                <w:color w:val="000000"/>
                <w:szCs w:val="21"/>
              </w:rPr>
              <w:t>L</w:t>
            </w:r>
          </w:p>
        </w:tc>
        <w:tc>
          <w:tcPr>
            <w:tcW w:w="1301" w:type="dxa"/>
            <w:noWrap w:val="0"/>
            <w:vAlign w:val="center"/>
          </w:tcPr>
          <w:p w14:paraId="56E9C424">
            <w:pPr>
              <w:jc w:val="center"/>
              <w:rPr>
                <w:rFonts w:hint="eastAsia"/>
                <w:color w:val="000000"/>
                <w:szCs w:val="21"/>
              </w:rPr>
            </w:pPr>
            <w:r>
              <w:rPr>
                <w:rFonts w:hint="eastAsia"/>
                <w:color w:val="000000"/>
              </w:rPr>
              <w:t>0.01</w:t>
            </w:r>
            <w:r>
              <w:rPr>
                <w:color w:val="000000"/>
                <w:szCs w:val="21"/>
              </w:rPr>
              <w:t>L</w:t>
            </w:r>
          </w:p>
        </w:tc>
        <w:tc>
          <w:tcPr>
            <w:tcW w:w="1301" w:type="dxa"/>
            <w:noWrap w:val="0"/>
            <w:vAlign w:val="center"/>
          </w:tcPr>
          <w:p w14:paraId="512DF1B4">
            <w:pPr>
              <w:jc w:val="center"/>
              <w:rPr>
                <w:rFonts w:hint="eastAsia"/>
                <w:color w:val="000000"/>
                <w:szCs w:val="21"/>
              </w:rPr>
            </w:pPr>
            <w:r>
              <w:rPr>
                <w:rFonts w:hint="eastAsia"/>
                <w:color w:val="000000"/>
              </w:rPr>
              <w:t>0.01</w:t>
            </w:r>
            <w:r>
              <w:rPr>
                <w:color w:val="000000"/>
                <w:szCs w:val="21"/>
              </w:rPr>
              <w:t>L</w:t>
            </w:r>
          </w:p>
        </w:tc>
        <w:tc>
          <w:tcPr>
            <w:tcW w:w="1301" w:type="dxa"/>
            <w:noWrap w:val="0"/>
            <w:vAlign w:val="center"/>
          </w:tcPr>
          <w:p w14:paraId="11EA4269">
            <w:pPr>
              <w:jc w:val="center"/>
              <w:rPr>
                <w:rFonts w:hint="eastAsia"/>
                <w:color w:val="000000"/>
                <w:szCs w:val="21"/>
              </w:rPr>
            </w:pPr>
            <w:r>
              <w:rPr>
                <w:rFonts w:hint="eastAsia"/>
                <w:color w:val="000000"/>
              </w:rPr>
              <w:t>0.01</w:t>
            </w:r>
            <w:r>
              <w:rPr>
                <w:color w:val="000000"/>
                <w:szCs w:val="21"/>
              </w:rPr>
              <w:t>L</w:t>
            </w:r>
          </w:p>
        </w:tc>
        <w:tc>
          <w:tcPr>
            <w:tcW w:w="1301" w:type="dxa"/>
            <w:noWrap w:val="0"/>
            <w:vAlign w:val="center"/>
          </w:tcPr>
          <w:p w14:paraId="3E3C8FAA">
            <w:pPr>
              <w:jc w:val="center"/>
              <w:rPr>
                <w:rFonts w:hint="eastAsia"/>
                <w:color w:val="000000"/>
                <w:szCs w:val="21"/>
              </w:rPr>
            </w:pPr>
            <w:r>
              <w:rPr>
                <w:rFonts w:hint="eastAsia"/>
                <w:color w:val="000000"/>
              </w:rPr>
              <w:t>0.01</w:t>
            </w:r>
            <w:r>
              <w:rPr>
                <w:color w:val="000000"/>
                <w:szCs w:val="21"/>
              </w:rPr>
              <w:t>L</w:t>
            </w:r>
          </w:p>
        </w:tc>
      </w:tr>
      <w:tr w14:paraId="29519F4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1034" w:type="dxa"/>
            <w:noWrap w:val="0"/>
            <w:vAlign w:val="center"/>
          </w:tcPr>
          <w:p w14:paraId="220D413C">
            <w:pPr>
              <w:spacing w:line="240" w:lineRule="exact"/>
              <w:jc w:val="center"/>
              <w:rPr>
                <w:rFonts w:hint="eastAsia" w:ascii="宋体" w:hAnsi="宋体"/>
                <w:b/>
                <w:color w:val="000000"/>
                <w:szCs w:val="21"/>
              </w:rPr>
            </w:pPr>
            <w:r>
              <w:rPr>
                <w:rFonts w:hint="eastAsia" w:ascii="宋体" w:hAnsi="宋体"/>
                <w:b/>
                <w:color w:val="000000"/>
                <w:szCs w:val="21"/>
              </w:rPr>
              <w:t>铅</w:t>
            </w:r>
          </w:p>
        </w:tc>
        <w:tc>
          <w:tcPr>
            <w:tcW w:w="1301" w:type="dxa"/>
            <w:noWrap w:val="0"/>
            <w:vAlign w:val="center"/>
          </w:tcPr>
          <w:p w14:paraId="262D843B">
            <w:pPr>
              <w:jc w:val="center"/>
              <w:rPr>
                <w:rFonts w:hint="eastAsia"/>
                <w:color w:val="000000"/>
                <w:szCs w:val="21"/>
              </w:rPr>
            </w:pPr>
            <w:r>
              <w:rPr>
                <w:rFonts w:hint="eastAsia"/>
                <w:color w:val="000000"/>
              </w:rPr>
              <w:t>0.05</w:t>
            </w:r>
            <w:r>
              <w:rPr>
                <w:color w:val="000000"/>
                <w:szCs w:val="21"/>
              </w:rPr>
              <w:t>L</w:t>
            </w:r>
          </w:p>
        </w:tc>
        <w:tc>
          <w:tcPr>
            <w:tcW w:w="1301" w:type="dxa"/>
            <w:noWrap w:val="0"/>
            <w:vAlign w:val="center"/>
          </w:tcPr>
          <w:p w14:paraId="1625CCBA">
            <w:pPr>
              <w:jc w:val="center"/>
              <w:rPr>
                <w:rFonts w:hint="eastAsia"/>
                <w:color w:val="000000"/>
                <w:szCs w:val="21"/>
              </w:rPr>
            </w:pPr>
            <w:r>
              <w:rPr>
                <w:rFonts w:hint="eastAsia"/>
                <w:color w:val="000000"/>
              </w:rPr>
              <w:t>0.05</w:t>
            </w:r>
            <w:r>
              <w:rPr>
                <w:color w:val="000000"/>
                <w:szCs w:val="21"/>
              </w:rPr>
              <w:t>L</w:t>
            </w:r>
          </w:p>
        </w:tc>
        <w:tc>
          <w:tcPr>
            <w:tcW w:w="1301" w:type="dxa"/>
            <w:noWrap w:val="0"/>
            <w:vAlign w:val="center"/>
          </w:tcPr>
          <w:p w14:paraId="6A04F710">
            <w:pPr>
              <w:jc w:val="center"/>
              <w:rPr>
                <w:rFonts w:hint="eastAsia"/>
                <w:color w:val="000000"/>
                <w:szCs w:val="21"/>
              </w:rPr>
            </w:pPr>
            <w:r>
              <w:rPr>
                <w:rFonts w:hint="eastAsia"/>
                <w:color w:val="000000"/>
              </w:rPr>
              <w:t>0.05</w:t>
            </w:r>
            <w:r>
              <w:rPr>
                <w:color w:val="000000"/>
                <w:szCs w:val="21"/>
              </w:rPr>
              <w:t>L</w:t>
            </w:r>
          </w:p>
        </w:tc>
        <w:tc>
          <w:tcPr>
            <w:tcW w:w="1301" w:type="dxa"/>
            <w:noWrap w:val="0"/>
            <w:vAlign w:val="center"/>
          </w:tcPr>
          <w:p w14:paraId="7E0FBAD8">
            <w:pPr>
              <w:jc w:val="center"/>
              <w:rPr>
                <w:rFonts w:hint="eastAsia"/>
                <w:color w:val="000000"/>
                <w:szCs w:val="21"/>
              </w:rPr>
            </w:pPr>
            <w:r>
              <w:rPr>
                <w:rFonts w:hint="eastAsia"/>
                <w:color w:val="000000"/>
              </w:rPr>
              <w:t>0.05</w:t>
            </w:r>
            <w:r>
              <w:rPr>
                <w:color w:val="000000"/>
                <w:szCs w:val="21"/>
              </w:rPr>
              <w:t>L</w:t>
            </w:r>
          </w:p>
        </w:tc>
        <w:tc>
          <w:tcPr>
            <w:tcW w:w="1301" w:type="dxa"/>
            <w:noWrap w:val="0"/>
            <w:vAlign w:val="center"/>
          </w:tcPr>
          <w:p w14:paraId="40ADE83B">
            <w:pPr>
              <w:jc w:val="center"/>
              <w:rPr>
                <w:rFonts w:hint="eastAsia"/>
                <w:color w:val="000000"/>
                <w:szCs w:val="21"/>
              </w:rPr>
            </w:pPr>
            <w:r>
              <w:rPr>
                <w:rFonts w:hint="eastAsia"/>
                <w:color w:val="000000"/>
              </w:rPr>
              <w:t>0.05</w:t>
            </w:r>
            <w:r>
              <w:rPr>
                <w:color w:val="000000"/>
                <w:szCs w:val="21"/>
              </w:rPr>
              <w:t>L</w:t>
            </w:r>
          </w:p>
        </w:tc>
        <w:tc>
          <w:tcPr>
            <w:tcW w:w="1301" w:type="dxa"/>
            <w:noWrap w:val="0"/>
            <w:vAlign w:val="center"/>
          </w:tcPr>
          <w:p w14:paraId="29601E8C">
            <w:pPr>
              <w:jc w:val="center"/>
              <w:rPr>
                <w:rFonts w:hint="eastAsia"/>
                <w:color w:val="000000"/>
                <w:szCs w:val="21"/>
              </w:rPr>
            </w:pPr>
            <w:r>
              <w:rPr>
                <w:rFonts w:hint="eastAsia"/>
                <w:color w:val="000000"/>
              </w:rPr>
              <w:t>0.05</w:t>
            </w:r>
            <w:r>
              <w:rPr>
                <w:color w:val="000000"/>
                <w:szCs w:val="21"/>
              </w:rPr>
              <w:t>L</w:t>
            </w:r>
          </w:p>
        </w:tc>
      </w:tr>
      <w:tr w14:paraId="68A0432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1034" w:type="dxa"/>
            <w:noWrap w:val="0"/>
            <w:vAlign w:val="center"/>
          </w:tcPr>
          <w:p w14:paraId="3FD97365">
            <w:pPr>
              <w:spacing w:line="240" w:lineRule="exact"/>
              <w:jc w:val="center"/>
              <w:rPr>
                <w:rFonts w:hint="eastAsia" w:ascii="宋体" w:hAnsi="宋体"/>
                <w:b/>
                <w:color w:val="000000"/>
                <w:szCs w:val="21"/>
              </w:rPr>
            </w:pPr>
            <w:r>
              <w:rPr>
                <w:rFonts w:hint="eastAsia" w:ascii="宋体" w:hAnsi="宋体"/>
                <w:b/>
                <w:color w:val="000000"/>
                <w:szCs w:val="21"/>
              </w:rPr>
              <w:t>镉</w:t>
            </w:r>
          </w:p>
        </w:tc>
        <w:tc>
          <w:tcPr>
            <w:tcW w:w="1301" w:type="dxa"/>
            <w:noWrap w:val="0"/>
            <w:vAlign w:val="center"/>
          </w:tcPr>
          <w:p w14:paraId="6FEDADB5">
            <w:pPr>
              <w:jc w:val="center"/>
              <w:rPr>
                <w:rFonts w:hint="eastAsia"/>
                <w:color w:val="000000"/>
                <w:szCs w:val="21"/>
              </w:rPr>
            </w:pPr>
            <w:r>
              <w:rPr>
                <w:rFonts w:hint="eastAsia"/>
                <w:color w:val="000000"/>
              </w:rPr>
              <w:t>0.003</w:t>
            </w:r>
            <w:r>
              <w:rPr>
                <w:color w:val="000000"/>
                <w:szCs w:val="21"/>
              </w:rPr>
              <w:t>L</w:t>
            </w:r>
          </w:p>
        </w:tc>
        <w:tc>
          <w:tcPr>
            <w:tcW w:w="1301" w:type="dxa"/>
            <w:noWrap w:val="0"/>
            <w:vAlign w:val="center"/>
          </w:tcPr>
          <w:p w14:paraId="2CFBDDF7">
            <w:pPr>
              <w:jc w:val="center"/>
              <w:rPr>
                <w:rFonts w:hint="eastAsia"/>
                <w:color w:val="000000"/>
                <w:szCs w:val="21"/>
              </w:rPr>
            </w:pPr>
            <w:r>
              <w:rPr>
                <w:rFonts w:hint="eastAsia"/>
                <w:color w:val="000000"/>
              </w:rPr>
              <w:t>0.003</w:t>
            </w:r>
            <w:r>
              <w:rPr>
                <w:color w:val="000000"/>
                <w:szCs w:val="21"/>
              </w:rPr>
              <w:t>L</w:t>
            </w:r>
          </w:p>
        </w:tc>
        <w:tc>
          <w:tcPr>
            <w:tcW w:w="1301" w:type="dxa"/>
            <w:noWrap w:val="0"/>
            <w:vAlign w:val="center"/>
          </w:tcPr>
          <w:p w14:paraId="7EA116EA">
            <w:pPr>
              <w:jc w:val="center"/>
              <w:rPr>
                <w:rFonts w:hint="eastAsia"/>
                <w:color w:val="000000"/>
                <w:szCs w:val="21"/>
              </w:rPr>
            </w:pPr>
            <w:r>
              <w:rPr>
                <w:rFonts w:hint="eastAsia"/>
                <w:color w:val="000000"/>
              </w:rPr>
              <w:t>0.003</w:t>
            </w:r>
            <w:r>
              <w:rPr>
                <w:color w:val="000000"/>
                <w:szCs w:val="21"/>
              </w:rPr>
              <w:t>L</w:t>
            </w:r>
          </w:p>
        </w:tc>
        <w:tc>
          <w:tcPr>
            <w:tcW w:w="1301" w:type="dxa"/>
            <w:noWrap w:val="0"/>
            <w:vAlign w:val="center"/>
          </w:tcPr>
          <w:p w14:paraId="63460F52">
            <w:pPr>
              <w:jc w:val="center"/>
              <w:rPr>
                <w:rFonts w:hint="eastAsia"/>
                <w:color w:val="000000"/>
                <w:szCs w:val="21"/>
              </w:rPr>
            </w:pPr>
            <w:r>
              <w:rPr>
                <w:rFonts w:hint="eastAsia"/>
                <w:color w:val="000000"/>
              </w:rPr>
              <w:t>0.003</w:t>
            </w:r>
            <w:r>
              <w:rPr>
                <w:color w:val="000000"/>
                <w:szCs w:val="21"/>
              </w:rPr>
              <w:t>L</w:t>
            </w:r>
          </w:p>
        </w:tc>
        <w:tc>
          <w:tcPr>
            <w:tcW w:w="1301" w:type="dxa"/>
            <w:noWrap w:val="0"/>
            <w:vAlign w:val="center"/>
          </w:tcPr>
          <w:p w14:paraId="42481208">
            <w:pPr>
              <w:jc w:val="center"/>
              <w:rPr>
                <w:rFonts w:hint="eastAsia"/>
                <w:color w:val="000000"/>
                <w:szCs w:val="21"/>
              </w:rPr>
            </w:pPr>
            <w:r>
              <w:rPr>
                <w:rFonts w:hint="eastAsia"/>
                <w:color w:val="000000"/>
              </w:rPr>
              <w:t>0.003</w:t>
            </w:r>
            <w:r>
              <w:rPr>
                <w:color w:val="000000"/>
                <w:szCs w:val="21"/>
              </w:rPr>
              <w:t>L</w:t>
            </w:r>
          </w:p>
        </w:tc>
        <w:tc>
          <w:tcPr>
            <w:tcW w:w="1301" w:type="dxa"/>
            <w:noWrap w:val="0"/>
            <w:vAlign w:val="center"/>
          </w:tcPr>
          <w:p w14:paraId="1A644CC4">
            <w:pPr>
              <w:jc w:val="center"/>
              <w:rPr>
                <w:rFonts w:hint="eastAsia"/>
                <w:color w:val="000000"/>
                <w:szCs w:val="21"/>
              </w:rPr>
            </w:pPr>
            <w:r>
              <w:rPr>
                <w:rFonts w:hint="eastAsia"/>
                <w:color w:val="000000"/>
              </w:rPr>
              <w:t>0.003</w:t>
            </w:r>
            <w:r>
              <w:rPr>
                <w:color w:val="000000"/>
                <w:szCs w:val="21"/>
              </w:rPr>
              <w:t>L</w:t>
            </w:r>
          </w:p>
        </w:tc>
      </w:tr>
      <w:tr w14:paraId="1D47BAA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1034" w:type="dxa"/>
            <w:noWrap w:val="0"/>
            <w:vAlign w:val="center"/>
          </w:tcPr>
          <w:p w14:paraId="6CFECA06">
            <w:pPr>
              <w:spacing w:line="240" w:lineRule="exact"/>
              <w:jc w:val="center"/>
              <w:rPr>
                <w:rFonts w:hint="eastAsia" w:ascii="宋体" w:hAnsi="宋体"/>
                <w:b/>
                <w:color w:val="000000"/>
                <w:szCs w:val="21"/>
              </w:rPr>
            </w:pPr>
            <w:r>
              <w:rPr>
                <w:rFonts w:hint="eastAsia" w:ascii="宋体" w:hAnsi="宋体"/>
                <w:b/>
                <w:color w:val="000000"/>
                <w:szCs w:val="21"/>
              </w:rPr>
              <w:t>银</w:t>
            </w:r>
          </w:p>
        </w:tc>
        <w:tc>
          <w:tcPr>
            <w:tcW w:w="1301" w:type="dxa"/>
            <w:noWrap w:val="0"/>
            <w:vAlign w:val="center"/>
          </w:tcPr>
          <w:p w14:paraId="220E2DC6">
            <w:pPr>
              <w:jc w:val="center"/>
              <w:rPr>
                <w:rFonts w:hint="eastAsia"/>
                <w:color w:val="000000"/>
                <w:szCs w:val="21"/>
              </w:rPr>
            </w:pPr>
            <w:r>
              <w:rPr>
                <w:rFonts w:hint="eastAsia"/>
                <w:color w:val="000000"/>
              </w:rPr>
              <w:t>0.013</w:t>
            </w:r>
            <w:r>
              <w:rPr>
                <w:color w:val="000000"/>
                <w:szCs w:val="21"/>
              </w:rPr>
              <w:t>L</w:t>
            </w:r>
          </w:p>
        </w:tc>
        <w:tc>
          <w:tcPr>
            <w:tcW w:w="1301" w:type="dxa"/>
            <w:noWrap w:val="0"/>
            <w:vAlign w:val="center"/>
          </w:tcPr>
          <w:p w14:paraId="488A86C4">
            <w:pPr>
              <w:jc w:val="center"/>
              <w:rPr>
                <w:rFonts w:hint="eastAsia"/>
                <w:color w:val="000000"/>
                <w:szCs w:val="21"/>
              </w:rPr>
            </w:pPr>
            <w:r>
              <w:rPr>
                <w:rFonts w:hint="eastAsia"/>
                <w:color w:val="000000"/>
              </w:rPr>
              <w:t>0.013</w:t>
            </w:r>
            <w:r>
              <w:rPr>
                <w:color w:val="000000"/>
                <w:szCs w:val="21"/>
              </w:rPr>
              <w:t>L</w:t>
            </w:r>
          </w:p>
        </w:tc>
        <w:tc>
          <w:tcPr>
            <w:tcW w:w="1301" w:type="dxa"/>
            <w:noWrap w:val="0"/>
            <w:vAlign w:val="center"/>
          </w:tcPr>
          <w:p w14:paraId="406ADBA5">
            <w:pPr>
              <w:jc w:val="center"/>
              <w:rPr>
                <w:rFonts w:hint="eastAsia"/>
                <w:color w:val="000000"/>
                <w:szCs w:val="21"/>
              </w:rPr>
            </w:pPr>
            <w:r>
              <w:rPr>
                <w:rFonts w:hint="eastAsia"/>
                <w:color w:val="000000"/>
              </w:rPr>
              <w:t>0.013</w:t>
            </w:r>
            <w:r>
              <w:rPr>
                <w:color w:val="000000"/>
                <w:szCs w:val="21"/>
              </w:rPr>
              <w:t>L</w:t>
            </w:r>
          </w:p>
        </w:tc>
        <w:tc>
          <w:tcPr>
            <w:tcW w:w="1301" w:type="dxa"/>
            <w:noWrap w:val="0"/>
            <w:vAlign w:val="center"/>
          </w:tcPr>
          <w:p w14:paraId="6D83AE63">
            <w:pPr>
              <w:jc w:val="center"/>
              <w:rPr>
                <w:rFonts w:hint="eastAsia"/>
                <w:color w:val="000000"/>
                <w:szCs w:val="21"/>
              </w:rPr>
            </w:pPr>
            <w:r>
              <w:rPr>
                <w:rFonts w:hint="eastAsia"/>
                <w:color w:val="000000"/>
              </w:rPr>
              <w:t>0.013</w:t>
            </w:r>
            <w:r>
              <w:rPr>
                <w:color w:val="000000"/>
                <w:szCs w:val="21"/>
              </w:rPr>
              <w:t>L</w:t>
            </w:r>
          </w:p>
        </w:tc>
        <w:tc>
          <w:tcPr>
            <w:tcW w:w="1301" w:type="dxa"/>
            <w:noWrap w:val="0"/>
            <w:vAlign w:val="center"/>
          </w:tcPr>
          <w:p w14:paraId="699E69EF">
            <w:pPr>
              <w:jc w:val="center"/>
              <w:rPr>
                <w:rFonts w:hint="eastAsia"/>
                <w:color w:val="000000"/>
                <w:szCs w:val="21"/>
              </w:rPr>
            </w:pPr>
            <w:r>
              <w:rPr>
                <w:rFonts w:hint="eastAsia"/>
                <w:color w:val="000000"/>
              </w:rPr>
              <w:t>0.013</w:t>
            </w:r>
            <w:r>
              <w:rPr>
                <w:color w:val="000000"/>
                <w:szCs w:val="21"/>
              </w:rPr>
              <w:t>L</w:t>
            </w:r>
          </w:p>
        </w:tc>
        <w:tc>
          <w:tcPr>
            <w:tcW w:w="1301" w:type="dxa"/>
            <w:noWrap w:val="0"/>
            <w:vAlign w:val="center"/>
          </w:tcPr>
          <w:p w14:paraId="4B22B11C">
            <w:pPr>
              <w:jc w:val="center"/>
              <w:rPr>
                <w:rFonts w:hint="eastAsia"/>
                <w:color w:val="000000"/>
                <w:szCs w:val="21"/>
              </w:rPr>
            </w:pPr>
            <w:r>
              <w:rPr>
                <w:rFonts w:hint="eastAsia"/>
                <w:color w:val="000000"/>
              </w:rPr>
              <w:t>0.013</w:t>
            </w:r>
            <w:r>
              <w:rPr>
                <w:color w:val="000000"/>
                <w:szCs w:val="21"/>
              </w:rPr>
              <w:t>L</w:t>
            </w:r>
          </w:p>
        </w:tc>
      </w:tr>
      <w:tr w14:paraId="5B76EAA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1034" w:type="dxa"/>
            <w:noWrap w:val="0"/>
            <w:vAlign w:val="center"/>
          </w:tcPr>
          <w:p w14:paraId="7CE0D354">
            <w:pPr>
              <w:spacing w:line="240" w:lineRule="exact"/>
              <w:jc w:val="center"/>
              <w:rPr>
                <w:rFonts w:hint="eastAsia" w:ascii="宋体" w:hAnsi="宋体"/>
                <w:b/>
                <w:color w:val="000000"/>
                <w:szCs w:val="21"/>
              </w:rPr>
            </w:pPr>
            <w:r>
              <w:rPr>
                <w:rFonts w:hint="eastAsia" w:ascii="宋体" w:hAnsi="宋体"/>
                <w:b/>
                <w:color w:val="000000"/>
                <w:szCs w:val="21"/>
              </w:rPr>
              <w:t>砷</w:t>
            </w:r>
          </w:p>
        </w:tc>
        <w:tc>
          <w:tcPr>
            <w:tcW w:w="1301" w:type="dxa"/>
            <w:noWrap w:val="0"/>
            <w:vAlign w:val="center"/>
          </w:tcPr>
          <w:p w14:paraId="3D71BDC7">
            <w:pPr>
              <w:ind w:left="-105" w:right="-105"/>
              <w:jc w:val="center"/>
              <w:rPr>
                <w:rFonts w:hint="eastAsia"/>
                <w:color w:val="000000"/>
                <w:szCs w:val="21"/>
              </w:rPr>
            </w:pPr>
            <w:r>
              <w:rPr>
                <w:rFonts w:hint="eastAsia"/>
                <w:color w:val="000000"/>
                <w:szCs w:val="21"/>
              </w:rPr>
              <w:t>0.0011</w:t>
            </w:r>
          </w:p>
        </w:tc>
        <w:tc>
          <w:tcPr>
            <w:tcW w:w="1301" w:type="dxa"/>
            <w:noWrap w:val="0"/>
            <w:vAlign w:val="center"/>
          </w:tcPr>
          <w:p w14:paraId="736A11B5">
            <w:pPr>
              <w:ind w:left="-105" w:right="-105"/>
              <w:jc w:val="center"/>
              <w:rPr>
                <w:rFonts w:hint="eastAsia"/>
                <w:color w:val="000000"/>
                <w:szCs w:val="21"/>
              </w:rPr>
            </w:pPr>
            <w:r>
              <w:rPr>
                <w:rFonts w:hint="eastAsia"/>
                <w:color w:val="000000"/>
                <w:szCs w:val="21"/>
              </w:rPr>
              <w:t>0.0012</w:t>
            </w:r>
          </w:p>
        </w:tc>
        <w:tc>
          <w:tcPr>
            <w:tcW w:w="1301" w:type="dxa"/>
            <w:noWrap w:val="0"/>
            <w:vAlign w:val="center"/>
          </w:tcPr>
          <w:p w14:paraId="67AF502B">
            <w:pPr>
              <w:ind w:left="-105" w:right="-105"/>
              <w:jc w:val="center"/>
              <w:rPr>
                <w:rFonts w:hint="eastAsia"/>
                <w:color w:val="000000"/>
                <w:szCs w:val="21"/>
              </w:rPr>
            </w:pPr>
            <w:r>
              <w:rPr>
                <w:rFonts w:hint="eastAsia"/>
                <w:color w:val="000000"/>
                <w:szCs w:val="21"/>
              </w:rPr>
              <w:t>0.0013</w:t>
            </w:r>
          </w:p>
        </w:tc>
        <w:tc>
          <w:tcPr>
            <w:tcW w:w="1301" w:type="dxa"/>
            <w:noWrap w:val="0"/>
            <w:vAlign w:val="center"/>
          </w:tcPr>
          <w:p w14:paraId="75756894">
            <w:pPr>
              <w:ind w:left="-105" w:right="-105"/>
              <w:jc w:val="center"/>
              <w:rPr>
                <w:rFonts w:hint="eastAsia"/>
                <w:color w:val="000000"/>
                <w:szCs w:val="21"/>
              </w:rPr>
            </w:pPr>
            <w:r>
              <w:rPr>
                <w:rFonts w:hint="eastAsia"/>
                <w:color w:val="000000"/>
                <w:szCs w:val="21"/>
              </w:rPr>
              <w:t>0.0011</w:t>
            </w:r>
          </w:p>
        </w:tc>
        <w:tc>
          <w:tcPr>
            <w:tcW w:w="1301" w:type="dxa"/>
            <w:noWrap w:val="0"/>
            <w:vAlign w:val="center"/>
          </w:tcPr>
          <w:p w14:paraId="7D068C11">
            <w:pPr>
              <w:ind w:left="-105" w:right="-105"/>
              <w:jc w:val="center"/>
              <w:rPr>
                <w:rFonts w:hint="eastAsia"/>
                <w:color w:val="000000"/>
                <w:szCs w:val="21"/>
              </w:rPr>
            </w:pPr>
            <w:r>
              <w:rPr>
                <w:rFonts w:hint="eastAsia"/>
                <w:color w:val="000000"/>
                <w:szCs w:val="21"/>
              </w:rPr>
              <w:t>0.0011</w:t>
            </w:r>
          </w:p>
        </w:tc>
        <w:tc>
          <w:tcPr>
            <w:tcW w:w="1301" w:type="dxa"/>
            <w:noWrap w:val="0"/>
            <w:vAlign w:val="center"/>
          </w:tcPr>
          <w:p w14:paraId="60533A2C">
            <w:pPr>
              <w:ind w:left="-105" w:right="-105"/>
              <w:jc w:val="center"/>
              <w:rPr>
                <w:rFonts w:hint="eastAsia"/>
                <w:color w:val="000000"/>
                <w:szCs w:val="21"/>
              </w:rPr>
            </w:pPr>
            <w:r>
              <w:rPr>
                <w:rFonts w:hint="eastAsia"/>
                <w:color w:val="000000"/>
                <w:szCs w:val="21"/>
              </w:rPr>
              <w:t>0.0012</w:t>
            </w:r>
          </w:p>
        </w:tc>
      </w:tr>
      <w:tr w14:paraId="78FCFDC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1034" w:type="dxa"/>
            <w:noWrap w:val="0"/>
            <w:vAlign w:val="center"/>
          </w:tcPr>
          <w:p w14:paraId="714F523D">
            <w:pPr>
              <w:spacing w:line="240" w:lineRule="exact"/>
              <w:jc w:val="center"/>
              <w:rPr>
                <w:rFonts w:hint="eastAsia" w:ascii="宋体" w:hAnsi="宋体"/>
                <w:b/>
                <w:color w:val="000000"/>
                <w:szCs w:val="21"/>
              </w:rPr>
            </w:pPr>
            <w:r>
              <w:rPr>
                <w:rFonts w:hint="eastAsia" w:ascii="宋体" w:hAnsi="宋体"/>
                <w:b/>
                <w:color w:val="000000"/>
                <w:szCs w:val="21"/>
              </w:rPr>
              <w:t>汞</w:t>
            </w:r>
          </w:p>
        </w:tc>
        <w:tc>
          <w:tcPr>
            <w:tcW w:w="1301" w:type="dxa"/>
            <w:noWrap w:val="0"/>
            <w:vAlign w:val="center"/>
          </w:tcPr>
          <w:p w14:paraId="37C806EC">
            <w:pPr>
              <w:ind w:left="-105" w:right="-105"/>
              <w:jc w:val="center"/>
              <w:rPr>
                <w:rFonts w:hint="eastAsia"/>
                <w:color w:val="000000"/>
                <w:szCs w:val="21"/>
              </w:rPr>
            </w:pPr>
            <w:r>
              <w:rPr>
                <w:rFonts w:hint="eastAsia"/>
                <w:color w:val="000000"/>
              </w:rPr>
              <w:t>0.00002</w:t>
            </w:r>
            <w:r>
              <w:rPr>
                <w:color w:val="000000"/>
                <w:szCs w:val="21"/>
              </w:rPr>
              <w:t>L</w:t>
            </w:r>
          </w:p>
        </w:tc>
        <w:tc>
          <w:tcPr>
            <w:tcW w:w="1301" w:type="dxa"/>
            <w:noWrap w:val="0"/>
            <w:vAlign w:val="center"/>
          </w:tcPr>
          <w:p w14:paraId="7BF7F76E">
            <w:pPr>
              <w:ind w:left="-105" w:right="-105"/>
              <w:jc w:val="center"/>
              <w:rPr>
                <w:rFonts w:hint="eastAsia"/>
                <w:color w:val="000000"/>
                <w:szCs w:val="21"/>
              </w:rPr>
            </w:pPr>
            <w:r>
              <w:rPr>
                <w:rFonts w:hint="eastAsia"/>
                <w:color w:val="000000"/>
              </w:rPr>
              <w:t>0.00002</w:t>
            </w:r>
            <w:r>
              <w:rPr>
                <w:color w:val="000000"/>
                <w:szCs w:val="21"/>
              </w:rPr>
              <w:t>L</w:t>
            </w:r>
          </w:p>
        </w:tc>
        <w:tc>
          <w:tcPr>
            <w:tcW w:w="1301" w:type="dxa"/>
            <w:noWrap w:val="0"/>
            <w:vAlign w:val="center"/>
          </w:tcPr>
          <w:p w14:paraId="470B1D53">
            <w:pPr>
              <w:ind w:left="-105" w:right="-105"/>
              <w:jc w:val="center"/>
              <w:rPr>
                <w:rFonts w:hint="eastAsia"/>
                <w:color w:val="000000"/>
                <w:szCs w:val="21"/>
              </w:rPr>
            </w:pPr>
            <w:r>
              <w:rPr>
                <w:rFonts w:hint="eastAsia"/>
                <w:color w:val="000000"/>
              </w:rPr>
              <w:t>0.00002</w:t>
            </w:r>
            <w:r>
              <w:rPr>
                <w:color w:val="000000"/>
                <w:szCs w:val="21"/>
              </w:rPr>
              <w:t>L</w:t>
            </w:r>
          </w:p>
        </w:tc>
        <w:tc>
          <w:tcPr>
            <w:tcW w:w="1301" w:type="dxa"/>
            <w:noWrap w:val="0"/>
            <w:vAlign w:val="center"/>
          </w:tcPr>
          <w:p w14:paraId="48EF58E7">
            <w:pPr>
              <w:ind w:left="-105" w:right="-105"/>
              <w:jc w:val="center"/>
              <w:rPr>
                <w:rFonts w:hint="eastAsia"/>
                <w:color w:val="000000"/>
                <w:szCs w:val="21"/>
              </w:rPr>
            </w:pPr>
            <w:r>
              <w:rPr>
                <w:rFonts w:hint="eastAsia"/>
                <w:color w:val="000000"/>
              </w:rPr>
              <w:t>0.00002</w:t>
            </w:r>
            <w:r>
              <w:rPr>
                <w:color w:val="000000"/>
                <w:szCs w:val="21"/>
              </w:rPr>
              <w:t>L</w:t>
            </w:r>
          </w:p>
        </w:tc>
        <w:tc>
          <w:tcPr>
            <w:tcW w:w="1301" w:type="dxa"/>
            <w:noWrap w:val="0"/>
            <w:vAlign w:val="center"/>
          </w:tcPr>
          <w:p w14:paraId="1EA1EA1C">
            <w:pPr>
              <w:ind w:left="-105" w:right="-105"/>
              <w:jc w:val="center"/>
              <w:rPr>
                <w:rFonts w:hint="eastAsia"/>
                <w:color w:val="000000"/>
                <w:szCs w:val="21"/>
              </w:rPr>
            </w:pPr>
            <w:r>
              <w:rPr>
                <w:rFonts w:hint="eastAsia"/>
                <w:color w:val="000000"/>
              </w:rPr>
              <w:t>0.00002</w:t>
            </w:r>
            <w:r>
              <w:rPr>
                <w:color w:val="000000"/>
                <w:szCs w:val="21"/>
              </w:rPr>
              <w:t>L</w:t>
            </w:r>
          </w:p>
        </w:tc>
        <w:tc>
          <w:tcPr>
            <w:tcW w:w="1301" w:type="dxa"/>
            <w:noWrap w:val="0"/>
            <w:vAlign w:val="center"/>
          </w:tcPr>
          <w:p w14:paraId="6DEB2494">
            <w:pPr>
              <w:ind w:left="-105" w:right="-105"/>
              <w:jc w:val="center"/>
              <w:rPr>
                <w:rFonts w:hint="eastAsia"/>
                <w:color w:val="000000"/>
                <w:szCs w:val="21"/>
              </w:rPr>
            </w:pPr>
            <w:r>
              <w:rPr>
                <w:rFonts w:hint="eastAsia"/>
                <w:color w:val="000000"/>
              </w:rPr>
              <w:t>0.00002</w:t>
            </w:r>
            <w:r>
              <w:rPr>
                <w:color w:val="000000"/>
                <w:szCs w:val="21"/>
              </w:rPr>
              <w:t>L</w:t>
            </w:r>
          </w:p>
        </w:tc>
      </w:tr>
    </w:tbl>
    <w:p w14:paraId="66AC160F">
      <w:pPr>
        <w:rPr>
          <w:rFonts w:hint="eastAsia"/>
          <w:b/>
          <w:color w:val="000000"/>
          <w:sz w:val="30"/>
          <w:szCs w:val="30"/>
        </w:rPr>
      </w:pPr>
    </w:p>
    <w:tbl>
      <w:tblPr>
        <w:tblStyle w:val="27"/>
        <w:tblW w:w="0" w:type="auto"/>
        <w:tblInd w:w="-426"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980"/>
        <w:gridCol w:w="1310"/>
        <w:gridCol w:w="1310"/>
        <w:gridCol w:w="1310"/>
        <w:gridCol w:w="1310"/>
        <w:gridCol w:w="1310"/>
        <w:gridCol w:w="1310"/>
      </w:tblGrid>
      <w:tr w14:paraId="140C360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67" w:hRule="atLeast"/>
        </w:trPr>
        <w:tc>
          <w:tcPr>
            <w:tcW w:w="980" w:type="dxa"/>
            <w:vMerge w:val="restart"/>
            <w:noWrap w:val="0"/>
            <w:vAlign w:val="center"/>
          </w:tcPr>
          <w:p w14:paraId="0F2F7484">
            <w:pPr>
              <w:ind w:firstLine="480"/>
              <w:jc w:val="center"/>
              <w:rPr>
                <w:rFonts w:hint="eastAsia"/>
                <w:b/>
                <w:color w:val="000000"/>
                <w:szCs w:val="21"/>
              </w:rPr>
            </w:pPr>
            <w:r>
              <w:rPr>
                <w:rFonts w:hint="eastAsia"/>
                <w:b/>
                <w:color w:val="000000"/>
                <w:szCs w:val="21"/>
              </w:rPr>
              <w:t xml:space="preserve">  </w:t>
            </w:r>
            <w:r>
              <w:rPr>
                <w:b/>
                <w:color w:val="000000"/>
                <w:szCs w:val="21"/>
              </w:rPr>
              <w:t>监测点位</w:t>
            </w:r>
          </w:p>
          <w:p w14:paraId="7BBCBEF5">
            <w:pPr>
              <w:jc w:val="left"/>
              <w:rPr>
                <w:b/>
                <w:color w:val="000000"/>
                <w:szCs w:val="21"/>
              </w:rPr>
            </w:pPr>
            <w:r>
              <w:rPr>
                <w:b/>
                <w:color w:val="000000"/>
                <w:szCs w:val="21"/>
              </w:rPr>
              <w:t>检测项目</w:t>
            </w:r>
          </w:p>
        </w:tc>
        <w:tc>
          <w:tcPr>
            <w:tcW w:w="7860" w:type="dxa"/>
            <w:gridSpan w:val="6"/>
            <w:noWrap w:val="0"/>
            <w:vAlign w:val="center"/>
          </w:tcPr>
          <w:p w14:paraId="01853AE9">
            <w:pPr>
              <w:jc w:val="center"/>
              <w:rPr>
                <w:color w:val="000000"/>
                <w:szCs w:val="21"/>
              </w:rPr>
            </w:pPr>
            <w:r>
              <w:rPr>
                <w:rFonts w:hint="eastAsia"/>
                <w:b/>
                <w:color w:val="000000"/>
                <w:szCs w:val="21"/>
              </w:rPr>
              <w:t>废水处理站出口</w:t>
            </w:r>
          </w:p>
        </w:tc>
      </w:tr>
      <w:tr w14:paraId="75CC611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67" w:hRule="atLeast"/>
        </w:trPr>
        <w:tc>
          <w:tcPr>
            <w:tcW w:w="980" w:type="dxa"/>
            <w:vMerge w:val="continue"/>
            <w:noWrap w:val="0"/>
            <w:vAlign w:val="center"/>
          </w:tcPr>
          <w:p w14:paraId="738DE55F">
            <w:pPr>
              <w:jc w:val="center"/>
              <w:rPr>
                <w:b/>
                <w:color w:val="000000"/>
                <w:szCs w:val="21"/>
              </w:rPr>
            </w:pPr>
          </w:p>
        </w:tc>
        <w:tc>
          <w:tcPr>
            <w:tcW w:w="1310" w:type="dxa"/>
            <w:noWrap w:val="0"/>
            <w:vAlign w:val="center"/>
          </w:tcPr>
          <w:p w14:paraId="42557971">
            <w:pPr>
              <w:pStyle w:val="216"/>
              <w:spacing w:after="0" w:line="240" w:lineRule="auto"/>
              <w:jc w:val="center"/>
              <w:rPr>
                <w:color w:val="000000"/>
                <w:szCs w:val="21"/>
              </w:rPr>
            </w:pPr>
            <w:r>
              <w:rPr>
                <w:color w:val="000000"/>
                <w:szCs w:val="21"/>
              </w:rPr>
              <w:t>S140</w:t>
            </w:r>
            <w:r>
              <w:rPr>
                <w:rFonts w:hint="eastAsia"/>
                <w:color w:val="000000"/>
                <w:szCs w:val="21"/>
              </w:rPr>
              <w:t>912</w:t>
            </w:r>
            <w:r>
              <w:rPr>
                <w:color w:val="000000"/>
                <w:szCs w:val="21"/>
              </w:rPr>
              <w:t>01</w:t>
            </w:r>
          </w:p>
        </w:tc>
        <w:tc>
          <w:tcPr>
            <w:tcW w:w="1310" w:type="dxa"/>
            <w:noWrap w:val="0"/>
            <w:vAlign w:val="center"/>
          </w:tcPr>
          <w:p w14:paraId="315DC430">
            <w:pPr>
              <w:pStyle w:val="216"/>
              <w:spacing w:after="0" w:line="240" w:lineRule="auto"/>
              <w:jc w:val="center"/>
              <w:rPr>
                <w:rFonts w:hint="eastAsia"/>
                <w:color w:val="000000"/>
                <w:szCs w:val="21"/>
              </w:rPr>
            </w:pPr>
            <w:r>
              <w:rPr>
                <w:color w:val="000000"/>
                <w:szCs w:val="21"/>
              </w:rPr>
              <w:t>S140</w:t>
            </w:r>
            <w:r>
              <w:rPr>
                <w:rFonts w:hint="eastAsia"/>
                <w:color w:val="000000"/>
                <w:szCs w:val="21"/>
              </w:rPr>
              <w:t>912</w:t>
            </w:r>
            <w:r>
              <w:rPr>
                <w:color w:val="000000"/>
                <w:szCs w:val="21"/>
              </w:rPr>
              <w:t>0</w:t>
            </w:r>
            <w:r>
              <w:rPr>
                <w:rFonts w:hint="eastAsia"/>
                <w:color w:val="000000"/>
                <w:szCs w:val="21"/>
              </w:rPr>
              <w:t>2</w:t>
            </w:r>
          </w:p>
        </w:tc>
        <w:tc>
          <w:tcPr>
            <w:tcW w:w="1310" w:type="dxa"/>
            <w:noWrap w:val="0"/>
            <w:vAlign w:val="center"/>
          </w:tcPr>
          <w:p w14:paraId="765C2490">
            <w:pPr>
              <w:pStyle w:val="216"/>
              <w:spacing w:after="0" w:line="240" w:lineRule="auto"/>
              <w:jc w:val="center"/>
              <w:rPr>
                <w:rFonts w:hint="eastAsia"/>
                <w:color w:val="000000"/>
                <w:szCs w:val="21"/>
              </w:rPr>
            </w:pPr>
            <w:r>
              <w:rPr>
                <w:color w:val="000000"/>
                <w:szCs w:val="21"/>
              </w:rPr>
              <w:t>S140</w:t>
            </w:r>
            <w:r>
              <w:rPr>
                <w:rFonts w:hint="eastAsia"/>
                <w:color w:val="000000"/>
                <w:szCs w:val="21"/>
              </w:rPr>
              <w:t>912</w:t>
            </w:r>
            <w:r>
              <w:rPr>
                <w:color w:val="000000"/>
                <w:szCs w:val="21"/>
              </w:rPr>
              <w:t>0</w:t>
            </w:r>
            <w:r>
              <w:rPr>
                <w:rFonts w:hint="eastAsia"/>
                <w:color w:val="000000"/>
                <w:szCs w:val="21"/>
              </w:rPr>
              <w:t>3</w:t>
            </w:r>
          </w:p>
        </w:tc>
        <w:tc>
          <w:tcPr>
            <w:tcW w:w="1310" w:type="dxa"/>
            <w:noWrap w:val="0"/>
            <w:vAlign w:val="center"/>
          </w:tcPr>
          <w:p w14:paraId="09982145">
            <w:pPr>
              <w:pStyle w:val="216"/>
              <w:spacing w:after="0" w:line="240" w:lineRule="auto"/>
              <w:jc w:val="center"/>
              <w:rPr>
                <w:rFonts w:hint="eastAsia"/>
                <w:color w:val="000000"/>
                <w:szCs w:val="21"/>
              </w:rPr>
            </w:pPr>
            <w:r>
              <w:rPr>
                <w:color w:val="000000"/>
                <w:szCs w:val="21"/>
              </w:rPr>
              <w:t>S140</w:t>
            </w:r>
            <w:r>
              <w:rPr>
                <w:rFonts w:hint="eastAsia"/>
                <w:color w:val="000000"/>
                <w:szCs w:val="21"/>
              </w:rPr>
              <w:t>912</w:t>
            </w:r>
            <w:r>
              <w:rPr>
                <w:color w:val="000000"/>
                <w:szCs w:val="21"/>
              </w:rPr>
              <w:t>0</w:t>
            </w:r>
            <w:r>
              <w:rPr>
                <w:rFonts w:hint="eastAsia"/>
                <w:color w:val="000000"/>
                <w:szCs w:val="21"/>
              </w:rPr>
              <w:t>4</w:t>
            </w:r>
          </w:p>
        </w:tc>
        <w:tc>
          <w:tcPr>
            <w:tcW w:w="1310" w:type="dxa"/>
            <w:noWrap w:val="0"/>
            <w:vAlign w:val="center"/>
          </w:tcPr>
          <w:p w14:paraId="74D67888">
            <w:pPr>
              <w:pStyle w:val="216"/>
              <w:spacing w:after="0" w:line="240" w:lineRule="auto"/>
              <w:jc w:val="center"/>
              <w:rPr>
                <w:rFonts w:hint="eastAsia"/>
                <w:color w:val="000000"/>
                <w:szCs w:val="21"/>
              </w:rPr>
            </w:pPr>
            <w:r>
              <w:rPr>
                <w:color w:val="000000"/>
                <w:szCs w:val="21"/>
              </w:rPr>
              <w:t>S140</w:t>
            </w:r>
            <w:r>
              <w:rPr>
                <w:rFonts w:hint="eastAsia"/>
                <w:color w:val="000000"/>
                <w:szCs w:val="21"/>
              </w:rPr>
              <w:t>912</w:t>
            </w:r>
            <w:r>
              <w:rPr>
                <w:color w:val="000000"/>
                <w:szCs w:val="21"/>
              </w:rPr>
              <w:t>0</w:t>
            </w:r>
            <w:r>
              <w:rPr>
                <w:rFonts w:hint="eastAsia"/>
                <w:color w:val="000000"/>
                <w:szCs w:val="21"/>
              </w:rPr>
              <w:t>5</w:t>
            </w:r>
          </w:p>
        </w:tc>
        <w:tc>
          <w:tcPr>
            <w:tcW w:w="1310" w:type="dxa"/>
            <w:noWrap w:val="0"/>
            <w:vAlign w:val="center"/>
          </w:tcPr>
          <w:p w14:paraId="4C9F0D63">
            <w:pPr>
              <w:pStyle w:val="216"/>
              <w:spacing w:after="0" w:line="240" w:lineRule="auto"/>
              <w:jc w:val="center"/>
              <w:rPr>
                <w:rFonts w:hint="eastAsia"/>
                <w:color w:val="000000"/>
                <w:szCs w:val="21"/>
              </w:rPr>
            </w:pPr>
            <w:r>
              <w:rPr>
                <w:color w:val="000000"/>
                <w:szCs w:val="21"/>
              </w:rPr>
              <w:t>S140</w:t>
            </w:r>
            <w:r>
              <w:rPr>
                <w:rFonts w:hint="eastAsia"/>
                <w:color w:val="000000"/>
                <w:szCs w:val="21"/>
              </w:rPr>
              <w:t>912</w:t>
            </w:r>
            <w:r>
              <w:rPr>
                <w:color w:val="000000"/>
                <w:szCs w:val="21"/>
              </w:rPr>
              <w:t>0</w:t>
            </w:r>
            <w:r>
              <w:rPr>
                <w:rFonts w:hint="eastAsia"/>
                <w:color w:val="000000"/>
                <w:szCs w:val="21"/>
              </w:rPr>
              <w:t>6</w:t>
            </w:r>
          </w:p>
        </w:tc>
      </w:tr>
      <w:tr w14:paraId="01D7ACD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980" w:type="dxa"/>
            <w:noWrap w:val="0"/>
            <w:vAlign w:val="center"/>
          </w:tcPr>
          <w:p w14:paraId="721A6AE3">
            <w:pPr>
              <w:jc w:val="center"/>
              <w:rPr>
                <w:rFonts w:hint="eastAsia" w:ascii="宋体" w:hAnsi="宋体"/>
                <w:b/>
                <w:color w:val="000000"/>
                <w:szCs w:val="21"/>
              </w:rPr>
            </w:pPr>
            <w:r>
              <w:rPr>
                <w:rFonts w:hint="eastAsia" w:ascii="宋体" w:hAnsi="宋体"/>
                <w:b/>
                <w:color w:val="000000"/>
                <w:szCs w:val="21"/>
              </w:rPr>
              <w:t>pH</w:t>
            </w:r>
          </w:p>
        </w:tc>
        <w:tc>
          <w:tcPr>
            <w:tcW w:w="1310" w:type="dxa"/>
            <w:noWrap w:val="0"/>
            <w:vAlign w:val="center"/>
          </w:tcPr>
          <w:p w14:paraId="3A655102">
            <w:pPr>
              <w:jc w:val="center"/>
              <w:rPr>
                <w:rFonts w:hint="eastAsia"/>
                <w:color w:val="000000"/>
                <w:szCs w:val="21"/>
              </w:rPr>
            </w:pPr>
            <w:r>
              <w:rPr>
                <w:rFonts w:hint="eastAsia"/>
                <w:color w:val="000000"/>
                <w:szCs w:val="21"/>
              </w:rPr>
              <w:t>6.21</w:t>
            </w:r>
          </w:p>
        </w:tc>
        <w:tc>
          <w:tcPr>
            <w:tcW w:w="1310" w:type="dxa"/>
            <w:noWrap w:val="0"/>
            <w:vAlign w:val="center"/>
          </w:tcPr>
          <w:p w14:paraId="474AFDC0">
            <w:pPr>
              <w:jc w:val="center"/>
              <w:rPr>
                <w:rFonts w:hint="eastAsia"/>
                <w:color w:val="000000"/>
                <w:szCs w:val="21"/>
              </w:rPr>
            </w:pPr>
            <w:r>
              <w:rPr>
                <w:rFonts w:hint="eastAsia"/>
                <w:color w:val="000000"/>
                <w:szCs w:val="21"/>
              </w:rPr>
              <w:t>6.14</w:t>
            </w:r>
          </w:p>
        </w:tc>
        <w:tc>
          <w:tcPr>
            <w:tcW w:w="1310" w:type="dxa"/>
            <w:noWrap w:val="0"/>
            <w:vAlign w:val="center"/>
          </w:tcPr>
          <w:p w14:paraId="3B9D4BC2">
            <w:pPr>
              <w:jc w:val="center"/>
              <w:rPr>
                <w:rFonts w:hint="eastAsia"/>
                <w:color w:val="000000"/>
                <w:szCs w:val="21"/>
              </w:rPr>
            </w:pPr>
            <w:r>
              <w:rPr>
                <w:rFonts w:hint="eastAsia"/>
                <w:color w:val="000000"/>
                <w:szCs w:val="21"/>
              </w:rPr>
              <w:t>6.22</w:t>
            </w:r>
          </w:p>
        </w:tc>
        <w:tc>
          <w:tcPr>
            <w:tcW w:w="1310" w:type="dxa"/>
            <w:noWrap w:val="0"/>
            <w:vAlign w:val="center"/>
          </w:tcPr>
          <w:p w14:paraId="584FDFEA">
            <w:pPr>
              <w:jc w:val="center"/>
              <w:rPr>
                <w:rFonts w:hint="eastAsia"/>
                <w:color w:val="000000"/>
                <w:szCs w:val="21"/>
              </w:rPr>
            </w:pPr>
            <w:r>
              <w:rPr>
                <w:rFonts w:hint="eastAsia"/>
                <w:color w:val="000000"/>
                <w:szCs w:val="21"/>
              </w:rPr>
              <w:t>6.24</w:t>
            </w:r>
          </w:p>
        </w:tc>
        <w:tc>
          <w:tcPr>
            <w:tcW w:w="1310" w:type="dxa"/>
            <w:noWrap w:val="0"/>
            <w:vAlign w:val="center"/>
          </w:tcPr>
          <w:p w14:paraId="5A7447D7">
            <w:pPr>
              <w:jc w:val="center"/>
              <w:rPr>
                <w:rFonts w:hint="eastAsia"/>
                <w:color w:val="000000"/>
                <w:szCs w:val="21"/>
              </w:rPr>
            </w:pPr>
            <w:r>
              <w:rPr>
                <w:rFonts w:hint="eastAsia"/>
                <w:color w:val="000000"/>
                <w:szCs w:val="21"/>
              </w:rPr>
              <w:t>6.30</w:t>
            </w:r>
          </w:p>
        </w:tc>
        <w:tc>
          <w:tcPr>
            <w:tcW w:w="1310" w:type="dxa"/>
            <w:noWrap w:val="0"/>
            <w:vAlign w:val="center"/>
          </w:tcPr>
          <w:p w14:paraId="7B1834F9">
            <w:pPr>
              <w:jc w:val="center"/>
              <w:rPr>
                <w:rFonts w:hint="eastAsia"/>
                <w:color w:val="000000"/>
                <w:szCs w:val="21"/>
              </w:rPr>
            </w:pPr>
            <w:r>
              <w:rPr>
                <w:rFonts w:hint="eastAsia"/>
                <w:color w:val="000000"/>
                <w:szCs w:val="21"/>
              </w:rPr>
              <w:t>6.27</w:t>
            </w:r>
          </w:p>
        </w:tc>
      </w:tr>
      <w:tr w14:paraId="1B66A85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980" w:type="dxa"/>
            <w:noWrap w:val="0"/>
            <w:vAlign w:val="center"/>
          </w:tcPr>
          <w:p w14:paraId="1C0B91D5">
            <w:pPr>
              <w:jc w:val="center"/>
              <w:rPr>
                <w:rFonts w:hint="eastAsia" w:ascii="宋体" w:hAnsi="宋体"/>
                <w:b/>
                <w:color w:val="000000"/>
                <w:szCs w:val="21"/>
              </w:rPr>
            </w:pPr>
            <w:r>
              <w:rPr>
                <w:rFonts w:hint="eastAsia" w:ascii="宋体" w:hAnsi="宋体"/>
                <w:b/>
                <w:color w:val="000000"/>
                <w:szCs w:val="21"/>
              </w:rPr>
              <w:t>色度</w:t>
            </w:r>
          </w:p>
        </w:tc>
        <w:tc>
          <w:tcPr>
            <w:tcW w:w="1310" w:type="dxa"/>
            <w:noWrap w:val="0"/>
            <w:vAlign w:val="center"/>
          </w:tcPr>
          <w:p w14:paraId="41D922E6">
            <w:pPr>
              <w:jc w:val="center"/>
              <w:rPr>
                <w:rFonts w:hint="eastAsia"/>
                <w:color w:val="000000"/>
                <w:szCs w:val="21"/>
              </w:rPr>
            </w:pPr>
            <w:r>
              <w:rPr>
                <w:rFonts w:hint="eastAsia"/>
                <w:color w:val="000000"/>
                <w:szCs w:val="21"/>
              </w:rPr>
              <w:t>8</w:t>
            </w:r>
          </w:p>
        </w:tc>
        <w:tc>
          <w:tcPr>
            <w:tcW w:w="1310" w:type="dxa"/>
            <w:noWrap w:val="0"/>
            <w:vAlign w:val="center"/>
          </w:tcPr>
          <w:p w14:paraId="663ECE24">
            <w:pPr>
              <w:jc w:val="center"/>
              <w:rPr>
                <w:rFonts w:hint="eastAsia"/>
                <w:color w:val="000000"/>
                <w:szCs w:val="21"/>
              </w:rPr>
            </w:pPr>
            <w:r>
              <w:rPr>
                <w:rFonts w:hint="eastAsia"/>
                <w:color w:val="000000"/>
                <w:szCs w:val="21"/>
              </w:rPr>
              <w:t>8</w:t>
            </w:r>
          </w:p>
        </w:tc>
        <w:tc>
          <w:tcPr>
            <w:tcW w:w="1310" w:type="dxa"/>
            <w:noWrap w:val="0"/>
            <w:vAlign w:val="center"/>
          </w:tcPr>
          <w:p w14:paraId="0EF4C8FC">
            <w:pPr>
              <w:jc w:val="center"/>
              <w:rPr>
                <w:rFonts w:hint="eastAsia"/>
                <w:color w:val="000000"/>
                <w:szCs w:val="21"/>
              </w:rPr>
            </w:pPr>
            <w:r>
              <w:rPr>
                <w:rFonts w:hint="eastAsia"/>
                <w:color w:val="000000"/>
                <w:szCs w:val="21"/>
              </w:rPr>
              <w:t>8</w:t>
            </w:r>
          </w:p>
        </w:tc>
        <w:tc>
          <w:tcPr>
            <w:tcW w:w="1310" w:type="dxa"/>
            <w:noWrap w:val="0"/>
            <w:vAlign w:val="center"/>
          </w:tcPr>
          <w:p w14:paraId="67257472">
            <w:pPr>
              <w:jc w:val="center"/>
              <w:rPr>
                <w:rFonts w:hint="eastAsia"/>
                <w:color w:val="000000"/>
                <w:szCs w:val="21"/>
              </w:rPr>
            </w:pPr>
            <w:r>
              <w:rPr>
                <w:rFonts w:hint="eastAsia"/>
                <w:color w:val="000000"/>
                <w:szCs w:val="21"/>
              </w:rPr>
              <w:t>8</w:t>
            </w:r>
          </w:p>
        </w:tc>
        <w:tc>
          <w:tcPr>
            <w:tcW w:w="1310" w:type="dxa"/>
            <w:noWrap w:val="0"/>
            <w:vAlign w:val="center"/>
          </w:tcPr>
          <w:p w14:paraId="0FD17AA9">
            <w:pPr>
              <w:jc w:val="center"/>
              <w:rPr>
                <w:rFonts w:hint="eastAsia"/>
                <w:color w:val="000000"/>
                <w:szCs w:val="21"/>
              </w:rPr>
            </w:pPr>
            <w:r>
              <w:rPr>
                <w:rFonts w:hint="eastAsia"/>
                <w:color w:val="000000"/>
                <w:szCs w:val="21"/>
              </w:rPr>
              <w:t>8</w:t>
            </w:r>
          </w:p>
        </w:tc>
        <w:tc>
          <w:tcPr>
            <w:tcW w:w="1310" w:type="dxa"/>
            <w:noWrap w:val="0"/>
            <w:vAlign w:val="center"/>
          </w:tcPr>
          <w:p w14:paraId="421B416C">
            <w:pPr>
              <w:jc w:val="center"/>
              <w:rPr>
                <w:rFonts w:hint="eastAsia"/>
                <w:color w:val="000000"/>
                <w:szCs w:val="21"/>
              </w:rPr>
            </w:pPr>
            <w:r>
              <w:rPr>
                <w:rFonts w:hint="eastAsia"/>
                <w:color w:val="000000"/>
                <w:szCs w:val="21"/>
              </w:rPr>
              <w:t>8</w:t>
            </w:r>
          </w:p>
        </w:tc>
      </w:tr>
      <w:tr w14:paraId="5A2B308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980" w:type="dxa"/>
            <w:noWrap w:val="0"/>
            <w:vAlign w:val="center"/>
          </w:tcPr>
          <w:p w14:paraId="00ACAB9D">
            <w:pPr>
              <w:jc w:val="center"/>
              <w:rPr>
                <w:rFonts w:hint="eastAsia" w:ascii="宋体" w:hAnsi="宋体"/>
                <w:b/>
                <w:color w:val="000000"/>
                <w:szCs w:val="21"/>
              </w:rPr>
            </w:pPr>
            <w:r>
              <w:rPr>
                <w:rFonts w:hint="eastAsia" w:ascii="宋体" w:hAnsi="宋体"/>
                <w:b/>
                <w:color w:val="000000"/>
                <w:szCs w:val="21"/>
              </w:rPr>
              <w:t>化学需氧量</w:t>
            </w:r>
          </w:p>
        </w:tc>
        <w:tc>
          <w:tcPr>
            <w:tcW w:w="1310" w:type="dxa"/>
            <w:noWrap w:val="0"/>
            <w:vAlign w:val="center"/>
          </w:tcPr>
          <w:p w14:paraId="440865FF">
            <w:pPr>
              <w:jc w:val="center"/>
              <w:rPr>
                <w:rFonts w:hint="eastAsia"/>
                <w:color w:val="000000"/>
                <w:szCs w:val="21"/>
              </w:rPr>
            </w:pPr>
            <w:r>
              <w:rPr>
                <w:rFonts w:hint="eastAsia"/>
                <w:color w:val="000000"/>
                <w:szCs w:val="21"/>
              </w:rPr>
              <w:t>11.4</w:t>
            </w:r>
          </w:p>
        </w:tc>
        <w:tc>
          <w:tcPr>
            <w:tcW w:w="1310" w:type="dxa"/>
            <w:noWrap w:val="0"/>
            <w:vAlign w:val="center"/>
          </w:tcPr>
          <w:p w14:paraId="50974CFF">
            <w:pPr>
              <w:jc w:val="center"/>
              <w:rPr>
                <w:rFonts w:hint="eastAsia"/>
                <w:color w:val="000000"/>
                <w:szCs w:val="21"/>
              </w:rPr>
            </w:pPr>
            <w:r>
              <w:rPr>
                <w:rFonts w:hint="eastAsia"/>
                <w:color w:val="000000"/>
                <w:szCs w:val="21"/>
              </w:rPr>
              <w:t>11.0</w:t>
            </w:r>
          </w:p>
        </w:tc>
        <w:tc>
          <w:tcPr>
            <w:tcW w:w="1310" w:type="dxa"/>
            <w:noWrap w:val="0"/>
            <w:vAlign w:val="center"/>
          </w:tcPr>
          <w:p w14:paraId="5B9A7143">
            <w:pPr>
              <w:jc w:val="center"/>
              <w:rPr>
                <w:rFonts w:hint="eastAsia"/>
                <w:color w:val="000000"/>
                <w:szCs w:val="21"/>
              </w:rPr>
            </w:pPr>
            <w:r>
              <w:rPr>
                <w:rFonts w:hint="eastAsia"/>
                <w:color w:val="000000"/>
                <w:szCs w:val="21"/>
              </w:rPr>
              <w:t>11.2</w:t>
            </w:r>
          </w:p>
        </w:tc>
        <w:tc>
          <w:tcPr>
            <w:tcW w:w="1310" w:type="dxa"/>
            <w:noWrap w:val="0"/>
            <w:vAlign w:val="center"/>
          </w:tcPr>
          <w:p w14:paraId="7E46882F">
            <w:pPr>
              <w:jc w:val="center"/>
              <w:rPr>
                <w:rFonts w:hint="eastAsia"/>
                <w:color w:val="000000"/>
                <w:szCs w:val="21"/>
              </w:rPr>
            </w:pPr>
            <w:r>
              <w:rPr>
                <w:rFonts w:hint="eastAsia"/>
                <w:color w:val="000000"/>
                <w:szCs w:val="21"/>
              </w:rPr>
              <w:t>11.4</w:t>
            </w:r>
          </w:p>
        </w:tc>
        <w:tc>
          <w:tcPr>
            <w:tcW w:w="1310" w:type="dxa"/>
            <w:noWrap w:val="0"/>
            <w:vAlign w:val="center"/>
          </w:tcPr>
          <w:p w14:paraId="57A6666A">
            <w:pPr>
              <w:jc w:val="center"/>
              <w:rPr>
                <w:rFonts w:hint="eastAsia"/>
                <w:color w:val="000000"/>
                <w:szCs w:val="21"/>
              </w:rPr>
            </w:pPr>
            <w:r>
              <w:rPr>
                <w:rFonts w:hint="eastAsia"/>
                <w:color w:val="000000"/>
                <w:szCs w:val="21"/>
              </w:rPr>
              <w:t>10.8</w:t>
            </w:r>
          </w:p>
        </w:tc>
        <w:tc>
          <w:tcPr>
            <w:tcW w:w="1310" w:type="dxa"/>
            <w:noWrap w:val="0"/>
            <w:vAlign w:val="center"/>
          </w:tcPr>
          <w:p w14:paraId="4D880AF3">
            <w:pPr>
              <w:jc w:val="center"/>
              <w:rPr>
                <w:rFonts w:hint="eastAsia"/>
                <w:color w:val="000000"/>
                <w:szCs w:val="21"/>
              </w:rPr>
            </w:pPr>
            <w:r>
              <w:rPr>
                <w:rFonts w:hint="eastAsia"/>
                <w:color w:val="000000"/>
                <w:szCs w:val="21"/>
              </w:rPr>
              <w:t>11.2</w:t>
            </w:r>
          </w:p>
        </w:tc>
      </w:tr>
      <w:tr w14:paraId="6B784E3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980" w:type="dxa"/>
            <w:noWrap w:val="0"/>
            <w:vAlign w:val="center"/>
          </w:tcPr>
          <w:p w14:paraId="70A6E746">
            <w:pPr>
              <w:jc w:val="center"/>
              <w:rPr>
                <w:rFonts w:hint="eastAsia" w:ascii="宋体" w:hAnsi="宋体"/>
                <w:b/>
                <w:color w:val="000000"/>
                <w:szCs w:val="21"/>
              </w:rPr>
            </w:pPr>
            <w:r>
              <w:rPr>
                <w:rFonts w:hint="eastAsia" w:ascii="宋体" w:hAnsi="宋体"/>
                <w:b/>
                <w:color w:val="000000"/>
                <w:szCs w:val="21"/>
              </w:rPr>
              <w:t>氨氮</w:t>
            </w:r>
          </w:p>
        </w:tc>
        <w:tc>
          <w:tcPr>
            <w:tcW w:w="1310" w:type="dxa"/>
            <w:noWrap w:val="0"/>
            <w:vAlign w:val="center"/>
          </w:tcPr>
          <w:p w14:paraId="73FB5B6B">
            <w:pPr>
              <w:jc w:val="center"/>
              <w:rPr>
                <w:rFonts w:hint="eastAsia"/>
                <w:color w:val="000000"/>
                <w:szCs w:val="21"/>
              </w:rPr>
            </w:pPr>
            <w:r>
              <w:rPr>
                <w:rFonts w:hint="eastAsia"/>
                <w:color w:val="000000"/>
                <w:szCs w:val="21"/>
              </w:rPr>
              <w:t>0.149</w:t>
            </w:r>
          </w:p>
        </w:tc>
        <w:tc>
          <w:tcPr>
            <w:tcW w:w="1310" w:type="dxa"/>
            <w:noWrap w:val="0"/>
            <w:vAlign w:val="center"/>
          </w:tcPr>
          <w:p w14:paraId="79412A1B">
            <w:pPr>
              <w:jc w:val="center"/>
              <w:rPr>
                <w:rFonts w:hint="eastAsia"/>
                <w:color w:val="000000"/>
                <w:szCs w:val="21"/>
              </w:rPr>
            </w:pPr>
            <w:r>
              <w:rPr>
                <w:rFonts w:hint="eastAsia"/>
                <w:color w:val="000000"/>
                <w:szCs w:val="21"/>
              </w:rPr>
              <w:t>0.150</w:t>
            </w:r>
          </w:p>
        </w:tc>
        <w:tc>
          <w:tcPr>
            <w:tcW w:w="1310" w:type="dxa"/>
            <w:noWrap w:val="0"/>
            <w:vAlign w:val="center"/>
          </w:tcPr>
          <w:p w14:paraId="025B000D">
            <w:pPr>
              <w:jc w:val="center"/>
              <w:rPr>
                <w:rFonts w:hint="eastAsia"/>
                <w:color w:val="000000"/>
                <w:szCs w:val="21"/>
              </w:rPr>
            </w:pPr>
            <w:r>
              <w:rPr>
                <w:rFonts w:hint="eastAsia"/>
                <w:color w:val="000000"/>
                <w:szCs w:val="21"/>
              </w:rPr>
              <w:t>0.153</w:t>
            </w:r>
          </w:p>
        </w:tc>
        <w:tc>
          <w:tcPr>
            <w:tcW w:w="1310" w:type="dxa"/>
            <w:noWrap w:val="0"/>
            <w:vAlign w:val="center"/>
          </w:tcPr>
          <w:p w14:paraId="51406FAE">
            <w:pPr>
              <w:jc w:val="center"/>
              <w:rPr>
                <w:rFonts w:hint="eastAsia"/>
                <w:color w:val="000000"/>
                <w:szCs w:val="21"/>
              </w:rPr>
            </w:pPr>
            <w:r>
              <w:rPr>
                <w:rFonts w:hint="eastAsia"/>
                <w:color w:val="000000"/>
                <w:szCs w:val="21"/>
              </w:rPr>
              <w:t>0.145</w:t>
            </w:r>
          </w:p>
        </w:tc>
        <w:tc>
          <w:tcPr>
            <w:tcW w:w="1310" w:type="dxa"/>
            <w:noWrap w:val="0"/>
            <w:vAlign w:val="center"/>
          </w:tcPr>
          <w:p w14:paraId="52761DAE">
            <w:pPr>
              <w:jc w:val="center"/>
              <w:rPr>
                <w:rFonts w:hint="eastAsia"/>
                <w:color w:val="000000"/>
                <w:szCs w:val="21"/>
              </w:rPr>
            </w:pPr>
            <w:r>
              <w:rPr>
                <w:rFonts w:hint="eastAsia"/>
                <w:color w:val="000000"/>
                <w:szCs w:val="21"/>
              </w:rPr>
              <w:t>0.155</w:t>
            </w:r>
          </w:p>
        </w:tc>
        <w:tc>
          <w:tcPr>
            <w:tcW w:w="1310" w:type="dxa"/>
            <w:noWrap w:val="0"/>
            <w:vAlign w:val="center"/>
          </w:tcPr>
          <w:p w14:paraId="0A91339B">
            <w:pPr>
              <w:jc w:val="center"/>
              <w:rPr>
                <w:rFonts w:hint="eastAsia"/>
                <w:color w:val="000000"/>
                <w:szCs w:val="21"/>
              </w:rPr>
            </w:pPr>
            <w:r>
              <w:rPr>
                <w:rFonts w:hint="eastAsia"/>
                <w:color w:val="000000"/>
                <w:szCs w:val="21"/>
              </w:rPr>
              <w:t>0.159</w:t>
            </w:r>
          </w:p>
        </w:tc>
      </w:tr>
      <w:tr w14:paraId="7F20C3B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980" w:type="dxa"/>
            <w:noWrap w:val="0"/>
            <w:vAlign w:val="center"/>
          </w:tcPr>
          <w:p w14:paraId="05EA1583">
            <w:pPr>
              <w:jc w:val="center"/>
              <w:rPr>
                <w:rFonts w:hint="eastAsia" w:ascii="宋体" w:hAnsi="宋体"/>
                <w:b/>
                <w:color w:val="000000"/>
                <w:szCs w:val="21"/>
              </w:rPr>
            </w:pPr>
            <w:r>
              <w:rPr>
                <w:rFonts w:hint="eastAsia" w:ascii="宋体" w:hAnsi="宋体"/>
                <w:b/>
                <w:color w:val="000000"/>
                <w:szCs w:val="21"/>
              </w:rPr>
              <w:t>总氮</w:t>
            </w:r>
          </w:p>
        </w:tc>
        <w:tc>
          <w:tcPr>
            <w:tcW w:w="1310" w:type="dxa"/>
            <w:noWrap w:val="0"/>
            <w:vAlign w:val="center"/>
          </w:tcPr>
          <w:p w14:paraId="6090F99A">
            <w:pPr>
              <w:jc w:val="center"/>
              <w:rPr>
                <w:rFonts w:hint="eastAsia"/>
                <w:color w:val="000000"/>
                <w:szCs w:val="21"/>
              </w:rPr>
            </w:pPr>
            <w:r>
              <w:rPr>
                <w:rFonts w:hint="eastAsia"/>
                <w:color w:val="000000"/>
                <w:szCs w:val="21"/>
              </w:rPr>
              <w:t>0.80</w:t>
            </w:r>
          </w:p>
        </w:tc>
        <w:tc>
          <w:tcPr>
            <w:tcW w:w="1310" w:type="dxa"/>
            <w:noWrap w:val="0"/>
            <w:vAlign w:val="center"/>
          </w:tcPr>
          <w:p w14:paraId="02AA0398">
            <w:pPr>
              <w:jc w:val="center"/>
              <w:rPr>
                <w:rFonts w:hint="eastAsia"/>
                <w:color w:val="000000"/>
                <w:szCs w:val="21"/>
              </w:rPr>
            </w:pPr>
            <w:r>
              <w:rPr>
                <w:rFonts w:hint="eastAsia"/>
                <w:color w:val="000000"/>
                <w:szCs w:val="21"/>
              </w:rPr>
              <w:t>0.77</w:t>
            </w:r>
          </w:p>
        </w:tc>
        <w:tc>
          <w:tcPr>
            <w:tcW w:w="1310" w:type="dxa"/>
            <w:noWrap w:val="0"/>
            <w:vAlign w:val="center"/>
          </w:tcPr>
          <w:p w14:paraId="70AF4202">
            <w:pPr>
              <w:jc w:val="center"/>
              <w:rPr>
                <w:rFonts w:hint="eastAsia"/>
                <w:color w:val="000000"/>
                <w:szCs w:val="21"/>
              </w:rPr>
            </w:pPr>
            <w:r>
              <w:rPr>
                <w:rFonts w:hint="eastAsia"/>
                <w:color w:val="000000"/>
                <w:szCs w:val="21"/>
              </w:rPr>
              <w:t>0.78</w:t>
            </w:r>
          </w:p>
        </w:tc>
        <w:tc>
          <w:tcPr>
            <w:tcW w:w="1310" w:type="dxa"/>
            <w:noWrap w:val="0"/>
            <w:vAlign w:val="center"/>
          </w:tcPr>
          <w:p w14:paraId="23205D87">
            <w:pPr>
              <w:jc w:val="center"/>
              <w:rPr>
                <w:rFonts w:hint="eastAsia"/>
                <w:color w:val="000000"/>
                <w:szCs w:val="21"/>
              </w:rPr>
            </w:pPr>
            <w:r>
              <w:rPr>
                <w:rFonts w:hint="eastAsia"/>
                <w:color w:val="000000"/>
                <w:szCs w:val="21"/>
              </w:rPr>
              <w:t>0.80</w:t>
            </w:r>
          </w:p>
        </w:tc>
        <w:tc>
          <w:tcPr>
            <w:tcW w:w="1310" w:type="dxa"/>
            <w:noWrap w:val="0"/>
            <w:vAlign w:val="center"/>
          </w:tcPr>
          <w:p w14:paraId="4A88D309">
            <w:pPr>
              <w:jc w:val="center"/>
              <w:rPr>
                <w:rFonts w:hint="eastAsia"/>
                <w:color w:val="000000"/>
                <w:szCs w:val="21"/>
              </w:rPr>
            </w:pPr>
            <w:r>
              <w:rPr>
                <w:rFonts w:hint="eastAsia"/>
                <w:color w:val="000000"/>
                <w:szCs w:val="21"/>
              </w:rPr>
              <w:t>0.79</w:t>
            </w:r>
          </w:p>
        </w:tc>
        <w:tc>
          <w:tcPr>
            <w:tcW w:w="1310" w:type="dxa"/>
            <w:noWrap w:val="0"/>
            <w:vAlign w:val="center"/>
          </w:tcPr>
          <w:p w14:paraId="2E22399C">
            <w:pPr>
              <w:jc w:val="center"/>
              <w:rPr>
                <w:rFonts w:hint="eastAsia"/>
                <w:color w:val="000000"/>
                <w:szCs w:val="21"/>
              </w:rPr>
            </w:pPr>
            <w:r>
              <w:rPr>
                <w:rFonts w:hint="eastAsia"/>
                <w:color w:val="000000"/>
                <w:szCs w:val="21"/>
              </w:rPr>
              <w:t>0.81</w:t>
            </w:r>
          </w:p>
        </w:tc>
      </w:tr>
      <w:tr w14:paraId="3DFF0E9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980" w:type="dxa"/>
            <w:noWrap w:val="0"/>
            <w:vAlign w:val="center"/>
          </w:tcPr>
          <w:p w14:paraId="1AE381AB">
            <w:pPr>
              <w:jc w:val="center"/>
              <w:rPr>
                <w:rFonts w:hint="eastAsia" w:ascii="宋体" w:hAnsi="宋体"/>
                <w:b/>
                <w:color w:val="000000"/>
                <w:szCs w:val="21"/>
              </w:rPr>
            </w:pPr>
            <w:r>
              <w:rPr>
                <w:rFonts w:hint="eastAsia" w:ascii="宋体" w:hAnsi="宋体"/>
                <w:b/>
                <w:color w:val="000000"/>
                <w:szCs w:val="21"/>
              </w:rPr>
              <w:t>总磷</w:t>
            </w:r>
          </w:p>
        </w:tc>
        <w:tc>
          <w:tcPr>
            <w:tcW w:w="1310" w:type="dxa"/>
            <w:noWrap w:val="0"/>
            <w:vAlign w:val="center"/>
          </w:tcPr>
          <w:p w14:paraId="1E56837C">
            <w:pPr>
              <w:jc w:val="center"/>
              <w:rPr>
                <w:rFonts w:hint="eastAsia"/>
                <w:color w:val="000000"/>
                <w:szCs w:val="21"/>
              </w:rPr>
            </w:pPr>
            <w:r>
              <w:rPr>
                <w:rFonts w:hint="eastAsia"/>
                <w:color w:val="000000"/>
                <w:szCs w:val="21"/>
              </w:rPr>
              <w:t>0.473</w:t>
            </w:r>
          </w:p>
        </w:tc>
        <w:tc>
          <w:tcPr>
            <w:tcW w:w="1310" w:type="dxa"/>
            <w:noWrap w:val="0"/>
            <w:vAlign w:val="center"/>
          </w:tcPr>
          <w:p w14:paraId="2FDF4352">
            <w:pPr>
              <w:jc w:val="center"/>
              <w:rPr>
                <w:rFonts w:hint="eastAsia"/>
                <w:color w:val="000000"/>
                <w:szCs w:val="21"/>
              </w:rPr>
            </w:pPr>
            <w:r>
              <w:rPr>
                <w:rFonts w:hint="eastAsia"/>
                <w:color w:val="000000"/>
                <w:szCs w:val="21"/>
              </w:rPr>
              <w:t>0.471</w:t>
            </w:r>
          </w:p>
        </w:tc>
        <w:tc>
          <w:tcPr>
            <w:tcW w:w="1310" w:type="dxa"/>
            <w:noWrap w:val="0"/>
            <w:vAlign w:val="center"/>
          </w:tcPr>
          <w:p w14:paraId="67165D6C">
            <w:pPr>
              <w:jc w:val="center"/>
              <w:rPr>
                <w:rFonts w:hint="eastAsia"/>
                <w:color w:val="000000"/>
                <w:szCs w:val="21"/>
              </w:rPr>
            </w:pPr>
            <w:r>
              <w:rPr>
                <w:rFonts w:hint="eastAsia"/>
                <w:color w:val="000000"/>
                <w:szCs w:val="21"/>
              </w:rPr>
              <w:t>0.476</w:t>
            </w:r>
          </w:p>
        </w:tc>
        <w:tc>
          <w:tcPr>
            <w:tcW w:w="1310" w:type="dxa"/>
            <w:noWrap w:val="0"/>
            <w:vAlign w:val="center"/>
          </w:tcPr>
          <w:p w14:paraId="2896588B">
            <w:pPr>
              <w:jc w:val="center"/>
              <w:rPr>
                <w:rFonts w:hint="eastAsia"/>
                <w:color w:val="000000"/>
                <w:szCs w:val="21"/>
              </w:rPr>
            </w:pPr>
            <w:r>
              <w:rPr>
                <w:rFonts w:hint="eastAsia"/>
                <w:color w:val="000000"/>
                <w:szCs w:val="21"/>
              </w:rPr>
              <w:t>0.468</w:t>
            </w:r>
          </w:p>
        </w:tc>
        <w:tc>
          <w:tcPr>
            <w:tcW w:w="1310" w:type="dxa"/>
            <w:noWrap w:val="0"/>
            <w:vAlign w:val="center"/>
          </w:tcPr>
          <w:p w14:paraId="60498A32">
            <w:pPr>
              <w:jc w:val="center"/>
              <w:rPr>
                <w:rFonts w:hint="eastAsia"/>
                <w:color w:val="000000"/>
                <w:szCs w:val="21"/>
              </w:rPr>
            </w:pPr>
            <w:r>
              <w:rPr>
                <w:rFonts w:hint="eastAsia"/>
                <w:color w:val="000000"/>
                <w:szCs w:val="21"/>
              </w:rPr>
              <w:t>0.473</w:t>
            </w:r>
          </w:p>
        </w:tc>
        <w:tc>
          <w:tcPr>
            <w:tcW w:w="1310" w:type="dxa"/>
            <w:noWrap w:val="0"/>
            <w:vAlign w:val="center"/>
          </w:tcPr>
          <w:p w14:paraId="3A019B70">
            <w:pPr>
              <w:jc w:val="center"/>
              <w:rPr>
                <w:rFonts w:hint="eastAsia"/>
                <w:color w:val="000000"/>
                <w:szCs w:val="21"/>
              </w:rPr>
            </w:pPr>
            <w:r>
              <w:rPr>
                <w:rFonts w:hint="eastAsia"/>
                <w:color w:val="000000"/>
                <w:szCs w:val="21"/>
              </w:rPr>
              <w:t>0.476</w:t>
            </w:r>
          </w:p>
        </w:tc>
      </w:tr>
      <w:tr w14:paraId="462336A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980" w:type="dxa"/>
            <w:noWrap w:val="0"/>
            <w:vAlign w:val="center"/>
          </w:tcPr>
          <w:p w14:paraId="4EACC304">
            <w:pPr>
              <w:jc w:val="center"/>
              <w:rPr>
                <w:rFonts w:hint="eastAsia" w:ascii="宋体" w:hAnsi="宋体"/>
                <w:b/>
                <w:color w:val="000000"/>
                <w:szCs w:val="21"/>
              </w:rPr>
            </w:pPr>
            <w:r>
              <w:rPr>
                <w:rFonts w:hint="eastAsia" w:ascii="宋体" w:hAnsi="宋体"/>
                <w:b/>
                <w:color w:val="000000"/>
                <w:szCs w:val="21"/>
              </w:rPr>
              <w:t>五日生化需氧量</w:t>
            </w:r>
          </w:p>
        </w:tc>
        <w:tc>
          <w:tcPr>
            <w:tcW w:w="1310" w:type="dxa"/>
            <w:noWrap w:val="0"/>
            <w:vAlign w:val="center"/>
          </w:tcPr>
          <w:p w14:paraId="5E71DED7">
            <w:pPr>
              <w:jc w:val="center"/>
              <w:rPr>
                <w:rFonts w:hint="eastAsia"/>
                <w:color w:val="000000"/>
                <w:szCs w:val="21"/>
              </w:rPr>
            </w:pPr>
            <w:r>
              <w:rPr>
                <w:rFonts w:hint="eastAsia"/>
                <w:color w:val="000000"/>
                <w:szCs w:val="21"/>
              </w:rPr>
              <w:t>5.6</w:t>
            </w:r>
          </w:p>
        </w:tc>
        <w:tc>
          <w:tcPr>
            <w:tcW w:w="1310" w:type="dxa"/>
            <w:noWrap w:val="0"/>
            <w:vAlign w:val="center"/>
          </w:tcPr>
          <w:p w14:paraId="79DE2F79">
            <w:pPr>
              <w:jc w:val="center"/>
              <w:rPr>
                <w:rFonts w:hint="eastAsia"/>
                <w:color w:val="000000"/>
                <w:szCs w:val="21"/>
              </w:rPr>
            </w:pPr>
            <w:r>
              <w:rPr>
                <w:rFonts w:hint="eastAsia"/>
                <w:color w:val="000000"/>
                <w:szCs w:val="21"/>
              </w:rPr>
              <w:t>5.4</w:t>
            </w:r>
          </w:p>
        </w:tc>
        <w:tc>
          <w:tcPr>
            <w:tcW w:w="1310" w:type="dxa"/>
            <w:noWrap w:val="0"/>
            <w:vAlign w:val="center"/>
          </w:tcPr>
          <w:p w14:paraId="4E8269A2">
            <w:pPr>
              <w:jc w:val="center"/>
              <w:rPr>
                <w:rFonts w:hint="eastAsia"/>
                <w:color w:val="000000"/>
                <w:szCs w:val="21"/>
              </w:rPr>
            </w:pPr>
            <w:r>
              <w:rPr>
                <w:rFonts w:hint="eastAsia"/>
                <w:color w:val="000000"/>
                <w:szCs w:val="21"/>
              </w:rPr>
              <w:t>5.8</w:t>
            </w:r>
          </w:p>
        </w:tc>
        <w:tc>
          <w:tcPr>
            <w:tcW w:w="1310" w:type="dxa"/>
            <w:noWrap w:val="0"/>
            <w:vAlign w:val="center"/>
          </w:tcPr>
          <w:p w14:paraId="0F8FF56E">
            <w:pPr>
              <w:jc w:val="center"/>
              <w:rPr>
                <w:rFonts w:hint="eastAsia"/>
                <w:color w:val="000000"/>
                <w:szCs w:val="21"/>
              </w:rPr>
            </w:pPr>
            <w:r>
              <w:rPr>
                <w:rFonts w:hint="eastAsia"/>
                <w:color w:val="000000"/>
                <w:szCs w:val="21"/>
              </w:rPr>
              <w:t>5.6</w:t>
            </w:r>
          </w:p>
        </w:tc>
        <w:tc>
          <w:tcPr>
            <w:tcW w:w="1310" w:type="dxa"/>
            <w:noWrap w:val="0"/>
            <w:vAlign w:val="center"/>
          </w:tcPr>
          <w:p w14:paraId="0D2C3365">
            <w:pPr>
              <w:jc w:val="center"/>
              <w:rPr>
                <w:rFonts w:hint="eastAsia"/>
                <w:color w:val="000000"/>
                <w:szCs w:val="21"/>
              </w:rPr>
            </w:pPr>
            <w:r>
              <w:rPr>
                <w:rFonts w:hint="eastAsia"/>
                <w:color w:val="000000"/>
                <w:szCs w:val="21"/>
              </w:rPr>
              <w:t>5.6</w:t>
            </w:r>
          </w:p>
        </w:tc>
        <w:tc>
          <w:tcPr>
            <w:tcW w:w="1310" w:type="dxa"/>
            <w:noWrap w:val="0"/>
            <w:vAlign w:val="center"/>
          </w:tcPr>
          <w:p w14:paraId="15C613C7">
            <w:pPr>
              <w:jc w:val="center"/>
              <w:rPr>
                <w:rFonts w:hint="eastAsia"/>
                <w:color w:val="000000"/>
                <w:szCs w:val="21"/>
              </w:rPr>
            </w:pPr>
            <w:r>
              <w:rPr>
                <w:rFonts w:hint="eastAsia"/>
                <w:color w:val="000000"/>
                <w:szCs w:val="21"/>
              </w:rPr>
              <w:t>5.8</w:t>
            </w:r>
          </w:p>
        </w:tc>
      </w:tr>
      <w:tr w14:paraId="50DDAE8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980" w:type="dxa"/>
            <w:noWrap w:val="0"/>
            <w:vAlign w:val="center"/>
          </w:tcPr>
          <w:p w14:paraId="2F3E677F">
            <w:pPr>
              <w:jc w:val="center"/>
              <w:rPr>
                <w:rFonts w:hint="eastAsia" w:ascii="宋体" w:hAnsi="宋体"/>
                <w:b/>
                <w:color w:val="000000"/>
                <w:szCs w:val="21"/>
              </w:rPr>
            </w:pPr>
            <w:r>
              <w:rPr>
                <w:rFonts w:hint="eastAsia" w:ascii="宋体" w:hAnsi="宋体"/>
                <w:b/>
                <w:color w:val="000000"/>
                <w:szCs w:val="21"/>
              </w:rPr>
              <w:t>悬浮物</w:t>
            </w:r>
          </w:p>
        </w:tc>
        <w:tc>
          <w:tcPr>
            <w:tcW w:w="1310" w:type="dxa"/>
            <w:noWrap w:val="0"/>
            <w:vAlign w:val="center"/>
          </w:tcPr>
          <w:p w14:paraId="0616E861">
            <w:pPr>
              <w:jc w:val="center"/>
              <w:rPr>
                <w:rFonts w:hint="eastAsia"/>
                <w:color w:val="000000"/>
                <w:szCs w:val="21"/>
              </w:rPr>
            </w:pPr>
            <w:r>
              <w:rPr>
                <w:rFonts w:hint="eastAsia"/>
                <w:color w:val="000000"/>
                <w:szCs w:val="21"/>
              </w:rPr>
              <w:t>6</w:t>
            </w:r>
          </w:p>
        </w:tc>
        <w:tc>
          <w:tcPr>
            <w:tcW w:w="1310" w:type="dxa"/>
            <w:noWrap w:val="0"/>
            <w:vAlign w:val="center"/>
          </w:tcPr>
          <w:p w14:paraId="4E19DA98">
            <w:pPr>
              <w:jc w:val="center"/>
              <w:rPr>
                <w:rFonts w:hint="eastAsia"/>
                <w:color w:val="000000"/>
                <w:szCs w:val="21"/>
              </w:rPr>
            </w:pPr>
            <w:r>
              <w:rPr>
                <w:rFonts w:hint="eastAsia"/>
                <w:color w:val="000000"/>
                <w:szCs w:val="21"/>
              </w:rPr>
              <w:t>5</w:t>
            </w:r>
          </w:p>
        </w:tc>
        <w:tc>
          <w:tcPr>
            <w:tcW w:w="1310" w:type="dxa"/>
            <w:noWrap w:val="0"/>
            <w:vAlign w:val="center"/>
          </w:tcPr>
          <w:p w14:paraId="0718E141">
            <w:pPr>
              <w:jc w:val="center"/>
              <w:rPr>
                <w:rFonts w:hint="eastAsia"/>
                <w:color w:val="000000"/>
                <w:szCs w:val="21"/>
              </w:rPr>
            </w:pPr>
            <w:r>
              <w:rPr>
                <w:rFonts w:hint="eastAsia"/>
                <w:color w:val="000000"/>
                <w:szCs w:val="21"/>
              </w:rPr>
              <w:t>6</w:t>
            </w:r>
          </w:p>
        </w:tc>
        <w:tc>
          <w:tcPr>
            <w:tcW w:w="1310" w:type="dxa"/>
            <w:noWrap w:val="0"/>
            <w:vAlign w:val="center"/>
          </w:tcPr>
          <w:p w14:paraId="44BF2F9B">
            <w:pPr>
              <w:jc w:val="center"/>
              <w:rPr>
                <w:rFonts w:hint="eastAsia"/>
                <w:color w:val="000000"/>
                <w:szCs w:val="21"/>
              </w:rPr>
            </w:pPr>
            <w:r>
              <w:rPr>
                <w:rFonts w:hint="eastAsia"/>
                <w:color w:val="000000"/>
                <w:szCs w:val="21"/>
              </w:rPr>
              <w:t>4</w:t>
            </w:r>
          </w:p>
        </w:tc>
        <w:tc>
          <w:tcPr>
            <w:tcW w:w="1310" w:type="dxa"/>
            <w:noWrap w:val="0"/>
            <w:vAlign w:val="center"/>
          </w:tcPr>
          <w:p w14:paraId="59E04D27">
            <w:pPr>
              <w:jc w:val="center"/>
              <w:rPr>
                <w:rFonts w:hint="eastAsia"/>
                <w:color w:val="000000"/>
                <w:szCs w:val="21"/>
              </w:rPr>
            </w:pPr>
            <w:r>
              <w:rPr>
                <w:rFonts w:hint="eastAsia"/>
                <w:color w:val="000000"/>
                <w:szCs w:val="21"/>
              </w:rPr>
              <w:t>6</w:t>
            </w:r>
          </w:p>
        </w:tc>
        <w:tc>
          <w:tcPr>
            <w:tcW w:w="1310" w:type="dxa"/>
            <w:noWrap w:val="0"/>
            <w:vAlign w:val="center"/>
          </w:tcPr>
          <w:p w14:paraId="40D57178">
            <w:pPr>
              <w:jc w:val="center"/>
              <w:rPr>
                <w:rFonts w:hint="eastAsia"/>
                <w:color w:val="000000"/>
                <w:szCs w:val="21"/>
              </w:rPr>
            </w:pPr>
            <w:r>
              <w:rPr>
                <w:rFonts w:hint="eastAsia"/>
                <w:color w:val="000000"/>
                <w:szCs w:val="21"/>
              </w:rPr>
              <w:t>6</w:t>
            </w:r>
          </w:p>
        </w:tc>
      </w:tr>
      <w:tr w14:paraId="2E161AD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980" w:type="dxa"/>
            <w:noWrap w:val="0"/>
            <w:vAlign w:val="center"/>
          </w:tcPr>
          <w:p w14:paraId="1D724BFD">
            <w:pPr>
              <w:jc w:val="center"/>
              <w:rPr>
                <w:rFonts w:hint="eastAsia" w:ascii="宋体" w:hAnsi="宋体"/>
                <w:b/>
                <w:color w:val="000000"/>
                <w:szCs w:val="21"/>
              </w:rPr>
            </w:pPr>
            <w:r>
              <w:rPr>
                <w:rFonts w:hint="eastAsia" w:ascii="宋体" w:hAnsi="宋体"/>
                <w:b/>
                <w:color w:val="000000"/>
                <w:szCs w:val="21"/>
              </w:rPr>
              <w:t>动植物油</w:t>
            </w:r>
          </w:p>
        </w:tc>
        <w:tc>
          <w:tcPr>
            <w:tcW w:w="1310" w:type="dxa"/>
            <w:noWrap w:val="0"/>
            <w:vAlign w:val="center"/>
          </w:tcPr>
          <w:p w14:paraId="7527E8FC">
            <w:pPr>
              <w:jc w:val="center"/>
              <w:rPr>
                <w:rFonts w:hint="eastAsia"/>
                <w:color w:val="000000"/>
                <w:szCs w:val="21"/>
              </w:rPr>
            </w:pPr>
            <w:r>
              <w:rPr>
                <w:rFonts w:hint="eastAsia"/>
                <w:color w:val="000000"/>
                <w:szCs w:val="21"/>
              </w:rPr>
              <w:t>0.12</w:t>
            </w:r>
          </w:p>
        </w:tc>
        <w:tc>
          <w:tcPr>
            <w:tcW w:w="1310" w:type="dxa"/>
            <w:noWrap w:val="0"/>
            <w:vAlign w:val="center"/>
          </w:tcPr>
          <w:p w14:paraId="4ACC5D59">
            <w:pPr>
              <w:jc w:val="center"/>
              <w:rPr>
                <w:rFonts w:hint="eastAsia"/>
                <w:color w:val="000000"/>
                <w:szCs w:val="21"/>
              </w:rPr>
            </w:pPr>
            <w:r>
              <w:rPr>
                <w:rFonts w:hint="eastAsia"/>
                <w:color w:val="000000"/>
                <w:szCs w:val="21"/>
              </w:rPr>
              <w:t>0.12</w:t>
            </w:r>
          </w:p>
        </w:tc>
        <w:tc>
          <w:tcPr>
            <w:tcW w:w="1310" w:type="dxa"/>
            <w:noWrap w:val="0"/>
            <w:vAlign w:val="center"/>
          </w:tcPr>
          <w:p w14:paraId="167B0D92">
            <w:pPr>
              <w:jc w:val="center"/>
              <w:rPr>
                <w:rFonts w:hint="eastAsia"/>
                <w:color w:val="000000"/>
                <w:szCs w:val="21"/>
              </w:rPr>
            </w:pPr>
            <w:r>
              <w:rPr>
                <w:rFonts w:hint="eastAsia"/>
                <w:color w:val="000000"/>
                <w:szCs w:val="21"/>
              </w:rPr>
              <w:t>0.13</w:t>
            </w:r>
          </w:p>
        </w:tc>
        <w:tc>
          <w:tcPr>
            <w:tcW w:w="1310" w:type="dxa"/>
            <w:noWrap w:val="0"/>
            <w:vAlign w:val="center"/>
          </w:tcPr>
          <w:p w14:paraId="62E8FFBF">
            <w:pPr>
              <w:jc w:val="center"/>
              <w:rPr>
                <w:rFonts w:hint="eastAsia"/>
                <w:color w:val="000000"/>
                <w:szCs w:val="21"/>
              </w:rPr>
            </w:pPr>
            <w:r>
              <w:rPr>
                <w:rFonts w:hint="eastAsia"/>
                <w:color w:val="000000"/>
                <w:szCs w:val="21"/>
              </w:rPr>
              <w:t>0.05</w:t>
            </w:r>
          </w:p>
        </w:tc>
        <w:tc>
          <w:tcPr>
            <w:tcW w:w="1310" w:type="dxa"/>
            <w:noWrap w:val="0"/>
            <w:vAlign w:val="center"/>
          </w:tcPr>
          <w:p w14:paraId="7D477E14">
            <w:pPr>
              <w:jc w:val="center"/>
              <w:rPr>
                <w:rFonts w:hint="eastAsia"/>
                <w:color w:val="000000"/>
                <w:szCs w:val="21"/>
              </w:rPr>
            </w:pPr>
            <w:r>
              <w:rPr>
                <w:rFonts w:hint="eastAsia"/>
                <w:color w:val="000000"/>
              </w:rPr>
              <w:t>0.04</w:t>
            </w:r>
            <w:r>
              <w:rPr>
                <w:color w:val="000000"/>
                <w:szCs w:val="21"/>
              </w:rPr>
              <w:t>L</w:t>
            </w:r>
          </w:p>
        </w:tc>
        <w:tc>
          <w:tcPr>
            <w:tcW w:w="1310" w:type="dxa"/>
            <w:noWrap w:val="0"/>
            <w:vAlign w:val="center"/>
          </w:tcPr>
          <w:p w14:paraId="05255FEF">
            <w:pPr>
              <w:jc w:val="center"/>
              <w:rPr>
                <w:rFonts w:hint="eastAsia"/>
                <w:color w:val="000000"/>
                <w:szCs w:val="21"/>
              </w:rPr>
            </w:pPr>
            <w:r>
              <w:rPr>
                <w:rFonts w:hint="eastAsia"/>
                <w:color w:val="000000"/>
              </w:rPr>
              <w:t>0.04</w:t>
            </w:r>
            <w:r>
              <w:rPr>
                <w:color w:val="000000"/>
                <w:szCs w:val="21"/>
              </w:rPr>
              <w:t>L</w:t>
            </w:r>
          </w:p>
        </w:tc>
      </w:tr>
      <w:tr w14:paraId="5400457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980" w:type="dxa"/>
            <w:noWrap w:val="0"/>
            <w:vAlign w:val="center"/>
          </w:tcPr>
          <w:p w14:paraId="2A3F6F20">
            <w:pPr>
              <w:jc w:val="center"/>
              <w:rPr>
                <w:rFonts w:hint="eastAsia" w:ascii="宋体" w:hAnsi="宋体"/>
                <w:b/>
                <w:color w:val="000000"/>
                <w:szCs w:val="21"/>
              </w:rPr>
            </w:pPr>
            <w:r>
              <w:rPr>
                <w:rFonts w:hint="eastAsia" w:ascii="宋体" w:hAnsi="宋体"/>
                <w:b/>
                <w:color w:val="000000"/>
                <w:szCs w:val="21"/>
              </w:rPr>
              <w:t>石油类</w:t>
            </w:r>
          </w:p>
        </w:tc>
        <w:tc>
          <w:tcPr>
            <w:tcW w:w="1310" w:type="dxa"/>
            <w:noWrap w:val="0"/>
            <w:vAlign w:val="center"/>
          </w:tcPr>
          <w:p w14:paraId="7DD11905">
            <w:pPr>
              <w:jc w:val="center"/>
              <w:rPr>
                <w:rFonts w:hint="eastAsia"/>
                <w:color w:val="000000"/>
                <w:szCs w:val="21"/>
              </w:rPr>
            </w:pPr>
            <w:r>
              <w:rPr>
                <w:rFonts w:hint="eastAsia"/>
                <w:color w:val="000000"/>
              </w:rPr>
              <w:t>0.04</w:t>
            </w:r>
            <w:r>
              <w:rPr>
                <w:color w:val="000000"/>
                <w:szCs w:val="21"/>
              </w:rPr>
              <w:t>L</w:t>
            </w:r>
          </w:p>
        </w:tc>
        <w:tc>
          <w:tcPr>
            <w:tcW w:w="1310" w:type="dxa"/>
            <w:noWrap w:val="0"/>
            <w:vAlign w:val="center"/>
          </w:tcPr>
          <w:p w14:paraId="599C7E6E">
            <w:pPr>
              <w:jc w:val="center"/>
              <w:rPr>
                <w:rFonts w:hint="eastAsia"/>
                <w:color w:val="000000"/>
                <w:szCs w:val="21"/>
              </w:rPr>
            </w:pPr>
            <w:r>
              <w:rPr>
                <w:rFonts w:hint="eastAsia"/>
                <w:color w:val="000000"/>
              </w:rPr>
              <w:t>0.04</w:t>
            </w:r>
            <w:r>
              <w:rPr>
                <w:color w:val="000000"/>
                <w:szCs w:val="21"/>
              </w:rPr>
              <w:t>L</w:t>
            </w:r>
          </w:p>
        </w:tc>
        <w:tc>
          <w:tcPr>
            <w:tcW w:w="1310" w:type="dxa"/>
            <w:noWrap w:val="0"/>
            <w:vAlign w:val="center"/>
          </w:tcPr>
          <w:p w14:paraId="29AE9E5E">
            <w:pPr>
              <w:jc w:val="center"/>
              <w:rPr>
                <w:rFonts w:hint="eastAsia"/>
                <w:color w:val="000000"/>
                <w:szCs w:val="21"/>
              </w:rPr>
            </w:pPr>
            <w:r>
              <w:rPr>
                <w:rFonts w:hint="eastAsia"/>
                <w:color w:val="000000"/>
              </w:rPr>
              <w:t>0.04</w:t>
            </w:r>
            <w:r>
              <w:rPr>
                <w:color w:val="000000"/>
                <w:szCs w:val="21"/>
              </w:rPr>
              <w:t>L</w:t>
            </w:r>
          </w:p>
        </w:tc>
        <w:tc>
          <w:tcPr>
            <w:tcW w:w="1310" w:type="dxa"/>
            <w:noWrap w:val="0"/>
            <w:vAlign w:val="center"/>
          </w:tcPr>
          <w:p w14:paraId="1C3EA04D">
            <w:pPr>
              <w:jc w:val="center"/>
              <w:rPr>
                <w:rFonts w:hint="eastAsia"/>
                <w:color w:val="000000"/>
                <w:szCs w:val="21"/>
              </w:rPr>
            </w:pPr>
            <w:r>
              <w:rPr>
                <w:rFonts w:hint="eastAsia"/>
                <w:color w:val="000000"/>
              </w:rPr>
              <w:t>0.04</w:t>
            </w:r>
            <w:r>
              <w:rPr>
                <w:color w:val="000000"/>
                <w:szCs w:val="21"/>
              </w:rPr>
              <w:t>L</w:t>
            </w:r>
          </w:p>
        </w:tc>
        <w:tc>
          <w:tcPr>
            <w:tcW w:w="1310" w:type="dxa"/>
            <w:noWrap w:val="0"/>
            <w:vAlign w:val="center"/>
          </w:tcPr>
          <w:p w14:paraId="09ADF3CC">
            <w:pPr>
              <w:jc w:val="center"/>
              <w:rPr>
                <w:rFonts w:hint="eastAsia"/>
                <w:color w:val="000000"/>
                <w:szCs w:val="21"/>
              </w:rPr>
            </w:pPr>
            <w:r>
              <w:rPr>
                <w:rFonts w:hint="eastAsia"/>
                <w:color w:val="000000"/>
              </w:rPr>
              <w:t>0.04</w:t>
            </w:r>
            <w:r>
              <w:rPr>
                <w:color w:val="000000"/>
                <w:szCs w:val="21"/>
              </w:rPr>
              <w:t>L</w:t>
            </w:r>
          </w:p>
        </w:tc>
        <w:tc>
          <w:tcPr>
            <w:tcW w:w="1310" w:type="dxa"/>
            <w:noWrap w:val="0"/>
            <w:vAlign w:val="center"/>
          </w:tcPr>
          <w:p w14:paraId="5CA07172">
            <w:pPr>
              <w:jc w:val="center"/>
              <w:rPr>
                <w:rFonts w:hint="eastAsia"/>
                <w:color w:val="000000"/>
                <w:szCs w:val="21"/>
              </w:rPr>
            </w:pPr>
            <w:r>
              <w:rPr>
                <w:rFonts w:hint="eastAsia"/>
                <w:color w:val="000000"/>
              </w:rPr>
              <w:t>0.04</w:t>
            </w:r>
            <w:r>
              <w:rPr>
                <w:color w:val="000000"/>
                <w:szCs w:val="21"/>
              </w:rPr>
              <w:t>L</w:t>
            </w:r>
          </w:p>
        </w:tc>
      </w:tr>
      <w:tr w14:paraId="0AEED83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980" w:type="dxa"/>
            <w:noWrap w:val="0"/>
            <w:vAlign w:val="center"/>
          </w:tcPr>
          <w:p w14:paraId="13268FED">
            <w:pPr>
              <w:jc w:val="center"/>
              <w:rPr>
                <w:rFonts w:hint="eastAsia" w:ascii="宋体" w:hAnsi="宋体"/>
                <w:b/>
                <w:color w:val="000000"/>
                <w:szCs w:val="21"/>
              </w:rPr>
            </w:pPr>
            <w:r>
              <w:rPr>
                <w:rFonts w:hint="eastAsia" w:ascii="宋体" w:hAnsi="宋体"/>
                <w:b/>
                <w:color w:val="000000"/>
                <w:szCs w:val="21"/>
              </w:rPr>
              <w:t>氰化物</w:t>
            </w:r>
          </w:p>
        </w:tc>
        <w:tc>
          <w:tcPr>
            <w:tcW w:w="1310" w:type="dxa"/>
            <w:noWrap w:val="0"/>
            <w:vAlign w:val="center"/>
          </w:tcPr>
          <w:p w14:paraId="175F93B6">
            <w:pPr>
              <w:jc w:val="center"/>
              <w:rPr>
                <w:rFonts w:hint="eastAsia"/>
                <w:color w:val="000000"/>
                <w:szCs w:val="21"/>
              </w:rPr>
            </w:pPr>
            <w:r>
              <w:rPr>
                <w:rFonts w:hint="eastAsia"/>
                <w:color w:val="000000"/>
              </w:rPr>
              <w:t>0.004</w:t>
            </w:r>
            <w:r>
              <w:rPr>
                <w:color w:val="000000"/>
                <w:szCs w:val="21"/>
              </w:rPr>
              <w:t>L</w:t>
            </w:r>
          </w:p>
        </w:tc>
        <w:tc>
          <w:tcPr>
            <w:tcW w:w="1310" w:type="dxa"/>
            <w:noWrap w:val="0"/>
            <w:vAlign w:val="center"/>
          </w:tcPr>
          <w:p w14:paraId="2B668D77">
            <w:pPr>
              <w:jc w:val="center"/>
              <w:rPr>
                <w:rFonts w:hint="eastAsia"/>
                <w:color w:val="000000"/>
                <w:szCs w:val="21"/>
              </w:rPr>
            </w:pPr>
            <w:r>
              <w:rPr>
                <w:rFonts w:hint="eastAsia"/>
                <w:color w:val="000000"/>
              </w:rPr>
              <w:t>0.004</w:t>
            </w:r>
            <w:r>
              <w:rPr>
                <w:color w:val="000000"/>
                <w:szCs w:val="21"/>
              </w:rPr>
              <w:t>L</w:t>
            </w:r>
          </w:p>
        </w:tc>
        <w:tc>
          <w:tcPr>
            <w:tcW w:w="1310" w:type="dxa"/>
            <w:noWrap w:val="0"/>
            <w:vAlign w:val="center"/>
          </w:tcPr>
          <w:p w14:paraId="2BE89D2A">
            <w:pPr>
              <w:jc w:val="center"/>
              <w:rPr>
                <w:rFonts w:hint="eastAsia"/>
                <w:color w:val="000000"/>
                <w:szCs w:val="21"/>
              </w:rPr>
            </w:pPr>
            <w:r>
              <w:rPr>
                <w:rFonts w:hint="eastAsia"/>
                <w:color w:val="000000"/>
              </w:rPr>
              <w:t>0.004</w:t>
            </w:r>
            <w:r>
              <w:rPr>
                <w:color w:val="000000"/>
                <w:szCs w:val="21"/>
              </w:rPr>
              <w:t>L</w:t>
            </w:r>
          </w:p>
        </w:tc>
        <w:tc>
          <w:tcPr>
            <w:tcW w:w="1310" w:type="dxa"/>
            <w:noWrap w:val="0"/>
            <w:vAlign w:val="center"/>
          </w:tcPr>
          <w:p w14:paraId="1D4F0F20">
            <w:pPr>
              <w:jc w:val="center"/>
              <w:rPr>
                <w:rFonts w:hint="eastAsia"/>
                <w:color w:val="000000"/>
                <w:szCs w:val="21"/>
              </w:rPr>
            </w:pPr>
            <w:r>
              <w:rPr>
                <w:rFonts w:hint="eastAsia"/>
                <w:color w:val="000000"/>
              </w:rPr>
              <w:t>0.004</w:t>
            </w:r>
            <w:r>
              <w:rPr>
                <w:color w:val="000000"/>
                <w:szCs w:val="21"/>
              </w:rPr>
              <w:t>L</w:t>
            </w:r>
          </w:p>
        </w:tc>
        <w:tc>
          <w:tcPr>
            <w:tcW w:w="1310" w:type="dxa"/>
            <w:noWrap w:val="0"/>
            <w:vAlign w:val="center"/>
          </w:tcPr>
          <w:p w14:paraId="7B5DB127">
            <w:pPr>
              <w:jc w:val="center"/>
              <w:rPr>
                <w:rFonts w:hint="eastAsia"/>
                <w:color w:val="000000"/>
                <w:szCs w:val="21"/>
              </w:rPr>
            </w:pPr>
            <w:r>
              <w:rPr>
                <w:rFonts w:hint="eastAsia"/>
                <w:color w:val="000000"/>
              </w:rPr>
              <w:t>0.004</w:t>
            </w:r>
            <w:r>
              <w:rPr>
                <w:color w:val="000000"/>
                <w:szCs w:val="21"/>
              </w:rPr>
              <w:t>L</w:t>
            </w:r>
          </w:p>
        </w:tc>
        <w:tc>
          <w:tcPr>
            <w:tcW w:w="1310" w:type="dxa"/>
            <w:noWrap w:val="0"/>
            <w:vAlign w:val="center"/>
          </w:tcPr>
          <w:p w14:paraId="1AEC9191">
            <w:pPr>
              <w:jc w:val="center"/>
              <w:rPr>
                <w:rFonts w:hint="eastAsia"/>
                <w:color w:val="000000"/>
                <w:szCs w:val="21"/>
              </w:rPr>
            </w:pPr>
            <w:r>
              <w:rPr>
                <w:rFonts w:hint="eastAsia"/>
                <w:color w:val="000000"/>
              </w:rPr>
              <w:t>0.004</w:t>
            </w:r>
            <w:r>
              <w:rPr>
                <w:color w:val="000000"/>
                <w:szCs w:val="21"/>
              </w:rPr>
              <w:t>L</w:t>
            </w:r>
          </w:p>
        </w:tc>
      </w:tr>
      <w:tr w14:paraId="3FE53BE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980" w:type="dxa"/>
            <w:noWrap w:val="0"/>
            <w:vAlign w:val="center"/>
          </w:tcPr>
          <w:p w14:paraId="168AAF89">
            <w:pPr>
              <w:jc w:val="center"/>
              <w:rPr>
                <w:rFonts w:hint="eastAsia" w:ascii="宋体" w:hAnsi="宋体"/>
                <w:b/>
                <w:color w:val="000000"/>
                <w:szCs w:val="21"/>
              </w:rPr>
            </w:pPr>
            <w:r>
              <w:rPr>
                <w:rFonts w:hint="eastAsia" w:ascii="宋体" w:hAnsi="宋体"/>
                <w:b/>
                <w:color w:val="000000"/>
                <w:szCs w:val="21"/>
              </w:rPr>
              <w:t>挥发酚</w:t>
            </w:r>
          </w:p>
        </w:tc>
        <w:tc>
          <w:tcPr>
            <w:tcW w:w="1310" w:type="dxa"/>
            <w:noWrap w:val="0"/>
            <w:vAlign w:val="center"/>
          </w:tcPr>
          <w:p w14:paraId="19ECF540">
            <w:pPr>
              <w:ind w:left="-105" w:right="-105"/>
              <w:jc w:val="center"/>
              <w:rPr>
                <w:rFonts w:hint="eastAsia"/>
                <w:color w:val="000000"/>
                <w:szCs w:val="21"/>
              </w:rPr>
            </w:pPr>
            <w:r>
              <w:rPr>
                <w:rFonts w:hint="eastAsia"/>
                <w:color w:val="000000"/>
              </w:rPr>
              <w:t>0.0003</w:t>
            </w:r>
            <w:r>
              <w:rPr>
                <w:color w:val="000000"/>
                <w:szCs w:val="21"/>
              </w:rPr>
              <w:t>L</w:t>
            </w:r>
          </w:p>
        </w:tc>
        <w:tc>
          <w:tcPr>
            <w:tcW w:w="1310" w:type="dxa"/>
            <w:noWrap w:val="0"/>
            <w:vAlign w:val="center"/>
          </w:tcPr>
          <w:p w14:paraId="1EFC1AE5">
            <w:pPr>
              <w:ind w:left="-105" w:right="-105"/>
              <w:jc w:val="center"/>
              <w:rPr>
                <w:rFonts w:hint="eastAsia"/>
                <w:color w:val="000000"/>
                <w:szCs w:val="21"/>
              </w:rPr>
            </w:pPr>
            <w:r>
              <w:rPr>
                <w:rFonts w:hint="eastAsia"/>
                <w:color w:val="000000"/>
              </w:rPr>
              <w:t>0.0003</w:t>
            </w:r>
            <w:r>
              <w:rPr>
                <w:color w:val="000000"/>
                <w:szCs w:val="21"/>
              </w:rPr>
              <w:t>L</w:t>
            </w:r>
          </w:p>
        </w:tc>
        <w:tc>
          <w:tcPr>
            <w:tcW w:w="1310" w:type="dxa"/>
            <w:noWrap w:val="0"/>
            <w:vAlign w:val="center"/>
          </w:tcPr>
          <w:p w14:paraId="76C614F8">
            <w:pPr>
              <w:ind w:left="-105" w:right="-105"/>
              <w:jc w:val="center"/>
              <w:rPr>
                <w:rFonts w:hint="eastAsia"/>
                <w:color w:val="000000"/>
                <w:szCs w:val="21"/>
              </w:rPr>
            </w:pPr>
            <w:r>
              <w:rPr>
                <w:rFonts w:hint="eastAsia"/>
                <w:color w:val="000000"/>
              </w:rPr>
              <w:t>0.0003</w:t>
            </w:r>
            <w:r>
              <w:rPr>
                <w:color w:val="000000"/>
                <w:szCs w:val="21"/>
              </w:rPr>
              <w:t>L</w:t>
            </w:r>
          </w:p>
        </w:tc>
        <w:tc>
          <w:tcPr>
            <w:tcW w:w="1310" w:type="dxa"/>
            <w:noWrap w:val="0"/>
            <w:vAlign w:val="center"/>
          </w:tcPr>
          <w:p w14:paraId="3CE320A5">
            <w:pPr>
              <w:ind w:left="-105" w:right="-105"/>
              <w:jc w:val="center"/>
              <w:rPr>
                <w:rFonts w:hint="eastAsia"/>
                <w:color w:val="000000"/>
                <w:szCs w:val="21"/>
              </w:rPr>
            </w:pPr>
            <w:r>
              <w:rPr>
                <w:rFonts w:hint="eastAsia"/>
                <w:color w:val="000000"/>
              </w:rPr>
              <w:t>0.0003</w:t>
            </w:r>
            <w:r>
              <w:rPr>
                <w:color w:val="000000"/>
                <w:szCs w:val="21"/>
              </w:rPr>
              <w:t>L</w:t>
            </w:r>
          </w:p>
        </w:tc>
        <w:tc>
          <w:tcPr>
            <w:tcW w:w="1310" w:type="dxa"/>
            <w:noWrap w:val="0"/>
            <w:vAlign w:val="center"/>
          </w:tcPr>
          <w:p w14:paraId="1FF9938A">
            <w:pPr>
              <w:ind w:left="-105" w:right="-105"/>
              <w:jc w:val="center"/>
              <w:rPr>
                <w:rFonts w:hint="eastAsia"/>
                <w:color w:val="000000"/>
                <w:szCs w:val="21"/>
              </w:rPr>
            </w:pPr>
            <w:r>
              <w:rPr>
                <w:rFonts w:hint="eastAsia"/>
                <w:color w:val="000000"/>
              </w:rPr>
              <w:t>0.0003</w:t>
            </w:r>
            <w:r>
              <w:rPr>
                <w:color w:val="000000"/>
                <w:szCs w:val="21"/>
              </w:rPr>
              <w:t>L</w:t>
            </w:r>
          </w:p>
        </w:tc>
        <w:tc>
          <w:tcPr>
            <w:tcW w:w="1310" w:type="dxa"/>
            <w:noWrap w:val="0"/>
            <w:vAlign w:val="center"/>
          </w:tcPr>
          <w:p w14:paraId="642DBD0C">
            <w:pPr>
              <w:ind w:left="-105" w:right="-105"/>
              <w:jc w:val="center"/>
              <w:rPr>
                <w:rFonts w:hint="eastAsia"/>
                <w:color w:val="000000"/>
                <w:szCs w:val="21"/>
              </w:rPr>
            </w:pPr>
            <w:r>
              <w:rPr>
                <w:rFonts w:hint="eastAsia"/>
                <w:color w:val="000000"/>
              </w:rPr>
              <w:t>0.0003</w:t>
            </w:r>
            <w:r>
              <w:rPr>
                <w:color w:val="000000"/>
                <w:szCs w:val="21"/>
              </w:rPr>
              <w:t>L</w:t>
            </w:r>
          </w:p>
        </w:tc>
      </w:tr>
      <w:tr w14:paraId="4E08F87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980" w:type="dxa"/>
            <w:noWrap w:val="0"/>
            <w:vAlign w:val="center"/>
          </w:tcPr>
          <w:p w14:paraId="46395C2B">
            <w:pPr>
              <w:jc w:val="center"/>
              <w:rPr>
                <w:rFonts w:hint="eastAsia" w:ascii="宋体" w:hAnsi="宋体"/>
                <w:b/>
                <w:color w:val="000000"/>
                <w:szCs w:val="21"/>
              </w:rPr>
            </w:pPr>
            <w:r>
              <w:rPr>
                <w:rFonts w:hint="eastAsia" w:ascii="宋体" w:hAnsi="宋体"/>
                <w:b/>
                <w:color w:val="000000"/>
                <w:szCs w:val="21"/>
              </w:rPr>
              <w:t>阴离子表面</w:t>
            </w:r>
          </w:p>
          <w:p w14:paraId="10B53804">
            <w:pPr>
              <w:jc w:val="center"/>
              <w:rPr>
                <w:rFonts w:hint="eastAsia" w:ascii="宋体" w:hAnsi="宋体"/>
                <w:b/>
                <w:color w:val="000000"/>
                <w:szCs w:val="21"/>
              </w:rPr>
            </w:pPr>
            <w:r>
              <w:rPr>
                <w:rFonts w:hint="eastAsia" w:ascii="宋体" w:hAnsi="宋体"/>
                <w:b/>
                <w:color w:val="000000"/>
                <w:szCs w:val="21"/>
              </w:rPr>
              <w:t>活性剂</w:t>
            </w:r>
          </w:p>
        </w:tc>
        <w:tc>
          <w:tcPr>
            <w:tcW w:w="1310" w:type="dxa"/>
            <w:noWrap w:val="0"/>
            <w:vAlign w:val="center"/>
          </w:tcPr>
          <w:p w14:paraId="7E80935B">
            <w:pPr>
              <w:jc w:val="center"/>
              <w:rPr>
                <w:rFonts w:hint="eastAsia"/>
                <w:color w:val="000000"/>
                <w:szCs w:val="21"/>
              </w:rPr>
            </w:pPr>
            <w:r>
              <w:rPr>
                <w:rFonts w:hint="eastAsia"/>
                <w:color w:val="000000"/>
              </w:rPr>
              <w:t>0.05L</w:t>
            </w:r>
          </w:p>
        </w:tc>
        <w:tc>
          <w:tcPr>
            <w:tcW w:w="1310" w:type="dxa"/>
            <w:noWrap w:val="0"/>
            <w:vAlign w:val="center"/>
          </w:tcPr>
          <w:p w14:paraId="06FB082A">
            <w:pPr>
              <w:jc w:val="center"/>
              <w:rPr>
                <w:rFonts w:hint="eastAsia"/>
                <w:color w:val="000000"/>
                <w:szCs w:val="21"/>
              </w:rPr>
            </w:pPr>
            <w:r>
              <w:rPr>
                <w:rFonts w:hint="eastAsia"/>
                <w:color w:val="000000"/>
              </w:rPr>
              <w:t>0.05L</w:t>
            </w:r>
          </w:p>
        </w:tc>
        <w:tc>
          <w:tcPr>
            <w:tcW w:w="1310" w:type="dxa"/>
            <w:noWrap w:val="0"/>
            <w:vAlign w:val="center"/>
          </w:tcPr>
          <w:p w14:paraId="2B3E778C">
            <w:pPr>
              <w:jc w:val="center"/>
              <w:rPr>
                <w:rFonts w:hint="eastAsia"/>
                <w:color w:val="000000"/>
                <w:szCs w:val="21"/>
              </w:rPr>
            </w:pPr>
            <w:r>
              <w:rPr>
                <w:rFonts w:hint="eastAsia"/>
                <w:color w:val="000000"/>
              </w:rPr>
              <w:t>0.05L</w:t>
            </w:r>
          </w:p>
        </w:tc>
        <w:tc>
          <w:tcPr>
            <w:tcW w:w="1310" w:type="dxa"/>
            <w:noWrap w:val="0"/>
            <w:vAlign w:val="center"/>
          </w:tcPr>
          <w:p w14:paraId="396B1752">
            <w:pPr>
              <w:jc w:val="center"/>
              <w:rPr>
                <w:rFonts w:hint="eastAsia"/>
                <w:color w:val="000000"/>
                <w:szCs w:val="21"/>
              </w:rPr>
            </w:pPr>
            <w:r>
              <w:rPr>
                <w:rFonts w:hint="eastAsia"/>
                <w:color w:val="000000"/>
              </w:rPr>
              <w:t>0.05L</w:t>
            </w:r>
          </w:p>
        </w:tc>
        <w:tc>
          <w:tcPr>
            <w:tcW w:w="1310" w:type="dxa"/>
            <w:noWrap w:val="0"/>
            <w:vAlign w:val="center"/>
          </w:tcPr>
          <w:p w14:paraId="3093857C">
            <w:pPr>
              <w:jc w:val="center"/>
              <w:rPr>
                <w:rFonts w:hint="eastAsia"/>
                <w:color w:val="000000"/>
                <w:szCs w:val="21"/>
              </w:rPr>
            </w:pPr>
            <w:r>
              <w:rPr>
                <w:rFonts w:hint="eastAsia"/>
                <w:color w:val="000000"/>
              </w:rPr>
              <w:t>0.05L</w:t>
            </w:r>
          </w:p>
        </w:tc>
        <w:tc>
          <w:tcPr>
            <w:tcW w:w="1310" w:type="dxa"/>
            <w:noWrap w:val="0"/>
            <w:vAlign w:val="center"/>
          </w:tcPr>
          <w:p w14:paraId="657F1938">
            <w:pPr>
              <w:jc w:val="center"/>
              <w:rPr>
                <w:rFonts w:hint="eastAsia"/>
                <w:color w:val="000000"/>
                <w:szCs w:val="21"/>
              </w:rPr>
            </w:pPr>
            <w:r>
              <w:rPr>
                <w:rFonts w:hint="eastAsia"/>
                <w:color w:val="000000"/>
              </w:rPr>
              <w:t>0.05L</w:t>
            </w:r>
          </w:p>
        </w:tc>
      </w:tr>
      <w:tr w14:paraId="478F84C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980" w:type="dxa"/>
            <w:noWrap w:val="0"/>
            <w:vAlign w:val="center"/>
          </w:tcPr>
          <w:p w14:paraId="2C24E713">
            <w:pPr>
              <w:spacing w:line="240" w:lineRule="exact"/>
              <w:jc w:val="center"/>
              <w:rPr>
                <w:rFonts w:hint="eastAsia" w:ascii="宋体" w:hAnsi="宋体"/>
                <w:b/>
                <w:color w:val="000000"/>
                <w:szCs w:val="21"/>
              </w:rPr>
            </w:pPr>
            <w:r>
              <w:rPr>
                <w:rFonts w:hint="eastAsia" w:ascii="宋体" w:hAnsi="宋体"/>
                <w:b/>
                <w:color w:val="000000"/>
                <w:szCs w:val="21"/>
              </w:rPr>
              <w:t>粪大肠菌群</w:t>
            </w:r>
          </w:p>
          <w:p w14:paraId="03BB0933">
            <w:pPr>
              <w:jc w:val="center"/>
              <w:rPr>
                <w:rFonts w:hint="eastAsia" w:ascii="宋体" w:hAnsi="宋体"/>
                <w:b/>
                <w:color w:val="000000"/>
                <w:szCs w:val="21"/>
              </w:rPr>
            </w:pPr>
            <w:r>
              <w:rPr>
                <w:rFonts w:hint="eastAsia" w:ascii="宋体" w:hAnsi="宋体"/>
                <w:b/>
                <w:color w:val="000000"/>
                <w:szCs w:val="21"/>
              </w:rPr>
              <w:t>（个/升）</w:t>
            </w:r>
          </w:p>
        </w:tc>
        <w:tc>
          <w:tcPr>
            <w:tcW w:w="1310" w:type="dxa"/>
            <w:noWrap w:val="0"/>
            <w:vAlign w:val="center"/>
          </w:tcPr>
          <w:p w14:paraId="66BE2EB0">
            <w:pPr>
              <w:jc w:val="center"/>
              <w:rPr>
                <w:rFonts w:hint="eastAsia"/>
                <w:color w:val="000000"/>
                <w:szCs w:val="21"/>
              </w:rPr>
            </w:pPr>
            <w:r>
              <w:rPr>
                <w:rFonts w:hint="eastAsia"/>
                <w:color w:val="000000"/>
                <w:szCs w:val="21"/>
              </w:rPr>
              <w:t>460</w:t>
            </w:r>
          </w:p>
        </w:tc>
        <w:tc>
          <w:tcPr>
            <w:tcW w:w="1310" w:type="dxa"/>
            <w:noWrap w:val="0"/>
            <w:vAlign w:val="center"/>
          </w:tcPr>
          <w:p w14:paraId="7C0C5417">
            <w:pPr>
              <w:jc w:val="center"/>
              <w:rPr>
                <w:rFonts w:hint="eastAsia"/>
                <w:color w:val="000000"/>
                <w:szCs w:val="21"/>
              </w:rPr>
            </w:pPr>
            <w:r>
              <w:rPr>
                <w:rFonts w:hint="eastAsia"/>
                <w:color w:val="000000"/>
                <w:szCs w:val="21"/>
              </w:rPr>
              <w:t>430</w:t>
            </w:r>
          </w:p>
        </w:tc>
        <w:tc>
          <w:tcPr>
            <w:tcW w:w="1310" w:type="dxa"/>
            <w:noWrap w:val="0"/>
            <w:vAlign w:val="center"/>
          </w:tcPr>
          <w:p w14:paraId="247EABCA">
            <w:pPr>
              <w:jc w:val="center"/>
              <w:rPr>
                <w:rFonts w:hint="eastAsia"/>
                <w:color w:val="000000"/>
                <w:szCs w:val="21"/>
              </w:rPr>
            </w:pPr>
            <w:r>
              <w:rPr>
                <w:rFonts w:hint="eastAsia"/>
                <w:color w:val="000000"/>
                <w:szCs w:val="21"/>
              </w:rPr>
              <w:t>490</w:t>
            </w:r>
          </w:p>
        </w:tc>
        <w:tc>
          <w:tcPr>
            <w:tcW w:w="1310" w:type="dxa"/>
            <w:noWrap w:val="0"/>
            <w:vAlign w:val="center"/>
          </w:tcPr>
          <w:p w14:paraId="3669A486">
            <w:pPr>
              <w:jc w:val="center"/>
              <w:rPr>
                <w:rFonts w:hint="eastAsia"/>
                <w:color w:val="000000"/>
                <w:szCs w:val="21"/>
              </w:rPr>
            </w:pPr>
            <w:r>
              <w:rPr>
                <w:rFonts w:hint="eastAsia"/>
                <w:color w:val="000000"/>
                <w:szCs w:val="21"/>
              </w:rPr>
              <w:t>490</w:t>
            </w:r>
          </w:p>
        </w:tc>
        <w:tc>
          <w:tcPr>
            <w:tcW w:w="1310" w:type="dxa"/>
            <w:noWrap w:val="0"/>
            <w:vAlign w:val="center"/>
          </w:tcPr>
          <w:p w14:paraId="64A625EB">
            <w:pPr>
              <w:jc w:val="center"/>
              <w:rPr>
                <w:rFonts w:hint="eastAsia"/>
                <w:color w:val="000000"/>
                <w:szCs w:val="21"/>
              </w:rPr>
            </w:pPr>
            <w:r>
              <w:rPr>
                <w:rFonts w:hint="eastAsia"/>
                <w:color w:val="000000"/>
                <w:szCs w:val="21"/>
              </w:rPr>
              <w:t>430</w:t>
            </w:r>
          </w:p>
        </w:tc>
        <w:tc>
          <w:tcPr>
            <w:tcW w:w="1310" w:type="dxa"/>
            <w:noWrap w:val="0"/>
            <w:vAlign w:val="center"/>
          </w:tcPr>
          <w:p w14:paraId="0D0747C1">
            <w:pPr>
              <w:jc w:val="center"/>
              <w:rPr>
                <w:rFonts w:hint="eastAsia"/>
                <w:color w:val="000000"/>
                <w:szCs w:val="21"/>
              </w:rPr>
            </w:pPr>
            <w:r>
              <w:rPr>
                <w:rFonts w:hint="eastAsia"/>
                <w:color w:val="000000"/>
                <w:szCs w:val="21"/>
              </w:rPr>
              <w:t>460</w:t>
            </w:r>
          </w:p>
        </w:tc>
      </w:tr>
      <w:tr w14:paraId="3D158F9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980" w:type="dxa"/>
            <w:noWrap w:val="0"/>
            <w:vAlign w:val="center"/>
          </w:tcPr>
          <w:p w14:paraId="7859541E">
            <w:pPr>
              <w:spacing w:line="240" w:lineRule="exact"/>
              <w:jc w:val="center"/>
              <w:rPr>
                <w:rFonts w:hint="eastAsia" w:ascii="宋体" w:hAnsi="宋体"/>
                <w:b/>
                <w:color w:val="000000"/>
                <w:szCs w:val="21"/>
              </w:rPr>
            </w:pPr>
            <w:r>
              <w:rPr>
                <w:rFonts w:hint="eastAsia" w:ascii="宋体" w:hAnsi="宋体"/>
                <w:b/>
                <w:color w:val="000000"/>
                <w:szCs w:val="21"/>
              </w:rPr>
              <w:t>六价铬</w:t>
            </w:r>
          </w:p>
        </w:tc>
        <w:tc>
          <w:tcPr>
            <w:tcW w:w="1310" w:type="dxa"/>
            <w:noWrap w:val="0"/>
            <w:vAlign w:val="center"/>
          </w:tcPr>
          <w:p w14:paraId="7BA37473">
            <w:pPr>
              <w:jc w:val="center"/>
              <w:rPr>
                <w:rFonts w:hint="eastAsia"/>
                <w:color w:val="000000"/>
                <w:szCs w:val="21"/>
              </w:rPr>
            </w:pPr>
            <w:r>
              <w:rPr>
                <w:rFonts w:hint="eastAsia"/>
                <w:color w:val="000000"/>
              </w:rPr>
              <w:t>0.004</w:t>
            </w:r>
            <w:r>
              <w:rPr>
                <w:color w:val="000000"/>
                <w:szCs w:val="21"/>
              </w:rPr>
              <w:t>L</w:t>
            </w:r>
          </w:p>
        </w:tc>
        <w:tc>
          <w:tcPr>
            <w:tcW w:w="1310" w:type="dxa"/>
            <w:noWrap w:val="0"/>
            <w:vAlign w:val="center"/>
          </w:tcPr>
          <w:p w14:paraId="5ACCF28A">
            <w:pPr>
              <w:jc w:val="center"/>
              <w:rPr>
                <w:rFonts w:hint="eastAsia"/>
                <w:color w:val="000000"/>
                <w:szCs w:val="21"/>
              </w:rPr>
            </w:pPr>
            <w:r>
              <w:rPr>
                <w:rFonts w:hint="eastAsia"/>
                <w:color w:val="000000"/>
              </w:rPr>
              <w:t>0.004</w:t>
            </w:r>
            <w:r>
              <w:rPr>
                <w:color w:val="000000"/>
                <w:szCs w:val="21"/>
              </w:rPr>
              <w:t>L</w:t>
            </w:r>
          </w:p>
        </w:tc>
        <w:tc>
          <w:tcPr>
            <w:tcW w:w="1310" w:type="dxa"/>
            <w:noWrap w:val="0"/>
            <w:vAlign w:val="center"/>
          </w:tcPr>
          <w:p w14:paraId="37E72AB1">
            <w:pPr>
              <w:jc w:val="center"/>
              <w:rPr>
                <w:rFonts w:hint="eastAsia"/>
                <w:color w:val="000000"/>
                <w:szCs w:val="21"/>
              </w:rPr>
            </w:pPr>
            <w:r>
              <w:rPr>
                <w:rFonts w:hint="eastAsia"/>
                <w:color w:val="000000"/>
              </w:rPr>
              <w:t>0.004</w:t>
            </w:r>
            <w:r>
              <w:rPr>
                <w:color w:val="000000"/>
                <w:szCs w:val="21"/>
              </w:rPr>
              <w:t>L</w:t>
            </w:r>
          </w:p>
        </w:tc>
        <w:tc>
          <w:tcPr>
            <w:tcW w:w="1310" w:type="dxa"/>
            <w:noWrap w:val="0"/>
            <w:vAlign w:val="center"/>
          </w:tcPr>
          <w:p w14:paraId="4044BE6E">
            <w:pPr>
              <w:jc w:val="center"/>
              <w:rPr>
                <w:rFonts w:hint="eastAsia"/>
                <w:color w:val="000000"/>
                <w:szCs w:val="21"/>
              </w:rPr>
            </w:pPr>
            <w:r>
              <w:rPr>
                <w:rFonts w:hint="eastAsia"/>
                <w:color w:val="000000"/>
              </w:rPr>
              <w:t>0.004</w:t>
            </w:r>
            <w:r>
              <w:rPr>
                <w:color w:val="000000"/>
                <w:szCs w:val="21"/>
              </w:rPr>
              <w:t>L</w:t>
            </w:r>
          </w:p>
        </w:tc>
        <w:tc>
          <w:tcPr>
            <w:tcW w:w="1310" w:type="dxa"/>
            <w:noWrap w:val="0"/>
            <w:vAlign w:val="center"/>
          </w:tcPr>
          <w:p w14:paraId="5924C038">
            <w:pPr>
              <w:jc w:val="center"/>
              <w:rPr>
                <w:rFonts w:hint="eastAsia"/>
                <w:color w:val="000000"/>
                <w:szCs w:val="21"/>
              </w:rPr>
            </w:pPr>
            <w:r>
              <w:rPr>
                <w:rFonts w:hint="eastAsia"/>
                <w:color w:val="000000"/>
              </w:rPr>
              <w:t>0.004</w:t>
            </w:r>
            <w:r>
              <w:rPr>
                <w:color w:val="000000"/>
                <w:szCs w:val="21"/>
              </w:rPr>
              <w:t>L</w:t>
            </w:r>
          </w:p>
        </w:tc>
        <w:tc>
          <w:tcPr>
            <w:tcW w:w="1310" w:type="dxa"/>
            <w:noWrap w:val="0"/>
            <w:vAlign w:val="center"/>
          </w:tcPr>
          <w:p w14:paraId="030E563E">
            <w:pPr>
              <w:jc w:val="center"/>
              <w:rPr>
                <w:rFonts w:hint="eastAsia"/>
                <w:color w:val="000000"/>
                <w:szCs w:val="21"/>
              </w:rPr>
            </w:pPr>
            <w:r>
              <w:rPr>
                <w:rFonts w:hint="eastAsia"/>
                <w:color w:val="000000"/>
              </w:rPr>
              <w:t>0.004</w:t>
            </w:r>
            <w:r>
              <w:rPr>
                <w:color w:val="000000"/>
                <w:szCs w:val="21"/>
              </w:rPr>
              <w:t>L</w:t>
            </w:r>
          </w:p>
        </w:tc>
      </w:tr>
      <w:tr w14:paraId="68E8F71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980" w:type="dxa"/>
            <w:noWrap w:val="0"/>
            <w:vAlign w:val="center"/>
          </w:tcPr>
          <w:p w14:paraId="754D0EA0">
            <w:pPr>
              <w:jc w:val="center"/>
              <w:rPr>
                <w:rFonts w:hint="eastAsia" w:ascii="宋体" w:hAnsi="宋体"/>
                <w:b/>
                <w:color w:val="000000"/>
                <w:szCs w:val="21"/>
              </w:rPr>
            </w:pPr>
            <w:r>
              <w:rPr>
                <w:rFonts w:hint="eastAsia" w:ascii="宋体" w:hAnsi="宋体"/>
                <w:b/>
                <w:color w:val="000000"/>
                <w:szCs w:val="21"/>
              </w:rPr>
              <w:t>总铬</w:t>
            </w:r>
          </w:p>
        </w:tc>
        <w:tc>
          <w:tcPr>
            <w:tcW w:w="1310" w:type="dxa"/>
            <w:noWrap w:val="0"/>
            <w:vAlign w:val="center"/>
          </w:tcPr>
          <w:p w14:paraId="660AC4D6">
            <w:pPr>
              <w:jc w:val="center"/>
              <w:rPr>
                <w:rFonts w:hint="eastAsia"/>
                <w:color w:val="000000"/>
                <w:szCs w:val="21"/>
              </w:rPr>
            </w:pPr>
            <w:r>
              <w:rPr>
                <w:rFonts w:hint="eastAsia"/>
                <w:color w:val="000000"/>
              </w:rPr>
              <w:t>0.01</w:t>
            </w:r>
            <w:r>
              <w:rPr>
                <w:color w:val="000000"/>
                <w:szCs w:val="21"/>
              </w:rPr>
              <w:t>L</w:t>
            </w:r>
          </w:p>
        </w:tc>
        <w:tc>
          <w:tcPr>
            <w:tcW w:w="1310" w:type="dxa"/>
            <w:noWrap w:val="0"/>
            <w:vAlign w:val="center"/>
          </w:tcPr>
          <w:p w14:paraId="719EFEBA">
            <w:pPr>
              <w:jc w:val="center"/>
              <w:rPr>
                <w:rFonts w:hint="eastAsia"/>
                <w:color w:val="000000"/>
                <w:szCs w:val="21"/>
              </w:rPr>
            </w:pPr>
            <w:r>
              <w:rPr>
                <w:rFonts w:hint="eastAsia"/>
                <w:color w:val="000000"/>
              </w:rPr>
              <w:t>0.01</w:t>
            </w:r>
            <w:r>
              <w:rPr>
                <w:color w:val="000000"/>
                <w:szCs w:val="21"/>
              </w:rPr>
              <w:t>L</w:t>
            </w:r>
          </w:p>
        </w:tc>
        <w:tc>
          <w:tcPr>
            <w:tcW w:w="1310" w:type="dxa"/>
            <w:noWrap w:val="0"/>
            <w:vAlign w:val="center"/>
          </w:tcPr>
          <w:p w14:paraId="47884BCD">
            <w:pPr>
              <w:jc w:val="center"/>
              <w:rPr>
                <w:rFonts w:hint="eastAsia"/>
                <w:color w:val="000000"/>
                <w:szCs w:val="21"/>
              </w:rPr>
            </w:pPr>
            <w:r>
              <w:rPr>
                <w:rFonts w:hint="eastAsia"/>
                <w:color w:val="000000"/>
              </w:rPr>
              <w:t>0.01</w:t>
            </w:r>
            <w:r>
              <w:rPr>
                <w:color w:val="000000"/>
                <w:szCs w:val="21"/>
              </w:rPr>
              <w:t>L</w:t>
            </w:r>
          </w:p>
        </w:tc>
        <w:tc>
          <w:tcPr>
            <w:tcW w:w="1310" w:type="dxa"/>
            <w:noWrap w:val="0"/>
            <w:vAlign w:val="center"/>
          </w:tcPr>
          <w:p w14:paraId="35C59264">
            <w:pPr>
              <w:jc w:val="center"/>
              <w:rPr>
                <w:rFonts w:hint="eastAsia"/>
                <w:color w:val="000000"/>
                <w:szCs w:val="21"/>
              </w:rPr>
            </w:pPr>
            <w:r>
              <w:rPr>
                <w:rFonts w:hint="eastAsia"/>
                <w:color w:val="000000"/>
              </w:rPr>
              <w:t>0.01</w:t>
            </w:r>
            <w:r>
              <w:rPr>
                <w:color w:val="000000"/>
                <w:szCs w:val="21"/>
              </w:rPr>
              <w:t>L</w:t>
            </w:r>
          </w:p>
        </w:tc>
        <w:tc>
          <w:tcPr>
            <w:tcW w:w="1310" w:type="dxa"/>
            <w:noWrap w:val="0"/>
            <w:vAlign w:val="center"/>
          </w:tcPr>
          <w:p w14:paraId="3C6A2DEB">
            <w:pPr>
              <w:jc w:val="center"/>
              <w:rPr>
                <w:rFonts w:hint="eastAsia"/>
                <w:color w:val="000000"/>
                <w:szCs w:val="21"/>
              </w:rPr>
            </w:pPr>
            <w:r>
              <w:rPr>
                <w:rFonts w:hint="eastAsia"/>
                <w:color w:val="000000"/>
              </w:rPr>
              <w:t>0.01</w:t>
            </w:r>
            <w:r>
              <w:rPr>
                <w:color w:val="000000"/>
                <w:szCs w:val="21"/>
              </w:rPr>
              <w:t>L</w:t>
            </w:r>
          </w:p>
        </w:tc>
        <w:tc>
          <w:tcPr>
            <w:tcW w:w="1310" w:type="dxa"/>
            <w:noWrap w:val="0"/>
            <w:vAlign w:val="center"/>
          </w:tcPr>
          <w:p w14:paraId="3F7D4729">
            <w:pPr>
              <w:jc w:val="center"/>
              <w:rPr>
                <w:rFonts w:hint="eastAsia"/>
                <w:color w:val="000000"/>
                <w:szCs w:val="21"/>
              </w:rPr>
            </w:pPr>
            <w:r>
              <w:rPr>
                <w:rFonts w:hint="eastAsia"/>
                <w:color w:val="000000"/>
              </w:rPr>
              <w:t>0.01</w:t>
            </w:r>
            <w:r>
              <w:rPr>
                <w:color w:val="000000"/>
                <w:szCs w:val="21"/>
              </w:rPr>
              <w:t>L</w:t>
            </w:r>
          </w:p>
        </w:tc>
      </w:tr>
      <w:tr w14:paraId="7B9DADC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980" w:type="dxa"/>
            <w:noWrap w:val="0"/>
            <w:vAlign w:val="center"/>
          </w:tcPr>
          <w:p w14:paraId="2880B718">
            <w:pPr>
              <w:spacing w:line="240" w:lineRule="exact"/>
              <w:jc w:val="center"/>
              <w:rPr>
                <w:rFonts w:hint="eastAsia" w:ascii="宋体" w:hAnsi="宋体"/>
                <w:b/>
                <w:color w:val="000000"/>
                <w:szCs w:val="21"/>
              </w:rPr>
            </w:pPr>
            <w:r>
              <w:rPr>
                <w:rFonts w:hint="eastAsia" w:ascii="宋体" w:hAnsi="宋体"/>
                <w:b/>
                <w:color w:val="000000"/>
                <w:szCs w:val="21"/>
              </w:rPr>
              <w:t>铅</w:t>
            </w:r>
          </w:p>
        </w:tc>
        <w:tc>
          <w:tcPr>
            <w:tcW w:w="1310" w:type="dxa"/>
            <w:noWrap w:val="0"/>
            <w:vAlign w:val="center"/>
          </w:tcPr>
          <w:p w14:paraId="62F8F720">
            <w:pPr>
              <w:jc w:val="center"/>
              <w:rPr>
                <w:rFonts w:hint="eastAsia"/>
                <w:color w:val="000000"/>
                <w:szCs w:val="21"/>
              </w:rPr>
            </w:pPr>
            <w:r>
              <w:rPr>
                <w:rFonts w:hint="eastAsia"/>
                <w:color w:val="000000"/>
              </w:rPr>
              <w:t>0.05</w:t>
            </w:r>
            <w:r>
              <w:rPr>
                <w:color w:val="000000"/>
                <w:szCs w:val="21"/>
              </w:rPr>
              <w:t>L</w:t>
            </w:r>
          </w:p>
        </w:tc>
        <w:tc>
          <w:tcPr>
            <w:tcW w:w="1310" w:type="dxa"/>
            <w:noWrap w:val="0"/>
            <w:vAlign w:val="center"/>
          </w:tcPr>
          <w:p w14:paraId="4D0B1287">
            <w:pPr>
              <w:jc w:val="center"/>
              <w:rPr>
                <w:rFonts w:hint="eastAsia"/>
                <w:color w:val="000000"/>
                <w:szCs w:val="21"/>
              </w:rPr>
            </w:pPr>
            <w:r>
              <w:rPr>
                <w:rFonts w:hint="eastAsia"/>
                <w:color w:val="000000"/>
              </w:rPr>
              <w:t>0.05</w:t>
            </w:r>
            <w:r>
              <w:rPr>
                <w:color w:val="000000"/>
                <w:szCs w:val="21"/>
              </w:rPr>
              <w:t>L</w:t>
            </w:r>
          </w:p>
        </w:tc>
        <w:tc>
          <w:tcPr>
            <w:tcW w:w="1310" w:type="dxa"/>
            <w:noWrap w:val="0"/>
            <w:vAlign w:val="center"/>
          </w:tcPr>
          <w:p w14:paraId="4B8E0B2A">
            <w:pPr>
              <w:jc w:val="center"/>
              <w:rPr>
                <w:rFonts w:hint="eastAsia"/>
                <w:color w:val="000000"/>
                <w:szCs w:val="21"/>
              </w:rPr>
            </w:pPr>
            <w:r>
              <w:rPr>
                <w:rFonts w:hint="eastAsia"/>
                <w:color w:val="000000"/>
              </w:rPr>
              <w:t>0.05</w:t>
            </w:r>
            <w:r>
              <w:rPr>
                <w:color w:val="000000"/>
                <w:szCs w:val="21"/>
              </w:rPr>
              <w:t>L</w:t>
            </w:r>
          </w:p>
        </w:tc>
        <w:tc>
          <w:tcPr>
            <w:tcW w:w="1310" w:type="dxa"/>
            <w:noWrap w:val="0"/>
            <w:vAlign w:val="center"/>
          </w:tcPr>
          <w:p w14:paraId="4FEF5856">
            <w:pPr>
              <w:jc w:val="center"/>
              <w:rPr>
                <w:rFonts w:hint="eastAsia"/>
                <w:color w:val="000000"/>
                <w:szCs w:val="21"/>
              </w:rPr>
            </w:pPr>
            <w:r>
              <w:rPr>
                <w:rFonts w:hint="eastAsia"/>
                <w:color w:val="000000"/>
              </w:rPr>
              <w:t>0.05</w:t>
            </w:r>
            <w:r>
              <w:rPr>
                <w:color w:val="000000"/>
                <w:szCs w:val="21"/>
              </w:rPr>
              <w:t>L</w:t>
            </w:r>
          </w:p>
        </w:tc>
        <w:tc>
          <w:tcPr>
            <w:tcW w:w="1310" w:type="dxa"/>
            <w:noWrap w:val="0"/>
            <w:vAlign w:val="center"/>
          </w:tcPr>
          <w:p w14:paraId="19E9F7FE">
            <w:pPr>
              <w:jc w:val="center"/>
              <w:rPr>
                <w:rFonts w:hint="eastAsia"/>
                <w:color w:val="000000"/>
                <w:szCs w:val="21"/>
              </w:rPr>
            </w:pPr>
            <w:r>
              <w:rPr>
                <w:rFonts w:hint="eastAsia"/>
                <w:color w:val="000000"/>
              </w:rPr>
              <w:t>0.05</w:t>
            </w:r>
            <w:r>
              <w:rPr>
                <w:color w:val="000000"/>
                <w:szCs w:val="21"/>
              </w:rPr>
              <w:t>L</w:t>
            </w:r>
          </w:p>
        </w:tc>
        <w:tc>
          <w:tcPr>
            <w:tcW w:w="1310" w:type="dxa"/>
            <w:noWrap w:val="0"/>
            <w:vAlign w:val="center"/>
          </w:tcPr>
          <w:p w14:paraId="37D34A33">
            <w:pPr>
              <w:jc w:val="center"/>
              <w:rPr>
                <w:rFonts w:hint="eastAsia"/>
                <w:color w:val="000000"/>
                <w:szCs w:val="21"/>
              </w:rPr>
            </w:pPr>
            <w:r>
              <w:rPr>
                <w:rFonts w:hint="eastAsia"/>
                <w:color w:val="000000"/>
              </w:rPr>
              <w:t>0.05</w:t>
            </w:r>
            <w:r>
              <w:rPr>
                <w:color w:val="000000"/>
                <w:szCs w:val="21"/>
              </w:rPr>
              <w:t>L</w:t>
            </w:r>
          </w:p>
        </w:tc>
      </w:tr>
      <w:tr w14:paraId="2C3C6B7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980" w:type="dxa"/>
            <w:noWrap w:val="0"/>
            <w:vAlign w:val="center"/>
          </w:tcPr>
          <w:p w14:paraId="54FEDE19">
            <w:pPr>
              <w:spacing w:line="240" w:lineRule="exact"/>
              <w:jc w:val="center"/>
              <w:rPr>
                <w:rFonts w:hint="eastAsia" w:ascii="宋体" w:hAnsi="宋体"/>
                <w:b/>
                <w:color w:val="000000"/>
                <w:szCs w:val="21"/>
              </w:rPr>
            </w:pPr>
            <w:r>
              <w:rPr>
                <w:rFonts w:hint="eastAsia" w:ascii="宋体" w:hAnsi="宋体"/>
                <w:b/>
                <w:color w:val="000000"/>
                <w:szCs w:val="21"/>
              </w:rPr>
              <w:t>镉</w:t>
            </w:r>
          </w:p>
        </w:tc>
        <w:tc>
          <w:tcPr>
            <w:tcW w:w="1310" w:type="dxa"/>
            <w:noWrap w:val="0"/>
            <w:vAlign w:val="center"/>
          </w:tcPr>
          <w:p w14:paraId="3CB6E4BE">
            <w:pPr>
              <w:jc w:val="center"/>
              <w:rPr>
                <w:rFonts w:hint="eastAsia"/>
                <w:color w:val="000000"/>
                <w:szCs w:val="21"/>
              </w:rPr>
            </w:pPr>
            <w:r>
              <w:rPr>
                <w:rFonts w:hint="eastAsia"/>
                <w:color w:val="000000"/>
              </w:rPr>
              <w:t>0.003</w:t>
            </w:r>
            <w:r>
              <w:rPr>
                <w:color w:val="000000"/>
                <w:szCs w:val="21"/>
              </w:rPr>
              <w:t>L</w:t>
            </w:r>
          </w:p>
        </w:tc>
        <w:tc>
          <w:tcPr>
            <w:tcW w:w="1310" w:type="dxa"/>
            <w:noWrap w:val="0"/>
            <w:vAlign w:val="center"/>
          </w:tcPr>
          <w:p w14:paraId="5555117D">
            <w:pPr>
              <w:jc w:val="center"/>
              <w:rPr>
                <w:rFonts w:hint="eastAsia"/>
                <w:color w:val="000000"/>
                <w:szCs w:val="21"/>
              </w:rPr>
            </w:pPr>
            <w:r>
              <w:rPr>
                <w:rFonts w:hint="eastAsia"/>
                <w:color w:val="000000"/>
              </w:rPr>
              <w:t>0.003</w:t>
            </w:r>
            <w:r>
              <w:rPr>
                <w:color w:val="000000"/>
                <w:szCs w:val="21"/>
              </w:rPr>
              <w:t>L</w:t>
            </w:r>
          </w:p>
        </w:tc>
        <w:tc>
          <w:tcPr>
            <w:tcW w:w="1310" w:type="dxa"/>
            <w:noWrap w:val="0"/>
            <w:vAlign w:val="center"/>
          </w:tcPr>
          <w:p w14:paraId="10F2F1AF">
            <w:pPr>
              <w:jc w:val="center"/>
              <w:rPr>
                <w:rFonts w:hint="eastAsia"/>
                <w:color w:val="000000"/>
                <w:szCs w:val="21"/>
              </w:rPr>
            </w:pPr>
            <w:r>
              <w:rPr>
                <w:rFonts w:hint="eastAsia"/>
                <w:color w:val="000000"/>
              </w:rPr>
              <w:t>0.003</w:t>
            </w:r>
            <w:r>
              <w:rPr>
                <w:color w:val="000000"/>
                <w:szCs w:val="21"/>
              </w:rPr>
              <w:t>L</w:t>
            </w:r>
          </w:p>
        </w:tc>
        <w:tc>
          <w:tcPr>
            <w:tcW w:w="1310" w:type="dxa"/>
            <w:noWrap w:val="0"/>
            <w:vAlign w:val="center"/>
          </w:tcPr>
          <w:p w14:paraId="6E961524">
            <w:pPr>
              <w:jc w:val="center"/>
              <w:rPr>
                <w:rFonts w:hint="eastAsia"/>
                <w:color w:val="000000"/>
                <w:szCs w:val="21"/>
              </w:rPr>
            </w:pPr>
            <w:r>
              <w:rPr>
                <w:rFonts w:hint="eastAsia"/>
                <w:color w:val="000000"/>
              </w:rPr>
              <w:t>0.003</w:t>
            </w:r>
            <w:r>
              <w:rPr>
                <w:color w:val="000000"/>
                <w:szCs w:val="21"/>
              </w:rPr>
              <w:t>L</w:t>
            </w:r>
          </w:p>
        </w:tc>
        <w:tc>
          <w:tcPr>
            <w:tcW w:w="1310" w:type="dxa"/>
            <w:noWrap w:val="0"/>
            <w:vAlign w:val="center"/>
          </w:tcPr>
          <w:p w14:paraId="6210B251">
            <w:pPr>
              <w:jc w:val="center"/>
              <w:rPr>
                <w:rFonts w:hint="eastAsia"/>
                <w:color w:val="000000"/>
                <w:szCs w:val="21"/>
              </w:rPr>
            </w:pPr>
            <w:r>
              <w:rPr>
                <w:rFonts w:hint="eastAsia"/>
                <w:color w:val="000000"/>
              </w:rPr>
              <w:t>0.003</w:t>
            </w:r>
            <w:r>
              <w:rPr>
                <w:color w:val="000000"/>
                <w:szCs w:val="21"/>
              </w:rPr>
              <w:t>L</w:t>
            </w:r>
          </w:p>
        </w:tc>
        <w:tc>
          <w:tcPr>
            <w:tcW w:w="1310" w:type="dxa"/>
            <w:noWrap w:val="0"/>
            <w:vAlign w:val="center"/>
          </w:tcPr>
          <w:p w14:paraId="26B999B1">
            <w:pPr>
              <w:jc w:val="center"/>
              <w:rPr>
                <w:rFonts w:hint="eastAsia"/>
                <w:color w:val="000000"/>
                <w:szCs w:val="21"/>
              </w:rPr>
            </w:pPr>
            <w:r>
              <w:rPr>
                <w:rFonts w:hint="eastAsia"/>
                <w:color w:val="000000"/>
              </w:rPr>
              <w:t>0.003</w:t>
            </w:r>
            <w:r>
              <w:rPr>
                <w:color w:val="000000"/>
                <w:szCs w:val="21"/>
              </w:rPr>
              <w:t>L</w:t>
            </w:r>
          </w:p>
        </w:tc>
      </w:tr>
      <w:tr w14:paraId="62516F2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980" w:type="dxa"/>
            <w:noWrap w:val="0"/>
            <w:vAlign w:val="center"/>
          </w:tcPr>
          <w:p w14:paraId="5E45C2FE">
            <w:pPr>
              <w:spacing w:line="240" w:lineRule="exact"/>
              <w:jc w:val="center"/>
              <w:rPr>
                <w:rFonts w:hint="eastAsia" w:ascii="宋体" w:hAnsi="宋体"/>
                <w:b/>
                <w:color w:val="000000"/>
                <w:szCs w:val="21"/>
              </w:rPr>
            </w:pPr>
            <w:r>
              <w:rPr>
                <w:rFonts w:hint="eastAsia" w:ascii="宋体" w:hAnsi="宋体"/>
                <w:b/>
                <w:color w:val="000000"/>
                <w:szCs w:val="21"/>
              </w:rPr>
              <w:t>银</w:t>
            </w:r>
          </w:p>
        </w:tc>
        <w:tc>
          <w:tcPr>
            <w:tcW w:w="1310" w:type="dxa"/>
            <w:noWrap w:val="0"/>
            <w:vAlign w:val="center"/>
          </w:tcPr>
          <w:p w14:paraId="25BB33A9">
            <w:pPr>
              <w:jc w:val="center"/>
              <w:rPr>
                <w:rFonts w:hint="eastAsia"/>
                <w:color w:val="000000"/>
                <w:szCs w:val="21"/>
              </w:rPr>
            </w:pPr>
            <w:r>
              <w:rPr>
                <w:rFonts w:hint="eastAsia"/>
                <w:color w:val="000000"/>
              </w:rPr>
              <w:t>0.013</w:t>
            </w:r>
            <w:r>
              <w:rPr>
                <w:color w:val="000000"/>
                <w:szCs w:val="21"/>
              </w:rPr>
              <w:t>L</w:t>
            </w:r>
          </w:p>
        </w:tc>
        <w:tc>
          <w:tcPr>
            <w:tcW w:w="1310" w:type="dxa"/>
            <w:noWrap w:val="0"/>
            <w:vAlign w:val="center"/>
          </w:tcPr>
          <w:p w14:paraId="68AC63DB">
            <w:pPr>
              <w:jc w:val="center"/>
              <w:rPr>
                <w:rFonts w:hint="eastAsia"/>
                <w:color w:val="000000"/>
                <w:szCs w:val="21"/>
              </w:rPr>
            </w:pPr>
            <w:r>
              <w:rPr>
                <w:rFonts w:hint="eastAsia"/>
                <w:color w:val="000000"/>
              </w:rPr>
              <w:t>0.013</w:t>
            </w:r>
            <w:r>
              <w:rPr>
                <w:color w:val="000000"/>
                <w:szCs w:val="21"/>
              </w:rPr>
              <w:t>L</w:t>
            </w:r>
          </w:p>
        </w:tc>
        <w:tc>
          <w:tcPr>
            <w:tcW w:w="1310" w:type="dxa"/>
            <w:noWrap w:val="0"/>
            <w:vAlign w:val="center"/>
          </w:tcPr>
          <w:p w14:paraId="5538D75C">
            <w:pPr>
              <w:jc w:val="center"/>
              <w:rPr>
                <w:rFonts w:hint="eastAsia"/>
                <w:color w:val="000000"/>
                <w:szCs w:val="21"/>
              </w:rPr>
            </w:pPr>
            <w:r>
              <w:rPr>
                <w:rFonts w:hint="eastAsia"/>
                <w:color w:val="000000"/>
              </w:rPr>
              <w:t>0.013</w:t>
            </w:r>
            <w:r>
              <w:rPr>
                <w:color w:val="000000"/>
                <w:szCs w:val="21"/>
              </w:rPr>
              <w:t>L</w:t>
            </w:r>
          </w:p>
        </w:tc>
        <w:tc>
          <w:tcPr>
            <w:tcW w:w="1310" w:type="dxa"/>
            <w:noWrap w:val="0"/>
            <w:vAlign w:val="center"/>
          </w:tcPr>
          <w:p w14:paraId="47649A5F">
            <w:pPr>
              <w:jc w:val="center"/>
              <w:rPr>
                <w:rFonts w:hint="eastAsia"/>
                <w:color w:val="000000"/>
                <w:szCs w:val="21"/>
              </w:rPr>
            </w:pPr>
            <w:r>
              <w:rPr>
                <w:rFonts w:hint="eastAsia"/>
                <w:color w:val="000000"/>
              </w:rPr>
              <w:t>0.013</w:t>
            </w:r>
            <w:r>
              <w:rPr>
                <w:color w:val="000000"/>
                <w:szCs w:val="21"/>
              </w:rPr>
              <w:t>L</w:t>
            </w:r>
          </w:p>
        </w:tc>
        <w:tc>
          <w:tcPr>
            <w:tcW w:w="1310" w:type="dxa"/>
            <w:noWrap w:val="0"/>
            <w:vAlign w:val="center"/>
          </w:tcPr>
          <w:p w14:paraId="116EE6BB">
            <w:pPr>
              <w:jc w:val="center"/>
              <w:rPr>
                <w:rFonts w:hint="eastAsia"/>
                <w:color w:val="000000"/>
                <w:szCs w:val="21"/>
              </w:rPr>
            </w:pPr>
            <w:r>
              <w:rPr>
                <w:rFonts w:hint="eastAsia"/>
                <w:color w:val="000000"/>
              </w:rPr>
              <w:t>0.013</w:t>
            </w:r>
            <w:r>
              <w:rPr>
                <w:color w:val="000000"/>
                <w:szCs w:val="21"/>
              </w:rPr>
              <w:t>L</w:t>
            </w:r>
          </w:p>
        </w:tc>
        <w:tc>
          <w:tcPr>
            <w:tcW w:w="1310" w:type="dxa"/>
            <w:noWrap w:val="0"/>
            <w:vAlign w:val="center"/>
          </w:tcPr>
          <w:p w14:paraId="68134214">
            <w:pPr>
              <w:jc w:val="center"/>
              <w:rPr>
                <w:rFonts w:hint="eastAsia"/>
                <w:color w:val="000000"/>
                <w:szCs w:val="21"/>
              </w:rPr>
            </w:pPr>
            <w:r>
              <w:rPr>
                <w:rFonts w:hint="eastAsia"/>
                <w:color w:val="000000"/>
              </w:rPr>
              <w:t>0.013</w:t>
            </w:r>
            <w:r>
              <w:rPr>
                <w:color w:val="000000"/>
                <w:szCs w:val="21"/>
              </w:rPr>
              <w:t>L</w:t>
            </w:r>
          </w:p>
        </w:tc>
      </w:tr>
      <w:tr w14:paraId="004242D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980" w:type="dxa"/>
            <w:noWrap w:val="0"/>
            <w:vAlign w:val="center"/>
          </w:tcPr>
          <w:p w14:paraId="112DE157">
            <w:pPr>
              <w:spacing w:line="240" w:lineRule="exact"/>
              <w:jc w:val="center"/>
              <w:rPr>
                <w:rFonts w:hint="eastAsia" w:ascii="宋体" w:hAnsi="宋体"/>
                <w:b/>
                <w:color w:val="000000"/>
                <w:szCs w:val="21"/>
              </w:rPr>
            </w:pPr>
            <w:r>
              <w:rPr>
                <w:rFonts w:hint="eastAsia" w:ascii="宋体" w:hAnsi="宋体"/>
                <w:b/>
                <w:color w:val="000000"/>
                <w:szCs w:val="21"/>
              </w:rPr>
              <w:t>砷</w:t>
            </w:r>
          </w:p>
        </w:tc>
        <w:tc>
          <w:tcPr>
            <w:tcW w:w="1310" w:type="dxa"/>
            <w:noWrap w:val="0"/>
            <w:vAlign w:val="center"/>
          </w:tcPr>
          <w:p w14:paraId="1CB19585">
            <w:pPr>
              <w:ind w:left="-105" w:right="-105"/>
              <w:jc w:val="center"/>
              <w:rPr>
                <w:rFonts w:hint="eastAsia"/>
                <w:color w:val="000000"/>
                <w:szCs w:val="21"/>
              </w:rPr>
            </w:pPr>
            <w:r>
              <w:rPr>
                <w:rFonts w:hint="eastAsia"/>
                <w:color w:val="000000"/>
                <w:szCs w:val="21"/>
              </w:rPr>
              <w:t>0.0011</w:t>
            </w:r>
          </w:p>
        </w:tc>
        <w:tc>
          <w:tcPr>
            <w:tcW w:w="1310" w:type="dxa"/>
            <w:noWrap w:val="0"/>
            <w:vAlign w:val="center"/>
          </w:tcPr>
          <w:p w14:paraId="3BB43108">
            <w:pPr>
              <w:ind w:left="-105" w:right="-105"/>
              <w:jc w:val="center"/>
              <w:rPr>
                <w:rFonts w:hint="eastAsia"/>
                <w:color w:val="000000"/>
                <w:szCs w:val="21"/>
              </w:rPr>
            </w:pPr>
            <w:r>
              <w:rPr>
                <w:rFonts w:hint="eastAsia"/>
                <w:color w:val="000000"/>
                <w:szCs w:val="21"/>
              </w:rPr>
              <w:t>0.0011</w:t>
            </w:r>
          </w:p>
        </w:tc>
        <w:tc>
          <w:tcPr>
            <w:tcW w:w="1310" w:type="dxa"/>
            <w:noWrap w:val="0"/>
            <w:vAlign w:val="center"/>
          </w:tcPr>
          <w:p w14:paraId="72145423">
            <w:pPr>
              <w:ind w:left="-105" w:right="-105"/>
              <w:jc w:val="center"/>
              <w:rPr>
                <w:rFonts w:hint="eastAsia"/>
                <w:color w:val="000000"/>
                <w:szCs w:val="21"/>
              </w:rPr>
            </w:pPr>
            <w:r>
              <w:rPr>
                <w:rFonts w:hint="eastAsia"/>
                <w:color w:val="000000"/>
                <w:szCs w:val="21"/>
              </w:rPr>
              <w:t>0.0010</w:t>
            </w:r>
          </w:p>
        </w:tc>
        <w:tc>
          <w:tcPr>
            <w:tcW w:w="1310" w:type="dxa"/>
            <w:noWrap w:val="0"/>
            <w:vAlign w:val="center"/>
          </w:tcPr>
          <w:p w14:paraId="56D3A959">
            <w:pPr>
              <w:ind w:left="-105" w:right="-105"/>
              <w:jc w:val="center"/>
              <w:rPr>
                <w:rFonts w:hint="eastAsia"/>
                <w:color w:val="000000"/>
                <w:szCs w:val="21"/>
              </w:rPr>
            </w:pPr>
            <w:r>
              <w:rPr>
                <w:rFonts w:hint="eastAsia"/>
                <w:color w:val="000000"/>
                <w:szCs w:val="21"/>
              </w:rPr>
              <w:t>0.0011</w:t>
            </w:r>
          </w:p>
        </w:tc>
        <w:tc>
          <w:tcPr>
            <w:tcW w:w="1310" w:type="dxa"/>
            <w:noWrap w:val="0"/>
            <w:vAlign w:val="center"/>
          </w:tcPr>
          <w:p w14:paraId="3033DD02">
            <w:pPr>
              <w:ind w:left="-105" w:right="-105"/>
              <w:jc w:val="center"/>
              <w:rPr>
                <w:rFonts w:hint="eastAsia"/>
                <w:color w:val="000000"/>
                <w:szCs w:val="21"/>
              </w:rPr>
            </w:pPr>
            <w:r>
              <w:rPr>
                <w:rFonts w:hint="eastAsia"/>
                <w:color w:val="000000"/>
                <w:szCs w:val="21"/>
              </w:rPr>
              <w:t>0.0011</w:t>
            </w:r>
          </w:p>
        </w:tc>
        <w:tc>
          <w:tcPr>
            <w:tcW w:w="1310" w:type="dxa"/>
            <w:noWrap w:val="0"/>
            <w:vAlign w:val="center"/>
          </w:tcPr>
          <w:p w14:paraId="35687837">
            <w:pPr>
              <w:ind w:left="-105" w:right="-105"/>
              <w:jc w:val="center"/>
              <w:rPr>
                <w:rFonts w:hint="eastAsia"/>
                <w:color w:val="000000"/>
                <w:szCs w:val="21"/>
              </w:rPr>
            </w:pPr>
            <w:r>
              <w:rPr>
                <w:rFonts w:hint="eastAsia"/>
                <w:color w:val="000000"/>
                <w:szCs w:val="21"/>
              </w:rPr>
              <w:t>0.0011</w:t>
            </w:r>
          </w:p>
        </w:tc>
      </w:tr>
      <w:tr w14:paraId="6A12F5F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980" w:type="dxa"/>
            <w:noWrap w:val="0"/>
            <w:vAlign w:val="center"/>
          </w:tcPr>
          <w:p w14:paraId="3122F1ED">
            <w:pPr>
              <w:spacing w:line="240" w:lineRule="exact"/>
              <w:jc w:val="center"/>
              <w:rPr>
                <w:rFonts w:hint="eastAsia" w:ascii="宋体" w:hAnsi="宋体"/>
                <w:b/>
                <w:color w:val="000000"/>
                <w:szCs w:val="21"/>
              </w:rPr>
            </w:pPr>
            <w:r>
              <w:rPr>
                <w:rFonts w:hint="eastAsia" w:ascii="宋体" w:hAnsi="宋体"/>
                <w:b/>
                <w:color w:val="000000"/>
                <w:szCs w:val="21"/>
              </w:rPr>
              <w:t>汞</w:t>
            </w:r>
          </w:p>
        </w:tc>
        <w:tc>
          <w:tcPr>
            <w:tcW w:w="1310" w:type="dxa"/>
            <w:noWrap w:val="0"/>
            <w:vAlign w:val="center"/>
          </w:tcPr>
          <w:p w14:paraId="13D434AC">
            <w:pPr>
              <w:ind w:left="-105" w:right="-105"/>
              <w:jc w:val="center"/>
              <w:rPr>
                <w:rFonts w:hint="eastAsia"/>
                <w:color w:val="000000"/>
                <w:szCs w:val="21"/>
              </w:rPr>
            </w:pPr>
            <w:r>
              <w:rPr>
                <w:rFonts w:hint="eastAsia"/>
                <w:color w:val="000000"/>
              </w:rPr>
              <w:t>0.00002</w:t>
            </w:r>
            <w:r>
              <w:rPr>
                <w:color w:val="000000"/>
                <w:szCs w:val="21"/>
              </w:rPr>
              <w:t>L</w:t>
            </w:r>
          </w:p>
        </w:tc>
        <w:tc>
          <w:tcPr>
            <w:tcW w:w="1310" w:type="dxa"/>
            <w:noWrap w:val="0"/>
            <w:vAlign w:val="center"/>
          </w:tcPr>
          <w:p w14:paraId="76E97F9E">
            <w:pPr>
              <w:ind w:left="-105" w:right="-105"/>
              <w:jc w:val="center"/>
              <w:rPr>
                <w:rFonts w:hint="eastAsia"/>
                <w:color w:val="000000"/>
                <w:szCs w:val="21"/>
              </w:rPr>
            </w:pPr>
            <w:r>
              <w:rPr>
                <w:rFonts w:hint="eastAsia"/>
                <w:color w:val="000000"/>
              </w:rPr>
              <w:t>0.00002</w:t>
            </w:r>
            <w:r>
              <w:rPr>
                <w:color w:val="000000"/>
                <w:szCs w:val="21"/>
              </w:rPr>
              <w:t>L</w:t>
            </w:r>
          </w:p>
        </w:tc>
        <w:tc>
          <w:tcPr>
            <w:tcW w:w="1310" w:type="dxa"/>
            <w:noWrap w:val="0"/>
            <w:vAlign w:val="center"/>
          </w:tcPr>
          <w:p w14:paraId="6CEF3CEB">
            <w:pPr>
              <w:ind w:left="-105" w:right="-105"/>
              <w:jc w:val="center"/>
              <w:rPr>
                <w:rFonts w:hint="eastAsia"/>
                <w:color w:val="000000"/>
                <w:szCs w:val="21"/>
              </w:rPr>
            </w:pPr>
            <w:r>
              <w:rPr>
                <w:rFonts w:hint="eastAsia"/>
                <w:color w:val="000000"/>
              </w:rPr>
              <w:t>0.00002</w:t>
            </w:r>
            <w:r>
              <w:rPr>
                <w:color w:val="000000"/>
                <w:szCs w:val="21"/>
              </w:rPr>
              <w:t>L</w:t>
            </w:r>
          </w:p>
        </w:tc>
        <w:tc>
          <w:tcPr>
            <w:tcW w:w="1310" w:type="dxa"/>
            <w:noWrap w:val="0"/>
            <w:vAlign w:val="center"/>
          </w:tcPr>
          <w:p w14:paraId="78FC2DBC">
            <w:pPr>
              <w:ind w:left="-105" w:right="-105"/>
              <w:jc w:val="center"/>
              <w:rPr>
                <w:rFonts w:hint="eastAsia"/>
                <w:color w:val="000000"/>
                <w:szCs w:val="21"/>
              </w:rPr>
            </w:pPr>
            <w:r>
              <w:rPr>
                <w:rFonts w:hint="eastAsia"/>
                <w:color w:val="000000"/>
              </w:rPr>
              <w:t>0.00002</w:t>
            </w:r>
            <w:r>
              <w:rPr>
                <w:color w:val="000000"/>
                <w:szCs w:val="21"/>
              </w:rPr>
              <w:t>L</w:t>
            </w:r>
          </w:p>
        </w:tc>
        <w:tc>
          <w:tcPr>
            <w:tcW w:w="1310" w:type="dxa"/>
            <w:noWrap w:val="0"/>
            <w:vAlign w:val="center"/>
          </w:tcPr>
          <w:p w14:paraId="3FE9CCDA">
            <w:pPr>
              <w:ind w:left="-105" w:right="-105"/>
              <w:jc w:val="center"/>
              <w:rPr>
                <w:rFonts w:hint="eastAsia"/>
                <w:color w:val="000000"/>
                <w:szCs w:val="21"/>
              </w:rPr>
            </w:pPr>
            <w:r>
              <w:rPr>
                <w:rFonts w:hint="eastAsia"/>
                <w:color w:val="000000"/>
              </w:rPr>
              <w:t>0.00002</w:t>
            </w:r>
            <w:r>
              <w:rPr>
                <w:color w:val="000000"/>
                <w:szCs w:val="21"/>
              </w:rPr>
              <w:t>L</w:t>
            </w:r>
          </w:p>
        </w:tc>
        <w:tc>
          <w:tcPr>
            <w:tcW w:w="1310" w:type="dxa"/>
            <w:noWrap w:val="0"/>
            <w:vAlign w:val="center"/>
          </w:tcPr>
          <w:p w14:paraId="68D34D77">
            <w:pPr>
              <w:ind w:left="-105" w:right="-105"/>
              <w:jc w:val="center"/>
              <w:rPr>
                <w:rFonts w:hint="eastAsia"/>
                <w:color w:val="000000"/>
                <w:szCs w:val="21"/>
              </w:rPr>
            </w:pPr>
            <w:r>
              <w:rPr>
                <w:rFonts w:hint="eastAsia"/>
                <w:color w:val="000000"/>
              </w:rPr>
              <w:t>0.00002</w:t>
            </w:r>
            <w:r>
              <w:rPr>
                <w:color w:val="000000"/>
                <w:szCs w:val="21"/>
              </w:rPr>
              <w:t>L</w:t>
            </w:r>
          </w:p>
        </w:tc>
      </w:tr>
    </w:tbl>
    <w:p w14:paraId="3ED0FB3C">
      <w:pPr>
        <w:rPr>
          <w:rFonts w:hint="eastAsia"/>
          <w:b/>
          <w:color w:val="000000"/>
          <w:sz w:val="30"/>
          <w:szCs w:val="30"/>
        </w:rPr>
      </w:pPr>
    </w:p>
    <w:p w14:paraId="77DA670B">
      <w:pPr>
        <w:spacing w:line="400" w:lineRule="exact"/>
        <w:outlineLvl w:val="0"/>
        <w:rPr>
          <w:rFonts w:hint="eastAsia" w:ascii="宋体" w:hAnsi="宋体"/>
          <w:b/>
          <w:color w:val="000000"/>
          <w:sz w:val="24"/>
        </w:rPr>
      </w:pPr>
      <w:r>
        <w:rPr>
          <w:rFonts w:hint="eastAsia"/>
          <w:b/>
          <w:color w:val="000000"/>
          <w:sz w:val="30"/>
          <w:szCs w:val="30"/>
        </w:rPr>
        <w:t>四</w:t>
      </w:r>
      <w:r>
        <w:rPr>
          <w:b/>
          <w:color w:val="000000"/>
          <w:sz w:val="30"/>
          <w:szCs w:val="30"/>
        </w:rPr>
        <w:t>、</w:t>
      </w:r>
      <w:r>
        <w:rPr>
          <w:rFonts w:hint="eastAsia"/>
          <w:b/>
          <w:color w:val="000000"/>
          <w:sz w:val="30"/>
          <w:szCs w:val="30"/>
        </w:rPr>
        <w:t>无组织排放监测结果一览表</w:t>
      </w:r>
    </w:p>
    <w:p w14:paraId="37B5A52D">
      <w:pPr>
        <w:spacing w:line="440" w:lineRule="exact"/>
        <w:ind w:right="-693"/>
        <w:jc w:val="center"/>
        <w:outlineLvl w:val="0"/>
        <w:rPr>
          <w:rFonts w:hint="eastAsia" w:ascii="宋体" w:hAnsi="宋体"/>
          <w:color w:val="000000"/>
          <w:sz w:val="24"/>
        </w:rPr>
      </w:pPr>
      <w:r>
        <w:rPr>
          <w:rFonts w:hint="eastAsia" w:ascii="宋体" w:hAnsi="宋体"/>
          <w:color w:val="000000"/>
          <w:sz w:val="24"/>
        </w:rPr>
        <w:t xml:space="preserve">                                                           </w:t>
      </w:r>
      <w:r>
        <w:rPr>
          <w:rFonts w:hint="eastAsia" w:ascii="宋体" w:hAnsi="宋体"/>
          <w:bCs/>
          <w:color w:val="000000"/>
          <w:sz w:val="24"/>
        </w:rPr>
        <w:t>单位mg/m</w:t>
      </w:r>
      <w:r>
        <w:rPr>
          <w:rFonts w:hint="eastAsia" w:ascii="宋体" w:hAnsi="宋体"/>
          <w:bCs/>
          <w:color w:val="000000"/>
          <w:sz w:val="24"/>
          <w:vertAlign w:val="superscript"/>
        </w:rPr>
        <w:t>3</w:t>
      </w:r>
      <w:r>
        <w:rPr>
          <w:rFonts w:hint="eastAsia" w:ascii="宋体" w:hAnsi="宋体"/>
          <w:bCs/>
          <w:color w:val="000000"/>
          <w:sz w:val="24"/>
        </w:rPr>
        <w:t>（标态）</w:t>
      </w:r>
    </w:p>
    <w:tbl>
      <w:tblPr>
        <w:tblStyle w:val="27"/>
        <w:tblpPr w:leftFromText="180" w:rightFromText="180" w:vertAnchor="text" w:horzAnchor="margin" w:tblpXSpec="center" w:tblpY="118"/>
        <w:tblW w:w="0" w:type="auto"/>
        <w:tblInd w:w="-108"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1260"/>
        <w:gridCol w:w="1446"/>
        <w:gridCol w:w="1949"/>
        <w:gridCol w:w="1949"/>
        <w:gridCol w:w="1949"/>
        <w:gridCol w:w="1949"/>
      </w:tblGrid>
      <w:tr w14:paraId="0D1D6BFF">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599" w:hRule="atLeast"/>
        </w:trPr>
        <w:tc>
          <w:tcPr>
            <w:tcW w:w="2706" w:type="dxa"/>
            <w:gridSpan w:val="2"/>
            <w:vMerge w:val="restart"/>
            <w:noWrap w:val="0"/>
            <w:vAlign w:val="center"/>
          </w:tcPr>
          <w:p w14:paraId="07111359">
            <w:pPr>
              <w:jc w:val="center"/>
              <w:rPr>
                <w:rFonts w:hAnsi="宋体"/>
                <w:color w:val="000000"/>
              </w:rPr>
            </w:pPr>
            <w:r>
              <w:rPr>
                <w:rFonts w:hAnsi="宋体"/>
                <w:color w:val="000000"/>
              </w:rPr>
              <mc:AlternateContent>
                <mc:Choice Requires="wpg">
                  <w:drawing>
                    <wp:anchor distT="0" distB="0" distL="114300" distR="114300" simplePos="0" relativeHeight="251660288" behindDoc="0" locked="0" layoutInCell="1" allowOverlap="1">
                      <wp:simplePos x="0" y="0"/>
                      <wp:positionH relativeFrom="column">
                        <wp:posOffset>-58420</wp:posOffset>
                      </wp:positionH>
                      <wp:positionV relativeFrom="paragraph">
                        <wp:posOffset>0</wp:posOffset>
                      </wp:positionV>
                      <wp:extent cx="1716405" cy="745490"/>
                      <wp:effectExtent l="0" t="0" r="0" b="0"/>
                      <wp:wrapNone/>
                      <wp:docPr id="211" name="_x0000_s1340"/>
                      <wp:cNvGraphicFramePr/>
                      <a:graphic xmlns:a="http://schemas.openxmlformats.org/drawingml/2006/main">
                        <a:graphicData uri="http://schemas.microsoft.com/office/word/2010/wordprocessingGroup">
                          <wpg:wgp>
                            <wpg:cNvGrpSpPr/>
                            <wpg:grpSpPr>
                              <a:xfrm>
                                <a:off x="0" y="0"/>
                                <a:ext cx="1716405" cy="745490"/>
                                <a:chOff x="1144" y="9985"/>
                                <a:chExt cx="3175" cy="1261"/>
                              </a:xfrm>
                            </wpg:grpSpPr>
                            <wps:wsp>
                              <wps:cNvPr id="212" name="直接连接符 212"/>
                              <wps:cNvCnPr/>
                              <wps:spPr bwMode="auto">
                                <a:xfrm>
                                  <a:off x="1144" y="9985"/>
                                  <a:ext cx="3175" cy="631"/>
                                </a:xfrm>
                                <a:prstGeom prst="line">
                                  <a:avLst/>
                                </a:prstGeom>
                                <a:solidFill>
                                  <a:srgbClr val="FFFFFF"/>
                                </a:solidFill>
                                <a:ln>
                                  <a:solidFill>
                                    <a:srgbClr val="000000"/>
                                  </a:solidFill>
                                </a:ln>
                              </wps:spPr>
                              <wps:bodyPr rot="0">
                                <a:noAutofit/>
                              </wps:bodyPr>
                            </wps:wsp>
                            <wps:wsp>
                              <wps:cNvPr id="213" name="直接连接符 213"/>
                              <wps:cNvCnPr/>
                              <wps:spPr bwMode="auto">
                                <a:xfrm>
                                  <a:off x="1144" y="9985"/>
                                  <a:ext cx="3175" cy="1261"/>
                                </a:xfrm>
                                <a:prstGeom prst="line">
                                  <a:avLst/>
                                </a:prstGeom>
                                <a:solidFill>
                                  <a:srgbClr val="FFFFFF"/>
                                </a:solidFill>
                                <a:ln>
                                  <a:solidFill>
                                    <a:srgbClr val="000000"/>
                                  </a:solidFill>
                                </a:ln>
                              </wps:spPr>
                              <wps:bodyPr rot="0">
                                <a:noAutofit/>
                              </wps:bodyPr>
                            </wps:wsp>
                            <wps:wsp>
                              <wps:cNvPr id="214" name="直接连接符 214"/>
                              <wps:cNvCnPr/>
                              <wps:spPr bwMode="auto">
                                <a:xfrm>
                                  <a:off x="1144" y="9985"/>
                                  <a:ext cx="1587" cy="1261"/>
                                </a:xfrm>
                                <a:prstGeom prst="line">
                                  <a:avLst/>
                                </a:prstGeom>
                                <a:solidFill>
                                  <a:srgbClr val="FFFFFF"/>
                                </a:solidFill>
                                <a:ln>
                                  <a:solidFill>
                                    <a:srgbClr val="000000"/>
                                  </a:solidFill>
                                </a:ln>
                              </wps:spPr>
                              <wps:bodyPr rot="0">
                                <a:noAutofit/>
                              </wps:bodyPr>
                            </wps:wsp>
                            <wps:wsp>
                              <wps:cNvPr id="215" name="文本框 215"/>
                              <wps:cNvSpPr txBox="1"/>
                              <wps:spPr bwMode="auto">
                                <a:xfrm>
                                  <a:off x="2297" y="9988"/>
                                  <a:ext cx="228" cy="222"/>
                                </a:xfrm>
                                <a:prstGeom prst="rect">
                                  <a:avLst/>
                                </a:prstGeom>
                                <a:noFill/>
                                <a:ln>
                                  <a:noFill/>
                                </a:ln>
                              </wps:spPr>
                              <wps:txbx>
                                <w:txbxContent>
                                  <w:p w14:paraId="444BC278">
                                    <w:pPr>
                                      <w:rPr>
                                        <w:b/>
                                        <w:sz w:val="18"/>
                                      </w:rPr>
                                    </w:pPr>
                                    <w:r>
                                      <w:rPr>
                                        <w:rFonts w:hint="eastAsia"/>
                                        <w:b/>
                                        <w:sz w:val="18"/>
                                      </w:rPr>
                                      <w:t>采</w:t>
                                    </w:r>
                                  </w:p>
                                  <w:p w14:paraId="0D1768F2"/>
                                </w:txbxContent>
                              </wps:txbx>
                              <wps:bodyPr wrap="square" lIns="0" tIns="0" rIns="0" bIns="0" upright="1"/>
                            </wps:wsp>
                            <wps:wsp>
                              <wps:cNvPr id="216" name="文本框 216"/>
                              <wps:cNvSpPr txBox="1"/>
                              <wps:spPr bwMode="auto">
                                <a:xfrm>
                                  <a:off x="2810" y="10039"/>
                                  <a:ext cx="228" cy="223"/>
                                </a:xfrm>
                                <a:prstGeom prst="rect">
                                  <a:avLst/>
                                </a:prstGeom>
                                <a:noFill/>
                                <a:ln>
                                  <a:noFill/>
                                  <a:bevel/>
                                </a:ln>
                              </wps:spPr>
                              <wps:txbx>
                                <w:txbxContent>
                                  <w:p w14:paraId="33DA4002">
                                    <w:pPr>
                                      <w:rPr>
                                        <w:b/>
                                        <w:sz w:val="18"/>
                                      </w:rPr>
                                    </w:pPr>
                                    <w:r>
                                      <w:rPr>
                                        <w:rFonts w:hint="eastAsia"/>
                                        <w:b/>
                                        <w:sz w:val="18"/>
                                      </w:rPr>
                                      <w:t>样</w:t>
                                    </w:r>
                                  </w:p>
                                  <w:p w14:paraId="287314B3"/>
                                </w:txbxContent>
                              </wps:txbx>
                              <wps:bodyPr wrap="square" lIns="0" tIns="0" rIns="0" bIns="0" upright="1"/>
                            </wps:wsp>
                            <wps:wsp>
                              <wps:cNvPr id="217" name="文本框 217"/>
                              <wps:cNvSpPr txBox="1"/>
                              <wps:spPr bwMode="auto">
                                <a:xfrm>
                                  <a:off x="3323" y="10090"/>
                                  <a:ext cx="228" cy="222"/>
                                </a:xfrm>
                                <a:prstGeom prst="rect">
                                  <a:avLst/>
                                </a:prstGeom>
                                <a:noFill/>
                                <a:ln>
                                  <a:noFill/>
                                </a:ln>
                              </wps:spPr>
                              <wps:txbx>
                                <w:txbxContent>
                                  <w:p w14:paraId="7CAA26F6">
                                    <w:pPr>
                                      <w:rPr>
                                        <w:b/>
                                        <w:sz w:val="18"/>
                                      </w:rPr>
                                    </w:pPr>
                                    <w:r>
                                      <w:rPr>
                                        <w:rFonts w:hint="eastAsia"/>
                                        <w:b/>
                                        <w:sz w:val="18"/>
                                      </w:rPr>
                                      <w:t>日</w:t>
                                    </w:r>
                                  </w:p>
                                  <w:p w14:paraId="2FCCA218"/>
                                </w:txbxContent>
                              </wps:txbx>
                              <wps:bodyPr wrap="square" lIns="0" tIns="0" rIns="0" bIns="0" upright="1"/>
                            </wps:wsp>
                            <wps:wsp>
                              <wps:cNvPr id="218" name="文本框 218"/>
                              <wps:cNvSpPr txBox="1"/>
                              <wps:spPr bwMode="auto">
                                <a:xfrm>
                                  <a:off x="3836" y="10141"/>
                                  <a:ext cx="228" cy="223"/>
                                </a:xfrm>
                                <a:prstGeom prst="rect">
                                  <a:avLst/>
                                </a:prstGeom>
                                <a:noFill/>
                                <a:ln>
                                  <a:noFill/>
                                </a:ln>
                              </wps:spPr>
                              <wps:txbx>
                                <w:txbxContent>
                                  <w:p w14:paraId="71AB868B">
                                    <w:pPr>
                                      <w:rPr>
                                        <w:b/>
                                        <w:sz w:val="18"/>
                                      </w:rPr>
                                    </w:pPr>
                                    <w:r>
                                      <w:rPr>
                                        <w:rFonts w:hint="eastAsia"/>
                                        <w:b/>
                                        <w:sz w:val="18"/>
                                      </w:rPr>
                                      <w:t>期</w:t>
                                    </w:r>
                                  </w:p>
                                  <w:p w14:paraId="6F4BE64D"/>
                                </w:txbxContent>
                              </wps:txbx>
                              <wps:bodyPr wrap="square" lIns="0" tIns="0" rIns="0" bIns="0" upright="1"/>
                            </wps:wsp>
                            <wps:wsp>
                              <wps:cNvPr id="219" name="文本框 219"/>
                              <wps:cNvSpPr txBox="1"/>
                              <wps:spPr bwMode="auto">
                                <a:xfrm>
                                  <a:off x="2401" y="10261"/>
                                  <a:ext cx="228" cy="222"/>
                                </a:xfrm>
                                <a:prstGeom prst="rect">
                                  <a:avLst/>
                                </a:prstGeom>
                                <a:noFill/>
                                <a:ln>
                                  <a:noFill/>
                                </a:ln>
                              </wps:spPr>
                              <wps:txbx>
                                <w:txbxContent>
                                  <w:p w14:paraId="7AE994A8">
                                    <w:pPr>
                                      <w:rPr>
                                        <w:b/>
                                        <w:sz w:val="18"/>
                                      </w:rPr>
                                    </w:pPr>
                                    <w:r>
                                      <w:rPr>
                                        <w:rFonts w:hint="eastAsia"/>
                                        <w:b/>
                                        <w:sz w:val="18"/>
                                      </w:rPr>
                                      <w:t>检</w:t>
                                    </w:r>
                                  </w:p>
                                  <w:p w14:paraId="147F0C2A"/>
                                </w:txbxContent>
                              </wps:txbx>
                              <wps:bodyPr wrap="square" lIns="0" tIns="0" rIns="0" bIns="0" upright="1"/>
                            </wps:wsp>
                            <wps:wsp>
                              <wps:cNvPr id="220" name="文本框 220"/>
                              <wps:cNvSpPr txBox="1"/>
                              <wps:spPr bwMode="auto">
                                <a:xfrm>
                                  <a:off x="2864" y="10413"/>
                                  <a:ext cx="227" cy="223"/>
                                </a:xfrm>
                                <a:prstGeom prst="rect">
                                  <a:avLst/>
                                </a:prstGeom>
                                <a:noFill/>
                                <a:ln>
                                  <a:noFill/>
                                </a:ln>
                              </wps:spPr>
                              <wps:txbx>
                                <w:txbxContent>
                                  <w:p w14:paraId="4E483CA9">
                                    <w:pPr>
                                      <w:rPr>
                                        <w:b/>
                                        <w:sz w:val="18"/>
                                      </w:rPr>
                                    </w:pPr>
                                    <w:r>
                                      <w:rPr>
                                        <w:rFonts w:hint="eastAsia"/>
                                        <w:b/>
                                        <w:sz w:val="18"/>
                                      </w:rPr>
                                      <w:t>测</w:t>
                                    </w:r>
                                  </w:p>
                                  <w:p w14:paraId="0091BF84"/>
                                </w:txbxContent>
                              </wps:txbx>
                              <wps:bodyPr wrap="square" lIns="0" tIns="0" rIns="0" bIns="0" upright="1"/>
                            </wps:wsp>
                            <wps:wsp>
                              <wps:cNvPr id="221" name="文本框 221"/>
                              <wps:cNvSpPr txBox="1"/>
                              <wps:spPr bwMode="auto">
                                <a:xfrm>
                                  <a:off x="3374" y="10565"/>
                                  <a:ext cx="227" cy="222"/>
                                </a:xfrm>
                                <a:prstGeom prst="rect">
                                  <a:avLst/>
                                </a:prstGeom>
                                <a:noFill/>
                                <a:ln>
                                  <a:noFill/>
                                </a:ln>
                              </wps:spPr>
                              <wps:txbx>
                                <w:txbxContent>
                                  <w:p w14:paraId="3041A33B">
                                    <w:pPr>
                                      <w:rPr>
                                        <w:b/>
                                        <w:sz w:val="18"/>
                                      </w:rPr>
                                    </w:pPr>
                                    <w:r>
                                      <w:rPr>
                                        <w:rFonts w:hint="eastAsia"/>
                                        <w:b/>
                                        <w:sz w:val="18"/>
                                      </w:rPr>
                                      <w:t>项</w:t>
                                    </w:r>
                                  </w:p>
                                  <w:p w14:paraId="0F6898AE"/>
                                </w:txbxContent>
                              </wps:txbx>
                              <wps:bodyPr wrap="square" lIns="0" tIns="0" rIns="0" bIns="0" upright="1"/>
                            </wps:wsp>
                            <wps:wsp>
                              <wps:cNvPr id="222" name="文本框 222"/>
                              <wps:cNvSpPr txBox="1"/>
                              <wps:spPr bwMode="auto">
                                <a:xfrm>
                                  <a:off x="3883" y="10717"/>
                                  <a:ext cx="227" cy="222"/>
                                </a:xfrm>
                                <a:prstGeom prst="rect">
                                  <a:avLst/>
                                </a:prstGeom>
                                <a:noFill/>
                                <a:ln>
                                  <a:noFill/>
                                </a:ln>
                              </wps:spPr>
                              <wps:txbx>
                                <w:txbxContent>
                                  <w:p w14:paraId="51F07D9E">
                                    <w:pPr>
                                      <w:rPr>
                                        <w:b/>
                                        <w:sz w:val="18"/>
                                      </w:rPr>
                                    </w:pPr>
                                    <w:r>
                                      <w:rPr>
                                        <w:rFonts w:hint="eastAsia"/>
                                        <w:b/>
                                        <w:sz w:val="18"/>
                                      </w:rPr>
                                      <w:t>目</w:t>
                                    </w:r>
                                  </w:p>
                                  <w:p w14:paraId="76CAA599"/>
                                </w:txbxContent>
                              </wps:txbx>
                              <wps:bodyPr wrap="square" lIns="0" tIns="0" rIns="0" bIns="0" upright="1"/>
                            </wps:wsp>
                            <wps:wsp>
                              <wps:cNvPr id="223" name="文本框 223"/>
                              <wps:cNvSpPr txBox="1"/>
                              <wps:spPr bwMode="auto">
                                <a:xfrm>
                                  <a:off x="2075" y="10390"/>
                                  <a:ext cx="228" cy="223"/>
                                </a:xfrm>
                                <a:prstGeom prst="rect">
                                  <a:avLst/>
                                </a:prstGeom>
                                <a:noFill/>
                                <a:ln>
                                  <a:noFill/>
                                </a:ln>
                              </wps:spPr>
                              <wps:txbx>
                                <w:txbxContent>
                                  <w:p w14:paraId="299F577D">
                                    <w:pPr>
                                      <w:rPr>
                                        <w:b/>
                                        <w:sz w:val="18"/>
                                      </w:rPr>
                                    </w:pPr>
                                    <w:r>
                                      <w:rPr>
                                        <w:rFonts w:hint="eastAsia"/>
                                        <w:b/>
                                        <w:sz w:val="18"/>
                                      </w:rPr>
                                      <w:t>采</w:t>
                                    </w:r>
                                  </w:p>
                                  <w:p w14:paraId="71A884CD"/>
                                </w:txbxContent>
                              </wps:txbx>
                              <wps:bodyPr wrap="square" lIns="0" tIns="0" rIns="0" bIns="0" upright="1"/>
                            </wps:wsp>
                            <wps:wsp>
                              <wps:cNvPr id="224" name="文本框 224"/>
                              <wps:cNvSpPr txBox="1"/>
                              <wps:spPr bwMode="auto">
                                <a:xfrm>
                                  <a:off x="2383" y="10577"/>
                                  <a:ext cx="228" cy="223"/>
                                </a:xfrm>
                                <a:prstGeom prst="rect">
                                  <a:avLst/>
                                </a:prstGeom>
                                <a:noFill/>
                                <a:ln>
                                  <a:noFill/>
                                </a:ln>
                              </wps:spPr>
                              <wps:txbx>
                                <w:txbxContent>
                                  <w:p w14:paraId="50C643B1">
                                    <w:pPr>
                                      <w:rPr>
                                        <w:b/>
                                        <w:sz w:val="18"/>
                                      </w:rPr>
                                    </w:pPr>
                                    <w:r>
                                      <w:rPr>
                                        <w:rFonts w:hint="eastAsia"/>
                                        <w:b/>
                                        <w:sz w:val="18"/>
                                      </w:rPr>
                                      <w:t>样</w:t>
                                    </w:r>
                                  </w:p>
                                  <w:p w14:paraId="3557763F"/>
                                </w:txbxContent>
                              </wps:txbx>
                              <wps:bodyPr wrap="square" lIns="0" tIns="0" rIns="0" bIns="0" upright="1"/>
                            </wps:wsp>
                            <wps:wsp>
                              <wps:cNvPr id="225" name="文本框 225"/>
                              <wps:cNvSpPr txBox="1"/>
                              <wps:spPr bwMode="auto">
                                <a:xfrm>
                                  <a:off x="2736" y="10764"/>
                                  <a:ext cx="228" cy="223"/>
                                </a:xfrm>
                                <a:prstGeom prst="rect">
                                  <a:avLst/>
                                </a:prstGeom>
                                <a:noFill/>
                                <a:ln>
                                  <a:noFill/>
                                </a:ln>
                              </wps:spPr>
                              <wps:txbx>
                                <w:txbxContent>
                                  <w:p w14:paraId="7D8E08E7">
                                    <w:pPr>
                                      <w:rPr>
                                        <w:b/>
                                        <w:sz w:val="18"/>
                                      </w:rPr>
                                    </w:pPr>
                                    <w:r>
                                      <w:rPr>
                                        <w:rFonts w:hint="eastAsia"/>
                                        <w:b/>
                                        <w:sz w:val="18"/>
                                      </w:rPr>
                                      <w:t>时</w:t>
                                    </w:r>
                                  </w:p>
                                  <w:p w14:paraId="3EA844E6"/>
                                </w:txbxContent>
                              </wps:txbx>
                              <wps:bodyPr wrap="square" lIns="0" tIns="0" rIns="0" bIns="0" upright="1"/>
                            </wps:wsp>
                            <wps:wsp>
                              <wps:cNvPr id="226" name="文本框 226"/>
                              <wps:cNvSpPr txBox="1"/>
                              <wps:spPr bwMode="auto">
                                <a:xfrm>
                                  <a:off x="3090" y="10952"/>
                                  <a:ext cx="228" cy="223"/>
                                </a:xfrm>
                                <a:prstGeom prst="rect">
                                  <a:avLst/>
                                </a:prstGeom>
                                <a:noFill/>
                                <a:ln>
                                  <a:noFill/>
                                </a:ln>
                              </wps:spPr>
                              <wps:txbx>
                                <w:txbxContent>
                                  <w:p w14:paraId="55CD4295">
                                    <w:pPr>
                                      <w:rPr>
                                        <w:b/>
                                        <w:sz w:val="18"/>
                                      </w:rPr>
                                    </w:pPr>
                                    <w:r>
                                      <w:rPr>
                                        <w:rFonts w:hint="eastAsia"/>
                                        <w:b/>
                                        <w:sz w:val="18"/>
                                      </w:rPr>
                                      <w:t>段</w:t>
                                    </w:r>
                                  </w:p>
                                  <w:p w14:paraId="070A1882"/>
                                </w:txbxContent>
                              </wps:txbx>
                              <wps:bodyPr wrap="square" lIns="0" tIns="0" rIns="0" bIns="0" upright="1"/>
                            </wps:wsp>
                            <wps:wsp>
                              <wps:cNvPr id="227" name="文本框 227"/>
                              <wps:cNvSpPr txBox="1"/>
                              <wps:spPr bwMode="auto">
                                <a:xfrm>
                                  <a:off x="1354" y="10351"/>
                                  <a:ext cx="227" cy="222"/>
                                </a:xfrm>
                                <a:prstGeom prst="rect">
                                  <a:avLst/>
                                </a:prstGeom>
                                <a:noFill/>
                                <a:ln>
                                  <a:noFill/>
                                  <a:bevel/>
                                </a:ln>
                              </wps:spPr>
                              <wps:txbx>
                                <w:txbxContent>
                                  <w:p w14:paraId="09655A79">
                                    <w:pPr>
                                      <w:rPr>
                                        <w:b/>
                                        <w:sz w:val="18"/>
                                      </w:rPr>
                                    </w:pPr>
                                    <w:r>
                                      <w:rPr>
                                        <w:rFonts w:hint="eastAsia"/>
                                        <w:b/>
                                        <w:sz w:val="18"/>
                                      </w:rPr>
                                      <w:t>采</w:t>
                                    </w:r>
                                  </w:p>
                                  <w:p w14:paraId="0D3E3D32"/>
                                </w:txbxContent>
                              </wps:txbx>
                              <wps:bodyPr wrap="square" lIns="0" tIns="0" rIns="0" bIns="0" upright="1"/>
                            </wps:wsp>
                            <wps:wsp>
                              <wps:cNvPr id="228" name="文本框 228"/>
                              <wps:cNvSpPr txBox="1"/>
                              <wps:spPr bwMode="auto">
                                <a:xfrm>
                                  <a:off x="1479" y="10550"/>
                                  <a:ext cx="228" cy="222"/>
                                </a:xfrm>
                                <a:prstGeom prst="rect">
                                  <a:avLst/>
                                </a:prstGeom>
                                <a:noFill/>
                                <a:ln>
                                  <a:noFill/>
                                </a:ln>
                              </wps:spPr>
                              <wps:txbx>
                                <w:txbxContent>
                                  <w:p w14:paraId="26678DFD">
                                    <w:pPr>
                                      <w:rPr>
                                        <w:b/>
                                        <w:sz w:val="18"/>
                                      </w:rPr>
                                    </w:pPr>
                                    <w:r>
                                      <w:rPr>
                                        <w:rFonts w:hint="eastAsia"/>
                                        <w:b/>
                                        <w:sz w:val="18"/>
                                      </w:rPr>
                                      <w:t>样</w:t>
                                    </w:r>
                                  </w:p>
                                  <w:p w14:paraId="13939783"/>
                                </w:txbxContent>
                              </wps:txbx>
                              <wps:bodyPr wrap="square" lIns="0" tIns="0" rIns="0" bIns="0" upright="1"/>
                            </wps:wsp>
                            <wps:wsp>
                              <wps:cNvPr id="229" name="文本框 229"/>
                              <wps:cNvSpPr txBox="1"/>
                              <wps:spPr bwMode="auto">
                                <a:xfrm>
                                  <a:off x="1603" y="10749"/>
                                  <a:ext cx="228" cy="222"/>
                                </a:xfrm>
                                <a:prstGeom prst="rect">
                                  <a:avLst/>
                                </a:prstGeom>
                                <a:noFill/>
                                <a:ln>
                                  <a:noFill/>
                                </a:ln>
                              </wps:spPr>
                              <wps:txbx>
                                <w:txbxContent>
                                  <w:p w14:paraId="79863406">
                                    <w:pPr>
                                      <w:rPr>
                                        <w:b/>
                                        <w:sz w:val="18"/>
                                      </w:rPr>
                                    </w:pPr>
                                    <w:r>
                                      <w:rPr>
                                        <w:rFonts w:hint="eastAsia"/>
                                        <w:b/>
                                        <w:sz w:val="18"/>
                                      </w:rPr>
                                      <w:t>地</w:t>
                                    </w:r>
                                  </w:p>
                                  <w:p w14:paraId="4CF8DD1B"/>
                                </w:txbxContent>
                              </wps:txbx>
                              <wps:bodyPr wrap="square" lIns="0" tIns="0" rIns="0" bIns="0" upright="1"/>
                            </wps:wsp>
                            <wps:wsp>
                              <wps:cNvPr id="230" name="文本框 230"/>
                              <wps:cNvSpPr txBox="1"/>
                              <wps:spPr bwMode="auto">
                                <a:xfrm>
                                  <a:off x="1728" y="10946"/>
                                  <a:ext cx="228" cy="223"/>
                                </a:xfrm>
                                <a:prstGeom prst="rect">
                                  <a:avLst/>
                                </a:prstGeom>
                                <a:noFill/>
                                <a:ln>
                                  <a:noFill/>
                                </a:ln>
                              </wps:spPr>
                              <wps:txbx>
                                <w:txbxContent>
                                  <w:p w14:paraId="2962C3A1">
                                    <w:pPr>
                                      <w:rPr>
                                        <w:rFonts w:hint="eastAsia"/>
                                        <w:b/>
                                        <w:sz w:val="18"/>
                                      </w:rPr>
                                    </w:pPr>
                                    <w:r>
                                      <w:rPr>
                                        <w:rFonts w:hint="eastAsia"/>
                                        <w:b/>
                                        <w:sz w:val="18"/>
                                      </w:rPr>
                                      <w:t>点</w:t>
                                    </w:r>
                                  </w:p>
                                  <w:p w14:paraId="69AC6CCC"/>
                                </w:txbxContent>
                              </wps:txbx>
                              <wps:bodyPr wrap="square" lIns="0" tIns="0" rIns="0" bIns="0" upright="1"/>
                            </wps:wsp>
                          </wpg:wgp>
                        </a:graphicData>
                      </a:graphic>
                    </wp:anchor>
                  </w:drawing>
                </mc:Choice>
                <mc:Fallback>
                  <w:pict>
                    <v:group id="_x0000_s1340" o:spid="_x0000_s1026" o:spt="203" style="position:absolute;left:0pt;margin-left:-4.6pt;margin-top:0pt;height:58.7pt;width:135.15pt;z-index:251660288;mso-width-relative:page;mso-height-relative:page;" coordorigin="1144,9985" coordsize="3175,1261" o:gfxdata="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">
                      <o:lock v:ext="edit" aspectratio="f"/>
                      <v:line id="_x0000_s1026" o:spid="_x0000_s1026" o:spt="20" style="position:absolute;left:1144;top:9985;height:631;width:3175;" fillcolor="#FFFFFF" filled="t" stroked="t" coordsize="21600,21600" o:gfxdata="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Z9Var4A&#10;AADcAAAADwAAAAAAAAABACAAAAAiAAAAZHJzL2Rvd25yZXYueG1sUEsBAhQAFAAAAAgAh07iQDMv&#10;BZ47AAAAOQAAABAAAAAAAAAAAQAgAAAADQEAAGRycy9zaGFwZXhtbC54bWxQSwUGAAAAAAYABgBb&#10;AQAAtwMAAAAA&#10;">
                        <v:fill on="t" focussize="0,0"/>
                        <v:stroke color="#000000" joinstyle="round"/>
                        <v:imagedata o:title=""/>
                        <o:lock v:ext="edit" aspectratio="f"/>
                      </v:line>
                      <v:line id="_x0000_s1026" o:spid="_x0000_s1026" o:spt="20" style="position:absolute;left:1144;top:9985;height:1261;width:3175;" fillcolor="#FFFFFF" filled="t" stroked="t" coordsize="21600,21600" o:gfxdata="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rT8PG/&#10;AAAA3AAAAA8AAAAAAAAAAQAgAAAAIgAAAGRycy9kb3ducmV2LnhtbFBLAQIUABQAAAAIAIdO4kAz&#10;LwWeOwAAADkAAAAQAAAAAAAAAAEAIAAAAA4BAABkcnMvc2hhcGV4bWwueG1sUEsFBgAAAAAGAAYA&#10;WwEAALgDAAAAAA==&#10;">
                        <v:fill on="t" focussize="0,0"/>
                        <v:stroke color="#000000" joinstyle="round"/>
                        <v:imagedata o:title=""/>
                        <o:lock v:ext="edit" aspectratio="f"/>
                      </v:line>
                      <v:line id="_x0000_s1026" o:spid="_x0000_s1026" o:spt="20" style="position:absolute;left:1144;top:9985;height:1261;width:1587;" fillcolor="#FFFFFF" filled="t" stroked="t" coordsize="21600,21600" o:gfxdata="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Tpohb4A&#10;AADcAAAADwAAAAAAAAABACAAAAAiAAAAZHJzL2Rvd25yZXYueG1sUEsBAhQAFAAAAAgAh07iQDMv&#10;BZ47AAAAOQAAABAAAAAAAAAAAQAgAAAADQEAAGRycy9zaGFwZXhtbC54bWxQSwUGAAAAAAYABgBb&#10;AQAAtwMAAAAA&#10;">
                        <v:fill on="t" focussize="0,0"/>
                        <v:stroke color="#000000" joinstyle="round"/>
                        <v:imagedata o:title=""/>
                        <o:lock v:ext="edit" aspectratio="f"/>
                      </v:line>
                      <v:shape id="_x0000_s1026" o:spid="_x0000_s1026" o:spt="202" type="#_x0000_t202" style="position:absolute;left:2297;top:9988;height:222;width:228;" filled="f" stroked="f" coordsize="21600,21600" o:gfxdata="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QsCW74A&#10;AADc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14:paraId="444BC278">
                              <w:pPr>
                                <w:rPr>
                                  <w:b/>
                                  <w:sz w:val="18"/>
                                </w:rPr>
                              </w:pPr>
                              <w:r>
                                <w:rPr>
                                  <w:rFonts w:hint="eastAsia"/>
                                  <w:b/>
                                  <w:sz w:val="18"/>
                                </w:rPr>
                                <w:t>采</w:t>
                              </w:r>
                            </w:p>
                            <w:p w14:paraId="0D1768F2"/>
                          </w:txbxContent>
                        </v:textbox>
                      </v:shape>
                      <v:shape id="_x0000_s1026" o:spid="_x0000_s1026" o:spt="202" type="#_x0000_t202" style="position:absolute;left:2810;top:10039;height:223;width:228;" filled="f" stroked="f" coordsize="21600,21600" o:gfxdata="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xsZgq/&#10;AAAA3AAAAA8AAAAAAAAAAQAgAAAAIgAAAGRycy9kb3ducmV2LnhtbFBLAQIUABQAAAAIAIdO4kAz&#10;LwWeOwAAADkAAAAQAAAAAAAAAAEAIAAAAA4BAABkcnMvc2hhcGV4bWwueG1sUEsFBgAAAAAGAAYA&#10;WwEAALgDAAAAAA==&#10;">
                        <v:fill on="f" focussize="0,0"/>
                        <v:stroke on="f" joinstyle="bevel"/>
                        <v:imagedata o:title=""/>
                        <o:lock v:ext="edit" aspectratio="f"/>
                        <v:textbox inset="0mm,0mm,0mm,0mm">
                          <w:txbxContent>
                            <w:p w14:paraId="33DA4002">
                              <w:pPr>
                                <w:rPr>
                                  <w:b/>
                                  <w:sz w:val="18"/>
                                </w:rPr>
                              </w:pPr>
                              <w:r>
                                <w:rPr>
                                  <w:rFonts w:hint="eastAsia"/>
                                  <w:b/>
                                  <w:sz w:val="18"/>
                                </w:rPr>
                                <w:t>样</w:t>
                              </w:r>
                            </w:p>
                            <w:p w14:paraId="287314B3"/>
                          </w:txbxContent>
                        </v:textbox>
                      </v:shape>
                      <v:shape id="_x0000_s1026" o:spid="_x0000_s1026" o:spt="202" type="#_x0000_t202" style="position:absolute;left:3323;top:10090;height:222;width:228;" filled="f" stroked="f" coordsize="21600,21600" o:gfxdata="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aVObe/&#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14:paraId="7CAA26F6">
                              <w:pPr>
                                <w:rPr>
                                  <w:b/>
                                  <w:sz w:val="18"/>
                                </w:rPr>
                              </w:pPr>
                              <w:r>
                                <w:rPr>
                                  <w:rFonts w:hint="eastAsia"/>
                                  <w:b/>
                                  <w:sz w:val="18"/>
                                </w:rPr>
                                <w:t>日</w:t>
                              </w:r>
                            </w:p>
                            <w:p w14:paraId="2FCCA218"/>
                          </w:txbxContent>
                        </v:textbox>
                      </v:shape>
                      <v:shape id="_x0000_s1026" o:spid="_x0000_s1026" o:spt="202" type="#_x0000_t202" style="position:absolute;left:3836;top:10141;height:223;width:228;" filled="f" stroked="f" coordsize="21600,21600" o:gfxdata="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cKrcW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14:paraId="71AB868B">
                              <w:pPr>
                                <w:rPr>
                                  <w:b/>
                                  <w:sz w:val="18"/>
                                </w:rPr>
                              </w:pPr>
                              <w:r>
                                <w:rPr>
                                  <w:rFonts w:hint="eastAsia"/>
                                  <w:b/>
                                  <w:sz w:val="18"/>
                                </w:rPr>
                                <w:t>期</w:t>
                              </w:r>
                            </w:p>
                            <w:p w14:paraId="6F4BE64D"/>
                          </w:txbxContent>
                        </v:textbox>
                      </v:shape>
                      <v:shape id="_x0000_s1026" o:spid="_x0000_s1026" o:spt="202" type="#_x0000_t202" style="position:absolute;left:2401;top:10261;height:222;width:228;" filled="f" stroked="f" coordsize="21600,21600" o:gfxdata="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EYIXr4A&#10;AADc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14:paraId="7AE994A8">
                              <w:pPr>
                                <w:rPr>
                                  <w:b/>
                                  <w:sz w:val="18"/>
                                </w:rPr>
                              </w:pPr>
                              <w:r>
                                <w:rPr>
                                  <w:rFonts w:hint="eastAsia"/>
                                  <w:b/>
                                  <w:sz w:val="18"/>
                                </w:rPr>
                                <w:t>检</w:t>
                              </w:r>
                            </w:p>
                            <w:p w14:paraId="147F0C2A"/>
                          </w:txbxContent>
                        </v:textbox>
                      </v:shape>
                      <v:shape id="_x0000_s1026" o:spid="_x0000_s1026" o:spt="202" type="#_x0000_t202" style="position:absolute;left:2864;top:10413;height:223;width:227;" filled="f" stroked="f" coordsize="21600,21600" o:gfxdata="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xBrfrsAAADc&#10;AAAADwAAAAAAAAABACAAAAAiAAAAZHJzL2Rvd25yZXYueG1sUEsBAhQAFAAAAAgAh07iQDMvBZ47&#10;AAAAOQAAABAAAAAAAAAAAQAgAAAACgEAAGRycy9zaGFwZXhtbC54bWxQSwUGAAAAAAYABgBbAQAA&#10;tAMAAAAA&#10;">
                        <v:fill on="f" focussize="0,0"/>
                        <v:stroke on="f"/>
                        <v:imagedata o:title=""/>
                        <o:lock v:ext="edit" aspectratio="f"/>
                        <v:textbox inset="0mm,0mm,0mm,0mm">
                          <w:txbxContent>
                            <w:p w14:paraId="4E483CA9">
                              <w:pPr>
                                <w:rPr>
                                  <w:b/>
                                  <w:sz w:val="18"/>
                                </w:rPr>
                              </w:pPr>
                              <w:r>
                                <w:rPr>
                                  <w:rFonts w:hint="eastAsia"/>
                                  <w:b/>
                                  <w:sz w:val="18"/>
                                </w:rPr>
                                <w:t>测</w:t>
                              </w:r>
                            </w:p>
                            <w:p w14:paraId="0091BF84"/>
                          </w:txbxContent>
                        </v:textbox>
                      </v:shape>
                      <v:shape id="_x0000_s1026" o:spid="_x0000_s1026" o:spt="202" type="#_x0000_t202" style="position:absolute;left:3374;top:10565;height:222;width:227;" filled="f" stroked="f" coordsize="21600,21600" o:gfxdata="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hczuW/&#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14:paraId="3041A33B">
                              <w:pPr>
                                <w:rPr>
                                  <w:b/>
                                  <w:sz w:val="18"/>
                                </w:rPr>
                              </w:pPr>
                              <w:r>
                                <w:rPr>
                                  <w:rFonts w:hint="eastAsia"/>
                                  <w:b/>
                                  <w:sz w:val="18"/>
                                </w:rPr>
                                <w:t>项</w:t>
                              </w:r>
                            </w:p>
                            <w:p w14:paraId="0F6898AE"/>
                          </w:txbxContent>
                        </v:textbox>
                      </v:shape>
                      <v:shape id="_x0000_s1026" o:spid="_x0000_s1026" o:spt="202" type="#_x0000_t202" style="position:absolute;left:3883;top:10717;height:222;width:227;" filled="f" stroked="f" coordsize="21600,21600" o:gfxdata="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iOUJK/&#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14:paraId="51F07D9E">
                              <w:pPr>
                                <w:rPr>
                                  <w:b/>
                                  <w:sz w:val="18"/>
                                </w:rPr>
                              </w:pPr>
                              <w:r>
                                <w:rPr>
                                  <w:rFonts w:hint="eastAsia"/>
                                  <w:b/>
                                  <w:sz w:val="18"/>
                                </w:rPr>
                                <w:t>目</w:t>
                              </w:r>
                            </w:p>
                            <w:p w14:paraId="76CAA599"/>
                          </w:txbxContent>
                        </v:textbox>
                      </v:shape>
                      <v:shape id="_x0000_s1026" o:spid="_x0000_s1026" o:spt="202" type="#_x0000_t202" style="position:absolute;left:2075;top:10390;height:223;width:228;" filled="f" stroked="f" coordsize="21600,21600" o:gfxdata="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fC9Qm/&#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14:paraId="299F577D">
                              <w:pPr>
                                <w:rPr>
                                  <w:b/>
                                  <w:sz w:val="18"/>
                                </w:rPr>
                              </w:pPr>
                              <w:r>
                                <w:rPr>
                                  <w:rFonts w:hint="eastAsia"/>
                                  <w:b/>
                                  <w:sz w:val="18"/>
                                </w:rPr>
                                <w:t>采</w:t>
                              </w:r>
                            </w:p>
                            <w:p w14:paraId="71A884CD"/>
                          </w:txbxContent>
                        </v:textbox>
                      </v:shape>
                      <v:shape id="_x0000_s1026" o:spid="_x0000_s1026" o:spt="202" type="#_x0000_t202" style="position:absolute;left:2383;top:10577;height:223;width:228;" filled="f" stroked="f" coordsize="21600,21600" o:gfxdata="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grbX2/&#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14:paraId="50C643B1">
                              <w:pPr>
                                <w:rPr>
                                  <w:b/>
                                  <w:sz w:val="18"/>
                                </w:rPr>
                              </w:pPr>
                              <w:r>
                                <w:rPr>
                                  <w:rFonts w:hint="eastAsia"/>
                                  <w:b/>
                                  <w:sz w:val="18"/>
                                </w:rPr>
                                <w:t>样</w:t>
                              </w:r>
                            </w:p>
                            <w:p w14:paraId="3557763F"/>
                          </w:txbxContent>
                        </v:textbox>
                      </v:shape>
                      <v:shape id="_x0000_s1026" o:spid="_x0000_s1026" o:spt="202" type="#_x0000_t202" style="position:absolute;left:2736;top:10764;height:223;width:228;" filled="f" stroked="f" coordsize="21600,21600" o:gfxdata="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dnyOa/&#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14:paraId="7D8E08E7">
                              <w:pPr>
                                <w:rPr>
                                  <w:b/>
                                  <w:sz w:val="18"/>
                                </w:rPr>
                              </w:pPr>
                              <w:r>
                                <w:rPr>
                                  <w:rFonts w:hint="eastAsia"/>
                                  <w:b/>
                                  <w:sz w:val="18"/>
                                </w:rPr>
                                <w:t>时</w:t>
                              </w:r>
                            </w:p>
                            <w:p w14:paraId="3EA844E6"/>
                          </w:txbxContent>
                        </v:textbox>
                      </v:shape>
                      <v:shape id="_x0000_s1026" o:spid="_x0000_s1026" o:spt="202" type="#_x0000_t202" style="position:absolute;left:3090;top:10952;height:223;width:228;" filled="f" stroked="f" coordsize="21600,21600" o:gfxdata="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17VWkb4A&#10;AADc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14:paraId="55CD4295">
                              <w:pPr>
                                <w:rPr>
                                  <w:b/>
                                  <w:sz w:val="18"/>
                                </w:rPr>
                              </w:pPr>
                              <w:r>
                                <w:rPr>
                                  <w:rFonts w:hint="eastAsia"/>
                                  <w:b/>
                                  <w:sz w:val="18"/>
                                </w:rPr>
                                <w:t>段</w:t>
                              </w:r>
                            </w:p>
                            <w:p w14:paraId="070A1882"/>
                          </w:txbxContent>
                        </v:textbox>
                      </v:shape>
                      <v:shape id="_x0000_s1026" o:spid="_x0000_s1026" o:spt="202" type="#_x0000_t202" style="position:absolute;left:1354;top:10351;height:222;width:227;" filled="f" stroked="f" coordsize="21600,21600" o:gfxdata="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1MCSy/&#10;AAAA3AAAAA8AAAAAAAAAAQAgAAAAIgAAAGRycy9kb3ducmV2LnhtbFBLAQIUABQAAAAIAIdO4kAz&#10;LwWeOwAAADkAAAAQAAAAAAAAAAEAIAAAAA4BAABkcnMvc2hhcGV4bWwueG1sUEsFBgAAAAAGAAYA&#10;WwEAALgDAAAAAA==&#10;">
                        <v:fill on="f" focussize="0,0"/>
                        <v:stroke on="f" joinstyle="bevel"/>
                        <v:imagedata o:title=""/>
                        <o:lock v:ext="edit" aspectratio="f"/>
                        <v:textbox inset="0mm,0mm,0mm,0mm">
                          <w:txbxContent>
                            <w:p w14:paraId="09655A79">
                              <w:pPr>
                                <w:rPr>
                                  <w:b/>
                                  <w:sz w:val="18"/>
                                </w:rPr>
                              </w:pPr>
                              <w:r>
                                <w:rPr>
                                  <w:rFonts w:hint="eastAsia"/>
                                  <w:b/>
                                  <w:sz w:val="18"/>
                                </w:rPr>
                                <w:t>采</w:t>
                              </w:r>
                            </w:p>
                            <w:p w14:paraId="0D3E3D32"/>
                          </w:txbxContent>
                        </v:textbox>
                      </v:shape>
                      <v:shape id="_x0000_s1026" o:spid="_x0000_s1026" o:spt="202" type="#_x0000_t202" style="position:absolute;left:1479;top:10550;height:222;width:228;" filled="f" stroked="f" coordsize="21600,21600" o:gfxdata="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yWZneLsAAADc&#10;AAAADwAAAAAAAAABACAAAAAiAAAAZHJzL2Rvd25yZXYueG1sUEsBAhQAFAAAAAgAh07iQDMvBZ47&#10;AAAAOQAAABAAAAAAAAAAAQAgAAAACgEAAGRycy9zaGFwZXhtbC54bWxQSwUGAAAAAAYABgBbAQAA&#10;tAMAAAAA&#10;">
                        <v:fill on="f" focussize="0,0"/>
                        <v:stroke on="f"/>
                        <v:imagedata o:title=""/>
                        <o:lock v:ext="edit" aspectratio="f"/>
                        <v:textbox inset="0mm,0mm,0mm,0mm">
                          <w:txbxContent>
                            <w:p w14:paraId="26678DFD">
                              <w:pPr>
                                <w:rPr>
                                  <w:b/>
                                  <w:sz w:val="18"/>
                                </w:rPr>
                              </w:pPr>
                              <w:r>
                                <w:rPr>
                                  <w:rFonts w:hint="eastAsia"/>
                                  <w:b/>
                                  <w:sz w:val="18"/>
                                </w:rPr>
                                <w:t>样</w:t>
                              </w:r>
                            </w:p>
                            <w:p w14:paraId="13939783"/>
                          </w:txbxContent>
                        </v:textbox>
                      </v:shape>
                      <v:shape id="_x0000_s1026" o:spid="_x0000_s1026" o:spt="202" type="#_x0000_t202" style="position:absolute;left:1603;top:10749;height:222;width:228;" filled="f" stroked="f" coordsize="21600,21600" o:gfxdata="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irC474A&#10;AADc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14:paraId="79863406">
                              <w:pPr>
                                <w:rPr>
                                  <w:b/>
                                  <w:sz w:val="18"/>
                                </w:rPr>
                              </w:pPr>
                              <w:r>
                                <w:rPr>
                                  <w:rFonts w:hint="eastAsia"/>
                                  <w:b/>
                                  <w:sz w:val="18"/>
                                </w:rPr>
                                <w:t>地</w:t>
                              </w:r>
                            </w:p>
                            <w:p w14:paraId="4CF8DD1B"/>
                          </w:txbxContent>
                        </v:textbox>
                      </v:shape>
                      <v:shape id="_x0000_s1026" o:spid="_x0000_s1026" o:spt="202" type="#_x0000_t202" style="position:absolute;left:1728;top:10946;height:223;width:228;" filled="f" stroked="f" coordsize="21600,21600" o:gfxdata="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LJ/aO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14:paraId="2962C3A1">
                              <w:pPr>
                                <w:rPr>
                                  <w:rFonts w:hint="eastAsia"/>
                                  <w:b/>
                                  <w:sz w:val="18"/>
                                </w:rPr>
                              </w:pPr>
                              <w:r>
                                <w:rPr>
                                  <w:rFonts w:hint="eastAsia"/>
                                  <w:b/>
                                  <w:sz w:val="18"/>
                                </w:rPr>
                                <w:t>点</w:t>
                              </w:r>
                            </w:p>
                            <w:p w14:paraId="69AC6CCC"/>
                          </w:txbxContent>
                        </v:textbox>
                      </v:shape>
                    </v:group>
                  </w:pict>
                </mc:Fallback>
              </mc:AlternateContent>
            </w:r>
          </w:p>
        </w:tc>
        <w:tc>
          <w:tcPr>
            <w:tcW w:w="7796" w:type="dxa"/>
            <w:gridSpan w:val="4"/>
            <w:noWrap w:val="0"/>
            <w:vAlign w:val="center"/>
          </w:tcPr>
          <w:p w14:paraId="20C7B89E">
            <w:pPr>
              <w:jc w:val="center"/>
              <w:rPr>
                <w:b/>
                <w:color w:val="000000"/>
                <w:szCs w:val="21"/>
              </w:rPr>
            </w:pPr>
            <w:r>
              <w:rPr>
                <w:color w:val="000000"/>
                <w:szCs w:val="21"/>
              </w:rPr>
              <w:t>201</w:t>
            </w:r>
            <w:r>
              <w:rPr>
                <w:rFonts w:hint="eastAsia"/>
                <w:color w:val="000000"/>
                <w:szCs w:val="21"/>
              </w:rPr>
              <w:t>4.09</w:t>
            </w:r>
            <w:r>
              <w:rPr>
                <w:color w:val="000000"/>
                <w:szCs w:val="21"/>
              </w:rPr>
              <w:t>.</w:t>
            </w:r>
            <w:r>
              <w:rPr>
                <w:rFonts w:hint="eastAsia"/>
                <w:color w:val="000000"/>
                <w:szCs w:val="21"/>
              </w:rPr>
              <w:t>12</w:t>
            </w:r>
          </w:p>
        </w:tc>
      </w:tr>
      <w:tr w14:paraId="02700C7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608" w:hRule="atLeast"/>
        </w:trPr>
        <w:tc>
          <w:tcPr>
            <w:tcW w:w="2706" w:type="dxa"/>
            <w:gridSpan w:val="2"/>
            <w:vMerge w:val="continue"/>
            <w:noWrap w:val="0"/>
            <w:vAlign w:val="center"/>
          </w:tcPr>
          <w:p w14:paraId="51150B17">
            <w:pPr>
              <w:widowControl/>
              <w:jc w:val="left"/>
              <w:rPr>
                <w:rFonts w:hAnsi="宋体"/>
                <w:color w:val="000000"/>
              </w:rPr>
            </w:pPr>
          </w:p>
        </w:tc>
        <w:tc>
          <w:tcPr>
            <w:tcW w:w="1949" w:type="dxa"/>
            <w:noWrap w:val="0"/>
            <w:vAlign w:val="center"/>
          </w:tcPr>
          <w:p w14:paraId="5FD514F9">
            <w:pPr>
              <w:spacing w:line="240" w:lineRule="exact"/>
              <w:jc w:val="center"/>
              <w:rPr>
                <w:rFonts w:hint="eastAsia"/>
                <w:b/>
                <w:color w:val="000000"/>
                <w:szCs w:val="21"/>
              </w:rPr>
            </w:pPr>
            <w:r>
              <w:rPr>
                <w:rFonts w:hint="eastAsia"/>
                <w:b/>
                <w:color w:val="000000"/>
                <w:szCs w:val="21"/>
              </w:rPr>
              <w:t>氨</w:t>
            </w:r>
          </w:p>
        </w:tc>
        <w:tc>
          <w:tcPr>
            <w:tcW w:w="1949" w:type="dxa"/>
            <w:noWrap w:val="0"/>
            <w:vAlign w:val="center"/>
          </w:tcPr>
          <w:p w14:paraId="55C2A210">
            <w:pPr>
              <w:spacing w:line="240" w:lineRule="exact"/>
              <w:jc w:val="center"/>
              <w:rPr>
                <w:rFonts w:hint="eastAsia"/>
                <w:b/>
                <w:color w:val="000000"/>
                <w:szCs w:val="21"/>
              </w:rPr>
            </w:pPr>
            <w:r>
              <w:rPr>
                <w:rFonts w:hint="eastAsia"/>
                <w:b/>
                <w:color w:val="000000"/>
                <w:szCs w:val="21"/>
              </w:rPr>
              <w:t>硫化氢</w:t>
            </w:r>
          </w:p>
        </w:tc>
        <w:tc>
          <w:tcPr>
            <w:tcW w:w="1949" w:type="dxa"/>
            <w:noWrap w:val="0"/>
            <w:vAlign w:val="center"/>
          </w:tcPr>
          <w:p w14:paraId="2C5AE95E">
            <w:pPr>
              <w:spacing w:line="240" w:lineRule="exact"/>
              <w:jc w:val="center"/>
              <w:rPr>
                <w:rFonts w:hint="eastAsia"/>
                <w:b/>
                <w:color w:val="000000"/>
                <w:szCs w:val="21"/>
              </w:rPr>
            </w:pPr>
            <w:r>
              <w:rPr>
                <w:rFonts w:hint="eastAsia"/>
                <w:b/>
                <w:color w:val="000000"/>
                <w:szCs w:val="21"/>
              </w:rPr>
              <w:t>#甲烷</w:t>
            </w:r>
          </w:p>
        </w:tc>
        <w:tc>
          <w:tcPr>
            <w:tcW w:w="1949" w:type="dxa"/>
            <w:noWrap w:val="0"/>
            <w:vAlign w:val="center"/>
          </w:tcPr>
          <w:p w14:paraId="2BD9AEF6">
            <w:pPr>
              <w:spacing w:line="240" w:lineRule="exact"/>
              <w:jc w:val="center"/>
              <w:rPr>
                <w:rFonts w:hint="eastAsia"/>
                <w:b/>
                <w:color w:val="000000"/>
                <w:szCs w:val="21"/>
              </w:rPr>
            </w:pPr>
            <w:r>
              <w:rPr>
                <w:rFonts w:hint="eastAsia"/>
                <w:b/>
                <w:color w:val="000000"/>
                <w:szCs w:val="21"/>
              </w:rPr>
              <w:t>#臭气</w:t>
            </w:r>
          </w:p>
        </w:tc>
      </w:tr>
      <w:tr w14:paraId="611AD68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425" w:hRule="atLeast"/>
        </w:trPr>
        <w:tc>
          <w:tcPr>
            <w:tcW w:w="1260" w:type="dxa"/>
            <w:vMerge w:val="restart"/>
            <w:noWrap w:val="0"/>
            <w:vAlign w:val="center"/>
          </w:tcPr>
          <w:p w14:paraId="2D5E1135">
            <w:pPr>
              <w:jc w:val="center"/>
              <w:rPr>
                <w:rFonts w:hint="eastAsia"/>
                <w:b/>
                <w:color w:val="000000"/>
                <w:szCs w:val="21"/>
              </w:rPr>
            </w:pPr>
            <w:r>
              <w:rPr>
                <w:rFonts w:hint="eastAsia" w:ascii="宋体" w:hAnsi="宋体"/>
                <w:b/>
                <w:color w:val="000000"/>
                <w:szCs w:val="21"/>
              </w:rPr>
              <w:t>废水处理站所在房间门口</w:t>
            </w:r>
          </w:p>
        </w:tc>
        <w:tc>
          <w:tcPr>
            <w:tcW w:w="1446" w:type="dxa"/>
            <w:noWrap w:val="0"/>
            <w:vAlign w:val="center"/>
          </w:tcPr>
          <w:p w14:paraId="456587A4">
            <w:pPr>
              <w:jc w:val="center"/>
              <w:rPr>
                <w:rFonts w:hint="eastAsia"/>
                <w:color w:val="000000"/>
                <w:szCs w:val="21"/>
              </w:rPr>
            </w:pPr>
            <w:r>
              <w:rPr>
                <w:rFonts w:hint="eastAsia"/>
                <w:color w:val="000000"/>
                <w:sz w:val="18"/>
                <w:szCs w:val="18"/>
              </w:rPr>
              <w:t>08:00</w:t>
            </w:r>
          </w:p>
        </w:tc>
        <w:tc>
          <w:tcPr>
            <w:tcW w:w="1949" w:type="dxa"/>
            <w:noWrap w:val="0"/>
            <w:vAlign w:val="center"/>
          </w:tcPr>
          <w:p w14:paraId="2F5E7E2D">
            <w:pPr>
              <w:jc w:val="center"/>
              <w:rPr>
                <w:rFonts w:ascii="宋体" w:hAnsi="宋体" w:cs="宋体"/>
                <w:color w:val="000000"/>
                <w:sz w:val="24"/>
              </w:rPr>
            </w:pPr>
            <w:r>
              <w:rPr>
                <w:rFonts w:hint="eastAsia"/>
                <w:color w:val="000000"/>
              </w:rPr>
              <w:t>0.063</w:t>
            </w:r>
          </w:p>
        </w:tc>
        <w:tc>
          <w:tcPr>
            <w:tcW w:w="1949" w:type="dxa"/>
            <w:noWrap w:val="0"/>
            <w:vAlign w:val="center"/>
          </w:tcPr>
          <w:p w14:paraId="335B7FCA">
            <w:pPr>
              <w:jc w:val="center"/>
              <w:rPr>
                <w:rFonts w:ascii="宋体" w:hAnsi="宋体" w:cs="宋体"/>
                <w:color w:val="000000"/>
                <w:sz w:val="24"/>
              </w:rPr>
            </w:pPr>
            <w:r>
              <w:rPr>
                <w:rFonts w:hint="eastAsia"/>
                <w:color w:val="000000"/>
              </w:rPr>
              <w:t>0.006</w:t>
            </w:r>
          </w:p>
        </w:tc>
        <w:tc>
          <w:tcPr>
            <w:tcW w:w="1949" w:type="dxa"/>
            <w:noWrap w:val="0"/>
            <w:vAlign w:val="center"/>
          </w:tcPr>
          <w:p w14:paraId="4C572F8C">
            <w:pPr>
              <w:jc w:val="center"/>
              <w:rPr>
                <w:color w:val="000000"/>
                <w:szCs w:val="21"/>
              </w:rPr>
            </w:pPr>
            <w:r>
              <w:rPr>
                <w:color w:val="000000"/>
                <w:szCs w:val="21"/>
              </w:rPr>
              <w:t>1.37</w:t>
            </w:r>
          </w:p>
        </w:tc>
        <w:tc>
          <w:tcPr>
            <w:tcW w:w="1949" w:type="dxa"/>
            <w:noWrap w:val="0"/>
            <w:vAlign w:val="center"/>
          </w:tcPr>
          <w:p w14:paraId="0E61E67D">
            <w:pPr>
              <w:jc w:val="center"/>
              <w:rPr>
                <w:color w:val="000000"/>
                <w:szCs w:val="21"/>
              </w:rPr>
            </w:pPr>
            <w:r>
              <w:rPr>
                <w:color w:val="000000"/>
                <w:szCs w:val="21"/>
              </w:rPr>
              <w:t>11</w:t>
            </w:r>
          </w:p>
        </w:tc>
      </w:tr>
      <w:tr w14:paraId="44E7718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425" w:hRule="atLeast"/>
        </w:trPr>
        <w:tc>
          <w:tcPr>
            <w:tcW w:w="1260" w:type="dxa"/>
            <w:vMerge w:val="continue"/>
            <w:noWrap w:val="0"/>
            <w:vAlign w:val="center"/>
          </w:tcPr>
          <w:p w14:paraId="0869F9C3">
            <w:pPr>
              <w:jc w:val="center"/>
              <w:rPr>
                <w:b/>
                <w:color w:val="000000"/>
                <w:szCs w:val="21"/>
              </w:rPr>
            </w:pPr>
          </w:p>
        </w:tc>
        <w:tc>
          <w:tcPr>
            <w:tcW w:w="1446" w:type="dxa"/>
            <w:noWrap w:val="0"/>
            <w:vAlign w:val="center"/>
          </w:tcPr>
          <w:p w14:paraId="3E670398">
            <w:pPr>
              <w:jc w:val="center"/>
              <w:rPr>
                <w:color w:val="000000"/>
                <w:szCs w:val="21"/>
              </w:rPr>
            </w:pPr>
            <w:r>
              <w:rPr>
                <w:rFonts w:hint="eastAsia"/>
                <w:color w:val="000000"/>
                <w:sz w:val="18"/>
                <w:szCs w:val="18"/>
              </w:rPr>
              <w:t>14:00</w:t>
            </w:r>
          </w:p>
        </w:tc>
        <w:tc>
          <w:tcPr>
            <w:tcW w:w="1949" w:type="dxa"/>
            <w:noWrap w:val="0"/>
            <w:vAlign w:val="center"/>
          </w:tcPr>
          <w:p w14:paraId="58475213">
            <w:pPr>
              <w:jc w:val="center"/>
              <w:rPr>
                <w:rFonts w:ascii="宋体" w:hAnsi="宋体" w:cs="宋体"/>
                <w:color w:val="000000"/>
                <w:sz w:val="24"/>
              </w:rPr>
            </w:pPr>
            <w:r>
              <w:rPr>
                <w:rFonts w:hint="eastAsia"/>
                <w:color w:val="000000"/>
              </w:rPr>
              <w:t>0.059</w:t>
            </w:r>
          </w:p>
        </w:tc>
        <w:tc>
          <w:tcPr>
            <w:tcW w:w="1949" w:type="dxa"/>
            <w:noWrap w:val="0"/>
            <w:vAlign w:val="center"/>
          </w:tcPr>
          <w:p w14:paraId="6F0B1A16">
            <w:pPr>
              <w:jc w:val="center"/>
              <w:rPr>
                <w:rFonts w:ascii="宋体" w:hAnsi="宋体" w:cs="宋体"/>
                <w:color w:val="000000"/>
                <w:sz w:val="24"/>
              </w:rPr>
            </w:pPr>
            <w:r>
              <w:rPr>
                <w:rFonts w:hint="eastAsia"/>
                <w:color w:val="000000"/>
              </w:rPr>
              <w:t>0.007</w:t>
            </w:r>
          </w:p>
        </w:tc>
        <w:tc>
          <w:tcPr>
            <w:tcW w:w="1949" w:type="dxa"/>
            <w:noWrap w:val="0"/>
            <w:vAlign w:val="center"/>
          </w:tcPr>
          <w:p w14:paraId="1FF00F23">
            <w:pPr>
              <w:jc w:val="center"/>
              <w:rPr>
                <w:color w:val="000000"/>
                <w:szCs w:val="21"/>
              </w:rPr>
            </w:pPr>
            <w:r>
              <w:rPr>
                <w:color w:val="000000"/>
                <w:szCs w:val="21"/>
              </w:rPr>
              <w:t>1.35</w:t>
            </w:r>
          </w:p>
        </w:tc>
        <w:tc>
          <w:tcPr>
            <w:tcW w:w="1949" w:type="dxa"/>
            <w:noWrap w:val="0"/>
            <w:vAlign w:val="center"/>
          </w:tcPr>
          <w:p w14:paraId="1DFB3F25">
            <w:pPr>
              <w:jc w:val="center"/>
              <w:rPr>
                <w:color w:val="000000"/>
                <w:szCs w:val="21"/>
              </w:rPr>
            </w:pPr>
            <w:r>
              <w:rPr>
                <w:rFonts w:hAnsi="宋体"/>
                <w:color w:val="000000"/>
                <w:szCs w:val="21"/>
              </w:rPr>
              <w:t>＜</w:t>
            </w:r>
            <w:r>
              <w:rPr>
                <w:color w:val="000000"/>
                <w:szCs w:val="21"/>
              </w:rPr>
              <w:t>10</w:t>
            </w:r>
          </w:p>
        </w:tc>
      </w:tr>
      <w:tr w14:paraId="7AF4AD56">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425" w:hRule="atLeast"/>
        </w:trPr>
        <w:tc>
          <w:tcPr>
            <w:tcW w:w="1260" w:type="dxa"/>
            <w:vMerge w:val="continue"/>
            <w:noWrap w:val="0"/>
            <w:vAlign w:val="center"/>
          </w:tcPr>
          <w:p w14:paraId="0A5222D0">
            <w:pPr>
              <w:jc w:val="center"/>
              <w:rPr>
                <w:b/>
                <w:color w:val="000000"/>
                <w:szCs w:val="21"/>
              </w:rPr>
            </w:pPr>
          </w:p>
        </w:tc>
        <w:tc>
          <w:tcPr>
            <w:tcW w:w="1446" w:type="dxa"/>
            <w:noWrap w:val="0"/>
            <w:vAlign w:val="center"/>
          </w:tcPr>
          <w:p w14:paraId="500CBDF0">
            <w:pPr>
              <w:jc w:val="center"/>
              <w:rPr>
                <w:color w:val="000000"/>
                <w:szCs w:val="21"/>
              </w:rPr>
            </w:pPr>
            <w:r>
              <w:rPr>
                <w:rFonts w:hint="eastAsia"/>
                <w:color w:val="000000"/>
                <w:sz w:val="18"/>
                <w:szCs w:val="18"/>
              </w:rPr>
              <w:t>20:00</w:t>
            </w:r>
          </w:p>
        </w:tc>
        <w:tc>
          <w:tcPr>
            <w:tcW w:w="1949" w:type="dxa"/>
            <w:noWrap w:val="0"/>
            <w:vAlign w:val="center"/>
          </w:tcPr>
          <w:p w14:paraId="3BD258C3">
            <w:pPr>
              <w:jc w:val="center"/>
              <w:rPr>
                <w:rFonts w:ascii="宋体" w:hAnsi="宋体" w:cs="宋体"/>
                <w:color w:val="000000"/>
                <w:sz w:val="24"/>
              </w:rPr>
            </w:pPr>
            <w:r>
              <w:rPr>
                <w:rFonts w:hint="eastAsia"/>
                <w:color w:val="000000"/>
              </w:rPr>
              <w:t>0.059</w:t>
            </w:r>
          </w:p>
        </w:tc>
        <w:tc>
          <w:tcPr>
            <w:tcW w:w="1949" w:type="dxa"/>
            <w:noWrap w:val="0"/>
            <w:vAlign w:val="center"/>
          </w:tcPr>
          <w:p w14:paraId="3D33305C">
            <w:pPr>
              <w:jc w:val="center"/>
              <w:rPr>
                <w:rFonts w:ascii="宋体" w:hAnsi="宋体" w:cs="宋体"/>
                <w:color w:val="000000"/>
                <w:sz w:val="24"/>
              </w:rPr>
            </w:pPr>
            <w:r>
              <w:rPr>
                <w:rFonts w:hint="eastAsia"/>
                <w:color w:val="000000"/>
              </w:rPr>
              <w:t>0.008</w:t>
            </w:r>
          </w:p>
        </w:tc>
        <w:tc>
          <w:tcPr>
            <w:tcW w:w="1949" w:type="dxa"/>
            <w:noWrap w:val="0"/>
            <w:vAlign w:val="center"/>
          </w:tcPr>
          <w:p w14:paraId="476E3ECF">
            <w:pPr>
              <w:jc w:val="center"/>
              <w:rPr>
                <w:color w:val="000000"/>
                <w:szCs w:val="21"/>
              </w:rPr>
            </w:pPr>
            <w:r>
              <w:rPr>
                <w:color w:val="000000"/>
                <w:szCs w:val="21"/>
              </w:rPr>
              <w:t>1.35</w:t>
            </w:r>
          </w:p>
        </w:tc>
        <w:tc>
          <w:tcPr>
            <w:tcW w:w="1949" w:type="dxa"/>
            <w:noWrap w:val="0"/>
            <w:vAlign w:val="center"/>
          </w:tcPr>
          <w:p w14:paraId="1F13E8D0">
            <w:pPr>
              <w:jc w:val="center"/>
              <w:rPr>
                <w:color w:val="000000"/>
                <w:szCs w:val="21"/>
              </w:rPr>
            </w:pPr>
            <w:r>
              <w:rPr>
                <w:rFonts w:hAnsi="宋体"/>
                <w:color w:val="000000"/>
                <w:szCs w:val="21"/>
              </w:rPr>
              <w:t>＜</w:t>
            </w:r>
            <w:r>
              <w:rPr>
                <w:color w:val="000000"/>
                <w:szCs w:val="21"/>
              </w:rPr>
              <w:t>10</w:t>
            </w:r>
          </w:p>
        </w:tc>
      </w:tr>
      <w:tr w14:paraId="0A2B1CC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425" w:hRule="atLeast"/>
        </w:trPr>
        <w:tc>
          <w:tcPr>
            <w:tcW w:w="1260" w:type="dxa"/>
            <w:vMerge w:val="continue"/>
            <w:noWrap w:val="0"/>
            <w:vAlign w:val="center"/>
          </w:tcPr>
          <w:p w14:paraId="614188EF">
            <w:pPr>
              <w:jc w:val="center"/>
              <w:rPr>
                <w:b/>
                <w:color w:val="000000"/>
                <w:szCs w:val="21"/>
              </w:rPr>
            </w:pPr>
          </w:p>
        </w:tc>
        <w:tc>
          <w:tcPr>
            <w:tcW w:w="1446" w:type="dxa"/>
            <w:noWrap w:val="0"/>
            <w:vAlign w:val="center"/>
          </w:tcPr>
          <w:p w14:paraId="4CE96562">
            <w:pPr>
              <w:jc w:val="center"/>
              <w:rPr>
                <w:rFonts w:hint="eastAsia"/>
                <w:color w:val="000000"/>
              </w:rPr>
            </w:pPr>
            <w:r>
              <w:rPr>
                <w:rFonts w:hint="eastAsia"/>
                <w:color w:val="000000"/>
                <w:sz w:val="18"/>
                <w:szCs w:val="18"/>
              </w:rPr>
              <w:t>02:00</w:t>
            </w:r>
          </w:p>
        </w:tc>
        <w:tc>
          <w:tcPr>
            <w:tcW w:w="1949" w:type="dxa"/>
            <w:noWrap w:val="0"/>
            <w:vAlign w:val="center"/>
          </w:tcPr>
          <w:p w14:paraId="02CDA3B7">
            <w:pPr>
              <w:jc w:val="center"/>
              <w:rPr>
                <w:rFonts w:ascii="宋体" w:hAnsi="宋体" w:cs="宋体"/>
                <w:color w:val="000000"/>
                <w:sz w:val="24"/>
              </w:rPr>
            </w:pPr>
            <w:r>
              <w:rPr>
                <w:rFonts w:hint="eastAsia"/>
                <w:color w:val="000000"/>
              </w:rPr>
              <w:t>0.065</w:t>
            </w:r>
          </w:p>
        </w:tc>
        <w:tc>
          <w:tcPr>
            <w:tcW w:w="1949" w:type="dxa"/>
            <w:noWrap w:val="0"/>
            <w:vAlign w:val="center"/>
          </w:tcPr>
          <w:p w14:paraId="7C9A0BF3">
            <w:pPr>
              <w:jc w:val="center"/>
              <w:rPr>
                <w:rFonts w:ascii="宋体" w:hAnsi="宋体" w:cs="宋体"/>
                <w:color w:val="000000"/>
                <w:sz w:val="24"/>
              </w:rPr>
            </w:pPr>
            <w:r>
              <w:rPr>
                <w:rFonts w:hint="eastAsia"/>
                <w:color w:val="000000"/>
              </w:rPr>
              <w:t>0.006</w:t>
            </w:r>
          </w:p>
        </w:tc>
        <w:tc>
          <w:tcPr>
            <w:tcW w:w="1949" w:type="dxa"/>
            <w:noWrap w:val="0"/>
            <w:vAlign w:val="center"/>
          </w:tcPr>
          <w:p w14:paraId="753E6E97">
            <w:pPr>
              <w:jc w:val="center"/>
              <w:rPr>
                <w:color w:val="000000"/>
                <w:szCs w:val="21"/>
              </w:rPr>
            </w:pPr>
            <w:r>
              <w:rPr>
                <w:color w:val="000000"/>
                <w:szCs w:val="21"/>
              </w:rPr>
              <w:t>1.36</w:t>
            </w:r>
          </w:p>
        </w:tc>
        <w:tc>
          <w:tcPr>
            <w:tcW w:w="1949" w:type="dxa"/>
            <w:noWrap w:val="0"/>
            <w:vAlign w:val="center"/>
          </w:tcPr>
          <w:p w14:paraId="36E3835A">
            <w:pPr>
              <w:jc w:val="center"/>
              <w:rPr>
                <w:color w:val="000000"/>
                <w:szCs w:val="21"/>
              </w:rPr>
            </w:pPr>
            <w:r>
              <w:rPr>
                <w:rFonts w:hAnsi="宋体"/>
                <w:color w:val="000000"/>
                <w:szCs w:val="21"/>
              </w:rPr>
              <w:t>＜</w:t>
            </w:r>
            <w:r>
              <w:rPr>
                <w:color w:val="000000"/>
                <w:szCs w:val="21"/>
              </w:rPr>
              <w:t>10</w:t>
            </w:r>
          </w:p>
        </w:tc>
      </w:tr>
      <w:tr w14:paraId="4C513E6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425" w:hRule="atLeast"/>
        </w:trPr>
        <w:tc>
          <w:tcPr>
            <w:tcW w:w="1260" w:type="dxa"/>
            <w:vMerge w:val="continue"/>
            <w:noWrap w:val="0"/>
            <w:vAlign w:val="center"/>
          </w:tcPr>
          <w:p w14:paraId="463071BD">
            <w:pPr>
              <w:jc w:val="center"/>
              <w:rPr>
                <w:b/>
                <w:color w:val="000000"/>
                <w:szCs w:val="21"/>
              </w:rPr>
            </w:pPr>
          </w:p>
        </w:tc>
        <w:tc>
          <w:tcPr>
            <w:tcW w:w="1446" w:type="dxa"/>
            <w:noWrap w:val="0"/>
            <w:vAlign w:val="center"/>
          </w:tcPr>
          <w:p w14:paraId="5EE94222">
            <w:pPr>
              <w:jc w:val="center"/>
              <w:rPr>
                <w:rFonts w:hint="eastAsia"/>
                <w:color w:val="000000"/>
              </w:rPr>
            </w:pPr>
            <w:r>
              <w:rPr>
                <w:rFonts w:hint="eastAsia"/>
                <w:color w:val="000000"/>
              </w:rPr>
              <w:t>最大值</w:t>
            </w:r>
          </w:p>
        </w:tc>
        <w:tc>
          <w:tcPr>
            <w:tcW w:w="1949" w:type="dxa"/>
            <w:noWrap w:val="0"/>
            <w:vAlign w:val="center"/>
          </w:tcPr>
          <w:p w14:paraId="09C2FBF1">
            <w:pPr>
              <w:jc w:val="center"/>
              <w:rPr>
                <w:rFonts w:hint="eastAsia"/>
                <w:color w:val="000000"/>
                <w:szCs w:val="21"/>
              </w:rPr>
            </w:pPr>
            <w:r>
              <w:rPr>
                <w:rFonts w:hint="eastAsia"/>
                <w:color w:val="000000"/>
                <w:szCs w:val="21"/>
              </w:rPr>
              <w:t>0.065</w:t>
            </w:r>
          </w:p>
        </w:tc>
        <w:tc>
          <w:tcPr>
            <w:tcW w:w="1949" w:type="dxa"/>
            <w:noWrap w:val="0"/>
            <w:vAlign w:val="center"/>
          </w:tcPr>
          <w:p w14:paraId="370269F0">
            <w:pPr>
              <w:jc w:val="center"/>
              <w:rPr>
                <w:rFonts w:hint="eastAsia"/>
                <w:color w:val="000000"/>
                <w:szCs w:val="21"/>
              </w:rPr>
            </w:pPr>
            <w:r>
              <w:rPr>
                <w:rFonts w:hint="eastAsia"/>
                <w:color w:val="000000"/>
                <w:szCs w:val="21"/>
              </w:rPr>
              <w:t>0.008</w:t>
            </w:r>
          </w:p>
        </w:tc>
        <w:tc>
          <w:tcPr>
            <w:tcW w:w="1949" w:type="dxa"/>
            <w:noWrap w:val="0"/>
            <w:vAlign w:val="center"/>
          </w:tcPr>
          <w:p w14:paraId="5CB575B6">
            <w:pPr>
              <w:jc w:val="center"/>
              <w:rPr>
                <w:rFonts w:hint="eastAsia"/>
                <w:color w:val="000000"/>
                <w:szCs w:val="21"/>
              </w:rPr>
            </w:pPr>
            <w:r>
              <w:rPr>
                <w:rFonts w:hint="eastAsia"/>
                <w:color w:val="000000"/>
                <w:szCs w:val="21"/>
              </w:rPr>
              <w:t>1.37</w:t>
            </w:r>
          </w:p>
        </w:tc>
        <w:tc>
          <w:tcPr>
            <w:tcW w:w="1949" w:type="dxa"/>
            <w:noWrap w:val="0"/>
            <w:vAlign w:val="center"/>
          </w:tcPr>
          <w:p w14:paraId="2275D184">
            <w:pPr>
              <w:jc w:val="center"/>
              <w:rPr>
                <w:color w:val="000000"/>
                <w:szCs w:val="21"/>
              </w:rPr>
            </w:pPr>
            <w:r>
              <w:rPr>
                <w:rFonts w:hAnsi="宋体"/>
                <w:color w:val="000000"/>
                <w:szCs w:val="21"/>
              </w:rPr>
              <w:t>＜</w:t>
            </w:r>
            <w:r>
              <w:rPr>
                <w:color w:val="000000"/>
                <w:szCs w:val="21"/>
              </w:rPr>
              <w:t>10</w:t>
            </w:r>
          </w:p>
        </w:tc>
      </w:tr>
      <w:tr w14:paraId="3E2598A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425" w:hRule="atLeast"/>
        </w:trPr>
        <w:tc>
          <w:tcPr>
            <w:tcW w:w="1260" w:type="dxa"/>
            <w:vMerge w:val="restart"/>
            <w:noWrap w:val="0"/>
            <w:vAlign w:val="center"/>
          </w:tcPr>
          <w:p w14:paraId="27FEBA3C">
            <w:pPr>
              <w:jc w:val="center"/>
              <w:rPr>
                <w:b/>
                <w:color w:val="000000"/>
                <w:szCs w:val="21"/>
              </w:rPr>
            </w:pPr>
            <w:r>
              <w:rPr>
                <w:rFonts w:hint="eastAsia" w:ascii="宋体" w:hAnsi="宋体"/>
                <w:b/>
                <w:color w:val="000000"/>
                <w:szCs w:val="21"/>
              </w:rPr>
              <w:t>绿化带处排气口上风向</w:t>
            </w:r>
          </w:p>
        </w:tc>
        <w:tc>
          <w:tcPr>
            <w:tcW w:w="1446" w:type="dxa"/>
            <w:noWrap w:val="0"/>
            <w:vAlign w:val="center"/>
          </w:tcPr>
          <w:p w14:paraId="289F47C2">
            <w:pPr>
              <w:jc w:val="center"/>
              <w:rPr>
                <w:rFonts w:hint="eastAsia"/>
                <w:color w:val="000000"/>
                <w:szCs w:val="21"/>
              </w:rPr>
            </w:pPr>
            <w:r>
              <w:rPr>
                <w:rFonts w:hint="eastAsia"/>
                <w:color w:val="000000"/>
                <w:sz w:val="18"/>
                <w:szCs w:val="18"/>
              </w:rPr>
              <w:t>08:00</w:t>
            </w:r>
          </w:p>
        </w:tc>
        <w:tc>
          <w:tcPr>
            <w:tcW w:w="1949" w:type="dxa"/>
            <w:noWrap w:val="0"/>
            <w:vAlign w:val="center"/>
          </w:tcPr>
          <w:p w14:paraId="42C80923">
            <w:pPr>
              <w:jc w:val="center"/>
              <w:rPr>
                <w:rFonts w:ascii="宋体" w:hAnsi="宋体" w:cs="宋体"/>
                <w:color w:val="000000"/>
                <w:sz w:val="24"/>
              </w:rPr>
            </w:pPr>
            <w:r>
              <w:rPr>
                <w:rFonts w:hint="eastAsia"/>
                <w:color w:val="000000"/>
              </w:rPr>
              <w:t>0.029</w:t>
            </w:r>
          </w:p>
        </w:tc>
        <w:tc>
          <w:tcPr>
            <w:tcW w:w="1949" w:type="dxa"/>
            <w:noWrap w:val="0"/>
            <w:vAlign w:val="center"/>
          </w:tcPr>
          <w:p w14:paraId="476D39BD">
            <w:pPr>
              <w:jc w:val="center"/>
              <w:rPr>
                <w:rFonts w:ascii="宋体" w:hAnsi="宋体" w:cs="宋体"/>
                <w:color w:val="000000"/>
                <w:sz w:val="24"/>
              </w:rPr>
            </w:pPr>
            <w:r>
              <w:rPr>
                <w:rFonts w:hint="eastAsia"/>
                <w:color w:val="000000"/>
              </w:rPr>
              <w:t>0.006</w:t>
            </w:r>
          </w:p>
        </w:tc>
        <w:tc>
          <w:tcPr>
            <w:tcW w:w="1949" w:type="dxa"/>
            <w:noWrap w:val="0"/>
            <w:vAlign w:val="center"/>
          </w:tcPr>
          <w:p w14:paraId="7B2CF24A">
            <w:pPr>
              <w:jc w:val="center"/>
              <w:rPr>
                <w:color w:val="000000"/>
                <w:szCs w:val="21"/>
              </w:rPr>
            </w:pPr>
            <w:r>
              <w:rPr>
                <w:color w:val="000000"/>
                <w:szCs w:val="21"/>
              </w:rPr>
              <w:t>1.37</w:t>
            </w:r>
          </w:p>
        </w:tc>
        <w:tc>
          <w:tcPr>
            <w:tcW w:w="1949" w:type="dxa"/>
            <w:noWrap w:val="0"/>
            <w:vAlign w:val="center"/>
          </w:tcPr>
          <w:p w14:paraId="445A5EBC">
            <w:pPr>
              <w:jc w:val="center"/>
              <w:rPr>
                <w:color w:val="000000"/>
                <w:szCs w:val="21"/>
              </w:rPr>
            </w:pPr>
            <w:r>
              <w:rPr>
                <w:rFonts w:hAnsi="宋体"/>
                <w:color w:val="000000"/>
                <w:szCs w:val="21"/>
              </w:rPr>
              <w:t>＜</w:t>
            </w:r>
            <w:r>
              <w:rPr>
                <w:color w:val="000000"/>
                <w:szCs w:val="21"/>
              </w:rPr>
              <w:t>10</w:t>
            </w:r>
          </w:p>
        </w:tc>
      </w:tr>
      <w:tr w14:paraId="4F214A7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425" w:hRule="atLeast"/>
        </w:trPr>
        <w:tc>
          <w:tcPr>
            <w:tcW w:w="1260" w:type="dxa"/>
            <w:vMerge w:val="continue"/>
            <w:noWrap w:val="0"/>
            <w:vAlign w:val="center"/>
          </w:tcPr>
          <w:p w14:paraId="333BCDD9">
            <w:pPr>
              <w:jc w:val="center"/>
              <w:rPr>
                <w:b/>
                <w:color w:val="000000"/>
                <w:szCs w:val="21"/>
              </w:rPr>
            </w:pPr>
          </w:p>
        </w:tc>
        <w:tc>
          <w:tcPr>
            <w:tcW w:w="1446" w:type="dxa"/>
            <w:noWrap w:val="0"/>
            <w:vAlign w:val="center"/>
          </w:tcPr>
          <w:p w14:paraId="09030D5F">
            <w:pPr>
              <w:jc w:val="center"/>
              <w:rPr>
                <w:color w:val="000000"/>
                <w:szCs w:val="21"/>
              </w:rPr>
            </w:pPr>
            <w:r>
              <w:rPr>
                <w:rFonts w:hint="eastAsia"/>
                <w:color w:val="000000"/>
                <w:sz w:val="18"/>
                <w:szCs w:val="18"/>
              </w:rPr>
              <w:t>14:00</w:t>
            </w:r>
          </w:p>
        </w:tc>
        <w:tc>
          <w:tcPr>
            <w:tcW w:w="1949" w:type="dxa"/>
            <w:noWrap w:val="0"/>
            <w:vAlign w:val="center"/>
          </w:tcPr>
          <w:p w14:paraId="7C2C29C5">
            <w:pPr>
              <w:jc w:val="center"/>
              <w:rPr>
                <w:rFonts w:ascii="宋体" w:hAnsi="宋体" w:cs="宋体"/>
                <w:color w:val="000000"/>
                <w:sz w:val="24"/>
              </w:rPr>
            </w:pPr>
            <w:r>
              <w:rPr>
                <w:rFonts w:hint="eastAsia"/>
                <w:color w:val="000000"/>
              </w:rPr>
              <w:t>0.034</w:t>
            </w:r>
          </w:p>
        </w:tc>
        <w:tc>
          <w:tcPr>
            <w:tcW w:w="1949" w:type="dxa"/>
            <w:noWrap w:val="0"/>
            <w:vAlign w:val="center"/>
          </w:tcPr>
          <w:p w14:paraId="430E40BF">
            <w:pPr>
              <w:jc w:val="center"/>
              <w:rPr>
                <w:rFonts w:ascii="宋体" w:hAnsi="宋体" w:cs="宋体"/>
                <w:color w:val="000000"/>
                <w:sz w:val="24"/>
              </w:rPr>
            </w:pPr>
            <w:r>
              <w:rPr>
                <w:rFonts w:hint="eastAsia"/>
                <w:color w:val="000000"/>
              </w:rPr>
              <w:t>0.007</w:t>
            </w:r>
          </w:p>
        </w:tc>
        <w:tc>
          <w:tcPr>
            <w:tcW w:w="1949" w:type="dxa"/>
            <w:noWrap w:val="0"/>
            <w:vAlign w:val="center"/>
          </w:tcPr>
          <w:p w14:paraId="3FCB5F7F">
            <w:pPr>
              <w:jc w:val="center"/>
              <w:rPr>
                <w:color w:val="000000"/>
                <w:szCs w:val="21"/>
              </w:rPr>
            </w:pPr>
            <w:r>
              <w:rPr>
                <w:color w:val="000000"/>
                <w:szCs w:val="21"/>
              </w:rPr>
              <w:t>1.35</w:t>
            </w:r>
          </w:p>
        </w:tc>
        <w:tc>
          <w:tcPr>
            <w:tcW w:w="1949" w:type="dxa"/>
            <w:noWrap w:val="0"/>
            <w:vAlign w:val="center"/>
          </w:tcPr>
          <w:p w14:paraId="652E4929">
            <w:pPr>
              <w:jc w:val="center"/>
              <w:rPr>
                <w:color w:val="000000"/>
                <w:szCs w:val="21"/>
              </w:rPr>
            </w:pPr>
            <w:r>
              <w:rPr>
                <w:rFonts w:hAnsi="宋体"/>
                <w:color w:val="000000"/>
                <w:szCs w:val="21"/>
              </w:rPr>
              <w:t>＜</w:t>
            </w:r>
            <w:r>
              <w:rPr>
                <w:color w:val="000000"/>
                <w:szCs w:val="21"/>
              </w:rPr>
              <w:t>10</w:t>
            </w:r>
          </w:p>
        </w:tc>
      </w:tr>
      <w:tr w14:paraId="7D18F4F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425" w:hRule="atLeast"/>
        </w:trPr>
        <w:tc>
          <w:tcPr>
            <w:tcW w:w="1260" w:type="dxa"/>
            <w:vMerge w:val="continue"/>
            <w:noWrap w:val="0"/>
            <w:vAlign w:val="center"/>
          </w:tcPr>
          <w:p w14:paraId="24BCF995">
            <w:pPr>
              <w:jc w:val="center"/>
              <w:rPr>
                <w:b/>
                <w:color w:val="000000"/>
                <w:szCs w:val="21"/>
              </w:rPr>
            </w:pPr>
          </w:p>
        </w:tc>
        <w:tc>
          <w:tcPr>
            <w:tcW w:w="1446" w:type="dxa"/>
            <w:noWrap w:val="0"/>
            <w:vAlign w:val="center"/>
          </w:tcPr>
          <w:p w14:paraId="3553D583">
            <w:pPr>
              <w:jc w:val="center"/>
              <w:rPr>
                <w:color w:val="000000"/>
                <w:szCs w:val="21"/>
              </w:rPr>
            </w:pPr>
            <w:r>
              <w:rPr>
                <w:rFonts w:hint="eastAsia"/>
                <w:color w:val="000000"/>
                <w:sz w:val="18"/>
                <w:szCs w:val="18"/>
              </w:rPr>
              <w:t>20:00</w:t>
            </w:r>
          </w:p>
        </w:tc>
        <w:tc>
          <w:tcPr>
            <w:tcW w:w="1949" w:type="dxa"/>
            <w:noWrap w:val="0"/>
            <w:vAlign w:val="center"/>
          </w:tcPr>
          <w:p w14:paraId="11D715AE">
            <w:pPr>
              <w:jc w:val="center"/>
              <w:rPr>
                <w:rFonts w:ascii="宋体" w:hAnsi="宋体" w:cs="宋体"/>
                <w:color w:val="000000"/>
                <w:sz w:val="24"/>
              </w:rPr>
            </w:pPr>
            <w:r>
              <w:rPr>
                <w:rFonts w:hint="eastAsia"/>
                <w:color w:val="000000"/>
              </w:rPr>
              <w:t>0.038</w:t>
            </w:r>
          </w:p>
        </w:tc>
        <w:tc>
          <w:tcPr>
            <w:tcW w:w="1949" w:type="dxa"/>
            <w:noWrap w:val="0"/>
            <w:vAlign w:val="center"/>
          </w:tcPr>
          <w:p w14:paraId="43FFEA82">
            <w:pPr>
              <w:jc w:val="center"/>
              <w:rPr>
                <w:rFonts w:ascii="宋体" w:hAnsi="宋体" w:cs="宋体"/>
                <w:color w:val="000000"/>
                <w:sz w:val="24"/>
              </w:rPr>
            </w:pPr>
            <w:r>
              <w:rPr>
                <w:rFonts w:hint="eastAsia"/>
                <w:color w:val="000000"/>
              </w:rPr>
              <w:t>0.008</w:t>
            </w:r>
          </w:p>
        </w:tc>
        <w:tc>
          <w:tcPr>
            <w:tcW w:w="1949" w:type="dxa"/>
            <w:noWrap w:val="0"/>
            <w:vAlign w:val="center"/>
          </w:tcPr>
          <w:p w14:paraId="76994BBC">
            <w:pPr>
              <w:jc w:val="center"/>
              <w:rPr>
                <w:color w:val="000000"/>
                <w:szCs w:val="21"/>
              </w:rPr>
            </w:pPr>
            <w:r>
              <w:rPr>
                <w:color w:val="000000"/>
                <w:szCs w:val="21"/>
              </w:rPr>
              <w:t>1.35</w:t>
            </w:r>
          </w:p>
        </w:tc>
        <w:tc>
          <w:tcPr>
            <w:tcW w:w="1949" w:type="dxa"/>
            <w:noWrap w:val="0"/>
            <w:vAlign w:val="center"/>
          </w:tcPr>
          <w:p w14:paraId="5C45AF2E">
            <w:pPr>
              <w:jc w:val="center"/>
              <w:rPr>
                <w:color w:val="000000"/>
                <w:szCs w:val="21"/>
              </w:rPr>
            </w:pPr>
            <w:r>
              <w:rPr>
                <w:rFonts w:hAnsi="宋体"/>
                <w:color w:val="000000"/>
                <w:szCs w:val="21"/>
              </w:rPr>
              <w:t>＜</w:t>
            </w:r>
            <w:r>
              <w:rPr>
                <w:color w:val="000000"/>
                <w:szCs w:val="21"/>
              </w:rPr>
              <w:t>10</w:t>
            </w:r>
          </w:p>
        </w:tc>
      </w:tr>
      <w:tr w14:paraId="2605CA0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425" w:hRule="atLeast"/>
        </w:trPr>
        <w:tc>
          <w:tcPr>
            <w:tcW w:w="1260" w:type="dxa"/>
            <w:vMerge w:val="continue"/>
            <w:noWrap w:val="0"/>
            <w:vAlign w:val="center"/>
          </w:tcPr>
          <w:p w14:paraId="14E6A706">
            <w:pPr>
              <w:jc w:val="center"/>
              <w:rPr>
                <w:b/>
                <w:color w:val="000000"/>
                <w:szCs w:val="21"/>
              </w:rPr>
            </w:pPr>
          </w:p>
        </w:tc>
        <w:tc>
          <w:tcPr>
            <w:tcW w:w="1446" w:type="dxa"/>
            <w:noWrap w:val="0"/>
            <w:vAlign w:val="center"/>
          </w:tcPr>
          <w:p w14:paraId="0DCD917A">
            <w:pPr>
              <w:jc w:val="center"/>
              <w:rPr>
                <w:rFonts w:hint="eastAsia"/>
                <w:color w:val="000000"/>
              </w:rPr>
            </w:pPr>
            <w:r>
              <w:rPr>
                <w:rFonts w:hint="eastAsia"/>
                <w:color w:val="000000"/>
                <w:sz w:val="18"/>
                <w:szCs w:val="18"/>
              </w:rPr>
              <w:t>02:00</w:t>
            </w:r>
          </w:p>
        </w:tc>
        <w:tc>
          <w:tcPr>
            <w:tcW w:w="1949" w:type="dxa"/>
            <w:noWrap w:val="0"/>
            <w:vAlign w:val="center"/>
          </w:tcPr>
          <w:p w14:paraId="345D5F60">
            <w:pPr>
              <w:jc w:val="center"/>
              <w:rPr>
                <w:rFonts w:ascii="宋体" w:hAnsi="宋体" w:cs="宋体"/>
                <w:color w:val="000000"/>
                <w:sz w:val="24"/>
              </w:rPr>
            </w:pPr>
            <w:r>
              <w:rPr>
                <w:rFonts w:hint="eastAsia"/>
                <w:color w:val="000000"/>
              </w:rPr>
              <w:t>0.031</w:t>
            </w:r>
          </w:p>
        </w:tc>
        <w:tc>
          <w:tcPr>
            <w:tcW w:w="1949" w:type="dxa"/>
            <w:noWrap w:val="0"/>
            <w:vAlign w:val="center"/>
          </w:tcPr>
          <w:p w14:paraId="25EC1844">
            <w:pPr>
              <w:jc w:val="center"/>
              <w:rPr>
                <w:rFonts w:ascii="宋体" w:hAnsi="宋体" w:cs="宋体"/>
                <w:color w:val="000000"/>
                <w:sz w:val="24"/>
              </w:rPr>
            </w:pPr>
            <w:r>
              <w:rPr>
                <w:rFonts w:hint="eastAsia"/>
                <w:color w:val="000000"/>
              </w:rPr>
              <w:t>0.006</w:t>
            </w:r>
          </w:p>
        </w:tc>
        <w:tc>
          <w:tcPr>
            <w:tcW w:w="1949" w:type="dxa"/>
            <w:noWrap w:val="0"/>
            <w:vAlign w:val="center"/>
          </w:tcPr>
          <w:p w14:paraId="74F016D9">
            <w:pPr>
              <w:jc w:val="center"/>
              <w:rPr>
                <w:color w:val="000000"/>
                <w:szCs w:val="21"/>
              </w:rPr>
            </w:pPr>
            <w:r>
              <w:rPr>
                <w:color w:val="000000"/>
                <w:szCs w:val="21"/>
              </w:rPr>
              <w:t>1.36</w:t>
            </w:r>
          </w:p>
        </w:tc>
        <w:tc>
          <w:tcPr>
            <w:tcW w:w="1949" w:type="dxa"/>
            <w:noWrap w:val="0"/>
            <w:vAlign w:val="center"/>
          </w:tcPr>
          <w:p w14:paraId="363430B7">
            <w:pPr>
              <w:jc w:val="center"/>
              <w:rPr>
                <w:color w:val="000000"/>
                <w:szCs w:val="21"/>
              </w:rPr>
            </w:pPr>
            <w:r>
              <w:rPr>
                <w:rFonts w:hAnsi="宋体"/>
                <w:color w:val="000000"/>
                <w:szCs w:val="21"/>
              </w:rPr>
              <w:t>＜</w:t>
            </w:r>
            <w:r>
              <w:rPr>
                <w:color w:val="000000"/>
                <w:szCs w:val="21"/>
              </w:rPr>
              <w:t>10</w:t>
            </w:r>
          </w:p>
        </w:tc>
      </w:tr>
      <w:tr w14:paraId="46DFFC1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425" w:hRule="atLeast"/>
        </w:trPr>
        <w:tc>
          <w:tcPr>
            <w:tcW w:w="1260" w:type="dxa"/>
            <w:vMerge w:val="continue"/>
            <w:noWrap w:val="0"/>
            <w:vAlign w:val="center"/>
          </w:tcPr>
          <w:p w14:paraId="61FCCFFE">
            <w:pPr>
              <w:jc w:val="center"/>
              <w:rPr>
                <w:b/>
                <w:color w:val="000000"/>
                <w:szCs w:val="21"/>
              </w:rPr>
            </w:pPr>
          </w:p>
        </w:tc>
        <w:tc>
          <w:tcPr>
            <w:tcW w:w="1446" w:type="dxa"/>
            <w:noWrap w:val="0"/>
            <w:vAlign w:val="center"/>
          </w:tcPr>
          <w:p w14:paraId="58957E05">
            <w:pPr>
              <w:jc w:val="center"/>
              <w:rPr>
                <w:rFonts w:hint="eastAsia"/>
                <w:color w:val="000000"/>
              </w:rPr>
            </w:pPr>
            <w:r>
              <w:rPr>
                <w:rFonts w:hint="eastAsia"/>
                <w:color w:val="000000"/>
              </w:rPr>
              <w:t>最大值</w:t>
            </w:r>
          </w:p>
        </w:tc>
        <w:tc>
          <w:tcPr>
            <w:tcW w:w="1949" w:type="dxa"/>
            <w:noWrap w:val="0"/>
            <w:vAlign w:val="center"/>
          </w:tcPr>
          <w:p w14:paraId="56C81EE1">
            <w:pPr>
              <w:jc w:val="center"/>
              <w:rPr>
                <w:rFonts w:hint="eastAsia"/>
                <w:color w:val="000000"/>
                <w:szCs w:val="21"/>
              </w:rPr>
            </w:pPr>
            <w:r>
              <w:rPr>
                <w:rFonts w:hint="eastAsia"/>
                <w:color w:val="000000"/>
                <w:szCs w:val="21"/>
              </w:rPr>
              <w:t>0.038</w:t>
            </w:r>
          </w:p>
        </w:tc>
        <w:tc>
          <w:tcPr>
            <w:tcW w:w="1949" w:type="dxa"/>
            <w:noWrap w:val="0"/>
            <w:vAlign w:val="center"/>
          </w:tcPr>
          <w:p w14:paraId="61CBEF68">
            <w:pPr>
              <w:jc w:val="center"/>
              <w:rPr>
                <w:rFonts w:hint="eastAsia"/>
                <w:color w:val="000000"/>
                <w:szCs w:val="21"/>
              </w:rPr>
            </w:pPr>
            <w:r>
              <w:rPr>
                <w:rFonts w:hint="eastAsia"/>
                <w:color w:val="000000"/>
                <w:szCs w:val="21"/>
              </w:rPr>
              <w:t>0.008</w:t>
            </w:r>
          </w:p>
        </w:tc>
        <w:tc>
          <w:tcPr>
            <w:tcW w:w="1949" w:type="dxa"/>
            <w:noWrap w:val="0"/>
            <w:vAlign w:val="center"/>
          </w:tcPr>
          <w:p w14:paraId="0AA0523A">
            <w:pPr>
              <w:jc w:val="center"/>
              <w:rPr>
                <w:rFonts w:hint="eastAsia"/>
                <w:color w:val="000000"/>
                <w:szCs w:val="21"/>
              </w:rPr>
            </w:pPr>
            <w:r>
              <w:rPr>
                <w:rFonts w:hint="eastAsia"/>
                <w:color w:val="000000"/>
                <w:szCs w:val="21"/>
              </w:rPr>
              <w:t>1.37</w:t>
            </w:r>
          </w:p>
        </w:tc>
        <w:tc>
          <w:tcPr>
            <w:tcW w:w="1949" w:type="dxa"/>
            <w:noWrap w:val="0"/>
            <w:vAlign w:val="center"/>
          </w:tcPr>
          <w:p w14:paraId="5CE5A6E9">
            <w:pPr>
              <w:jc w:val="center"/>
              <w:rPr>
                <w:color w:val="000000"/>
                <w:szCs w:val="21"/>
              </w:rPr>
            </w:pPr>
            <w:r>
              <w:rPr>
                <w:rFonts w:hAnsi="宋体"/>
                <w:color w:val="000000"/>
                <w:szCs w:val="21"/>
              </w:rPr>
              <w:t>＜</w:t>
            </w:r>
            <w:r>
              <w:rPr>
                <w:color w:val="000000"/>
                <w:szCs w:val="21"/>
              </w:rPr>
              <w:t>10</w:t>
            </w:r>
          </w:p>
        </w:tc>
      </w:tr>
      <w:tr w14:paraId="4B52DCE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425" w:hRule="atLeast"/>
        </w:trPr>
        <w:tc>
          <w:tcPr>
            <w:tcW w:w="1260" w:type="dxa"/>
            <w:vMerge w:val="restart"/>
            <w:noWrap w:val="0"/>
            <w:vAlign w:val="center"/>
          </w:tcPr>
          <w:p w14:paraId="22420039">
            <w:pPr>
              <w:jc w:val="center"/>
              <w:rPr>
                <w:b/>
                <w:color w:val="000000"/>
                <w:szCs w:val="21"/>
              </w:rPr>
            </w:pPr>
            <w:r>
              <w:rPr>
                <w:rFonts w:hint="eastAsia" w:ascii="宋体" w:hAnsi="宋体"/>
                <w:b/>
                <w:color w:val="000000"/>
                <w:szCs w:val="21"/>
              </w:rPr>
              <w:t>绿化带处排气口下风向</w:t>
            </w:r>
          </w:p>
        </w:tc>
        <w:tc>
          <w:tcPr>
            <w:tcW w:w="1446" w:type="dxa"/>
            <w:noWrap w:val="0"/>
            <w:vAlign w:val="center"/>
          </w:tcPr>
          <w:p w14:paraId="23F79358">
            <w:pPr>
              <w:jc w:val="center"/>
              <w:rPr>
                <w:rFonts w:hint="eastAsia"/>
                <w:color w:val="000000"/>
                <w:szCs w:val="21"/>
              </w:rPr>
            </w:pPr>
            <w:r>
              <w:rPr>
                <w:rFonts w:hint="eastAsia"/>
                <w:color w:val="000000"/>
                <w:sz w:val="18"/>
                <w:szCs w:val="18"/>
              </w:rPr>
              <w:t>08:00</w:t>
            </w:r>
          </w:p>
        </w:tc>
        <w:tc>
          <w:tcPr>
            <w:tcW w:w="1949" w:type="dxa"/>
            <w:noWrap w:val="0"/>
            <w:vAlign w:val="center"/>
          </w:tcPr>
          <w:p w14:paraId="596E824D">
            <w:pPr>
              <w:jc w:val="center"/>
              <w:rPr>
                <w:rFonts w:ascii="宋体" w:hAnsi="宋体" w:cs="宋体"/>
                <w:color w:val="000000"/>
                <w:sz w:val="24"/>
              </w:rPr>
            </w:pPr>
            <w:r>
              <w:rPr>
                <w:rFonts w:hint="eastAsia"/>
                <w:color w:val="000000"/>
              </w:rPr>
              <w:t>0.035</w:t>
            </w:r>
          </w:p>
        </w:tc>
        <w:tc>
          <w:tcPr>
            <w:tcW w:w="1949" w:type="dxa"/>
            <w:noWrap w:val="0"/>
            <w:vAlign w:val="center"/>
          </w:tcPr>
          <w:p w14:paraId="6A85D7A1">
            <w:pPr>
              <w:jc w:val="center"/>
              <w:rPr>
                <w:rFonts w:ascii="宋体" w:hAnsi="宋体" w:cs="宋体"/>
                <w:color w:val="000000"/>
                <w:sz w:val="24"/>
              </w:rPr>
            </w:pPr>
            <w:r>
              <w:rPr>
                <w:rFonts w:hint="eastAsia"/>
                <w:color w:val="000000"/>
              </w:rPr>
              <w:t>0.007</w:t>
            </w:r>
          </w:p>
        </w:tc>
        <w:tc>
          <w:tcPr>
            <w:tcW w:w="1949" w:type="dxa"/>
            <w:noWrap w:val="0"/>
            <w:vAlign w:val="center"/>
          </w:tcPr>
          <w:p w14:paraId="2594CAD8">
            <w:pPr>
              <w:jc w:val="center"/>
              <w:rPr>
                <w:color w:val="000000"/>
                <w:szCs w:val="21"/>
              </w:rPr>
            </w:pPr>
            <w:r>
              <w:rPr>
                <w:color w:val="000000"/>
                <w:szCs w:val="21"/>
              </w:rPr>
              <w:t>1.40</w:t>
            </w:r>
          </w:p>
        </w:tc>
        <w:tc>
          <w:tcPr>
            <w:tcW w:w="1949" w:type="dxa"/>
            <w:noWrap w:val="0"/>
            <w:vAlign w:val="center"/>
          </w:tcPr>
          <w:p w14:paraId="32C10119">
            <w:pPr>
              <w:jc w:val="center"/>
              <w:rPr>
                <w:color w:val="000000"/>
                <w:szCs w:val="21"/>
              </w:rPr>
            </w:pPr>
            <w:r>
              <w:rPr>
                <w:rFonts w:hAnsi="宋体"/>
                <w:color w:val="000000"/>
                <w:szCs w:val="21"/>
              </w:rPr>
              <w:t>＜</w:t>
            </w:r>
            <w:r>
              <w:rPr>
                <w:color w:val="000000"/>
                <w:szCs w:val="21"/>
              </w:rPr>
              <w:t>10</w:t>
            </w:r>
          </w:p>
        </w:tc>
      </w:tr>
      <w:tr w14:paraId="0362160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425" w:hRule="atLeast"/>
        </w:trPr>
        <w:tc>
          <w:tcPr>
            <w:tcW w:w="1260" w:type="dxa"/>
            <w:vMerge w:val="continue"/>
            <w:noWrap w:val="0"/>
            <w:vAlign w:val="center"/>
          </w:tcPr>
          <w:p w14:paraId="51F63880">
            <w:pPr>
              <w:jc w:val="center"/>
              <w:rPr>
                <w:b/>
                <w:color w:val="000000"/>
                <w:szCs w:val="21"/>
              </w:rPr>
            </w:pPr>
          </w:p>
        </w:tc>
        <w:tc>
          <w:tcPr>
            <w:tcW w:w="1446" w:type="dxa"/>
            <w:noWrap w:val="0"/>
            <w:vAlign w:val="center"/>
          </w:tcPr>
          <w:p w14:paraId="4328CB6C">
            <w:pPr>
              <w:jc w:val="center"/>
              <w:rPr>
                <w:color w:val="000000"/>
                <w:szCs w:val="21"/>
              </w:rPr>
            </w:pPr>
            <w:r>
              <w:rPr>
                <w:rFonts w:hint="eastAsia"/>
                <w:color w:val="000000"/>
                <w:sz w:val="18"/>
                <w:szCs w:val="18"/>
              </w:rPr>
              <w:t>14:00</w:t>
            </w:r>
          </w:p>
        </w:tc>
        <w:tc>
          <w:tcPr>
            <w:tcW w:w="1949" w:type="dxa"/>
            <w:noWrap w:val="0"/>
            <w:vAlign w:val="center"/>
          </w:tcPr>
          <w:p w14:paraId="020D57A6">
            <w:pPr>
              <w:jc w:val="center"/>
              <w:rPr>
                <w:rFonts w:ascii="宋体" w:hAnsi="宋体" w:cs="宋体"/>
                <w:color w:val="000000"/>
                <w:sz w:val="24"/>
              </w:rPr>
            </w:pPr>
            <w:r>
              <w:rPr>
                <w:rFonts w:hint="eastAsia"/>
                <w:color w:val="000000"/>
              </w:rPr>
              <w:t>0.040</w:t>
            </w:r>
          </w:p>
        </w:tc>
        <w:tc>
          <w:tcPr>
            <w:tcW w:w="1949" w:type="dxa"/>
            <w:noWrap w:val="0"/>
            <w:vAlign w:val="center"/>
          </w:tcPr>
          <w:p w14:paraId="46F2D55C">
            <w:pPr>
              <w:jc w:val="center"/>
              <w:rPr>
                <w:rFonts w:ascii="宋体" w:hAnsi="宋体" w:cs="宋体"/>
                <w:color w:val="000000"/>
                <w:sz w:val="24"/>
              </w:rPr>
            </w:pPr>
            <w:r>
              <w:rPr>
                <w:rFonts w:hint="eastAsia"/>
                <w:color w:val="000000"/>
              </w:rPr>
              <w:t>0.008</w:t>
            </w:r>
          </w:p>
        </w:tc>
        <w:tc>
          <w:tcPr>
            <w:tcW w:w="1949" w:type="dxa"/>
            <w:noWrap w:val="0"/>
            <w:vAlign w:val="center"/>
          </w:tcPr>
          <w:p w14:paraId="47866881">
            <w:pPr>
              <w:jc w:val="center"/>
              <w:rPr>
                <w:color w:val="000000"/>
                <w:szCs w:val="21"/>
              </w:rPr>
            </w:pPr>
            <w:r>
              <w:rPr>
                <w:color w:val="000000"/>
                <w:szCs w:val="21"/>
              </w:rPr>
              <w:t>1.42</w:t>
            </w:r>
          </w:p>
        </w:tc>
        <w:tc>
          <w:tcPr>
            <w:tcW w:w="1949" w:type="dxa"/>
            <w:noWrap w:val="0"/>
            <w:vAlign w:val="center"/>
          </w:tcPr>
          <w:p w14:paraId="607B4AED">
            <w:pPr>
              <w:jc w:val="center"/>
              <w:rPr>
                <w:color w:val="000000"/>
                <w:szCs w:val="21"/>
              </w:rPr>
            </w:pPr>
            <w:r>
              <w:rPr>
                <w:rFonts w:hAnsi="宋体"/>
                <w:color w:val="000000"/>
                <w:szCs w:val="21"/>
              </w:rPr>
              <w:t>＜</w:t>
            </w:r>
            <w:r>
              <w:rPr>
                <w:color w:val="000000"/>
                <w:szCs w:val="21"/>
              </w:rPr>
              <w:t>10</w:t>
            </w:r>
          </w:p>
        </w:tc>
      </w:tr>
      <w:tr w14:paraId="54E468D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425" w:hRule="atLeast"/>
        </w:trPr>
        <w:tc>
          <w:tcPr>
            <w:tcW w:w="1260" w:type="dxa"/>
            <w:vMerge w:val="continue"/>
            <w:noWrap w:val="0"/>
            <w:vAlign w:val="center"/>
          </w:tcPr>
          <w:p w14:paraId="0EB89826">
            <w:pPr>
              <w:jc w:val="center"/>
              <w:rPr>
                <w:b/>
                <w:color w:val="000000"/>
                <w:szCs w:val="21"/>
              </w:rPr>
            </w:pPr>
          </w:p>
        </w:tc>
        <w:tc>
          <w:tcPr>
            <w:tcW w:w="1446" w:type="dxa"/>
            <w:noWrap w:val="0"/>
            <w:vAlign w:val="center"/>
          </w:tcPr>
          <w:p w14:paraId="1969E0DC">
            <w:pPr>
              <w:jc w:val="center"/>
              <w:rPr>
                <w:color w:val="000000"/>
                <w:szCs w:val="21"/>
              </w:rPr>
            </w:pPr>
            <w:r>
              <w:rPr>
                <w:rFonts w:hint="eastAsia"/>
                <w:color w:val="000000"/>
                <w:sz w:val="18"/>
                <w:szCs w:val="18"/>
              </w:rPr>
              <w:t>20:00</w:t>
            </w:r>
          </w:p>
        </w:tc>
        <w:tc>
          <w:tcPr>
            <w:tcW w:w="1949" w:type="dxa"/>
            <w:noWrap w:val="0"/>
            <w:vAlign w:val="center"/>
          </w:tcPr>
          <w:p w14:paraId="0A5A878B">
            <w:pPr>
              <w:jc w:val="center"/>
              <w:rPr>
                <w:rFonts w:ascii="宋体" w:hAnsi="宋体" w:cs="宋体"/>
                <w:color w:val="000000"/>
                <w:sz w:val="24"/>
              </w:rPr>
            </w:pPr>
            <w:r>
              <w:rPr>
                <w:rFonts w:hint="eastAsia"/>
                <w:color w:val="000000"/>
              </w:rPr>
              <w:t>0.030</w:t>
            </w:r>
          </w:p>
        </w:tc>
        <w:tc>
          <w:tcPr>
            <w:tcW w:w="1949" w:type="dxa"/>
            <w:noWrap w:val="0"/>
            <w:vAlign w:val="center"/>
          </w:tcPr>
          <w:p w14:paraId="73CC591E">
            <w:pPr>
              <w:jc w:val="center"/>
              <w:rPr>
                <w:rFonts w:ascii="宋体" w:hAnsi="宋体" w:cs="宋体"/>
                <w:color w:val="000000"/>
                <w:sz w:val="24"/>
              </w:rPr>
            </w:pPr>
            <w:r>
              <w:rPr>
                <w:rFonts w:hint="eastAsia"/>
                <w:color w:val="000000"/>
              </w:rPr>
              <w:t>0.010</w:t>
            </w:r>
          </w:p>
        </w:tc>
        <w:tc>
          <w:tcPr>
            <w:tcW w:w="1949" w:type="dxa"/>
            <w:noWrap w:val="0"/>
            <w:vAlign w:val="center"/>
          </w:tcPr>
          <w:p w14:paraId="20E91516">
            <w:pPr>
              <w:jc w:val="center"/>
              <w:rPr>
                <w:color w:val="000000"/>
                <w:szCs w:val="21"/>
              </w:rPr>
            </w:pPr>
            <w:r>
              <w:rPr>
                <w:color w:val="000000"/>
                <w:szCs w:val="21"/>
              </w:rPr>
              <w:t>1.37</w:t>
            </w:r>
          </w:p>
        </w:tc>
        <w:tc>
          <w:tcPr>
            <w:tcW w:w="1949" w:type="dxa"/>
            <w:noWrap w:val="0"/>
            <w:vAlign w:val="center"/>
          </w:tcPr>
          <w:p w14:paraId="4FD3DDC6">
            <w:pPr>
              <w:jc w:val="center"/>
              <w:rPr>
                <w:color w:val="000000"/>
                <w:szCs w:val="21"/>
              </w:rPr>
            </w:pPr>
            <w:r>
              <w:rPr>
                <w:rFonts w:hAnsi="宋体"/>
                <w:color w:val="000000"/>
                <w:szCs w:val="21"/>
              </w:rPr>
              <w:t>＜</w:t>
            </w:r>
            <w:r>
              <w:rPr>
                <w:color w:val="000000"/>
                <w:szCs w:val="21"/>
              </w:rPr>
              <w:t>10</w:t>
            </w:r>
          </w:p>
        </w:tc>
      </w:tr>
      <w:tr w14:paraId="1302694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425" w:hRule="atLeast"/>
        </w:trPr>
        <w:tc>
          <w:tcPr>
            <w:tcW w:w="1260" w:type="dxa"/>
            <w:vMerge w:val="continue"/>
            <w:noWrap w:val="0"/>
            <w:vAlign w:val="center"/>
          </w:tcPr>
          <w:p w14:paraId="2C323DB2">
            <w:pPr>
              <w:jc w:val="center"/>
              <w:rPr>
                <w:b/>
                <w:color w:val="000000"/>
                <w:szCs w:val="21"/>
              </w:rPr>
            </w:pPr>
          </w:p>
        </w:tc>
        <w:tc>
          <w:tcPr>
            <w:tcW w:w="1446" w:type="dxa"/>
            <w:noWrap w:val="0"/>
            <w:vAlign w:val="center"/>
          </w:tcPr>
          <w:p w14:paraId="5BB5598F">
            <w:pPr>
              <w:jc w:val="center"/>
              <w:rPr>
                <w:rFonts w:hint="eastAsia"/>
                <w:color w:val="000000"/>
              </w:rPr>
            </w:pPr>
            <w:r>
              <w:rPr>
                <w:rFonts w:hint="eastAsia"/>
                <w:color w:val="000000"/>
                <w:sz w:val="18"/>
                <w:szCs w:val="18"/>
              </w:rPr>
              <w:t>02:00</w:t>
            </w:r>
          </w:p>
        </w:tc>
        <w:tc>
          <w:tcPr>
            <w:tcW w:w="1949" w:type="dxa"/>
            <w:noWrap w:val="0"/>
            <w:vAlign w:val="center"/>
          </w:tcPr>
          <w:p w14:paraId="46ABA264">
            <w:pPr>
              <w:jc w:val="center"/>
              <w:rPr>
                <w:rFonts w:ascii="宋体" w:hAnsi="宋体" w:cs="宋体"/>
                <w:color w:val="000000"/>
                <w:sz w:val="24"/>
              </w:rPr>
            </w:pPr>
            <w:r>
              <w:rPr>
                <w:rFonts w:hint="eastAsia"/>
                <w:color w:val="000000"/>
              </w:rPr>
              <w:t>0.036</w:t>
            </w:r>
          </w:p>
        </w:tc>
        <w:tc>
          <w:tcPr>
            <w:tcW w:w="1949" w:type="dxa"/>
            <w:noWrap w:val="0"/>
            <w:vAlign w:val="center"/>
          </w:tcPr>
          <w:p w14:paraId="6D010AD8">
            <w:pPr>
              <w:jc w:val="center"/>
              <w:rPr>
                <w:rFonts w:ascii="宋体" w:hAnsi="宋体" w:cs="宋体"/>
                <w:color w:val="000000"/>
                <w:sz w:val="24"/>
              </w:rPr>
            </w:pPr>
            <w:r>
              <w:rPr>
                <w:rFonts w:hint="eastAsia"/>
                <w:color w:val="000000"/>
              </w:rPr>
              <w:t>0.008</w:t>
            </w:r>
          </w:p>
        </w:tc>
        <w:tc>
          <w:tcPr>
            <w:tcW w:w="1949" w:type="dxa"/>
            <w:noWrap w:val="0"/>
            <w:vAlign w:val="center"/>
          </w:tcPr>
          <w:p w14:paraId="627AFEE9">
            <w:pPr>
              <w:jc w:val="center"/>
              <w:rPr>
                <w:color w:val="000000"/>
                <w:szCs w:val="21"/>
              </w:rPr>
            </w:pPr>
            <w:r>
              <w:rPr>
                <w:color w:val="000000"/>
                <w:szCs w:val="21"/>
              </w:rPr>
              <w:t>1.41</w:t>
            </w:r>
          </w:p>
        </w:tc>
        <w:tc>
          <w:tcPr>
            <w:tcW w:w="1949" w:type="dxa"/>
            <w:noWrap w:val="0"/>
            <w:vAlign w:val="center"/>
          </w:tcPr>
          <w:p w14:paraId="4227E6E8">
            <w:pPr>
              <w:jc w:val="center"/>
              <w:rPr>
                <w:color w:val="000000"/>
                <w:szCs w:val="21"/>
              </w:rPr>
            </w:pPr>
            <w:r>
              <w:rPr>
                <w:rFonts w:hAnsi="宋体"/>
                <w:color w:val="000000"/>
                <w:szCs w:val="21"/>
              </w:rPr>
              <w:t>＜</w:t>
            </w:r>
            <w:r>
              <w:rPr>
                <w:color w:val="000000"/>
                <w:szCs w:val="21"/>
              </w:rPr>
              <w:t>10</w:t>
            </w:r>
          </w:p>
        </w:tc>
      </w:tr>
      <w:tr w14:paraId="417555A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425" w:hRule="atLeast"/>
        </w:trPr>
        <w:tc>
          <w:tcPr>
            <w:tcW w:w="1260" w:type="dxa"/>
            <w:vMerge w:val="continue"/>
            <w:noWrap w:val="0"/>
            <w:vAlign w:val="center"/>
          </w:tcPr>
          <w:p w14:paraId="484611BB">
            <w:pPr>
              <w:jc w:val="center"/>
              <w:rPr>
                <w:b/>
                <w:color w:val="000000"/>
                <w:szCs w:val="21"/>
              </w:rPr>
            </w:pPr>
          </w:p>
        </w:tc>
        <w:tc>
          <w:tcPr>
            <w:tcW w:w="1446" w:type="dxa"/>
            <w:noWrap w:val="0"/>
            <w:vAlign w:val="center"/>
          </w:tcPr>
          <w:p w14:paraId="3A9351E2">
            <w:pPr>
              <w:jc w:val="center"/>
              <w:rPr>
                <w:rFonts w:hint="eastAsia"/>
                <w:color w:val="000000"/>
              </w:rPr>
            </w:pPr>
            <w:r>
              <w:rPr>
                <w:rFonts w:hint="eastAsia"/>
                <w:color w:val="000000"/>
              </w:rPr>
              <w:t>最大值</w:t>
            </w:r>
          </w:p>
        </w:tc>
        <w:tc>
          <w:tcPr>
            <w:tcW w:w="1949" w:type="dxa"/>
            <w:noWrap w:val="0"/>
            <w:vAlign w:val="center"/>
          </w:tcPr>
          <w:p w14:paraId="1BBF6A69">
            <w:pPr>
              <w:jc w:val="center"/>
              <w:rPr>
                <w:rFonts w:hint="eastAsia"/>
                <w:color w:val="000000"/>
                <w:szCs w:val="21"/>
              </w:rPr>
            </w:pPr>
            <w:r>
              <w:rPr>
                <w:rFonts w:hint="eastAsia"/>
                <w:color w:val="000000"/>
                <w:szCs w:val="21"/>
              </w:rPr>
              <w:t>0.040</w:t>
            </w:r>
          </w:p>
        </w:tc>
        <w:tc>
          <w:tcPr>
            <w:tcW w:w="1949" w:type="dxa"/>
            <w:noWrap w:val="0"/>
            <w:vAlign w:val="center"/>
          </w:tcPr>
          <w:p w14:paraId="543A5143">
            <w:pPr>
              <w:jc w:val="center"/>
              <w:rPr>
                <w:rFonts w:hint="eastAsia"/>
                <w:color w:val="000000"/>
                <w:szCs w:val="21"/>
              </w:rPr>
            </w:pPr>
            <w:r>
              <w:rPr>
                <w:rFonts w:hint="eastAsia"/>
                <w:color w:val="000000"/>
                <w:szCs w:val="21"/>
              </w:rPr>
              <w:t>0.010</w:t>
            </w:r>
          </w:p>
        </w:tc>
        <w:tc>
          <w:tcPr>
            <w:tcW w:w="1949" w:type="dxa"/>
            <w:noWrap w:val="0"/>
            <w:vAlign w:val="center"/>
          </w:tcPr>
          <w:p w14:paraId="10A7E544">
            <w:pPr>
              <w:jc w:val="center"/>
              <w:rPr>
                <w:rFonts w:hint="eastAsia"/>
                <w:color w:val="000000"/>
                <w:szCs w:val="21"/>
              </w:rPr>
            </w:pPr>
            <w:r>
              <w:rPr>
                <w:color w:val="000000"/>
                <w:szCs w:val="21"/>
              </w:rPr>
              <w:t>1.4</w:t>
            </w:r>
            <w:r>
              <w:rPr>
                <w:rFonts w:hint="eastAsia"/>
                <w:color w:val="000000"/>
                <w:szCs w:val="21"/>
              </w:rPr>
              <w:t>2</w:t>
            </w:r>
          </w:p>
        </w:tc>
        <w:tc>
          <w:tcPr>
            <w:tcW w:w="1949" w:type="dxa"/>
            <w:noWrap w:val="0"/>
            <w:vAlign w:val="center"/>
          </w:tcPr>
          <w:p w14:paraId="5E6EC01F">
            <w:pPr>
              <w:jc w:val="center"/>
              <w:rPr>
                <w:color w:val="000000"/>
                <w:szCs w:val="21"/>
              </w:rPr>
            </w:pPr>
            <w:r>
              <w:rPr>
                <w:rFonts w:hAnsi="宋体"/>
                <w:color w:val="000000"/>
                <w:szCs w:val="21"/>
              </w:rPr>
              <w:t>＜</w:t>
            </w:r>
            <w:r>
              <w:rPr>
                <w:color w:val="000000"/>
                <w:szCs w:val="21"/>
              </w:rPr>
              <w:t>10</w:t>
            </w:r>
          </w:p>
        </w:tc>
      </w:tr>
      <w:tr w14:paraId="25B9BB2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425" w:hRule="atLeast"/>
        </w:trPr>
        <w:tc>
          <w:tcPr>
            <w:tcW w:w="1260" w:type="dxa"/>
            <w:noWrap w:val="0"/>
            <w:vAlign w:val="center"/>
          </w:tcPr>
          <w:p w14:paraId="23018301">
            <w:pPr>
              <w:jc w:val="center"/>
              <w:rPr>
                <w:rFonts w:hint="eastAsia"/>
                <w:color w:val="000000"/>
                <w:szCs w:val="21"/>
              </w:rPr>
            </w:pPr>
            <w:r>
              <w:rPr>
                <w:rFonts w:hint="eastAsia"/>
                <w:color w:val="000000"/>
                <w:szCs w:val="21"/>
              </w:rPr>
              <w:t>备注</w:t>
            </w:r>
          </w:p>
        </w:tc>
        <w:tc>
          <w:tcPr>
            <w:tcW w:w="9242" w:type="dxa"/>
            <w:gridSpan w:val="5"/>
            <w:noWrap w:val="0"/>
            <w:vAlign w:val="center"/>
          </w:tcPr>
          <w:p w14:paraId="038677D4">
            <w:pPr>
              <w:rPr>
                <w:rFonts w:hint="eastAsia"/>
                <w:color w:val="000000"/>
                <w:szCs w:val="21"/>
              </w:rPr>
            </w:pPr>
            <w:r>
              <w:rPr>
                <w:rFonts w:hint="eastAsia" w:hAnsi="宋体"/>
                <w:color w:val="000000"/>
                <w:szCs w:val="21"/>
              </w:rPr>
              <w:t>银、甲烷、臭气</w:t>
            </w:r>
            <w:r>
              <w:rPr>
                <w:rFonts w:hint="eastAsia" w:ascii="宋体" w:hAnsi="宋体"/>
                <w:color w:val="000000"/>
                <w:szCs w:val="21"/>
              </w:rPr>
              <w:t>属分包项目，分包方为</w:t>
            </w:r>
            <w:r>
              <w:rPr>
                <w:rFonts w:hint="eastAsia"/>
                <w:color w:val="000000"/>
                <w:szCs w:val="21"/>
              </w:rPr>
              <w:t>云南环绿环境检测技术有限公司</w:t>
            </w:r>
            <w:r>
              <w:rPr>
                <w:rFonts w:hint="eastAsia" w:ascii="宋体" w:hAnsi="宋体"/>
                <w:color w:val="000000"/>
                <w:szCs w:val="21"/>
              </w:rPr>
              <w:t>，通过云南省社会环境监测机构资格认定。分包项目在分包方资质认证范围内，证书编号为</w:t>
            </w:r>
            <w:r>
              <w:rPr>
                <w:rFonts w:ascii="宋体" w:hAnsi="宋体"/>
                <w:color w:val="000000"/>
                <w:szCs w:val="21"/>
              </w:rPr>
              <w:t>2012250194U</w:t>
            </w:r>
            <w:r>
              <w:rPr>
                <w:rFonts w:hint="eastAsia" w:ascii="宋体" w:hAnsi="宋体"/>
                <w:color w:val="000000"/>
                <w:szCs w:val="21"/>
              </w:rPr>
              <w:t>。</w:t>
            </w:r>
          </w:p>
        </w:tc>
      </w:tr>
    </w:tbl>
    <w:p w14:paraId="3C8E3936">
      <w:pPr>
        <w:rPr>
          <w:rFonts w:hint="eastAsia"/>
          <w:b/>
          <w:color w:val="000000"/>
          <w:sz w:val="30"/>
          <w:szCs w:val="30"/>
        </w:rPr>
      </w:pPr>
    </w:p>
    <w:p w14:paraId="231E2572">
      <w:pPr>
        <w:rPr>
          <w:b/>
          <w:color w:val="000000"/>
          <w:sz w:val="30"/>
          <w:szCs w:val="30"/>
        </w:rPr>
      </w:pPr>
      <w:r>
        <w:rPr>
          <w:b/>
          <w:color w:val="000000"/>
          <w:sz w:val="30"/>
          <w:szCs w:val="30"/>
        </w:rPr>
        <w:br w:type="page" w:clear="all"/>
      </w:r>
      <w:r>
        <w:rPr>
          <w:rFonts w:hint="eastAsia"/>
          <w:b/>
          <w:color w:val="000000"/>
          <w:sz w:val="30"/>
          <w:szCs w:val="30"/>
        </w:rPr>
        <w:t>五</w:t>
      </w:r>
      <w:r>
        <w:rPr>
          <w:b/>
          <w:color w:val="000000"/>
          <w:sz w:val="30"/>
          <w:szCs w:val="30"/>
        </w:rPr>
        <w:t>、 噪声监测结果一览表</w:t>
      </w:r>
    </w:p>
    <w:tbl>
      <w:tblPr>
        <w:tblStyle w:val="27"/>
        <w:tblW w:w="0" w:type="auto"/>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1569"/>
        <w:gridCol w:w="2730"/>
        <w:gridCol w:w="1365"/>
        <w:gridCol w:w="1680"/>
        <w:gridCol w:w="2216"/>
      </w:tblGrid>
      <w:tr w14:paraId="7DCE6BD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2" w:hRule="atLeast"/>
          <w:jc w:val="center"/>
        </w:trPr>
        <w:tc>
          <w:tcPr>
            <w:tcW w:w="1569" w:type="dxa"/>
            <w:noWrap w:val="0"/>
            <w:vAlign w:val="center"/>
          </w:tcPr>
          <w:p w14:paraId="0AE20BF6">
            <w:pPr>
              <w:jc w:val="center"/>
              <w:rPr>
                <w:rFonts w:hint="eastAsia" w:ascii="宋体" w:hAnsi="宋体" w:cs="宋体"/>
                <w:b/>
                <w:bCs/>
                <w:color w:val="000000"/>
                <w:sz w:val="24"/>
              </w:rPr>
            </w:pPr>
            <w:r>
              <w:rPr>
                <w:rFonts w:hint="eastAsia" w:ascii="宋体" w:hAnsi="宋体" w:cs="宋体"/>
                <w:b/>
                <w:bCs/>
                <w:color w:val="000000"/>
                <w:sz w:val="24"/>
              </w:rPr>
              <w:t>监测时间</w:t>
            </w:r>
          </w:p>
        </w:tc>
        <w:tc>
          <w:tcPr>
            <w:tcW w:w="2730" w:type="dxa"/>
            <w:noWrap w:val="0"/>
            <w:vAlign w:val="center"/>
          </w:tcPr>
          <w:p w14:paraId="69FA57A8">
            <w:pPr>
              <w:jc w:val="center"/>
              <w:rPr>
                <w:rFonts w:hint="eastAsia" w:ascii="宋体" w:hAnsi="宋体" w:cs="宋体"/>
                <w:b/>
                <w:bCs/>
                <w:color w:val="000000"/>
                <w:sz w:val="24"/>
              </w:rPr>
            </w:pPr>
            <w:r>
              <w:rPr>
                <w:rFonts w:hint="eastAsia" w:ascii="宋体" w:hAnsi="宋体" w:cs="宋体"/>
                <w:b/>
                <w:bCs/>
                <w:color w:val="000000"/>
                <w:sz w:val="24"/>
              </w:rPr>
              <w:t>地点</w:t>
            </w:r>
          </w:p>
        </w:tc>
        <w:tc>
          <w:tcPr>
            <w:tcW w:w="1365" w:type="dxa"/>
            <w:noWrap w:val="0"/>
            <w:vAlign w:val="center"/>
          </w:tcPr>
          <w:p w14:paraId="10DE1C9B">
            <w:pPr>
              <w:jc w:val="center"/>
              <w:rPr>
                <w:rFonts w:hint="eastAsia" w:ascii="宋体" w:hAnsi="宋体" w:cs="宋体"/>
                <w:b/>
                <w:bCs/>
                <w:color w:val="000000"/>
                <w:sz w:val="24"/>
              </w:rPr>
            </w:pPr>
            <w:r>
              <w:rPr>
                <w:rFonts w:hint="eastAsia" w:ascii="宋体" w:hAnsi="宋体" w:cs="宋体"/>
                <w:b/>
                <w:bCs/>
                <w:color w:val="000000"/>
                <w:sz w:val="24"/>
              </w:rPr>
              <w:t>时间</w:t>
            </w:r>
          </w:p>
        </w:tc>
        <w:tc>
          <w:tcPr>
            <w:tcW w:w="1680" w:type="dxa"/>
            <w:noWrap w:val="0"/>
            <w:vAlign w:val="center"/>
          </w:tcPr>
          <w:p w14:paraId="2CC9D395">
            <w:pPr>
              <w:jc w:val="center"/>
              <w:rPr>
                <w:rFonts w:hint="eastAsia" w:ascii="宋体" w:hAnsi="宋体" w:cs="宋体"/>
                <w:b/>
                <w:bCs/>
                <w:color w:val="000000"/>
                <w:sz w:val="24"/>
              </w:rPr>
            </w:pPr>
            <w:r>
              <w:rPr>
                <w:rFonts w:hint="eastAsia" w:ascii="宋体" w:hAnsi="宋体" w:cs="宋体"/>
                <w:b/>
                <w:bCs/>
                <w:color w:val="000000"/>
                <w:sz w:val="24"/>
              </w:rPr>
              <w:t>噪声值dB(A)</w:t>
            </w:r>
          </w:p>
        </w:tc>
        <w:tc>
          <w:tcPr>
            <w:tcW w:w="2216" w:type="dxa"/>
            <w:noWrap w:val="0"/>
            <w:vAlign w:val="center"/>
          </w:tcPr>
          <w:p w14:paraId="61D8D3BF">
            <w:pPr>
              <w:jc w:val="center"/>
              <w:rPr>
                <w:rFonts w:hint="eastAsia" w:ascii="宋体" w:hAnsi="宋体" w:cs="宋体"/>
                <w:b/>
                <w:bCs/>
                <w:color w:val="000000"/>
                <w:sz w:val="24"/>
              </w:rPr>
            </w:pPr>
            <w:r>
              <w:rPr>
                <w:rFonts w:hint="eastAsia" w:ascii="宋体" w:hAnsi="宋体" w:cs="宋体"/>
                <w:b/>
                <w:bCs/>
                <w:color w:val="000000"/>
                <w:sz w:val="24"/>
              </w:rPr>
              <w:t>主要声源</w:t>
            </w:r>
          </w:p>
        </w:tc>
      </w:tr>
      <w:tr w14:paraId="66B8E20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05" w:hRule="atLeast"/>
          <w:jc w:val="center"/>
        </w:trPr>
        <w:tc>
          <w:tcPr>
            <w:tcW w:w="1569" w:type="dxa"/>
            <w:vMerge w:val="restart"/>
            <w:noWrap w:val="0"/>
            <w:vAlign w:val="center"/>
          </w:tcPr>
          <w:p w14:paraId="2563DC04">
            <w:pPr>
              <w:jc w:val="center"/>
              <w:rPr>
                <w:rFonts w:hint="eastAsia" w:ascii="宋体" w:hAnsi="宋体" w:cs="宋体"/>
                <w:b/>
                <w:bCs/>
                <w:color w:val="000000"/>
                <w:sz w:val="24"/>
              </w:rPr>
            </w:pPr>
            <w:r>
              <w:rPr>
                <w:rFonts w:hint="eastAsia" w:ascii="宋体" w:hAnsi="宋体" w:cs="宋体"/>
                <w:b/>
                <w:bCs/>
                <w:color w:val="000000"/>
                <w:sz w:val="24"/>
              </w:rPr>
              <w:t>2014/09/10</w:t>
            </w:r>
          </w:p>
        </w:tc>
        <w:tc>
          <w:tcPr>
            <w:tcW w:w="2730" w:type="dxa"/>
            <w:vMerge w:val="restart"/>
            <w:noWrap w:val="0"/>
            <w:vAlign w:val="center"/>
          </w:tcPr>
          <w:p w14:paraId="12F12F6F">
            <w:pPr>
              <w:jc w:val="center"/>
              <w:rPr>
                <w:b/>
                <w:color w:val="000000"/>
                <w:szCs w:val="21"/>
              </w:rPr>
            </w:pPr>
            <w:r>
              <w:rPr>
                <w:rFonts w:hint="eastAsia" w:ascii="宋体" w:hAnsi="宋体"/>
                <w:b/>
                <w:color w:val="000000"/>
                <w:szCs w:val="21"/>
              </w:rPr>
              <w:t>厂界东</w:t>
            </w:r>
          </w:p>
        </w:tc>
        <w:tc>
          <w:tcPr>
            <w:tcW w:w="1365" w:type="dxa"/>
            <w:noWrap w:val="0"/>
            <w:vAlign w:val="center"/>
          </w:tcPr>
          <w:p w14:paraId="16A89B04">
            <w:pPr>
              <w:jc w:val="center"/>
              <w:rPr>
                <w:rFonts w:hint="eastAsia" w:ascii="宋体" w:hAnsi="宋体" w:cs="宋体"/>
                <w:color w:val="000000"/>
                <w:sz w:val="24"/>
              </w:rPr>
            </w:pPr>
            <w:r>
              <w:rPr>
                <w:rFonts w:hint="eastAsia" w:ascii="宋体" w:hAnsi="宋体" w:cs="宋体"/>
                <w:color w:val="000000"/>
                <w:sz w:val="24"/>
              </w:rPr>
              <w:t>昼间</w:t>
            </w:r>
          </w:p>
        </w:tc>
        <w:tc>
          <w:tcPr>
            <w:tcW w:w="1680" w:type="dxa"/>
            <w:noWrap w:val="0"/>
            <w:vAlign w:val="center"/>
          </w:tcPr>
          <w:p w14:paraId="11976122">
            <w:pPr>
              <w:jc w:val="center"/>
              <w:rPr>
                <w:rFonts w:hint="eastAsia" w:ascii="宋体" w:hAnsi="宋体" w:cs="宋体"/>
                <w:color w:val="000000"/>
                <w:sz w:val="24"/>
              </w:rPr>
            </w:pPr>
            <w:r>
              <w:rPr>
                <w:rFonts w:hint="eastAsia" w:ascii="宋体" w:hAnsi="宋体" w:cs="宋体"/>
                <w:color w:val="000000"/>
                <w:sz w:val="24"/>
              </w:rPr>
              <w:t>41.4</w:t>
            </w:r>
          </w:p>
        </w:tc>
        <w:tc>
          <w:tcPr>
            <w:tcW w:w="2216" w:type="dxa"/>
            <w:noWrap w:val="0"/>
            <w:vAlign w:val="center"/>
          </w:tcPr>
          <w:p w14:paraId="019B916F">
            <w:pPr>
              <w:jc w:val="center"/>
              <w:rPr>
                <w:rFonts w:hint="eastAsia" w:ascii="宋体" w:hAnsi="宋体" w:cs="宋体"/>
                <w:color w:val="000000"/>
                <w:sz w:val="24"/>
              </w:rPr>
            </w:pPr>
            <w:r>
              <w:rPr>
                <w:rFonts w:hint="eastAsia" w:ascii="宋体" w:hAnsi="宋体" w:cs="宋体"/>
                <w:color w:val="000000"/>
                <w:sz w:val="24"/>
              </w:rPr>
              <w:t>无</w:t>
            </w:r>
          </w:p>
        </w:tc>
      </w:tr>
      <w:tr w14:paraId="24E11DF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05" w:hRule="atLeast"/>
          <w:jc w:val="center"/>
        </w:trPr>
        <w:tc>
          <w:tcPr>
            <w:tcW w:w="1569" w:type="dxa"/>
            <w:vMerge w:val="continue"/>
            <w:noWrap w:val="0"/>
            <w:vAlign w:val="center"/>
          </w:tcPr>
          <w:p w14:paraId="43CCC919">
            <w:pPr>
              <w:jc w:val="center"/>
              <w:rPr>
                <w:rFonts w:hint="eastAsia" w:ascii="宋体" w:hAnsi="宋体" w:cs="宋体"/>
                <w:b/>
                <w:bCs/>
                <w:color w:val="000000"/>
                <w:sz w:val="24"/>
              </w:rPr>
            </w:pPr>
          </w:p>
        </w:tc>
        <w:tc>
          <w:tcPr>
            <w:tcW w:w="2730" w:type="dxa"/>
            <w:vMerge w:val="continue"/>
            <w:noWrap w:val="0"/>
            <w:vAlign w:val="center"/>
          </w:tcPr>
          <w:p w14:paraId="231CB57F">
            <w:pPr>
              <w:jc w:val="center"/>
              <w:rPr>
                <w:rFonts w:hint="eastAsia" w:ascii="宋体" w:hAnsi="宋体" w:cs="宋体"/>
                <w:color w:val="000000"/>
                <w:sz w:val="24"/>
              </w:rPr>
            </w:pPr>
          </w:p>
        </w:tc>
        <w:tc>
          <w:tcPr>
            <w:tcW w:w="1365" w:type="dxa"/>
            <w:noWrap w:val="0"/>
            <w:vAlign w:val="center"/>
          </w:tcPr>
          <w:p w14:paraId="5E5BDF29">
            <w:pPr>
              <w:jc w:val="center"/>
              <w:rPr>
                <w:rFonts w:hint="eastAsia" w:ascii="宋体" w:hAnsi="宋体" w:cs="宋体"/>
                <w:color w:val="000000"/>
                <w:sz w:val="24"/>
              </w:rPr>
            </w:pPr>
            <w:r>
              <w:rPr>
                <w:rFonts w:hint="eastAsia" w:ascii="宋体" w:hAnsi="宋体" w:cs="宋体"/>
                <w:color w:val="000000"/>
                <w:sz w:val="24"/>
              </w:rPr>
              <w:t>夜间</w:t>
            </w:r>
          </w:p>
        </w:tc>
        <w:tc>
          <w:tcPr>
            <w:tcW w:w="1680" w:type="dxa"/>
            <w:noWrap w:val="0"/>
            <w:vAlign w:val="center"/>
          </w:tcPr>
          <w:p w14:paraId="04BCA173">
            <w:pPr>
              <w:jc w:val="center"/>
              <w:rPr>
                <w:rFonts w:hint="eastAsia" w:ascii="宋体" w:hAnsi="宋体" w:cs="宋体"/>
                <w:color w:val="000000"/>
                <w:sz w:val="24"/>
              </w:rPr>
            </w:pPr>
            <w:r>
              <w:rPr>
                <w:rFonts w:hint="eastAsia" w:ascii="宋体" w:hAnsi="宋体" w:cs="宋体"/>
                <w:color w:val="000000"/>
                <w:sz w:val="24"/>
              </w:rPr>
              <w:t>38.2</w:t>
            </w:r>
          </w:p>
        </w:tc>
        <w:tc>
          <w:tcPr>
            <w:tcW w:w="2216" w:type="dxa"/>
            <w:noWrap w:val="0"/>
            <w:vAlign w:val="center"/>
          </w:tcPr>
          <w:p w14:paraId="611CEDA5">
            <w:pPr>
              <w:jc w:val="center"/>
              <w:rPr>
                <w:rFonts w:hint="eastAsia" w:ascii="宋体" w:hAnsi="宋体" w:cs="宋体"/>
                <w:color w:val="000000"/>
                <w:sz w:val="24"/>
              </w:rPr>
            </w:pPr>
            <w:r>
              <w:rPr>
                <w:rFonts w:hint="eastAsia" w:ascii="宋体" w:hAnsi="宋体" w:cs="宋体"/>
                <w:color w:val="000000"/>
                <w:sz w:val="24"/>
              </w:rPr>
              <w:t>无</w:t>
            </w:r>
          </w:p>
        </w:tc>
      </w:tr>
      <w:tr w14:paraId="0C38242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05" w:hRule="atLeast"/>
          <w:jc w:val="center"/>
        </w:trPr>
        <w:tc>
          <w:tcPr>
            <w:tcW w:w="1569" w:type="dxa"/>
            <w:vMerge w:val="continue"/>
            <w:noWrap w:val="0"/>
            <w:vAlign w:val="center"/>
          </w:tcPr>
          <w:p w14:paraId="0A033914">
            <w:pPr>
              <w:jc w:val="center"/>
              <w:rPr>
                <w:rFonts w:hint="eastAsia" w:ascii="宋体" w:hAnsi="宋体" w:cs="宋体"/>
                <w:b/>
                <w:color w:val="000000"/>
                <w:sz w:val="24"/>
              </w:rPr>
            </w:pPr>
          </w:p>
        </w:tc>
        <w:tc>
          <w:tcPr>
            <w:tcW w:w="2730" w:type="dxa"/>
            <w:vMerge w:val="restart"/>
            <w:noWrap w:val="0"/>
            <w:vAlign w:val="center"/>
          </w:tcPr>
          <w:p w14:paraId="2871C71E">
            <w:pPr>
              <w:jc w:val="center"/>
              <w:rPr>
                <w:b/>
                <w:color w:val="000000"/>
                <w:szCs w:val="21"/>
              </w:rPr>
            </w:pPr>
            <w:r>
              <w:rPr>
                <w:rFonts w:hint="eastAsia" w:ascii="宋体" w:hAnsi="宋体"/>
                <w:b/>
                <w:color w:val="000000"/>
                <w:szCs w:val="21"/>
              </w:rPr>
              <w:t>厂界南</w:t>
            </w:r>
          </w:p>
        </w:tc>
        <w:tc>
          <w:tcPr>
            <w:tcW w:w="1365" w:type="dxa"/>
            <w:noWrap w:val="0"/>
            <w:vAlign w:val="center"/>
          </w:tcPr>
          <w:p w14:paraId="6AEBBE7A">
            <w:pPr>
              <w:jc w:val="center"/>
              <w:rPr>
                <w:rFonts w:hint="eastAsia" w:ascii="宋体" w:hAnsi="宋体" w:cs="宋体"/>
                <w:color w:val="000000"/>
                <w:sz w:val="24"/>
              </w:rPr>
            </w:pPr>
            <w:r>
              <w:rPr>
                <w:rFonts w:hint="eastAsia" w:ascii="宋体" w:hAnsi="宋体" w:cs="宋体"/>
                <w:color w:val="000000"/>
                <w:sz w:val="24"/>
              </w:rPr>
              <w:t>昼间</w:t>
            </w:r>
          </w:p>
        </w:tc>
        <w:tc>
          <w:tcPr>
            <w:tcW w:w="1680" w:type="dxa"/>
            <w:noWrap w:val="0"/>
            <w:vAlign w:val="center"/>
          </w:tcPr>
          <w:p w14:paraId="5E9565D1">
            <w:pPr>
              <w:jc w:val="center"/>
              <w:rPr>
                <w:rFonts w:hint="eastAsia" w:ascii="宋体" w:hAnsi="宋体" w:cs="宋体"/>
                <w:color w:val="000000"/>
                <w:sz w:val="24"/>
              </w:rPr>
            </w:pPr>
            <w:r>
              <w:rPr>
                <w:rFonts w:hint="eastAsia" w:ascii="宋体" w:hAnsi="宋体" w:cs="宋体"/>
                <w:color w:val="000000"/>
                <w:sz w:val="24"/>
              </w:rPr>
              <w:t>49.8</w:t>
            </w:r>
          </w:p>
        </w:tc>
        <w:tc>
          <w:tcPr>
            <w:tcW w:w="2216" w:type="dxa"/>
            <w:noWrap w:val="0"/>
            <w:vAlign w:val="center"/>
          </w:tcPr>
          <w:p w14:paraId="2AF3A4AF">
            <w:pPr>
              <w:jc w:val="center"/>
              <w:rPr>
                <w:rFonts w:hint="eastAsia" w:ascii="宋体" w:hAnsi="宋体" w:cs="宋体"/>
                <w:color w:val="000000"/>
                <w:sz w:val="24"/>
              </w:rPr>
            </w:pPr>
            <w:r>
              <w:rPr>
                <w:rFonts w:hint="eastAsia" w:ascii="宋体" w:hAnsi="宋体" w:cs="宋体"/>
                <w:color w:val="000000"/>
                <w:sz w:val="24"/>
              </w:rPr>
              <w:t>无</w:t>
            </w:r>
          </w:p>
        </w:tc>
      </w:tr>
      <w:tr w14:paraId="3D6D5E7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32" w:hRule="atLeast"/>
          <w:jc w:val="center"/>
        </w:trPr>
        <w:tc>
          <w:tcPr>
            <w:tcW w:w="1569" w:type="dxa"/>
            <w:vMerge w:val="continue"/>
            <w:noWrap w:val="0"/>
            <w:vAlign w:val="center"/>
          </w:tcPr>
          <w:p w14:paraId="5C32E1FE">
            <w:pPr>
              <w:jc w:val="center"/>
              <w:rPr>
                <w:rFonts w:hint="eastAsia" w:ascii="宋体" w:hAnsi="宋体" w:cs="宋体"/>
                <w:b/>
                <w:color w:val="000000"/>
                <w:sz w:val="24"/>
              </w:rPr>
            </w:pPr>
          </w:p>
        </w:tc>
        <w:tc>
          <w:tcPr>
            <w:tcW w:w="2730" w:type="dxa"/>
            <w:vMerge w:val="continue"/>
            <w:noWrap w:val="0"/>
            <w:vAlign w:val="center"/>
          </w:tcPr>
          <w:p w14:paraId="61D8FBBC">
            <w:pPr>
              <w:jc w:val="center"/>
              <w:rPr>
                <w:rFonts w:hint="eastAsia" w:ascii="宋体" w:hAnsi="宋体" w:cs="宋体"/>
                <w:color w:val="000000"/>
                <w:sz w:val="24"/>
              </w:rPr>
            </w:pPr>
          </w:p>
        </w:tc>
        <w:tc>
          <w:tcPr>
            <w:tcW w:w="1365" w:type="dxa"/>
            <w:noWrap w:val="0"/>
            <w:vAlign w:val="center"/>
          </w:tcPr>
          <w:p w14:paraId="0411E4C4">
            <w:pPr>
              <w:jc w:val="center"/>
              <w:rPr>
                <w:rFonts w:hint="eastAsia" w:ascii="宋体" w:hAnsi="宋体" w:cs="宋体"/>
                <w:color w:val="000000"/>
                <w:sz w:val="24"/>
              </w:rPr>
            </w:pPr>
            <w:r>
              <w:rPr>
                <w:rFonts w:hint="eastAsia" w:ascii="宋体" w:hAnsi="宋体" w:cs="宋体"/>
                <w:color w:val="000000"/>
                <w:sz w:val="24"/>
              </w:rPr>
              <w:t>夜间</w:t>
            </w:r>
          </w:p>
        </w:tc>
        <w:tc>
          <w:tcPr>
            <w:tcW w:w="1680" w:type="dxa"/>
            <w:noWrap w:val="0"/>
            <w:vAlign w:val="center"/>
          </w:tcPr>
          <w:p w14:paraId="2725BADC">
            <w:pPr>
              <w:jc w:val="center"/>
              <w:rPr>
                <w:rFonts w:hint="eastAsia" w:ascii="宋体" w:hAnsi="宋体" w:cs="宋体"/>
                <w:color w:val="000000"/>
                <w:sz w:val="24"/>
              </w:rPr>
            </w:pPr>
            <w:r>
              <w:rPr>
                <w:rFonts w:hint="eastAsia" w:ascii="宋体" w:hAnsi="宋体" w:cs="宋体"/>
                <w:color w:val="000000"/>
                <w:sz w:val="24"/>
              </w:rPr>
              <w:t>38.6</w:t>
            </w:r>
          </w:p>
        </w:tc>
        <w:tc>
          <w:tcPr>
            <w:tcW w:w="2216" w:type="dxa"/>
            <w:noWrap w:val="0"/>
            <w:vAlign w:val="center"/>
          </w:tcPr>
          <w:p w14:paraId="2E31ABF9">
            <w:pPr>
              <w:jc w:val="center"/>
              <w:rPr>
                <w:rFonts w:hint="eastAsia" w:ascii="宋体" w:hAnsi="宋体" w:cs="宋体"/>
                <w:color w:val="000000"/>
                <w:sz w:val="24"/>
              </w:rPr>
            </w:pPr>
            <w:r>
              <w:rPr>
                <w:rFonts w:hint="eastAsia" w:ascii="宋体" w:hAnsi="宋体" w:cs="宋体"/>
                <w:color w:val="000000"/>
                <w:sz w:val="24"/>
              </w:rPr>
              <w:t>无</w:t>
            </w:r>
          </w:p>
        </w:tc>
      </w:tr>
      <w:tr w14:paraId="2E1002F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2" w:hRule="atLeast"/>
          <w:jc w:val="center"/>
        </w:trPr>
        <w:tc>
          <w:tcPr>
            <w:tcW w:w="1569" w:type="dxa"/>
            <w:vMerge w:val="continue"/>
            <w:noWrap w:val="0"/>
            <w:vAlign w:val="center"/>
          </w:tcPr>
          <w:p w14:paraId="499F757E">
            <w:pPr>
              <w:jc w:val="center"/>
              <w:rPr>
                <w:rFonts w:hint="eastAsia" w:ascii="宋体" w:hAnsi="宋体" w:cs="宋体"/>
                <w:b/>
                <w:color w:val="000000"/>
                <w:sz w:val="24"/>
              </w:rPr>
            </w:pPr>
          </w:p>
        </w:tc>
        <w:tc>
          <w:tcPr>
            <w:tcW w:w="2730" w:type="dxa"/>
            <w:vMerge w:val="restart"/>
            <w:noWrap w:val="0"/>
            <w:vAlign w:val="center"/>
          </w:tcPr>
          <w:p w14:paraId="25856ECE">
            <w:pPr>
              <w:jc w:val="center"/>
              <w:rPr>
                <w:b/>
                <w:color w:val="000000"/>
                <w:szCs w:val="21"/>
              </w:rPr>
            </w:pPr>
            <w:r>
              <w:rPr>
                <w:rFonts w:hint="eastAsia" w:ascii="宋体" w:hAnsi="宋体"/>
                <w:b/>
                <w:color w:val="000000"/>
                <w:szCs w:val="21"/>
              </w:rPr>
              <w:t>厂界西</w:t>
            </w:r>
          </w:p>
        </w:tc>
        <w:tc>
          <w:tcPr>
            <w:tcW w:w="1365" w:type="dxa"/>
            <w:noWrap w:val="0"/>
            <w:vAlign w:val="center"/>
          </w:tcPr>
          <w:p w14:paraId="0B2FC03C">
            <w:pPr>
              <w:jc w:val="center"/>
              <w:rPr>
                <w:rFonts w:hint="eastAsia" w:ascii="宋体" w:hAnsi="宋体" w:cs="宋体"/>
                <w:color w:val="000000"/>
                <w:sz w:val="24"/>
              </w:rPr>
            </w:pPr>
            <w:r>
              <w:rPr>
                <w:rFonts w:hint="eastAsia" w:ascii="宋体" w:hAnsi="宋体" w:cs="宋体"/>
                <w:color w:val="000000"/>
                <w:sz w:val="24"/>
              </w:rPr>
              <w:t>昼间</w:t>
            </w:r>
          </w:p>
        </w:tc>
        <w:tc>
          <w:tcPr>
            <w:tcW w:w="1680" w:type="dxa"/>
            <w:noWrap w:val="0"/>
            <w:vAlign w:val="center"/>
          </w:tcPr>
          <w:p w14:paraId="34622E2E">
            <w:pPr>
              <w:jc w:val="center"/>
              <w:rPr>
                <w:rFonts w:hint="eastAsia" w:ascii="宋体" w:hAnsi="宋体" w:cs="宋体"/>
                <w:color w:val="000000"/>
                <w:sz w:val="24"/>
              </w:rPr>
            </w:pPr>
            <w:r>
              <w:rPr>
                <w:rFonts w:hint="eastAsia" w:ascii="宋体" w:hAnsi="宋体" w:cs="宋体"/>
                <w:color w:val="000000"/>
                <w:sz w:val="24"/>
              </w:rPr>
              <w:t>48.8</w:t>
            </w:r>
          </w:p>
        </w:tc>
        <w:tc>
          <w:tcPr>
            <w:tcW w:w="2216" w:type="dxa"/>
            <w:noWrap w:val="0"/>
            <w:vAlign w:val="center"/>
          </w:tcPr>
          <w:p w14:paraId="5E8097A9">
            <w:pPr>
              <w:jc w:val="center"/>
              <w:rPr>
                <w:rFonts w:hint="eastAsia" w:ascii="宋体" w:hAnsi="宋体" w:cs="宋体"/>
                <w:color w:val="000000"/>
                <w:sz w:val="24"/>
              </w:rPr>
            </w:pPr>
            <w:r>
              <w:rPr>
                <w:rFonts w:hint="eastAsia" w:ascii="宋体" w:hAnsi="宋体" w:cs="宋体"/>
                <w:color w:val="000000"/>
                <w:sz w:val="24"/>
              </w:rPr>
              <w:t>无</w:t>
            </w:r>
          </w:p>
        </w:tc>
      </w:tr>
      <w:tr w14:paraId="0E9A9E3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05" w:hRule="atLeast"/>
          <w:jc w:val="center"/>
        </w:trPr>
        <w:tc>
          <w:tcPr>
            <w:tcW w:w="1569" w:type="dxa"/>
            <w:vMerge w:val="continue"/>
            <w:noWrap w:val="0"/>
            <w:vAlign w:val="center"/>
          </w:tcPr>
          <w:p w14:paraId="2513AAF1">
            <w:pPr>
              <w:jc w:val="center"/>
              <w:rPr>
                <w:rFonts w:hint="eastAsia" w:ascii="宋体" w:hAnsi="宋体" w:cs="宋体"/>
                <w:b/>
                <w:color w:val="000000"/>
                <w:sz w:val="24"/>
              </w:rPr>
            </w:pPr>
          </w:p>
        </w:tc>
        <w:tc>
          <w:tcPr>
            <w:tcW w:w="2730" w:type="dxa"/>
            <w:vMerge w:val="continue"/>
            <w:noWrap w:val="0"/>
            <w:vAlign w:val="center"/>
          </w:tcPr>
          <w:p w14:paraId="72BF47F4">
            <w:pPr>
              <w:jc w:val="center"/>
              <w:rPr>
                <w:rFonts w:hint="eastAsia" w:ascii="宋体" w:hAnsi="宋体" w:cs="宋体"/>
                <w:color w:val="000000"/>
                <w:sz w:val="24"/>
              </w:rPr>
            </w:pPr>
          </w:p>
        </w:tc>
        <w:tc>
          <w:tcPr>
            <w:tcW w:w="1365" w:type="dxa"/>
            <w:noWrap w:val="0"/>
            <w:vAlign w:val="center"/>
          </w:tcPr>
          <w:p w14:paraId="08D182FF">
            <w:pPr>
              <w:jc w:val="center"/>
              <w:rPr>
                <w:rFonts w:hint="eastAsia" w:ascii="宋体" w:hAnsi="宋体" w:cs="宋体"/>
                <w:color w:val="000000"/>
                <w:sz w:val="24"/>
              </w:rPr>
            </w:pPr>
            <w:r>
              <w:rPr>
                <w:rFonts w:hint="eastAsia" w:ascii="宋体" w:hAnsi="宋体" w:cs="宋体"/>
                <w:color w:val="000000"/>
                <w:sz w:val="24"/>
              </w:rPr>
              <w:t>夜间</w:t>
            </w:r>
          </w:p>
        </w:tc>
        <w:tc>
          <w:tcPr>
            <w:tcW w:w="1680" w:type="dxa"/>
            <w:noWrap w:val="0"/>
            <w:vAlign w:val="center"/>
          </w:tcPr>
          <w:p w14:paraId="5F371CDA">
            <w:pPr>
              <w:jc w:val="center"/>
              <w:rPr>
                <w:rFonts w:hint="eastAsia" w:ascii="宋体" w:hAnsi="宋体" w:cs="宋体"/>
                <w:color w:val="000000"/>
                <w:sz w:val="24"/>
              </w:rPr>
            </w:pPr>
            <w:r>
              <w:rPr>
                <w:rFonts w:hint="eastAsia" w:ascii="宋体" w:hAnsi="宋体" w:cs="宋体"/>
                <w:color w:val="000000"/>
                <w:sz w:val="24"/>
              </w:rPr>
              <w:t>39.0</w:t>
            </w:r>
          </w:p>
        </w:tc>
        <w:tc>
          <w:tcPr>
            <w:tcW w:w="2216" w:type="dxa"/>
            <w:noWrap w:val="0"/>
            <w:vAlign w:val="center"/>
          </w:tcPr>
          <w:p w14:paraId="241D120D">
            <w:pPr>
              <w:jc w:val="center"/>
              <w:rPr>
                <w:rFonts w:hint="eastAsia" w:ascii="宋体" w:hAnsi="宋体" w:cs="宋体"/>
                <w:color w:val="000000"/>
                <w:sz w:val="24"/>
              </w:rPr>
            </w:pPr>
            <w:r>
              <w:rPr>
                <w:rFonts w:hint="eastAsia" w:ascii="宋体" w:hAnsi="宋体" w:cs="宋体"/>
                <w:color w:val="000000"/>
                <w:sz w:val="24"/>
              </w:rPr>
              <w:t>无</w:t>
            </w:r>
          </w:p>
        </w:tc>
      </w:tr>
      <w:tr w14:paraId="4401483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05" w:hRule="atLeast"/>
          <w:jc w:val="center"/>
        </w:trPr>
        <w:tc>
          <w:tcPr>
            <w:tcW w:w="1569" w:type="dxa"/>
            <w:vMerge w:val="continue"/>
            <w:noWrap w:val="0"/>
            <w:vAlign w:val="center"/>
          </w:tcPr>
          <w:p w14:paraId="72B223C5">
            <w:pPr>
              <w:jc w:val="center"/>
              <w:rPr>
                <w:rFonts w:hint="eastAsia" w:ascii="宋体" w:hAnsi="宋体" w:cs="宋体"/>
                <w:b/>
                <w:color w:val="000000"/>
                <w:sz w:val="24"/>
              </w:rPr>
            </w:pPr>
          </w:p>
        </w:tc>
        <w:tc>
          <w:tcPr>
            <w:tcW w:w="2730" w:type="dxa"/>
            <w:vMerge w:val="restart"/>
            <w:noWrap w:val="0"/>
            <w:vAlign w:val="center"/>
          </w:tcPr>
          <w:p w14:paraId="0BFFEF5E">
            <w:pPr>
              <w:jc w:val="center"/>
              <w:rPr>
                <w:b/>
                <w:color w:val="000000"/>
                <w:szCs w:val="21"/>
              </w:rPr>
            </w:pPr>
            <w:r>
              <w:rPr>
                <w:rFonts w:hint="eastAsia" w:ascii="宋体" w:hAnsi="宋体"/>
                <w:b/>
                <w:color w:val="000000"/>
                <w:szCs w:val="21"/>
              </w:rPr>
              <w:t>厂界北</w:t>
            </w:r>
          </w:p>
        </w:tc>
        <w:tc>
          <w:tcPr>
            <w:tcW w:w="1365" w:type="dxa"/>
            <w:noWrap w:val="0"/>
            <w:vAlign w:val="center"/>
          </w:tcPr>
          <w:p w14:paraId="692797B5">
            <w:pPr>
              <w:jc w:val="center"/>
              <w:rPr>
                <w:rFonts w:hint="eastAsia" w:ascii="宋体" w:hAnsi="宋体" w:cs="宋体"/>
                <w:color w:val="000000"/>
                <w:sz w:val="24"/>
              </w:rPr>
            </w:pPr>
            <w:r>
              <w:rPr>
                <w:rFonts w:hint="eastAsia" w:ascii="宋体" w:hAnsi="宋体" w:cs="宋体"/>
                <w:color w:val="000000"/>
                <w:sz w:val="24"/>
              </w:rPr>
              <w:t>昼间</w:t>
            </w:r>
          </w:p>
        </w:tc>
        <w:tc>
          <w:tcPr>
            <w:tcW w:w="1680" w:type="dxa"/>
            <w:noWrap w:val="0"/>
            <w:vAlign w:val="center"/>
          </w:tcPr>
          <w:p w14:paraId="54758CEE">
            <w:pPr>
              <w:jc w:val="center"/>
              <w:rPr>
                <w:rFonts w:hint="eastAsia" w:ascii="宋体" w:hAnsi="宋体" w:cs="宋体"/>
                <w:color w:val="000000"/>
                <w:sz w:val="24"/>
              </w:rPr>
            </w:pPr>
            <w:r>
              <w:rPr>
                <w:rFonts w:hint="eastAsia" w:ascii="宋体" w:hAnsi="宋体" w:cs="宋体"/>
                <w:color w:val="000000"/>
                <w:sz w:val="24"/>
              </w:rPr>
              <w:t>43.4</w:t>
            </w:r>
          </w:p>
        </w:tc>
        <w:tc>
          <w:tcPr>
            <w:tcW w:w="2216" w:type="dxa"/>
            <w:noWrap w:val="0"/>
            <w:vAlign w:val="center"/>
          </w:tcPr>
          <w:p w14:paraId="2BABB98D">
            <w:pPr>
              <w:jc w:val="center"/>
              <w:rPr>
                <w:rFonts w:hint="eastAsia" w:ascii="宋体" w:hAnsi="宋体" w:cs="宋体"/>
                <w:color w:val="000000"/>
                <w:sz w:val="24"/>
              </w:rPr>
            </w:pPr>
            <w:r>
              <w:rPr>
                <w:rFonts w:hint="eastAsia" w:ascii="宋体" w:hAnsi="宋体" w:cs="宋体"/>
                <w:color w:val="000000"/>
                <w:sz w:val="24"/>
              </w:rPr>
              <w:t>无</w:t>
            </w:r>
          </w:p>
        </w:tc>
      </w:tr>
      <w:tr w14:paraId="0602C8E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05" w:hRule="atLeast"/>
          <w:jc w:val="center"/>
        </w:trPr>
        <w:tc>
          <w:tcPr>
            <w:tcW w:w="1569" w:type="dxa"/>
            <w:vMerge w:val="continue"/>
            <w:noWrap w:val="0"/>
            <w:vAlign w:val="center"/>
          </w:tcPr>
          <w:p w14:paraId="29F3E2A3">
            <w:pPr>
              <w:jc w:val="center"/>
              <w:rPr>
                <w:rFonts w:hint="eastAsia" w:ascii="宋体" w:hAnsi="宋体" w:cs="宋体"/>
                <w:b/>
                <w:color w:val="000000"/>
                <w:sz w:val="24"/>
              </w:rPr>
            </w:pPr>
          </w:p>
        </w:tc>
        <w:tc>
          <w:tcPr>
            <w:tcW w:w="2730" w:type="dxa"/>
            <w:vMerge w:val="continue"/>
            <w:noWrap w:val="0"/>
            <w:vAlign w:val="center"/>
          </w:tcPr>
          <w:p w14:paraId="1366BEE0">
            <w:pPr>
              <w:jc w:val="center"/>
              <w:rPr>
                <w:rFonts w:hint="eastAsia" w:ascii="宋体" w:hAnsi="宋体" w:cs="宋体"/>
                <w:color w:val="000000"/>
                <w:sz w:val="24"/>
              </w:rPr>
            </w:pPr>
          </w:p>
        </w:tc>
        <w:tc>
          <w:tcPr>
            <w:tcW w:w="1365" w:type="dxa"/>
            <w:noWrap w:val="0"/>
            <w:vAlign w:val="center"/>
          </w:tcPr>
          <w:p w14:paraId="6CEEE5E0">
            <w:pPr>
              <w:jc w:val="center"/>
              <w:rPr>
                <w:rFonts w:hint="eastAsia" w:ascii="宋体" w:hAnsi="宋体" w:cs="宋体"/>
                <w:color w:val="000000"/>
                <w:sz w:val="24"/>
              </w:rPr>
            </w:pPr>
            <w:r>
              <w:rPr>
                <w:rFonts w:hint="eastAsia" w:ascii="宋体" w:hAnsi="宋体" w:cs="宋体"/>
                <w:color w:val="000000"/>
                <w:sz w:val="24"/>
              </w:rPr>
              <w:t>夜间</w:t>
            </w:r>
          </w:p>
        </w:tc>
        <w:tc>
          <w:tcPr>
            <w:tcW w:w="1680" w:type="dxa"/>
            <w:noWrap w:val="0"/>
            <w:vAlign w:val="center"/>
          </w:tcPr>
          <w:p w14:paraId="6875B391">
            <w:pPr>
              <w:jc w:val="center"/>
              <w:rPr>
                <w:rFonts w:hint="eastAsia" w:ascii="宋体" w:hAnsi="宋体" w:cs="宋体"/>
                <w:color w:val="000000"/>
                <w:sz w:val="24"/>
              </w:rPr>
            </w:pPr>
            <w:r>
              <w:rPr>
                <w:rFonts w:hint="eastAsia" w:ascii="宋体" w:hAnsi="宋体" w:cs="宋体"/>
                <w:color w:val="000000"/>
                <w:sz w:val="24"/>
              </w:rPr>
              <w:t>40.1</w:t>
            </w:r>
          </w:p>
        </w:tc>
        <w:tc>
          <w:tcPr>
            <w:tcW w:w="2216" w:type="dxa"/>
            <w:noWrap w:val="0"/>
            <w:vAlign w:val="center"/>
          </w:tcPr>
          <w:p w14:paraId="5913DCB2">
            <w:pPr>
              <w:jc w:val="center"/>
              <w:rPr>
                <w:rFonts w:hint="eastAsia" w:ascii="宋体" w:hAnsi="宋体" w:cs="宋体"/>
                <w:color w:val="000000"/>
                <w:sz w:val="24"/>
              </w:rPr>
            </w:pPr>
            <w:r>
              <w:rPr>
                <w:rFonts w:hint="eastAsia" w:ascii="宋体" w:hAnsi="宋体" w:cs="宋体"/>
                <w:color w:val="000000"/>
                <w:sz w:val="24"/>
              </w:rPr>
              <w:t>无</w:t>
            </w:r>
          </w:p>
        </w:tc>
      </w:tr>
      <w:tr w14:paraId="68C91DD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05" w:hRule="atLeast"/>
          <w:jc w:val="center"/>
        </w:trPr>
        <w:tc>
          <w:tcPr>
            <w:tcW w:w="1569" w:type="dxa"/>
            <w:vMerge w:val="restart"/>
            <w:noWrap w:val="0"/>
            <w:vAlign w:val="center"/>
          </w:tcPr>
          <w:p w14:paraId="4C7F5515">
            <w:pPr>
              <w:jc w:val="center"/>
              <w:rPr>
                <w:rFonts w:hint="eastAsia" w:ascii="宋体" w:hAnsi="宋体" w:cs="宋体"/>
                <w:b/>
                <w:bCs/>
                <w:color w:val="000000"/>
                <w:sz w:val="24"/>
              </w:rPr>
            </w:pPr>
            <w:r>
              <w:rPr>
                <w:rFonts w:hint="eastAsia" w:ascii="宋体" w:hAnsi="宋体" w:cs="宋体"/>
                <w:b/>
                <w:bCs/>
                <w:color w:val="000000"/>
                <w:sz w:val="24"/>
              </w:rPr>
              <w:t>2014/09/11</w:t>
            </w:r>
          </w:p>
        </w:tc>
        <w:tc>
          <w:tcPr>
            <w:tcW w:w="2730" w:type="dxa"/>
            <w:vMerge w:val="restart"/>
            <w:noWrap w:val="0"/>
            <w:vAlign w:val="center"/>
          </w:tcPr>
          <w:p w14:paraId="21CC7119">
            <w:pPr>
              <w:jc w:val="center"/>
              <w:rPr>
                <w:b/>
                <w:color w:val="000000"/>
                <w:szCs w:val="21"/>
              </w:rPr>
            </w:pPr>
            <w:r>
              <w:rPr>
                <w:rFonts w:hint="eastAsia" w:ascii="宋体" w:hAnsi="宋体"/>
                <w:b/>
                <w:color w:val="000000"/>
                <w:szCs w:val="21"/>
              </w:rPr>
              <w:t>厂界东</w:t>
            </w:r>
          </w:p>
        </w:tc>
        <w:tc>
          <w:tcPr>
            <w:tcW w:w="1365" w:type="dxa"/>
            <w:noWrap w:val="0"/>
            <w:vAlign w:val="center"/>
          </w:tcPr>
          <w:p w14:paraId="13DEBF91">
            <w:pPr>
              <w:jc w:val="center"/>
              <w:rPr>
                <w:rFonts w:hint="eastAsia" w:ascii="宋体" w:hAnsi="宋体" w:cs="宋体"/>
                <w:color w:val="000000"/>
                <w:sz w:val="24"/>
              </w:rPr>
            </w:pPr>
            <w:r>
              <w:rPr>
                <w:rFonts w:hint="eastAsia" w:ascii="宋体" w:hAnsi="宋体" w:cs="宋体"/>
                <w:color w:val="000000"/>
                <w:sz w:val="24"/>
              </w:rPr>
              <w:t>昼间</w:t>
            </w:r>
          </w:p>
        </w:tc>
        <w:tc>
          <w:tcPr>
            <w:tcW w:w="1680" w:type="dxa"/>
            <w:noWrap w:val="0"/>
            <w:vAlign w:val="center"/>
          </w:tcPr>
          <w:p w14:paraId="7A802A99">
            <w:pPr>
              <w:jc w:val="center"/>
              <w:rPr>
                <w:rFonts w:hint="eastAsia" w:ascii="宋体" w:hAnsi="宋体" w:cs="宋体"/>
                <w:color w:val="000000"/>
                <w:sz w:val="24"/>
              </w:rPr>
            </w:pPr>
            <w:r>
              <w:rPr>
                <w:rFonts w:hint="eastAsia" w:ascii="宋体" w:hAnsi="宋体" w:cs="宋体"/>
                <w:color w:val="000000"/>
                <w:sz w:val="24"/>
              </w:rPr>
              <w:t>43.0</w:t>
            </w:r>
          </w:p>
        </w:tc>
        <w:tc>
          <w:tcPr>
            <w:tcW w:w="2216" w:type="dxa"/>
            <w:noWrap w:val="0"/>
            <w:vAlign w:val="center"/>
          </w:tcPr>
          <w:p w14:paraId="3BA29FD9">
            <w:pPr>
              <w:jc w:val="center"/>
              <w:rPr>
                <w:rFonts w:hint="eastAsia" w:ascii="宋体" w:hAnsi="宋体" w:cs="宋体"/>
                <w:color w:val="000000"/>
                <w:sz w:val="24"/>
              </w:rPr>
            </w:pPr>
            <w:r>
              <w:rPr>
                <w:rFonts w:hint="eastAsia" w:ascii="宋体" w:hAnsi="宋体" w:cs="宋体"/>
                <w:color w:val="000000"/>
                <w:sz w:val="24"/>
              </w:rPr>
              <w:t>无</w:t>
            </w:r>
          </w:p>
        </w:tc>
      </w:tr>
      <w:tr w14:paraId="665FF06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05" w:hRule="atLeast"/>
          <w:jc w:val="center"/>
        </w:trPr>
        <w:tc>
          <w:tcPr>
            <w:tcW w:w="1569" w:type="dxa"/>
            <w:vMerge w:val="continue"/>
            <w:noWrap w:val="0"/>
            <w:vAlign w:val="center"/>
          </w:tcPr>
          <w:p w14:paraId="657626E0">
            <w:pPr>
              <w:jc w:val="center"/>
              <w:rPr>
                <w:rFonts w:hint="eastAsia" w:ascii="宋体" w:hAnsi="宋体" w:cs="宋体"/>
                <w:b/>
                <w:bCs/>
                <w:color w:val="000000"/>
                <w:sz w:val="24"/>
              </w:rPr>
            </w:pPr>
          </w:p>
        </w:tc>
        <w:tc>
          <w:tcPr>
            <w:tcW w:w="2730" w:type="dxa"/>
            <w:vMerge w:val="continue"/>
            <w:noWrap w:val="0"/>
            <w:vAlign w:val="center"/>
          </w:tcPr>
          <w:p w14:paraId="724E79DD">
            <w:pPr>
              <w:jc w:val="center"/>
              <w:rPr>
                <w:rFonts w:hint="eastAsia" w:ascii="宋体" w:hAnsi="宋体" w:cs="宋体"/>
                <w:color w:val="000000"/>
                <w:sz w:val="24"/>
              </w:rPr>
            </w:pPr>
          </w:p>
        </w:tc>
        <w:tc>
          <w:tcPr>
            <w:tcW w:w="1365" w:type="dxa"/>
            <w:noWrap w:val="0"/>
            <w:vAlign w:val="center"/>
          </w:tcPr>
          <w:p w14:paraId="34BEDACD">
            <w:pPr>
              <w:jc w:val="center"/>
              <w:rPr>
                <w:rFonts w:hint="eastAsia" w:ascii="宋体" w:hAnsi="宋体" w:cs="宋体"/>
                <w:color w:val="000000"/>
                <w:sz w:val="24"/>
              </w:rPr>
            </w:pPr>
            <w:r>
              <w:rPr>
                <w:rFonts w:hint="eastAsia" w:ascii="宋体" w:hAnsi="宋体" w:cs="宋体"/>
                <w:color w:val="000000"/>
                <w:sz w:val="24"/>
              </w:rPr>
              <w:t>夜间</w:t>
            </w:r>
          </w:p>
        </w:tc>
        <w:tc>
          <w:tcPr>
            <w:tcW w:w="1680" w:type="dxa"/>
            <w:noWrap w:val="0"/>
            <w:vAlign w:val="center"/>
          </w:tcPr>
          <w:p w14:paraId="02E7D1A8">
            <w:pPr>
              <w:jc w:val="center"/>
              <w:rPr>
                <w:rFonts w:hint="eastAsia" w:ascii="宋体" w:hAnsi="宋体" w:cs="宋体"/>
                <w:color w:val="000000"/>
                <w:sz w:val="24"/>
              </w:rPr>
            </w:pPr>
            <w:r>
              <w:rPr>
                <w:rFonts w:hint="eastAsia" w:ascii="宋体" w:hAnsi="宋体" w:cs="宋体"/>
                <w:color w:val="000000"/>
                <w:sz w:val="24"/>
              </w:rPr>
              <w:t>39.9</w:t>
            </w:r>
          </w:p>
        </w:tc>
        <w:tc>
          <w:tcPr>
            <w:tcW w:w="2216" w:type="dxa"/>
            <w:noWrap w:val="0"/>
            <w:vAlign w:val="center"/>
          </w:tcPr>
          <w:p w14:paraId="66BC72A6">
            <w:pPr>
              <w:jc w:val="center"/>
              <w:rPr>
                <w:rFonts w:hint="eastAsia" w:ascii="宋体" w:hAnsi="宋体" w:cs="宋体"/>
                <w:color w:val="000000"/>
                <w:sz w:val="24"/>
              </w:rPr>
            </w:pPr>
            <w:r>
              <w:rPr>
                <w:rFonts w:hint="eastAsia" w:ascii="宋体" w:hAnsi="宋体" w:cs="宋体"/>
                <w:color w:val="000000"/>
                <w:sz w:val="24"/>
              </w:rPr>
              <w:t>无</w:t>
            </w:r>
          </w:p>
        </w:tc>
      </w:tr>
      <w:tr w14:paraId="3CA057E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11" w:hRule="atLeast"/>
          <w:jc w:val="center"/>
        </w:trPr>
        <w:tc>
          <w:tcPr>
            <w:tcW w:w="1569" w:type="dxa"/>
            <w:vMerge w:val="continue"/>
            <w:noWrap w:val="0"/>
            <w:vAlign w:val="center"/>
          </w:tcPr>
          <w:p w14:paraId="1590C07E">
            <w:pPr>
              <w:jc w:val="center"/>
              <w:rPr>
                <w:rFonts w:hint="eastAsia" w:ascii="宋体" w:hAnsi="宋体" w:cs="宋体"/>
                <w:b/>
                <w:color w:val="000000"/>
                <w:sz w:val="24"/>
              </w:rPr>
            </w:pPr>
          </w:p>
        </w:tc>
        <w:tc>
          <w:tcPr>
            <w:tcW w:w="2730" w:type="dxa"/>
            <w:vMerge w:val="restart"/>
            <w:noWrap w:val="0"/>
            <w:vAlign w:val="center"/>
          </w:tcPr>
          <w:p w14:paraId="3904C751">
            <w:pPr>
              <w:jc w:val="center"/>
              <w:rPr>
                <w:rFonts w:hint="eastAsia" w:ascii="宋体" w:hAnsi="宋体"/>
                <w:color w:val="000000"/>
                <w:sz w:val="24"/>
              </w:rPr>
            </w:pPr>
            <w:r>
              <w:rPr>
                <w:rFonts w:hint="eastAsia" w:ascii="宋体" w:hAnsi="宋体"/>
                <w:b/>
                <w:color w:val="000000"/>
                <w:szCs w:val="21"/>
              </w:rPr>
              <w:t>厂界南</w:t>
            </w:r>
          </w:p>
        </w:tc>
        <w:tc>
          <w:tcPr>
            <w:tcW w:w="1365" w:type="dxa"/>
            <w:noWrap w:val="0"/>
            <w:vAlign w:val="center"/>
          </w:tcPr>
          <w:p w14:paraId="5FD02D42">
            <w:pPr>
              <w:jc w:val="center"/>
              <w:rPr>
                <w:rFonts w:hint="eastAsia" w:ascii="宋体" w:hAnsi="宋体" w:cs="宋体"/>
                <w:color w:val="000000"/>
                <w:sz w:val="24"/>
              </w:rPr>
            </w:pPr>
            <w:r>
              <w:rPr>
                <w:rFonts w:hint="eastAsia" w:ascii="宋体" w:hAnsi="宋体" w:cs="宋体"/>
                <w:color w:val="000000"/>
                <w:sz w:val="24"/>
              </w:rPr>
              <w:t>昼间</w:t>
            </w:r>
          </w:p>
        </w:tc>
        <w:tc>
          <w:tcPr>
            <w:tcW w:w="1680" w:type="dxa"/>
            <w:noWrap w:val="0"/>
            <w:vAlign w:val="center"/>
          </w:tcPr>
          <w:p w14:paraId="0EEBCFFC">
            <w:pPr>
              <w:jc w:val="center"/>
              <w:rPr>
                <w:rFonts w:hint="eastAsia" w:ascii="宋体" w:hAnsi="宋体" w:cs="宋体"/>
                <w:color w:val="000000"/>
                <w:sz w:val="24"/>
              </w:rPr>
            </w:pPr>
            <w:r>
              <w:rPr>
                <w:rFonts w:hint="eastAsia" w:ascii="宋体" w:hAnsi="宋体" w:cs="宋体"/>
                <w:color w:val="000000"/>
                <w:sz w:val="24"/>
              </w:rPr>
              <w:t>45.3</w:t>
            </w:r>
          </w:p>
        </w:tc>
        <w:tc>
          <w:tcPr>
            <w:tcW w:w="2216" w:type="dxa"/>
            <w:noWrap w:val="0"/>
            <w:vAlign w:val="center"/>
          </w:tcPr>
          <w:p w14:paraId="23C2FFC5">
            <w:pPr>
              <w:jc w:val="center"/>
              <w:rPr>
                <w:rFonts w:hint="eastAsia" w:ascii="宋体" w:hAnsi="宋体" w:cs="宋体"/>
                <w:color w:val="000000"/>
                <w:sz w:val="24"/>
              </w:rPr>
            </w:pPr>
            <w:r>
              <w:rPr>
                <w:rFonts w:hint="eastAsia" w:ascii="宋体" w:hAnsi="宋体" w:cs="宋体"/>
                <w:color w:val="000000"/>
                <w:sz w:val="24"/>
              </w:rPr>
              <w:t>无</w:t>
            </w:r>
          </w:p>
        </w:tc>
      </w:tr>
      <w:tr w14:paraId="641F5F5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66" w:hRule="atLeast"/>
          <w:jc w:val="center"/>
        </w:trPr>
        <w:tc>
          <w:tcPr>
            <w:tcW w:w="1569" w:type="dxa"/>
            <w:vMerge w:val="continue"/>
            <w:noWrap w:val="0"/>
            <w:vAlign w:val="center"/>
          </w:tcPr>
          <w:p w14:paraId="008D27E0">
            <w:pPr>
              <w:jc w:val="center"/>
              <w:rPr>
                <w:rFonts w:hint="eastAsia" w:ascii="宋体" w:hAnsi="宋体" w:cs="宋体"/>
                <w:b/>
                <w:color w:val="000000"/>
                <w:sz w:val="24"/>
              </w:rPr>
            </w:pPr>
          </w:p>
        </w:tc>
        <w:tc>
          <w:tcPr>
            <w:tcW w:w="2730" w:type="dxa"/>
            <w:vMerge w:val="continue"/>
            <w:noWrap w:val="0"/>
            <w:vAlign w:val="center"/>
          </w:tcPr>
          <w:p w14:paraId="0D971A3B">
            <w:pPr>
              <w:jc w:val="center"/>
              <w:rPr>
                <w:rFonts w:hint="eastAsia" w:ascii="宋体" w:hAnsi="宋体" w:cs="宋体"/>
                <w:color w:val="000000"/>
                <w:sz w:val="24"/>
              </w:rPr>
            </w:pPr>
          </w:p>
        </w:tc>
        <w:tc>
          <w:tcPr>
            <w:tcW w:w="1365" w:type="dxa"/>
            <w:noWrap w:val="0"/>
            <w:vAlign w:val="center"/>
          </w:tcPr>
          <w:p w14:paraId="09977783">
            <w:pPr>
              <w:jc w:val="center"/>
              <w:rPr>
                <w:rFonts w:hint="eastAsia" w:ascii="宋体" w:hAnsi="宋体" w:cs="宋体"/>
                <w:color w:val="000000"/>
                <w:sz w:val="24"/>
              </w:rPr>
            </w:pPr>
            <w:r>
              <w:rPr>
                <w:rFonts w:hint="eastAsia" w:ascii="宋体" w:hAnsi="宋体" w:cs="宋体"/>
                <w:color w:val="000000"/>
                <w:sz w:val="24"/>
              </w:rPr>
              <w:t>夜间</w:t>
            </w:r>
          </w:p>
        </w:tc>
        <w:tc>
          <w:tcPr>
            <w:tcW w:w="1680" w:type="dxa"/>
            <w:noWrap w:val="0"/>
            <w:vAlign w:val="center"/>
          </w:tcPr>
          <w:p w14:paraId="65D632CE">
            <w:pPr>
              <w:jc w:val="center"/>
              <w:rPr>
                <w:rFonts w:hint="eastAsia" w:ascii="宋体" w:hAnsi="宋体" w:cs="宋体"/>
                <w:color w:val="000000"/>
                <w:sz w:val="24"/>
              </w:rPr>
            </w:pPr>
            <w:r>
              <w:rPr>
                <w:rFonts w:hint="eastAsia" w:ascii="宋体" w:hAnsi="宋体" w:cs="宋体"/>
                <w:color w:val="000000"/>
                <w:sz w:val="24"/>
              </w:rPr>
              <w:t>38.4</w:t>
            </w:r>
          </w:p>
        </w:tc>
        <w:tc>
          <w:tcPr>
            <w:tcW w:w="2216" w:type="dxa"/>
            <w:noWrap w:val="0"/>
            <w:vAlign w:val="center"/>
          </w:tcPr>
          <w:p w14:paraId="5615F9CF">
            <w:pPr>
              <w:jc w:val="center"/>
              <w:rPr>
                <w:rFonts w:hint="eastAsia" w:ascii="宋体" w:hAnsi="宋体" w:cs="宋体"/>
                <w:color w:val="000000"/>
                <w:sz w:val="24"/>
              </w:rPr>
            </w:pPr>
            <w:r>
              <w:rPr>
                <w:rFonts w:hint="eastAsia" w:ascii="宋体" w:hAnsi="宋体" w:cs="宋体"/>
                <w:color w:val="000000"/>
                <w:sz w:val="24"/>
              </w:rPr>
              <w:t>无</w:t>
            </w:r>
          </w:p>
        </w:tc>
      </w:tr>
      <w:tr w14:paraId="19B5ADF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15" w:hRule="atLeast"/>
          <w:jc w:val="center"/>
        </w:trPr>
        <w:tc>
          <w:tcPr>
            <w:tcW w:w="1569" w:type="dxa"/>
            <w:vMerge w:val="continue"/>
            <w:noWrap w:val="0"/>
            <w:vAlign w:val="center"/>
          </w:tcPr>
          <w:p w14:paraId="0E46F8AF">
            <w:pPr>
              <w:jc w:val="center"/>
              <w:rPr>
                <w:rFonts w:hint="eastAsia" w:ascii="宋体" w:hAnsi="宋体" w:cs="宋体"/>
                <w:b/>
                <w:color w:val="000000"/>
                <w:sz w:val="24"/>
              </w:rPr>
            </w:pPr>
          </w:p>
        </w:tc>
        <w:tc>
          <w:tcPr>
            <w:tcW w:w="2730" w:type="dxa"/>
            <w:vMerge w:val="restart"/>
            <w:noWrap w:val="0"/>
            <w:vAlign w:val="center"/>
          </w:tcPr>
          <w:p w14:paraId="4BD14B47">
            <w:pPr>
              <w:jc w:val="center"/>
              <w:rPr>
                <w:rFonts w:hint="eastAsia" w:ascii="宋体" w:hAnsi="宋体"/>
                <w:color w:val="000000"/>
                <w:sz w:val="24"/>
              </w:rPr>
            </w:pPr>
            <w:r>
              <w:rPr>
                <w:rFonts w:hint="eastAsia" w:ascii="宋体" w:hAnsi="宋体"/>
                <w:b/>
                <w:color w:val="000000"/>
                <w:szCs w:val="21"/>
              </w:rPr>
              <w:t>厂界西</w:t>
            </w:r>
          </w:p>
        </w:tc>
        <w:tc>
          <w:tcPr>
            <w:tcW w:w="1365" w:type="dxa"/>
            <w:noWrap w:val="0"/>
            <w:vAlign w:val="center"/>
          </w:tcPr>
          <w:p w14:paraId="2D8AABBC">
            <w:pPr>
              <w:jc w:val="center"/>
              <w:rPr>
                <w:rFonts w:hint="eastAsia" w:ascii="宋体" w:hAnsi="宋体" w:cs="宋体"/>
                <w:color w:val="000000"/>
                <w:sz w:val="24"/>
              </w:rPr>
            </w:pPr>
            <w:r>
              <w:rPr>
                <w:rFonts w:hint="eastAsia" w:ascii="宋体" w:hAnsi="宋体" w:cs="宋体"/>
                <w:color w:val="000000"/>
                <w:sz w:val="24"/>
              </w:rPr>
              <w:t>昼间</w:t>
            </w:r>
          </w:p>
        </w:tc>
        <w:tc>
          <w:tcPr>
            <w:tcW w:w="1680" w:type="dxa"/>
            <w:noWrap w:val="0"/>
            <w:vAlign w:val="center"/>
          </w:tcPr>
          <w:p w14:paraId="705908BE">
            <w:pPr>
              <w:jc w:val="center"/>
              <w:rPr>
                <w:rFonts w:hint="eastAsia" w:ascii="宋体" w:hAnsi="宋体" w:cs="宋体"/>
                <w:color w:val="000000"/>
                <w:sz w:val="24"/>
              </w:rPr>
            </w:pPr>
            <w:r>
              <w:rPr>
                <w:rFonts w:hint="eastAsia" w:ascii="宋体" w:hAnsi="宋体" w:cs="宋体"/>
                <w:color w:val="000000"/>
                <w:sz w:val="24"/>
              </w:rPr>
              <w:t>48.9</w:t>
            </w:r>
          </w:p>
        </w:tc>
        <w:tc>
          <w:tcPr>
            <w:tcW w:w="2216" w:type="dxa"/>
            <w:noWrap w:val="0"/>
            <w:vAlign w:val="center"/>
          </w:tcPr>
          <w:p w14:paraId="0F0BB696">
            <w:pPr>
              <w:jc w:val="center"/>
              <w:rPr>
                <w:rFonts w:hint="eastAsia" w:ascii="宋体" w:hAnsi="宋体" w:cs="宋体"/>
                <w:color w:val="000000"/>
                <w:sz w:val="24"/>
              </w:rPr>
            </w:pPr>
            <w:r>
              <w:rPr>
                <w:rFonts w:hint="eastAsia" w:ascii="宋体" w:hAnsi="宋体" w:cs="宋体"/>
                <w:color w:val="000000"/>
                <w:sz w:val="24"/>
              </w:rPr>
              <w:t>无</w:t>
            </w:r>
          </w:p>
        </w:tc>
      </w:tr>
      <w:tr w14:paraId="6FC9489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15" w:hRule="atLeast"/>
          <w:jc w:val="center"/>
        </w:trPr>
        <w:tc>
          <w:tcPr>
            <w:tcW w:w="1569" w:type="dxa"/>
            <w:vMerge w:val="continue"/>
            <w:noWrap w:val="0"/>
            <w:vAlign w:val="center"/>
          </w:tcPr>
          <w:p w14:paraId="1D0E43CA">
            <w:pPr>
              <w:jc w:val="center"/>
              <w:rPr>
                <w:rFonts w:hint="eastAsia" w:ascii="宋体" w:hAnsi="宋体" w:cs="宋体"/>
                <w:b/>
                <w:color w:val="000000"/>
                <w:sz w:val="24"/>
              </w:rPr>
            </w:pPr>
          </w:p>
        </w:tc>
        <w:tc>
          <w:tcPr>
            <w:tcW w:w="2730" w:type="dxa"/>
            <w:vMerge w:val="continue"/>
            <w:noWrap w:val="0"/>
            <w:vAlign w:val="center"/>
          </w:tcPr>
          <w:p w14:paraId="574B7EC7">
            <w:pPr>
              <w:jc w:val="center"/>
              <w:rPr>
                <w:rFonts w:hint="eastAsia" w:ascii="宋体" w:hAnsi="宋体"/>
                <w:b/>
                <w:color w:val="000000"/>
                <w:szCs w:val="21"/>
              </w:rPr>
            </w:pPr>
          </w:p>
        </w:tc>
        <w:tc>
          <w:tcPr>
            <w:tcW w:w="1365" w:type="dxa"/>
            <w:noWrap w:val="0"/>
            <w:vAlign w:val="center"/>
          </w:tcPr>
          <w:p w14:paraId="250DDCBC">
            <w:pPr>
              <w:jc w:val="center"/>
              <w:rPr>
                <w:rFonts w:hint="eastAsia" w:ascii="宋体" w:hAnsi="宋体" w:cs="宋体"/>
                <w:color w:val="000000"/>
                <w:sz w:val="24"/>
              </w:rPr>
            </w:pPr>
            <w:r>
              <w:rPr>
                <w:rFonts w:hint="eastAsia" w:ascii="宋体" w:hAnsi="宋体" w:cs="宋体"/>
                <w:color w:val="000000"/>
                <w:sz w:val="24"/>
              </w:rPr>
              <w:t>夜间</w:t>
            </w:r>
          </w:p>
        </w:tc>
        <w:tc>
          <w:tcPr>
            <w:tcW w:w="1680" w:type="dxa"/>
            <w:noWrap w:val="0"/>
            <w:vAlign w:val="center"/>
          </w:tcPr>
          <w:p w14:paraId="0F987EB5">
            <w:pPr>
              <w:jc w:val="center"/>
              <w:rPr>
                <w:rFonts w:hint="eastAsia" w:ascii="宋体" w:hAnsi="宋体" w:cs="宋体"/>
                <w:color w:val="000000"/>
                <w:sz w:val="24"/>
              </w:rPr>
            </w:pPr>
            <w:r>
              <w:rPr>
                <w:rFonts w:hint="eastAsia" w:ascii="宋体" w:hAnsi="宋体" w:cs="宋体"/>
                <w:color w:val="000000"/>
                <w:sz w:val="24"/>
              </w:rPr>
              <w:t>39.2</w:t>
            </w:r>
          </w:p>
        </w:tc>
        <w:tc>
          <w:tcPr>
            <w:tcW w:w="2216" w:type="dxa"/>
            <w:noWrap w:val="0"/>
            <w:vAlign w:val="center"/>
          </w:tcPr>
          <w:p w14:paraId="38881DA0">
            <w:pPr>
              <w:jc w:val="center"/>
              <w:rPr>
                <w:rFonts w:hint="eastAsia" w:ascii="宋体" w:hAnsi="宋体" w:cs="宋体"/>
                <w:color w:val="000000"/>
                <w:sz w:val="24"/>
              </w:rPr>
            </w:pPr>
            <w:r>
              <w:rPr>
                <w:rFonts w:hint="eastAsia" w:ascii="宋体" w:hAnsi="宋体" w:cs="宋体"/>
                <w:color w:val="000000"/>
                <w:sz w:val="24"/>
              </w:rPr>
              <w:t>无</w:t>
            </w:r>
          </w:p>
        </w:tc>
      </w:tr>
      <w:tr w14:paraId="2F2BA00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11" w:hRule="atLeast"/>
          <w:jc w:val="center"/>
        </w:trPr>
        <w:tc>
          <w:tcPr>
            <w:tcW w:w="1569" w:type="dxa"/>
            <w:vMerge w:val="continue"/>
            <w:noWrap w:val="0"/>
            <w:vAlign w:val="center"/>
          </w:tcPr>
          <w:p w14:paraId="6CDED1D6">
            <w:pPr>
              <w:jc w:val="center"/>
              <w:rPr>
                <w:rFonts w:hint="eastAsia" w:ascii="宋体" w:hAnsi="宋体" w:cs="宋体"/>
                <w:b/>
                <w:color w:val="000000"/>
                <w:sz w:val="24"/>
              </w:rPr>
            </w:pPr>
          </w:p>
        </w:tc>
        <w:tc>
          <w:tcPr>
            <w:tcW w:w="2730" w:type="dxa"/>
            <w:vMerge w:val="restart"/>
            <w:noWrap w:val="0"/>
            <w:vAlign w:val="center"/>
          </w:tcPr>
          <w:p w14:paraId="4FC2959C">
            <w:pPr>
              <w:jc w:val="center"/>
              <w:rPr>
                <w:rFonts w:hint="eastAsia" w:ascii="宋体" w:hAnsi="宋体"/>
                <w:color w:val="000000"/>
                <w:sz w:val="24"/>
              </w:rPr>
            </w:pPr>
            <w:r>
              <w:rPr>
                <w:rFonts w:hint="eastAsia" w:ascii="宋体" w:hAnsi="宋体"/>
                <w:b/>
                <w:color w:val="000000"/>
                <w:szCs w:val="21"/>
              </w:rPr>
              <w:t>厂界北</w:t>
            </w:r>
          </w:p>
        </w:tc>
        <w:tc>
          <w:tcPr>
            <w:tcW w:w="1365" w:type="dxa"/>
            <w:noWrap w:val="0"/>
            <w:vAlign w:val="center"/>
          </w:tcPr>
          <w:p w14:paraId="33054B75">
            <w:pPr>
              <w:jc w:val="center"/>
              <w:rPr>
                <w:rFonts w:hint="eastAsia" w:ascii="宋体" w:hAnsi="宋体" w:cs="宋体"/>
                <w:color w:val="000000"/>
                <w:sz w:val="24"/>
              </w:rPr>
            </w:pPr>
            <w:r>
              <w:rPr>
                <w:rFonts w:hint="eastAsia" w:ascii="宋体" w:hAnsi="宋体" w:cs="宋体"/>
                <w:color w:val="000000"/>
                <w:sz w:val="24"/>
              </w:rPr>
              <w:t>昼间</w:t>
            </w:r>
          </w:p>
        </w:tc>
        <w:tc>
          <w:tcPr>
            <w:tcW w:w="1680" w:type="dxa"/>
            <w:noWrap w:val="0"/>
            <w:vAlign w:val="center"/>
          </w:tcPr>
          <w:p w14:paraId="03CD67F7">
            <w:pPr>
              <w:jc w:val="center"/>
              <w:rPr>
                <w:rFonts w:hint="eastAsia" w:ascii="宋体" w:hAnsi="宋体" w:cs="宋体"/>
                <w:color w:val="000000"/>
                <w:sz w:val="24"/>
              </w:rPr>
            </w:pPr>
            <w:r>
              <w:rPr>
                <w:rFonts w:hint="eastAsia" w:ascii="宋体" w:hAnsi="宋体" w:cs="宋体"/>
                <w:color w:val="000000"/>
                <w:sz w:val="24"/>
              </w:rPr>
              <w:t>47.9</w:t>
            </w:r>
          </w:p>
        </w:tc>
        <w:tc>
          <w:tcPr>
            <w:tcW w:w="2216" w:type="dxa"/>
            <w:noWrap w:val="0"/>
            <w:vAlign w:val="center"/>
          </w:tcPr>
          <w:p w14:paraId="124396DD">
            <w:pPr>
              <w:jc w:val="center"/>
              <w:rPr>
                <w:rFonts w:hint="eastAsia" w:ascii="宋体" w:hAnsi="宋体" w:cs="宋体"/>
                <w:color w:val="000000"/>
                <w:sz w:val="24"/>
              </w:rPr>
            </w:pPr>
            <w:r>
              <w:rPr>
                <w:rFonts w:hint="eastAsia" w:ascii="宋体" w:hAnsi="宋体" w:cs="宋体"/>
                <w:color w:val="000000"/>
                <w:sz w:val="24"/>
              </w:rPr>
              <w:t>无</w:t>
            </w:r>
          </w:p>
        </w:tc>
      </w:tr>
      <w:tr w14:paraId="764A890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05" w:hRule="atLeast"/>
          <w:jc w:val="center"/>
        </w:trPr>
        <w:tc>
          <w:tcPr>
            <w:tcW w:w="1569" w:type="dxa"/>
            <w:vMerge w:val="continue"/>
            <w:noWrap w:val="0"/>
            <w:vAlign w:val="center"/>
          </w:tcPr>
          <w:p w14:paraId="06AE1A36">
            <w:pPr>
              <w:jc w:val="center"/>
              <w:rPr>
                <w:rFonts w:hint="eastAsia" w:ascii="宋体" w:hAnsi="宋体" w:cs="宋体"/>
                <w:b/>
                <w:color w:val="000000"/>
                <w:sz w:val="24"/>
              </w:rPr>
            </w:pPr>
          </w:p>
        </w:tc>
        <w:tc>
          <w:tcPr>
            <w:tcW w:w="2730" w:type="dxa"/>
            <w:vMerge w:val="continue"/>
            <w:noWrap w:val="0"/>
            <w:vAlign w:val="center"/>
          </w:tcPr>
          <w:p w14:paraId="2F2CF62A">
            <w:pPr>
              <w:jc w:val="center"/>
              <w:rPr>
                <w:rFonts w:hint="eastAsia" w:ascii="宋体" w:hAnsi="宋体" w:cs="宋体"/>
                <w:color w:val="000000"/>
                <w:sz w:val="24"/>
              </w:rPr>
            </w:pPr>
          </w:p>
        </w:tc>
        <w:tc>
          <w:tcPr>
            <w:tcW w:w="1365" w:type="dxa"/>
            <w:noWrap w:val="0"/>
            <w:vAlign w:val="center"/>
          </w:tcPr>
          <w:p w14:paraId="2251C4CB">
            <w:pPr>
              <w:jc w:val="center"/>
              <w:rPr>
                <w:rFonts w:hint="eastAsia" w:ascii="宋体" w:hAnsi="宋体" w:cs="宋体"/>
                <w:color w:val="000000"/>
                <w:sz w:val="24"/>
              </w:rPr>
            </w:pPr>
            <w:r>
              <w:rPr>
                <w:rFonts w:hint="eastAsia" w:ascii="宋体" w:hAnsi="宋体" w:cs="宋体"/>
                <w:color w:val="000000"/>
                <w:sz w:val="24"/>
              </w:rPr>
              <w:t>夜间</w:t>
            </w:r>
          </w:p>
        </w:tc>
        <w:tc>
          <w:tcPr>
            <w:tcW w:w="1680" w:type="dxa"/>
            <w:noWrap w:val="0"/>
            <w:vAlign w:val="center"/>
          </w:tcPr>
          <w:p w14:paraId="3D882E4E">
            <w:pPr>
              <w:jc w:val="center"/>
              <w:rPr>
                <w:rFonts w:hint="eastAsia" w:ascii="宋体" w:hAnsi="宋体" w:cs="宋体"/>
                <w:color w:val="000000"/>
                <w:sz w:val="24"/>
              </w:rPr>
            </w:pPr>
            <w:r>
              <w:rPr>
                <w:rFonts w:hint="eastAsia" w:ascii="宋体" w:hAnsi="宋体" w:cs="宋体"/>
                <w:color w:val="000000"/>
                <w:sz w:val="24"/>
              </w:rPr>
              <w:t>39.2</w:t>
            </w:r>
          </w:p>
        </w:tc>
        <w:tc>
          <w:tcPr>
            <w:tcW w:w="2216" w:type="dxa"/>
            <w:noWrap w:val="0"/>
            <w:vAlign w:val="center"/>
          </w:tcPr>
          <w:p w14:paraId="214B0AE3">
            <w:pPr>
              <w:jc w:val="center"/>
              <w:rPr>
                <w:rFonts w:hint="eastAsia" w:ascii="宋体" w:hAnsi="宋体" w:cs="宋体"/>
                <w:color w:val="000000"/>
                <w:sz w:val="24"/>
              </w:rPr>
            </w:pPr>
            <w:r>
              <w:rPr>
                <w:rFonts w:hint="eastAsia" w:ascii="宋体" w:hAnsi="宋体" w:cs="宋体"/>
                <w:color w:val="000000"/>
                <w:sz w:val="24"/>
              </w:rPr>
              <w:t>无</w:t>
            </w:r>
          </w:p>
        </w:tc>
      </w:tr>
    </w:tbl>
    <w:p w14:paraId="66C623F3">
      <w:pPr>
        <w:rPr>
          <w:rFonts w:hint="eastAsia"/>
          <w:color w:val="000000"/>
          <w:szCs w:val="21"/>
        </w:rPr>
      </w:pPr>
    </w:p>
    <w:p w14:paraId="5AD3A90F">
      <w:pPr>
        <w:rPr>
          <w:color w:val="000000"/>
          <w:szCs w:val="21"/>
        </w:rPr>
      </w:pPr>
      <w:r>
        <w:rPr>
          <w:color w:val="000000"/>
          <w:szCs w:val="21"/>
        </w:rPr>
        <w:t>备注： 1.表中“L”表示检测结果低于检出限,前面数字表示该项目的方法检出限；</w:t>
      </w:r>
    </w:p>
    <w:p w14:paraId="34900288">
      <w:pPr>
        <w:ind w:left="630" w:firstLine="105"/>
        <w:rPr>
          <w:color w:val="000000"/>
          <w:szCs w:val="21"/>
        </w:rPr>
      </w:pPr>
      <w:r>
        <w:rPr>
          <w:color w:val="000000"/>
          <w:szCs w:val="21"/>
        </w:rPr>
        <w:t>2.报告中均值为算数平均值；</w:t>
      </w:r>
    </w:p>
    <w:p w14:paraId="2457EFD5">
      <w:pPr>
        <w:ind w:firstLine="735"/>
        <w:rPr>
          <w:color w:val="000000"/>
          <w:szCs w:val="21"/>
        </w:rPr>
      </w:pPr>
      <w:r>
        <w:rPr>
          <w:color w:val="000000"/>
          <w:szCs w:val="21"/>
        </w:rPr>
        <w:t>3.附计量认证证书、监测资质证书和检测人员一览表。</w:t>
      </w:r>
    </w:p>
    <w:p w14:paraId="008F59F4">
      <w:pPr>
        <w:ind w:firstLine="843"/>
        <w:rPr>
          <w:color w:val="000000"/>
          <w:szCs w:val="21"/>
        </w:rPr>
      </w:pPr>
      <w:r>
        <w:rPr>
          <w:b/>
          <w:color w:val="000000"/>
          <w:sz w:val="24"/>
        </w:rPr>
        <mc:AlternateContent>
          <mc:Choice Requires="wps">
            <w:drawing>
              <wp:anchor distT="0" distB="0" distL="114300" distR="114300" simplePos="0" relativeHeight="251660288" behindDoc="0" locked="0" layoutInCell="1" allowOverlap="1">
                <wp:simplePos x="0" y="0"/>
                <wp:positionH relativeFrom="column">
                  <wp:posOffset>934085</wp:posOffset>
                </wp:positionH>
                <wp:positionV relativeFrom="paragraph">
                  <wp:posOffset>445770</wp:posOffset>
                </wp:positionV>
                <wp:extent cx="3906520" cy="7620"/>
                <wp:effectExtent l="0" t="0" r="0" b="0"/>
                <wp:wrapNone/>
                <wp:docPr id="231" name="_x0000_s1339"/>
                <wp:cNvGraphicFramePr/>
                <a:graphic xmlns:a="http://schemas.openxmlformats.org/drawingml/2006/main">
                  <a:graphicData uri="http://schemas.microsoft.com/office/word/2010/wordprocessingShape">
                    <wps:wsp>
                      <wps:cNvSpPr/>
                      <wps:spPr bwMode="auto">
                        <a:xfrm flipV="1">
                          <a:off x="0" y="0"/>
                          <a:ext cx="3906520" cy="7620"/>
                        </a:xfrm>
                        <a:custGeom>
                          <a:avLst/>
                          <a:gdLst>
                            <a:gd name="gd0" fmla="val 65536"/>
                            <a:gd name="gd1" fmla="val 0"/>
                            <a:gd name="gd2" fmla="val 0"/>
                            <a:gd name="gd3" fmla="val 21600"/>
                            <a:gd name="gd4" fmla="val 21600"/>
                          </a:gdLst>
                          <a:ahLst/>
                          <a:cxnLst/>
                          <a:rect l="0" t="0" r="r" b="b"/>
                          <a:pathLst>
                            <a:path w="21600" h="21600" extrusionOk="0">
                              <a:moveTo>
                                <a:pt x="gd1" y="gd2"/>
                              </a:moveTo>
                              <a:lnTo>
                                <a:pt x="gd3" y="gd4"/>
                              </a:lnTo>
                            </a:path>
                          </a:pathLst>
                        </a:custGeom>
                        <a:noFill/>
                        <a:ln>
                          <a:solidFill>
                            <a:srgbClr val="000000"/>
                          </a:solidFill>
                        </a:ln>
                      </wps:spPr>
                      <wps:bodyPr rot="0">
                        <a:noAutofit/>
                      </wps:bodyPr>
                    </wps:wsp>
                  </a:graphicData>
                </a:graphic>
              </wp:anchor>
            </w:drawing>
          </mc:Choice>
          <mc:Fallback>
            <w:pict>
              <v:shape id="_x0000_s1339" o:spid="_x0000_s1026" o:spt="100" style="position:absolute;left:0pt;flip:y;margin-left:73.55pt;margin-top:35.1pt;height:0.6pt;width:307.6pt;z-index:251660288;mso-width-relative:page;mso-height-relative:page;" filled="f" stroked="t" coordsize="21600,21600" o:gfxdata="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DdcJlI2AAAAAkBAAAPAAAAAAAAAAEA&#10;IAAAACIAAABkcnMvZG93bnJldi54bWxQSwECFAAUAAAACACHTuJA/1MtTUgCAAAVBQAADgAAAAAA&#10;AAABACAAAAAnAQAAZHJzL2Uyb0RvYy54bWxQSwUGAAAAAAYABgBZAQAA4QUAAAAA&#10;" path="m0,0l21600,21600e">
                <v:fill on="f" focussize="0,0"/>
                <v:stroke color="#000000" joinstyle="round"/>
                <v:imagedata o:title=""/>
                <o:lock v:ext="edit" aspectratio="f"/>
              </v:shape>
            </w:pict>
          </mc:Fallback>
        </mc:AlternateContent>
      </w:r>
    </w:p>
    <w:p w14:paraId="56549EF5">
      <w:pPr>
        <w:rPr>
          <w:rFonts w:hint="eastAsia"/>
          <w:color w:val="000000"/>
        </w:rPr>
      </w:pPr>
    </w:p>
    <w:p w14:paraId="1FF93686">
      <w:pPr>
        <w:rPr>
          <w:rFonts w:hint="eastAsia"/>
          <w:color w:val="000000"/>
        </w:rPr>
      </w:pPr>
    </w:p>
    <w:p w14:paraId="7B19BA05">
      <w:pPr>
        <w:rPr>
          <w:rFonts w:hint="eastAsia"/>
          <w:color w:val="000000"/>
        </w:rPr>
      </w:pPr>
    </w:p>
    <w:p w14:paraId="4E6234CA">
      <w:pPr>
        <w:rPr>
          <w:rFonts w:hint="eastAsia"/>
          <w:color w:val="000000"/>
        </w:rPr>
      </w:pPr>
    </w:p>
    <w:p w14:paraId="778EFCDF">
      <w:pPr>
        <w:rPr>
          <w:rFonts w:hint="eastAsia"/>
          <w:color w:val="000000"/>
        </w:rPr>
      </w:pPr>
    </w:p>
    <w:p w14:paraId="2D4A0586">
      <w:pPr>
        <w:rPr>
          <w:rFonts w:hint="eastAsia"/>
          <w:color w:val="000000"/>
        </w:rPr>
      </w:pPr>
    </w:p>
    <w:p w14:paraId="600A0BC1">
      <w:pPr>
        <w:rPr>
          <w:rFonts w:hint="eastAsia"/>
          <w:color w:val="000000"/>
        </w:rPr>
      </w:pPr>
    </w:p>
    <w:p w14:paraId="5446D4D4">
      <w:pPr>
        <w:rPr>
          <w:rFonts w:hint="eastAsia"/>
          <w:color w:val="000000"/>
        </w:rPr>
      </w:pPr>
    </w:p>
    <w:p w14:paraId="56C792C7">
      <w:pPr>
        <w:rPr>
          <w:rFonts w:hint="eastAsia"/>
          <w:color w:val="000000"/>
        </w:rPr>
      </w:pPr>
    </w:p>
    <w:p w14:paraId="75B7FA53">
      <w:pPr>
        <w:rPr>
          <w:rFonts w:hint="eastAsia"/>
          <w:color w:val="000000"/>
        </w:rPr>
      </w:pPr>
    </w:p>
    <w:p w14:paraId="57497748">
      <w:pPr>
        <w:rPr>
          <w:rFonts w:hint="eastAsia"/>
          <w:color w:val="000000"/>
        </w:rPr>
      </w:pPr>
    </w:p>
    <w:p w14:paraId="100C886A">
      <w:pPr>
        <w:rPr>
          <w:rFonts w:hint="eastAsia"/>
          <w:color w:val="000000"/>
        </w:rPr>
      </w:pPr>
    </w:p>
    <w:p w14:paraId="56793897">
      <w:pPr>
        <w:rPr>
          <w:rFonts w:hint="eastAsia"/>
          <w:color w:val="000000"/>
        </w:rPr>
      </w:pPr>
    </w:p>
    <w:p w14:paraId="4F5920B1">
      <w:pPr>
        <w:rPr>
          <w:rFonts w:hint="eastAsia"/>
          <w:color w:val="000000"/>
        </w:rPr>
      </w:pPr>
    </w:p>
    <w:p w14:paraId="758BE71A">
      <w:pPr>
        <w:rPr>
          <w:rFonts w:hint="eastAsia"/>
          <w:color w:val="000000"/>
        </w:rPr>
      </w:pPr>
    </w:p>
    <w:p w14:paraId="4A844049">
      <w:pPr>
        <w:rPr>
          <w:rFonts w:hint="eastAsia"/>
          <w:color w:val="000000"/>
        </w:rPr>
      </w:pPr>
    </w:p>
    <w:p w14:paraId="7BB1D2D2">
      <w:pPr>
        <w:rPr>
          <w:rFonts w:hint="eastAsia"/>
          <w:color w:val="000000"/>
        </w:rPr>
      </w:pPr>
    </w:p>
    <w:p w14:paraId="4D7BD6BB">
      <w:pPr>
        <w:rPr>
          <w:rFonts w:hint="eastAsia"/>
          <w:color w:val="000000"/>
        </w:rPr>
      </w:pPr>
    </w:p>
    <w:p w14:paraId="1BEBB550">
      <w:pPr>
        <w:rPr>
          <w:rFonts w:hint="eastAsia"/>
          <w:color w:val="000000"/>
        </w:rPr>
      </w:pPr>
    </w:p>
    <w:p w14:paraId="3B1F31AB">
      <w:pPr>
        <w:rPr>
          <w:rFonts w:hint="eastAsia"/>
          <w:color w:val="000000"/>
        </w:rPr>
      </w:pPr>
      <w:r>
        <w:rPr>
          <w:rFonts w:hint="eastAsia"/>
          <w:color w:val="000000"/>
        </w:rPr>
        <w:drawing>
          <wp:anchor distT="0" distB="0" distL="114300" distR="114300" simplePos="0" relativeHeight="251659264" behindDoc="1" locked="0" layoutInCell="1" allowOverlap="1">
            <wp:simplePos x="0" y="0"/>
            <wp:positionH relativeFrom="column">
              <wp:posOffset>30480</wp:posOffset>
            </wp:positionH>
            <wp:positionV relativeFrom="paragraph">
              <wp:posOffset>415925</wp:posOffset>
            </wp:positionV>
            <wp:extent cx="5267325" cy="7458075"/>
            <wp:effectExtent l="0" t="0" r="0" b="0"/>
            <wp:wrapNone/>
            <wp:docPr id="232" name="_x0000_s1360"/>
            <wp:cNvGraphicFramePr/>
            <a:graphic xmlns:a="http://schemas.openxmlformats.org/drawingml/2006/main">
              <a:graphicData uri="http://schemas.openxmlformats.org/drawingml/2006/picture">
                <pic:pic xmlns:pic="http://schemas.openxmlformats.org/drawingml/2006/picture">
                  <pic:nvPicPr>
                    <pic:cNvPr id="232" name="_x0000_s1360"/>
                    <pic:cNvPicPr/>
                  </pic:nvPicPr>
                  <pic:blipFill>
                    <a:blip r:embed="rId78"/>
                    <a:stretch>
                      <a:fillRect/>
                    </a:stretch>
                  </pic:blipFill>
                  <pic:spPr>
                    <a:xfrm>
                      <a:off x="0" y="0"/>
                      <a:ext cx="5267325" cy="7458075"/>
                    </a:xfrm>
                    <a:prstGeom prst="rect">
                      <a:avLst/>
                    </a:prstGeom>
                    <a:noFill/>
                    <a:ln>
                      <a:noFill/>
                    </a:ln>
                  </pic:spPr>
                </pic:pic>
              </a:graphicData>
            </a:graphic>
          </wp:anchor>
        </w:drawing>
      </w:r>
    </w:p>
    <w:p w14:paraId="1D32F006">
      <w:pPr>
        <w:rPr>
          <w:rFonts w:hint="eastAsia"/>
          <w:color w:val="000000"/>
        </w:rPr>
      </w:pPr>
    </w:p>
    <w:p w14:paraId="491B2E37">
      <w:pPr>
        <w:rPr>
          <w:rFonts w:hint="eastAsia"/>
          <w:color w:val="000000"/>
        </w:rPr>
      </w:pPr>
    </w:p>
    <w:p w14:paraId="745F4487">
      <w:pPr>
        <w:rPr>
          <w:rFonts w:hint="eastAsia"/>
          <w:color w:val="000000"/>
        </w:rPr>
      </w:pPr>
    </w:p>
    <w:p w14:paraId="0D627597">
      <w:pPr>
        <w:rPr>
          <w:rFonts w:hint="eastAsia"/>
          <w:color w:val="000000"/>
        </w:rPr>
      </w:pPr>
    </w:p>
    <w:p w14:paraId="26FF405D">
      <w:pPr>
        <w:rPr>
          <w:rFonts w:hint="eastAsia"/>
          <w:color w:val="000000"/>
        </w:rPr>
      </w:pPr>
    </w:p>
    <w:p w14:paraId="56AD347A">
      <w:pPr>
        <w:rPr>
          <w:rFonts w:hint="eastAsia"/>
          <w:color w:val="000000"/>
        </w:rPr>
      </w:pPr>
    </w:p>
    <w:p w14:paraId="048FC253">
      <w:pPr>
        <w:rPr>
          <w:rFonts w:hint="eastAsia"/>
          <w:color w:val="000000"/>
        </w:rPr>
      </w:pPr>
    </w:p>
    <w:p w14:paraId="48FF03F3">
      <w:pPr>
        <w:rPr>
          <w:rFonts w:hint="eastAsia"/>
          <w:color w:val="000000"/>
        </w:rPr>
      </w:pPr>
    </w:p>
    <w:p w14:paraId="2EB0E821">
      <w:pPr>
        <w:rPr>
          <w:rFonts w:hint="eastAsia"/>
          <w:color w:val="000000"/>
        </w:rPr>
      </w:pPr>
    </w:p>
    <w:p w14:paraId="20C5FEE8">
      <w:pPr>
        <w:rPr>
          <w:rFonts w:hint="eastAsia"/>
          <w:color w:val="000000"/>
        </w:rPr>
      </w:pPr>
    </w:p>
    <w:p w14:paraId="26507836">
      <w:pPr>
        <w:rPr>
          <w:rFonts w:hint="eastAsia"/>
          <w:color w:val="000000"/>
        </w:rPr>
      </w:pPr>
    </w:p>
    <w:p w14:paraId="12B40746">
      <w:pPr>
        <w:rPr>
          <w:rFonts w:hint="eastAsia"/>
          <w:color w:val="000000"/>
        </w:rPr>
      </w:pPr>
    </w:p>
    <w:p w14:paraId="6DDCE12F">
      <w:pPr>
        <w:rPr>
          <w:rFonts w:hint="eastAsia"/>
          <w:color w:val="000000"/>
        </w:rPr>
      </w:pPr>
    </w:p>
    <w:p w14:paraId="576B973B">
      <w:pPr>
        <w:rPr>
          <w:rFonts w:hint="eastAsia"/>
          <w:color w:val="000000"/>
        </w:rPr>
      </w:pPr>
    </w:p>
    <w:p w14:paraId="7CA43F4E">
      <w:pPr>
        <w:rPr>
          <w:rFonts w:hint="eastAsia"/>
          <w:color w:val="000000"/>
        </w:rPr>
      </w:pPr>
    </w:p>
    <w:p w14:paraId="7EE14711">
      <w:pPr>
        <w:rPr>
          <w:rFonts w:hint="eastAsia"/>
          <w:color w:val="000000"/>
        </w:rPr>
      </w:pPr>
    </w:p>
    <w:p w14:paraId="37EAD183">
      <w:pPr>
        <w:rPr>
          <w:rFonts w:hint="eastAsia"/>
          <w:color w:val="000000"/>
        </w:rPr>
      </w:pPr>
    </w:p>
    <w:p w14:paraId="5AFEC7D1">
      <w:pPr>
        <w:rPr>
          <w:rFonts w:hint="eastAsia"/>
          <w:color w:val="000000"/>
        </w:rPr>
      </w:pPr>
    </w:p>
    <w:p w14:paraId="164EEB0A">
      <w:pPr>
        <w:rPr>
          <w:rFonts w:hint="eastAsia"/>
          <w:color w:val="000000"/>
        </w:rPr>
      </w:pPr>
    </w:p>
    <w:p w14:paraId="59D09F5D">
      <w:pPr>
        <w:rPr>
          <w:rFonts w:hint="eastAsia"/>
          <w:color w:val="000000"/>
        </w:rPr>
      </w:pPr>
    </w:p>
    <w:p w14:paraId="3DF5F923">
      <w:pPr>
        <w:rPr>
          <w:rFonts w:hint="eastAsia"/>
          <w:color w:val="000000"/>
        </w:rPr>
      </w:pPr>
    </w:p>
    <w:p w14:paraId="0B4C28FA">
      <w:pPr>
        <w:rPr>
          <w:rFonts w:hint="eastAsia"/>
          <w:color w:val="000000"/>
        </w:rPr>
      </w:pPr>
    </w:p>
    <w:p w14:paraId="7FBDB988">
      <w:pPr>
        <w:rPr>
          <w:rFonts w:hint="eastAsia"/>
          <w:color w:val="000000"/>
        </w:rPr>
      </w:pPr>
    </w:p>
    <w:p w14:paraId="2659A74F">
      <w:pPr>
        <w:rPr>
          <w:rFonts w:hint="eastAsia"/>
          <w:color w:val="000000"/>
        </w:rPr>
      </w:pPr>
    </w:p>
    <w:p w14:paraId="6B93BDC5">
      <w:pPr>
        <w:rPr>
          <w:rFonts w:hint="eastAsia"/>
          <w:color w:val="000000"/>
        </w:rPr>
      </w:pPr>
    </w:p>
    <w:p w14:paraId="6720CD44">
      <w:pPr>
        <w:rPr>
          <w:rFonts w:hint="eastAsia"/>
          <w:color w:val="000000"/>
        </w:rPr>
      </w:pPr>
    </w:p>
    <w:p w14:paraId="7C7BF1B4">
      <w:pPr>
        <w:rPr>
          <w:rFonts w:hint="eastAsia"/>
          <w:color w:val="000000"/>
        </w:rPr>
      </w:pPr>
    </w:p>
    <w:p w14:paraId="7707BD17">
      <w:pPr>
        <w:rPr>
          <w:rFonts w:hint="eastAsia"/>
          <w:color w:val="000000"/>
        </w:rPr>
      </w:pPr>
    </w:p>
    <w:p w14:paraId="44764BB2">
      <w:pPr>
        <w:rPr>
          <w:rFonts w:hint="eastAsia"/>
          <w:color w:val="000000"/>
        </w:rPr>
      </w:pPr>
    </w:p>
    <w:p w14:paraId="5B132670">
      <w:pPr>
        <w:rPr>
          <w:rFonts w:hint="eastAsia"/>
          <w:color w:val="000000"/>
        </w:rPr>
      </w:pPr>
    </w:p>
    <w:p w14:paraId="5B4DE960">
      <w:pPr>
        <w:rPr>
          <w:rFonts w:hint="eastAsia"/>
          <w:color w:val="000000"/>
        </w:rPr>
      </w:pPr>
    </w:p>
    <w:p w14:paraId="471E2D81">
      <w:pPr>
        <w:rPr>
          <w:rFonts w:hint="eastAsia"/>
          <w:color w:val="000000"/>
        </w:rPr>
      </w:pPr>
    </w:p>
    <w:p w14:paraId="29E09F0E">
      <w:pPr>
        <w:rPr>
          <w:rFonts w:hint="eastAsia"/>
          <w:color w:val="000000"/>
        </w:rPr>
      </w:pPr>
    </w:p>
    <w:p w14:paraId="2D0D518D">
      <w:pPr>
        <w:rPr>
          <w:rFonts w:hint="eastAsia"/>
          <w:color w:val="000000"/>
        </w:rPr>
      </w:pPr>
    </w:p>
    <w:p w14:paraId="07C0E58D">
      <w:pPr>
        <w:rPr>
          <w:rFonts w:hint="eastAsia"/>
          <w:color w:val="000000"/>
        </w:rPr>
      </w:pPr>
    </w:p>
    <w:p w14:paraId="7E99F2F5">
      <w:pPr>
        <w:rPr>
          <w:rFonts w:hint="eastAsia"/>
          <w:color w:val="000000"/>
        </w:rPr>
      </w:pPr>
    </w:p>
    <w:p w14:paraId="055BBFDE">
      <w:pPr>
        <w:rPr>
          <w:rFonts w:hint="eastAsia"/>
          <w:color w:val="000000"/>
        </w:rPr>
      </w:pPr>
    </w:p>
    <w:p w14:paraId="047CF6C2">
      <w:pPr>
        <w:rPr>
          <w:rFonts w:hint="eastAsia"/>
          <w:color w:val="000000"/>
        </w:rPr>
      </w:pPr>
    </w:p>
    <w:p w14:paraId="3B02C993">
      <w:pPr>
        <w:rPr>
          <w:rFonts w:hint="eastAsia"/>
          <w:color w:val="000000"/>
        </w:rPr>
      </w:pPr>
    </w:p>
    <w:p w14:paraId="71A26DDD">
      <w:pPr>
        <w:rPr>
          <w:rFonts w:hint="eastAsia"/>
          <w:color w:val="000000"/>
        </w:rPr>
      </w:pPr>
    </w:p>
    <w:p w14:paraId="7345A5C6">
      <w:pPr>
        <w:rPr>
          <w:rFonts w:hint="eastAsia"/>
          <w:color w:val="000000"/>
        </w:rPr>
      </w:pPr>
    </w:p>
    <w:p w14:paraId="00DFE27A">
      <w:pPr>
        <w:rPr>
          <w:rFonts w:hint="eastAsia"/>
          <w:color w:val="000000"/>
        </w:rPr>
      </w:pPr>
    </w:p>
    <w:p w14:paraId="0D000D2A">
      <w:pPr>
        <w:rPr>
          <w:color w:val="000000"/>
        </w:rPr>
        <w:sectPr>
          <w:pgSz w:w="11906" w:h="16838" w:orient="landscape"/>
          <w:pgMar w:top="1440" w:right="1800" w:bottom="1440" w:left="1800" w:header="851" w:footer="992" w:gutter="0"/>
          <w:cols w:space="1701" w:num="1"/>
        </w:sectPr>
      </w:pPr>
    </w:p>
    <w:p w14:paraId="0C9467ED">
      <w:pPr>
        <w:rPr>
          <w:rFonts w:hint="eastAsia"/>
          <w:color w:val="000000"/>
        </w:rPr>
      </w:pPr>
      <w:r>
        <w:rPr>
          <w:rFonts w:hint="eastAsia"/>
          <w:color w:val="000000"/>
        </w:rPr>
        <w:drawing>
          <wp:anchor distT="0" distB="0" distL="114300" distR="114300" simplePos="0" relativeHeight="251660288" behindDoc="0" locked="0" layoutInCell="1" allowOverlap="1">
            <wp:simplePos x="0" y="0"/>
            <wp:positionH relativeFrom="column">
              <wp:posOffset>-309880</wp:posOffset>
            </wp:positionH>
            <wp:positionV relativeFrom="paragraph">
              <wp:posOffset>137160</wp:posOffset>
            </wp:positionV>
            <wp:extent cx="6587490" cy="4505325"/>
            <wp:effectExtent l="0" t="0" r="0" b="0"/>
            <wp:wrapNone/>
            <wp:docPr id="233" name="_x0000_s1361"/>
            <wp:cNvGraphicFramePr/>
            <a:graphic xmlns:a="http://schemas.openxmlformats.org/drawingml/2006/main">
              <a:graphicData uri="http://schemas.openxmlformats.org/drawingml/2006/picture">
                <pic:pic xmlns:pic="http://schemas.openxmlformats.org/drawingml/2006/picture">
                  <pic:nvPicPr>
                    <pic:cNvPr id="233" name="_x0000_s1361"/>
                    <pic:cNvPicPr/>
                  </pic:nvPicPr>
                  <pic:blipFill>
                    <a:blip r:embed="rId79"/>
                    <a:stretch>
                      <a:fillRect/>
                    </a:stretch>
                  </pic:blipFill>
                  <pic:spPr>
                    <a:xfrm>
                      <a:off x="0" y="0"/>
                      <a:ext cx="6587490" cy="4505325"/>
                    </a:xfrm>
                    <a:prstGeom prst="rect">
                      <a:avLst/>
                    </a:prstGeom>
                    <a:noFill/>
                    <a:ln>
                      <a:noFill/>
                    </a:ln>
                  </pic:spPr>
                </pic:pic>
              </a:graphicData>
            </a:graphic>
          </wp:anchor>
        </w:drawing>
      </w:r>
    </w:p>
    <w:p w14:paraId="67C1C331">
      <w:pPr>
        <w:rPr>
          <w:rFonts w:hint="eastAsia"/>
          <w:color w:val="000000"/>
        </w:rPr>
      </w:pPr>
    </w:p>
    <w:p w14:paraId="21D11A07">
      <w:pPr>
        <w:rPr>
          <w:rFonts w:hint="eastAsia"/>
          <w:color w:val="000000"/>
        </w:rPr>
      </w:pPr>
    </w:p>
    <w:p w14:paraId="2D0EF978">
      <w:pPr>
        <w:rPr>
          <w:rFonts w:hint="eastAsia"/>
          <w:color w:val="000000"/>
        </w:rPr>
      </w:pPr>
    </w:p>
    <w:p w14:paraId="0A7E7B52">
      <w:pPr>
        <w:rPr>
          <w:rFonts w:hint="eastAsia"/>
          <w:color w:val="000000"/>
        </w:rPr>
      </w:pPr>
    </w:p>
    <w:p w14:paraId="6D25F472">
      <w:pPr>
        <w:rPr>
          <w:rFonts w:hint="eastAsia"/>
          <w:color w:val="000000"/>
        </w:rPr>
      </w:pPr>
    </w:p>
    <w:p w14:paraId="0861A19B">
      <w:pPr>
        <w:rPr>
          <w:rFonts w:hint="eastAsia"/>
          <w:color w:val="000000"/>
        </w:rPr>
      </w:pPr>
    </w:p>
    <w:p w14:paraId="2D4DB2CB">
      <w:pPr>
        <w:rPr>
          <w:rFonts w:hint="eastAsia"/>
          <w:color w:val="000000"/>
        </w:rPr>
      </w:pPr>
    </w:p>
    <w:p w14:paraId="5774DEB1">
      <w:pPr>
        <w:rPr>
          <w:rFonts w:hint="eastAsia"/>
          <w:color w:val="000000"/>
        </w:rPr>
      </w:pPr>
    </w:p>
    <w:p w14:paraId="45C6C076">
      <w:pPr>
        <w:rPr>
          <w:rFonts w:hint="eastAsia"/>
          <w:color w:val="000000"/>
        </w:rPr>
      </w:pPr>
    </w:p>
    <w:p w14:paraId="0C46DE1E">
      <w:pPr>
        <w:rPr>
          <w:rFonts w:hint="eastAsia"/>
          <w:color w:val="000000"/>
        </w:rPr>
      </w:pPr>
    </w:p>
    <w:p w14:paraId="0A1FF543">
      <w:pPr>
        <w:rPr>
          <w:rFonts w:hint="eastAsia"/>
          <w:color w:val="000000"/>
        </w:rPr>
      </w:pPr>
    </w:p>
    <w:p w14:paraId="317EF503">
      <w:pPr>
        <w:rPr>
          <w:rFonts w:hint="eastAsia"/>
          <w:color w:val="000000"/>
        </w:rPr>
      </w:pPr>
    </w:p>
    <w:p w14:paraId="51B49F1B">
      <w:pPr>
        <w:rPr>
          <w:rFonts w:hint="eastAsia"/>
          <w:color w:val="000000"/>
        </w:rPr>
      </w:pPr>
    </w:p>
    <w:p w14:paraId="027650E4">
      <w:pPr>
        <w:rPr>
          <w:rFonts w:hint="eastAsia"/>
          <w:color w:val="000000"/>
        </w:rPr>
      </w:pPr>
    </w:p>
    <w:p w14:paraId="03CE7C71">
      <w:pPr>
        <w:rPr>
          <w:rFonts w:hint="eastAsia"/>
          <w:color w:val="000000"/>
        </w:rPr>
      </w:pPr>
    </w:p>
    <w:p w14:paraId="2CFF4FF9">
      <w:pPr>
        <w:rPr>
          <w:rFonts w:hint="eastAsia"/>
          <w:color w:val="000000"/>
        </w:rPr>
      </w:pPr>
    </w:p>
    <w:p w14:paraId="1882FF6A">
      <w:pPr>
        <w:rPr>
          <w:rFonts w:hint="eastAsia"/>
          <w:color w:val="000000"/>
        </w:rPr>
      </w:pPr>
    </w:p>
    <w:p w14:paraId="326E5A0E">
      <w:pPr>
        <w:rPr>
          <w:rFonts w:hint="eastAsia"/>
          <w:color w:val="000000"/>
        </w:rPr>
      </w:pPr>
    </w:p>
    <w:p w14:paraId="0A5A95F1">
      <w:pPr>
        <w:rPr>
          <w:rFonts w:hint="eastAsia"/>
          <w:color w:val="000000"/>
        </w:rPr>
      </w:pPr>
    </w:p>
    <w:p w14:paraId="273A90C6">
      <w:pPr>
        <w:rPr>
          <w:rFonts w:hint="eastAsia"/>
          <w:color w:val="000000"/>
        </w:rPr>
      </w:pPr>
    </w:p>
    <w:p w14:paraId="65E75856">
      <w:pPr>
        <w:rPr>
          <w:rFonts w:hint="eastAsia"/>
          <w:color w:val="000000"/>
        </w:rPr>
      </w:pPr>
    </w:p>
    <w:p w14:paraId="56FCC8B4">
      <w:pPr>
        <w:rPr>
          <w:rFonts w:hint="eastAsia"/>
          <w:color w:val="000000"/>
        </w:rPr>
      </w:pPr>
    </w:p>
    <w:p w14:paraId="3B3BECAC">
      <w:pPr>
        <w:rPr>
          <w:rFonts w:hint="eastAsia"/>
          <w:color w:val="000000"/>
        </w:rPr>
      </w:pPr>
    </w:p>
    <w:p w14:paraId="5FF6FCCB">
      <w:pPr>
        <w:rPr>
          <w:rFonts w:hint="eastAsia"/>
          <w:color w:val="000000"/>
        </w:rPr>
      </w:pPr>
    </w:p>
    <w:p w14:paraId="7DD584A7">
      <w:pPr>
        <w:rPr>
          <w:rFonts w:hint="eastAsia"/>
          <w:color w:val="000000"/>
        </w:rPr>
      </w:pPr>
    </w:p>
    <w:p w14:paraId="04E0667A">
      <w:pPr>
        <w:spacing w:line="360" w:lineRule="auto"/>
        <w:rPr>
          <w:rFonts w:hint="eastAsia"/>
          <w:color w:val="000000"/>
          <w:sz w:val="24"/>
        </w:rPr>
      </w:pPr>
    </w:p>
    <w:p w14:paraId="3D7BF5F8">
      <w:pPr>
        <w:spacing w:line="360" w:lineRule="auto"/>
        <w:rPr>
          <w:rFonts w:hint="eastAsia"/>
          <w:color w:val="000000"/>
          <w:sz w:val="24"/>
        </w:rPr>
      </w:pPr>
    </w:p>
    <w:p w14:paraId="3EBFB360">
      <w:pPr>
        <w:spacing w:line="360" w:lineRule="auto"/>
        <w:rPr>
          <w:rFonts w:hint="eastAsia"/>
          <w:color w:val="000000"/>
          <w:sz w:val="24"/>
        </w:rPr>
      </w:pPr>
    </w:p>
    <w:p w14:paraId="1DF3D7CE">
      <w:pPr>
        <w:spacing w:line="360" w:lineRule="auto"/>
        <w:rPr>
          <w:rFonts w:hint="eastAsia"/>
          <w:color w:val="000000"/>
          <w:sz w:val="24"/>
        </w:rPr>
      </w:pPr>
      <w:r>
        <w:rPr>
          <w:color w:val="000000"/>
          <w:sz w:val="24"/>
        </w:rPr>
        <w:drawing>
          <wp:inline distT="0" distB="0" distL="0" distR="0">
            <wp:extent cx="5751830" cy="7903210"/>
            <wp:effectExtent l="0" t="0" r="0" b="0"/>
            <wp:docPr id="234" name="_x0000_i1410"/>
            <wp:cNvGraphicFramePr/>
            <a:graphic xmlns:a="http://schemas.openxmlformats.org/drawingml/2006/main">
              <a:graphicData uri="http://schemas.openxmlformats.org/drawingml/2006/picture">
                <pic:pic xmlns:pic="http://schemas.openxmlformats.org/drawingml/2006/picture">
                  <pic:nvPicPr>
                    <pic:cNvPr id="234" name="_x0000_i1410"/>
                    <pic:cNvPicPr/>
                  </pic:nvPicPr>
                  <pic:blipFill>
                    <a:blip r:embed="rId80"/>
                    <a:stretch>
                      <a:fillRect/>
                    </a:stretch>
                  </pic:blipFill>
                  <pic:spPr>
                    <a:xfrm>
                      <a:off x="0" y="0"/>
                      <a:ext cx="5752046" cy="7903248"/>
                    </a:xfrm>
                    <a:prstGeom prst="rect">
                      <a:avLst/>
                    </a:prstGeom>
                    <a:noFill/>
                    <a:ln>
                      <a:noFill/>
                    </a:ln>
                  </pic:spPr>
                </pic:pic>
              </a:graphicData>
            </a:graphic>
          </wp:inline>
        </w:drawing>
      </w:r>
    </w:p>
    <w:p w14:paraId="059190F1">
      <w:pPr>
        <w:spacing w:line="360" w:lineRule="auto"/>
        <w:rPr>
          <w:rFonts w:hint="eastAsia"/>
          <w:color w:val="000000"/>
          <w:sz w:val="24"/>
        </w:rPr>
      </w:pPr>
      <w:r>
        <w:rPr>
          <w:color w:val="000000"/>
          <w:sz w:val="24"/>
        </w:rPr>
        <w:drawing>
          <wp:inline distT="0" distB="0" distL="0" distR="0">
            <wp:extent cx="5665470" cy="7785735"/>
            <wp:effectExtent l="0" t="0" r="0" b="0"/>
            <wp:docPr id="235" name="_x0000_i1411"/>
            <wp:cNvGraphicFramePr/>
            <a:graphic xmlns:a="http://schemas.openxmlformats.org/drawingml/2006/main">
              <a:graphicData uri="http://schemas.openxmlformats.org/drawingml/2006/picture">
                <pic:pic xmlns:pic="http://schemas.openxmlformats.org/drawingml/2006/picture">
                  <pic:nvPicPr>
                    <pic:cNvPr id="235" name="_x0000_i1411"/>
                    <pic:cNvPicPr/>
                  </pic:nvPicPr>
                  <pic:blipFill>
                    <a:blip r:embed="rId81"/>
                    <a:stretch>
                      <a:fillRect/>
                    </a:stretch>
                  </pic:blipFill>
                  <pic:spPr>
                    <a:xfrm>
                      <a:off x="0" y="0"/>
                      <a:ext cx="5666080" cy="7785773"/>
                    </a:xfrm>
                    <a:prstGeom prst="rect">
                      <a:avLst/>
                    </a:prstGeom>
                    <a:noFill/>
                    <a:ln>
                      <a:noFill/>
                    </a:ln>
                  </pic:spPr>
                </pic:pic>
              </a:graphicData>
            </a:graphic>
          </wp:inline>
        </w:drawing>
      </w:r>
    </w:p>
    <w:p w14:paraId="3A6BCD6B">
      <w:pPr>
        <w:spacing w:line="360" w:lineRule="auto"/>
        <w:rPr>
          <w:rFonts w:hint="eastAsia"/>
          <w:color w:val="000000"/>
          <w:sz w:val="24"/>
        </w:rPr>
      </w:pPr>
      <w:r>
        <w:rPr>
          <w:color w:val="000000"/>
          <w:sz w:val="24"/>
        </w:rPr>
        <w:drawing>
          <wp:inline distT="0" distB="0" distL="0" distR="0">
            <wp:extent cx="5463540" cy="7507605"/>
            <wp:effectExtent l="0" t="0" r="0" b="0"/>
            <wp:docPr id="236" name="_x0000_i1412"/>
            <wp:cNvGraphicFramePr/>
            <a:graphic xmlns:a="http://schemas.openxmlformats.org/drawingml/2006/main">
              <a:graphicData uri="http://schemas.openxmlformats.org/drawingml/2006/picture">
                <pic:pic xmlns:pic="http://schemas.openxmlformats.org/drawingml/2006/picture">
                  <pic:nvPicPr>
                    <pic:cNvPr id="236" name="_x0000_i1412"/>
                    <pic:cNvPicPr/>
                  </pic:nvPicPr>
                  <pic:blipFill>
                    <a:blip r:embed="rId82"/>
                    <a:stretch>
                      <a:fillRect/>
                    </a:stretch>
                  </pic:blipFill>
                  <pic:spPr>
                    <a:xfrm>
                      <a:off x="0" y="0"/>
                      <a:ext cx="5463997" cy="7508088"/>
                    </a:xfrm>
                    <a:prstGeom prst="rect">
                      <a:avLst/>
                    </a:prstGeom>
                    <a:noFill/>
                    <a:ln>
                      <a:noFill/>
                    </a:ln>
                  </pic:spPr>
                </pic:pic>
              </a:graphicData>
            </a:graphic>
          </wp:inline>
        </w:drawing>
      </w:r>
    </w:p>
    <w:p w14:paraId="5A54E2F8">
      <w:pPr>
        <w:spacing w:line="360" w:lineRule="auto"/>
        <w:rPr>
          <w:rFonts w:hint="eastAsia"/>
          <w:color w:val="000000"/>
          <w:sz w:val="24"/>
        </w:rPr>
      </w:pPr>
      <w:r>
        <w:rPr>
          <w:color w:val="000000"/>
          <w:sz w:val="24"/>
        </w:rPr>
        <w:drawing>
          <wp:inline distT="0" distB="0" distL="0" distR="0">
            <wp:extent cx="5494655" cy="7550785"/>
            <wp:effectExtent l="0" t="0" r="0" b="0"/>
            <wp:docPr id="237" name="_x0000_i1413"/>
            <wp:cNvGraphicFramePr/>
            <a:graphic xmlns:a="http://schemas.openxmlformats.org/drawingml/2006/main">
              <a:graphicData uri="http://schemas.openxmlformats.org/drawingml/2006/picture">
                <pic:pic xmlns:pic="http://schemas.openxmlformats.org/drawingml/2006/picture">
                  <pic:nvPicPr>
                    <pic:cNvPr id="237" name="_x0000_i1413"/>
                    <pic:cNvPicPr/>
                  </pic:nvPicPr>
                  <pic:blipFill>
                    <a:blip r:embed="rId83"/>
                    <a:stretch>
                      <a:fillRect/>
                    </a:stretch>
                  </pic:blipFill>
                  <pic:spPr>
                    <a:xfrm>
                      <a:off x="0" y="0"/>
                      <a:ext cx="5495087" cy="7550809"/>
                    </a:xfrm>
                    <a:prstGeom prst="rect">
                      <a:avLst/>
                    </a:prstGeom>
                    <a:noFill/>
                    <a:ln>
                      <a:noFill/>
                    </a:ln>
                  </pic:spPr>
                </pic:pic>
              </a:graphicData>
            </a:graphic>
          </wp:inline>
        </w:drawing>
      </w:r>
    </w:p>
    <w:p w14:paraId="2B9D39BB">
      <w:pPr>
        <w:spacing w:line="360" w:lineRule="auto"/>
        <w:rPr>
          <w:rFonts w:hint="eastAsia"/>
          <w:color w:val="000000"/>
          <w:sz w:val="24"/>
        </w:rPr>
      </w:pPr>
      <w:r>
        <w:rPr>
          <w:color w:val="000000"/>
          <w:sz w:val="24"/>
        </w:rPr>
        <w:drawing>
          <wp:inline distT="0" distB="0" distL="0" distR="0">
            <wp:extent cx="5386070" cy="7401560"/>
            <wp:effectExtent l="0" t="0" r="0" b="0"/>
            <wp:docPr id="238" name="_x0000_i1414"/>
            <wp:cNvGraphicFramePr/>
            <a:graphic xmlns:a="http://schemas.openxmlformats.org/drawingml/2006/main">
              <a:graphicData uri="http://schemas.openxmlformats.org/drawingml/2006/picture">
                <pic:pic xmlns:pic="http://schemas.openxmlformats.org/drawingml/2006/picture">
                  <pic:nvPicPr>
                    <pic:cNvPr id="238" name="_x0000_i1414"/>
                    <pic:cNvPicPr/>
                  </pic:nvPicPr>
                  <pic:blipFill>
                    <a:blip r:embed="rId84"/>
                    <a:stretch>
                      <a:fillRect/>
                    </a:stretch>
                  </pic:blipFill>
                  <pic:spPr>
                    <a:xfrm>
                      <a:off x="0" y="0"/>
                      <a:ext cx="5386273" cy="7401725"/>
                    </a:xfrm>
                    <a:prstGeom prst="rect">
                      <a:avLst/>
                    </a:prstGeom>
                    <a:noFill/>
                    <a:ln>
                      <a:noFill/>
                    </a:ln>
                  </pic:spPr>
                </pic:pic>
              </a:graphicData>
            </a:graphic>
          </wp:inline>
        </w:drawing>
      </w:r>
    </w:p>
    <w:p w14:paraId="466EF2A2">
      <w:pPr>
        <w:spacing w:line="360" w:lineRule="auto"/>
        <w:rPr>
          <w:rFonts w:hint="eastAsia"/>
          <w:color w:val="000000"/>
          <w:sz w:val="24"/>
        </w:rPr>
      </w:pPr>
      <w:r>
        <w:rPr>
          <w:color w:val="000000"/>
          <w:sz w:val="24"/>
        </w:rPr>
        <w:drawing>
          <wp:inline distT="0" distB="0" distL="0" distR="0">
            <wp:extent cx="5479415" cy="7528560"/>
            <wp:effectExtent l="0" t="0" r="0" b="0"/>
            <wp:docPr id="239" name="_x0000_i1415"/>
            <wp:cNvGraphicFramePr/>
            <a:graphic xmlns:a="http://schemas.openxmlformats.org/drawingml/2006/main">
              <a:graphicData uri="http://schemas.openxmlformats.org/drawingml/2006/picture">
                <pic:pic xmlns:pic="http://schemas.openxmlformats.org/drawingml/2006/picture">
                  <pic:nvPicPr>
                    <pic:cNvPr id="239" name="_x0000_i1415"/>
                    <pic:cNvPicPr/>
                  </pic:nvPicPr>
                  <pic:blipFill>
                    <a:blip r:embed="rId85"/>
                    <a:stretch>
                      <a:fillRect/>
                    </a:stretch>
                  </pic:blipFill>
                  <pic:spPr>
                    <a:xfrm>
                      <a:off x="0" y="0"/>
                      <a:ext cx="5479542" cy="7528992"/>
                    </a:xfrm>
                    <a:prstGeom prst="rect">
                      <a:avLst/>
                    </a:prstGeom>
                    <a:noFill/>
                    <a:ln>
                      <a:noFill/>
                    </a:ln>
                  </pic:spPr>
                </pic:pic>
              </a:graphicData>
            </a:graphic>
          </wp:inline>
        </w:drawing>
      </w:r>
    </w:p>
    <w:p w14:paraId="097BB6C6">
      <w:pPr>
        <w:spacing w:line="360" w:lineRule="auto"/>
        <w:rPr>
          <w:rFonts w:hint="eastAsia"/>
          <w:color w:val="000000"/>
          <w:sz w:val="24"/>
        </w:rPr>
      </w:pPr>
      <w:r>
        <w:rPr>
          <w:color w:val="000000"/>
          <w:sz w:val="24"/>
        </w:rPr>
        <w:drawing>
          <wp:inline distT="0" distB="0" distL="0" distR="0">
            <wp:extent cx="5378450" cy="7390130"/>
            <wp:effectExtent l="0" t="0" r="0" b="0"/>
            <wp:docPr id="240" name="_x0000_i1416"/>
            <wp:cNvGraphicFramePr/>
            <a:graphic xmlns:a="http://schemas.openxmlformats.org/drawingml/2006/main">
              <a:graphicData uri="http://schemas.openxmlformats.org/drawingml/2006/picture">
                <pic:pic xmlns:pic="http://schemas.openxmlformats.org/drawingml/2006/picture">
                  <pic:nvPicPr>
                    <pic:cNvPr id="240" name="_x0000_i1416"/>
                    <pic:cNvPicPr/>
                  </pic:nvPicPr>
                  <pic:blipFill>
                    <a:blip r:embed="rId86"/>
                    <a:stretch>
                      <a:fillRect/>
                    </a:stretch>
                  </pic:blipFill>
                  <pic:spPr>
                    <a:xfrm>
                      <a:off x="0" y="0"/>
                      <a:ext cx="5378501" cy="7390600"/>
                    </a:xfrm>
                    <a:prstGeom prst="rect">
                      <a:avLst/>
                    </a:prstGeom>
                    <a:noFill/>
                    <a:ln>
                      <a:noFill/>
                    </a:ln>
                  </pic:spPr>
                </pic:pic>
              </a:graphicData>
            </a:graphic>
          </wp:inline>
        </w:drawing>
      </w:r>
    </w:p>
    <w:p w14:paraId="7ECEE76F">
      <w:pPr>
        <w:spacing w:line="360" w:lineRule="auto"/>
        <w:rPr>
          <w:rFonts w:hint="eastAsia"/>
          <w:color w:val="000000"/>
          <w:sz w:val="24"/>
        </w:rPr>
      </w:pPr>
    </w:p>
    <w:p w14:paraId="1E2F92F9">
      <w:pPr>
        <w:spacing w:line="360" w:lineRule="auto"/>
        <w:rPr>
          <w:rFonts w:hint="eastAsia"/>
          <w:color w:val="000000"/>
          <w:sz w:val="24"/>
        </w:rPr>
      </w:pPr>
    </w:p>
    <w:p w14:paraId="46CFE767">
      <w:pPr>
        <w:spacing w:line="360" w:lineRule="auto"/>
        <w:rPr>
          <w:rFonts w:hint="eastAsia"/>
          <w:color w:val="000000"/>
          <w:sz w:val="24"/>
        </w:rPr>
      </w:pPr>
    </w:p>
    <w:p w14:paraId="42A67A99">
      <w:pPr>
        <w:spacing w:line="360" w:lineRule="auto"/>
        <w:rPr>
          <w:rFonts w:hint="eastAsia"/>
          <w:color w:val="000000"/>
          <w:sz w:val="24"/>
        </w:rPr>
      </w:pPr>
    </w:p>
    <w:p w14:paraId="4DE70AB6">
      <w:pPr>
        <w:spacing w:line="360" w:lineRule="auto"/>
        <w:rPr>
          <w:color w:val="000000"/>
          <w:sz w:val="24"/>
        </w:rPr>
        <w:sectPr>
          <w:pgSz w:w="11906" w:h="16838" w:orient="landscape"/>
          <w:pgMar w:top="1440" w:right="1797" w:bottom="1440" w:left="1797" w:header="851" w:footer="992" w:gutter="0"/>
          <w:cols w:space="1701" w:num="1"/>
        </w:sectPr>
      </w:pPr>
    </w:p>
    <w:p w14:paraId="45658986">
      <w:pPr>
        <w:spacing w:line="360" w:lineRule="auto"/>
        <w:rPr>
          <w:rFonts w:hint="eastAsia"/>
          <w:color w:val="000000"/>
          <w:sz w:val="24"/>
        </w:rPr>
      </w:pPr>
      <w:r>
        <w:rPr>
          <w:color w:val="000000"/>
          <w:sz w:val="24"/>
        </w:rPr>
        <w:drawing>
          <wp:inline distT="0" distB="0" distL="0" distR="0">
            <wp:extent cx="9045575" cy="4997450"/>
            <wp:effectExtent l="0" t="0" r="0" b="0"/>
            <wp:docPr id="241" name="_x0000_i1417"/>
            <wp:cNvGraphicFramePr/>
            <a:graphic xmlns:a="http://schemas.openxmlformats.org/drawingml/2006/main">
              <a:graphicData uri="http://schemas.openxmlformats.org/drawingml/2006/picture">
                <pic:pic xmlns:pic="http://schemas.openxmlformats.org/drawingml/2006/picture">
                  <pic:nvPicPr>
                    <pic:cNvPr id="241" name="_x0000_i1417"/>
                    <pic:cNvPicPr/>
                  </pic:nvPicPr>
                  <pic:blipFill>
                    <a:blip r:embed="rId87"/>
                    <a:stretch>
                      <a:fillRect/>
                    </a:stretch>
                  </pic:blipFill>
                  <pic:spPr>
                    <a:xfrm>
                      <a:off x="0" y="0"/>
                      <a:ext cx="9046020" cy="4997653"/>
                    </a:xfrm>
                    <a:prstGeom prst="rect">
                      <a:avLst/>
                    </a:prstGeom>
                    <a:noFill/>
                    <a:ln>
                      <a:noFill/>
                    </a:ln>
                  </pic:spPr>
                </pic:pic>
              </a:graphicData>
            </a:graphic>
          </wp:inline>
        </w:drawing>
      </w:r>
    </w:p>
    <w:p w14:paraId="76864C9D">
      <w:pPr>
        <w:spacing w:line="360" w:lineRule="auto"/>
        <w:rPr>
          <w:rFonts w:hint="eastAsia"/>
          <w:color w:val="000000"/>
          <w:sz w:val="24"/>
        </w:rPr>
      </w:pPr>
    </w:p>
    <w:p w14:paraId="76019599">
      <w:pPr>
        <w:spacing w:line="360" w:lineRule="auto"/>
        <w:rPr>
          <w:rFonts w:hint="eastAsia"/>
          <w:color w:val="000000"/>
          <w:sz w:val="24"/>
        </w:rPr>
      </w:pPr>
      <w:r>
        <w:rPr>
          <w:color w:val="000000"/>
          <w:sz w:val="24"/>
        </w:rPr>
        <w:drawing>
          <wp:inline distT="0" distB="0" distL="0" distR="0">
            <wp:extent cx="8874760" cy="4950460"/>
            <wp:effectExtent l="0" t="0" r="0" b="0"/>
            <wp:docPr id="242" name="_x0000_i1418"/>
            <wp:cNvGraphicFramePr/>
            <a:graphic xmlns:a="http://schemas.openxmlformats.org/drawingml/2006/main">
              <a:graphicData uri="http://schemas.openxmlformats.org/drawingml/2006/picture">
                <pic:pic xmlns:pic="http://schemas.openxmlformats.org/drawingml/2006/picture">
                  <pic:nvPicPr>
                    <pic:cNvPr id="242" name="_x0000_i1418"/>
                    <pic:cNvPicPr/>
                  </pic:nvPicPr>
                  <pic:blipFill>
                    <a:blip r:embed="rId88"/>
                    <a:stretch>
                      <a:fillRect/>
                    </a:stretch>
                  </pic:blipFill>
                  <pic:spPr>
                    <a:xfrm>
                      <a:off x="0" y="0"/>
                      <a:ext cx="8875128" cy="4951019"/>
                    </a:xfrm>
                    <a:prstGeom prst="rect">
                      <a:avLst/>
                    </a:prstGeom>
                    <a:noFill/>
                    <a:ln>
                      <a:noFill/>
                    </a:ln>
                  </pic:spPr>
                </pic:pic>
              </a:graphicData>
            </a:graphic>
          </wp:inline>
        </w:drawing>
      </w:r>
    </w:p>
    <w:p w14:paraId="3989879C">
      <w:pPr>
        <w:spacing w:line="360" w:lineRule="auto"/>
        <w:rPr>
          <w:rFonts w:hint="eastAsia"/>
          <w:color w:val="000000"/>
          <w:sz w:val="24"/>
        </w:rPr>
      </w:pPr>
    </w:p>
    <w:p w14:paraId="68B4DF30">
      <w:pPr>
        <w:spacing w:line="360" w:lineRule="auto"/>
        <w:rPr>
          <w:rFonts w:hint="eastAsia"/>
          <w:color w:val="000000"/>
          <w:sz w:val="24"/>
        </w:rPr>
      </w:pPr>
      <w:r>
        <w:rPr>
          <w:color w:val="000000"/>
          <w:sz w:val="24"/>
        </w:rPr>
        <w:drawing>
          <wp:inline distT="0" distB="0" distL="0" distR="0">
            <wp:extent cx="9098915" cy="4826635"/>
            <wp:effectExtent l="0" t="0" r="0" b="0"/>
            <wp:docPr id="243" name="_x0000_i1419"/>
            <wp:cNvGraphicFramePr/>
            <a:graphic xmlns:a="http://schemas.openxmlformats.org/drawingml/2006/main">
              <a:graphicData uri="http://schemas.openxmlformats.org/drawingml/2006/picture">
                <pic:pic xmlns:pic="http://schemas.openxmlformats.org/drawingml/2006/picture">
                  <pic:nvPicPr>
                    <pic:cNvPr id="243" name="_x0000_i1419"/>
                    <pic:cNvPicPr/>
                  </pic:nvPicPr>
                  <pic:blipFill>
                    <a:blip r:embed="rId89"/>
                    <a:stretch>
                      <a:fillRect/>
                    </a:stretch>
                  </pic:blipFill>
                  <pic:spPr>
                    <a:xfrm>
                      <a:off x="0" y="0"/>
                      <a:ext cx="9099410" cy="4826660"/>
                    </a:xfrm>
                    <a:prstGeom prst="rect">
                      <a:avLst/>
                    </a:prstGeom>
                    <a:noFill/>
                    <a:ln>
                      <a:noFill/>
                    </a:ln>
                  </pic:spPr>
                </pic:pic>
              </a:graphicData>
            </a:graphic>
          </wp:inline>
        </w:drawing>
      </w:r>
    </w:p>
    <w:p w14:paraId="0178A518">
      <w:pPr>
        <w:spacing w:line="360" w:lineRule="auto"/>
        <w:rPr>
          <w:rFonts w:hint="eastAsia"/>
          <w:color w:val="000000"/>
          <w:sz w:val="24"/>
        </w:rPr>
      </w:pPr>
    </w:p>
    <w:p w14:paraId="6D135362">
      <w:pPr>
        <w:spacing w:line="360" w:lineRule="auto"/>
        <w:rPr>
          <w:rFonts w:hint="eastAsia"/>
          <w:color w:val="000000"/>
          <w:sz w:val="24"/>
        </w:rPr>
      </w:pPr>
      <w:r>
        <w:rPr>
          <w:color w:val="000000"/>
          <w:sz w:val="24"/>
        </w:rPr>
        <w:drawing>
          <wp:inline distT="0" distB="0" distL="0" distR="0">
            <wp:extent cx="9024620" cy="4826635"/>
            <wp:effectExtent l="0" t="0" r="0" b="0"/>
            <wp:docPr id="244" name="_x0000_i1420"/>
            <wp:cNvGraphicFramePr/>
            <a:graphic xmlns:a="http://schemas.openxmlformats.org/drawingml/2006/main">
              <a:graphicData uri="http://schemas.openxmlformats.org/drawingml/2006/picture">
                <pic:pic xmlns:pic="http://schemas.openxmlformats.org/drawingml/2006/picture">
                  <pic:nvPicPr>
                    <pic:cNvPr id="244" name="_x0000_i1420"/>
                    <pic:cNvPicPr/>
                  </pic:nvPicPr>
                  <pic:blipFill>
                    <a:blip r:embed="rId90"/>
                    <a:stretch>
                      <a:fillRect/>
                    </a:stretch>
                  </pic:blipFill>
                  <pic:spPr>
                    <a:xfrm>
                      <a:off x="0" y="0"/>
                      <a:ext cx="9024658" cy="4826660"/>
                    </a:xfrm>
                    <a:prstGeom prst="rect">
                      <a:avLst/>
                    </a:prstGeom>
                    <a:noFill/>
                    <a:ln>
                      <a:noFill/>
                    </a:ln>
                  </pic:spPr>
                </pic:pic>
              </a:graphicData>
            </a:graphic>
          </wp:inline>
        </w:drawing>
      </w:r>
    </w:p>
    <w:p w14:paraId="4C4854AB">
      <w:pPr>
        <w:spacing w:line="360" w:lineRule="auto"/>
        <w:rPr>
          <w:color w:val="000000"/>
          <w:sz w:val="24"/>
        </w:rPr>
        <w:sectPr>
          <w:pgSz w:w="16838" w:h="11906"/>
          <w:pgMar w:top="1797" w:right="1440" w:bottom="1797" w:left="1440" w:header="851" w:footer="992" w:gutter="0"/>
          <w:cols w:space="1701" w:num="1"/>
        </w:sectPr>
      </w:pPr>
    </w:p>
    <w:p w14:paraId="2EC311C0">
      <w:pPr>
        <w:spacing w:line="360" w:lineRule="auto"/>
        <w:rPr>
          <w:rFonts w:hint="eastAsia"/>
          <w:color w:val="000000"/>
          <w:sz w:val="24"/>
        </w:rPr>
      </w:pPr>
      <w:r>
        <w:rPr>
          <w:color w:val="000000"/>
          <w:sz w:val="24"/>
        </w:rPr>
        <w:drawing>
          <wp:inline distT="0" distB="0" distL="0" distR="0">
            <wp:extent cx="5619750" cy="7731760"/>
            <wp:effectExtent l="0" t="0" r="0" b="0"/>
            <wp:docPr id="245" name="_x0000_i1421"/>
            <wp:cNvGraphicFramePr/>
            <a:graphic xmlns:a="http://schemas.openxmlformats.org/drawingml/2006/main">
              <a:graphicData uri="http://schemas.openxmlformats.org/drawingml/2006/picture">
                <pic:pic xmlns:pic="http://schemas.openxmlformats.org/drawingml/2006/picture">
                  <pic:nvPicPr>
                    <pic:cNvPr id="245" name="_x0000_i1421"/>
                    <pic:cNvPicPr/>
                  </pic:nvPicPr>
                  <pic:blipFill>
                    <a:blip r:embed="rId91"/>
                    <a:stretch>
                      <a:fillRect/>
                    </a:stretch>
                  </pic:blipFill>
                  <pic:spPr>
                    <a:xfrm>
                      <a:off x="0" y="0"/>
                      <a:ext cx="5619902" cy="7732370"/>
                    </a:xfrm>
                    <a:prstGeom prst="rect">
                      <a:avLst/>
                    </a:prstGeom>
                    <a:noFill/>
                    <a:ln>
                      <a:noFill/>
                    </a:ln>
                  </pic:spPr>
                </pic:pic>
              </a:graphicData>
            </a:graphic>
          </wp:inline>
        </w:drawing>
      </w:r>
    </w:p>
    <w:p w14:paraId="5EBD8E4A">
      <w:pPr>
        <w:spacing w:line="360" w:lineRule="auto"/>
        <w:rPr>
          <w:rFonts w:hint="eastAsia"/>
          <w:color w:val="000000"/>
          <w:sz w:val="24"/>
        </w:rPr>
      </w:pPr>
    </w:p>
    <w:p w14:paraId="26400D94">
      <w:pPr>
        <w:spacing w:line="360" w:lineRule="auto"/>
        <w:rPr>
          <w:rFonts w:hint="eastAsia"/>
          <w:color w:val="000000"/>
          <w:sz w:val="24"/>
        </w:rPr>
      </w:pPr>
      <w:r>
        <w:rPr>
          <w:color w:val="000000"/>
          <w:sz w:val="24"/>
        </w:rPr>
        <w:drawing>
          <wp:inline distT="0" distB="0" distL="0" distR="0">
            <wp:extent cx="5611495" cy="7710805"/>
            <wp:effectExtent l="0" t="0" r="0" b="0"/>
            <wp:docPr id="246" name="_x0000_i1422"/>
            <wp:cNvGraphicFramePr/>
            <a:graphic xmlns:a="http://schemas.openxmlformats.org/drawingml/2006/main">
              <a:graphicData uri="http://schemas.openxmlformats.org/drawingml/2006/picture">
                <pic:pic xmlns:pic="http://schemas.openxmlformats.org/drawingml/2006/picture">
                  <pic:nvPicPr>
                    <pic:cNvPr id="246" name="_x0000_i1422"/>
                    <pic:cNvPicPr/>
                  </pic:nvPicPr>
                  <pic:blipFill>
                    <a:blip r:embed="rId92"/>
                    <a:stretch>
                      <a:fillRect/>
                    </a:stretch>
                  </pic:blipFill>
                  <pic:spPr>
                    <a:xfrm>
                      <a:off x="0" y="0"/>
                      <a:ext cx="5611673" cy="7711008"/>
                    </a:xfrm>
                    <a:prstGeom prst="rect">
                      <a:avLst/>
                    </a:prstGeom>
                    <a:noFill/>
                    <a:ln>
                      <a:noFill/>
                    </a:ln>
                  </pic:spPr>
                </pic:pic>
              </a:graphicData>
            </a:graphic>
          </wp:inline>
        </w:drawing>
      </w:r>
    </w:p>
    <w:p w14:paraId="188CCA2F">
      <w:pPr>
        <w:spacing w:line="360" w:lineRule="auto"/>
        <w:rPr>
          <w:rFonts w:hint="eastAsia"/>
          <w:color w:val="000000"/>
          <w:sz w:val="24"/>
        </w:rPr>
      </w:pPr>
    </w:p>
    <w:p w14:paraId="1821E858">
      <w:pPr>
        <w:spacing w:line="360" w:lineRule="auto"/>
        <w:rPr>
          <w:rFonts w:hint="eastAsia"/>
          <w:color w:val="000000"/>
          <w:sz w:val="24"/>
        </w:rPr>
      </w:pPr>
      <w:r>
        <w:rPr>
          <w:color w:val="000000"/>
          <w:sz w:val="24"/>
        </w:rPr>
        <w:drawing>
          <wp:inline distT="0" distB="0" distL="0" distR="0">
            <wp:extent cx="5510530" cy="7560945"/>
            <wp:effectExtent l="0" t="0" r="0" b="0"/>
            <wp:docPr id="247" name="_x0000_i1423"/>
            <wp:cNvGraphicFramePr/>
            <a:graphic xmlns:a="http://schemas.openxmlformats.org/drawingml/2006/main">
              <a:graphicData uri="http://schemas.openxmlformats.org/drawingml/2006/picture">
                <pic:pic xmlns:pic="http://schemas.openxmlformats.org/drawingml/2006/picture">
                  <pic:nvPicPr>
                    <pic:cNvPr id="247" name="_x0000_i1423"/>
                    <pic:cNvPicPr/>
                  </pic:nvPicPr>
                  <pic:blipFill>
                    <a:blip r:embed="rId93"/>
                    <a:stretch>
                      <a:fillRect/>
                    </a:stretch>
                  </pic:blipFill>
                  <pic:spPr>
                    <a:xfrm>
                      <a:off x="0" y="0"/>
                      <a:ext cx="5510632" cy="7561491"/>
                    </a:xfrm>
                    <a:prstGeom prst="rect">
                      <a:avLst/>
                    </a:prstGeom>
                    <a:noFill/>
                    <a:ln>
                      <a:noFill/>
                    </a:ln>
                  </pic:spPr>
                </pic:pic>
              </a:graphicData>
            </a:graphic>
          </wp:inline>
        </w:drawing>
      </w:r>
    </w:p>
    <w:p w14:paraId="340D5D1C">
      <w:pPr>
        <w:spacing w:line="360" w:lineRule="auto"/>
        <w:rPr>
          <w:rFonts w:hint="eastAsia"/>
          <w:color w:val="000000"/>
          <w:sz w:val="24"/>
        </w:rPr>
      </w:pPr>
    </w:p>
    <w:p w14:paraId="07F5B972">
      <w:pPr>
        <w:spacing w:line="360" w:lineRule="auto"/>
        <w:rPr>
          <w:rFonts w:hint="eastAsia"/>
          <w:color w:val="000000"/>
          <w:sz w:val="24"/>
        </w:rPr>
      </w:pPr>
      <w:r>
        <w:rPr>
          <w:color w:val="000000"/>
          <w:sz w:val="24"/>
        </w:rPr>
        <w:drawing>
          <wp:inline distT="0" distB="0" distL="0" distR="0">
            <wp:extent cx="5354320" cy="7358380"/>
            <wp:effectExtent l="0" t="0" r="0" b="0"/>
            <wp:docPr id="248" name="_x0000_i1424"/>
            <wp:cNvGraphicFramePr/>
            <a:graphic xmlns:a="http://schemas.openxmlformats.org/drawingml/2006/main">
              <a:graphicData uri="http://schemas.openxmlformats.org/drawingml/2006/picture">
                <pic:pic xmlns:pic="http://schemas.openxmlformats.org/drawingml/2006/picture">
                  <pic:nvPicPr>
                    <pic:cNvPr id="248" name="_x0000_i1424"/>
                    <pic:cNvPicPr/>
                  </pic:nvPicPr>
                  <pic:blipFill>
                    <a:blip r:embed="rId94"/>
                    <a:stretch>
                      <a:fillRect/>
                    </a:stretch>
                  </pic:blipFill>
                  <pic:spPr>
                    <a:xfrm>
                      <a:off x="0" y="0"/>
                      <a:ext cx="5354752" cy="7358571"/>
                    </a:xfrm>
                    <a:prstGeom prst="rect">
                      <a:avLst/>
                    </a:prstGeom>
                    <a:noFill/>
                    <a:ln>
                      <a:noFill/>
                    </a:ln>
                  </pic:spPr>
                </pic:pic>
              </a:graphicData>
            </a:graphic>
          </wp:inline>
        </w:drawing>
      </w:r>
    </w:p>
    <w:p w14:paraId="52986409">
      <w:pPr>
        <w:spacing w:line="360" w:lineRule="auto"/>
        <w:rPr>
          <w:rFonts w:hint="eastAsia"/>
          <w:color w:val="000000"/>
          <w:sz w:val="24"/>
        </w:rPr>
      </w:pPr>
    </w:p>
    <w:p w14:paraId="6ECEFB54">
      <w:pPr>
        <w:spacing w:line="360" w:lineRule="auto"/>
        <w:rPr>
          <w:rFonts w:hint="eastAsia"/>
          <w:color w:val="000000"/>
          <w:sz w:val="24"/>
        </w:rPr>
      </w:pPr>
      <w:r>
        <w:rPr>
          <w:color w:val="000000"/>
          <w:sz w:val="24"/>
        </w:rPr>
        <w:drawing>
          <wp:inline distT="0" distB="0" distL="0" distR="0">
            <wp:extent cx="5946140" cy="8170545"/>
            <wp:effectExtent l="0" t="0" r="0" b="0"/>
            <wp:docPr id="249" name="_x0000_i1425"/>
            <wp:cNvGraphicFramePr/>
            <a:graphic xmlns:a="http://schemas.openxmlformats.org/drawingml/2006/main">
              <a:graphicData uri="http://schemas.openxmlformats.org/drawingml/2006/picture">
                <pic:pic xmlns:pic="http://schemas.openxmlformats.org/drawingml/2006/picture">
                  <pic:nvPicPr>
                    <pic:cNvPr id="249" name="_x0000_i1425"/>
                    <pic:cNvPicPr/>
                  </pic:nvPicPr>
                  <pic:blipFill>
                    <a:blip r:embed="rId95"/>
                    <a:stretch>
                      <a:fillRect/>
                    </a:stretch>
                  </pic:blipFill>
                  <pic:spPr>
                    <a:xfrm>
                      <a:off x="0" y="0"/>
                      <a:ext cx="5946369" cy="8170736"/>
                    </a:xfrm>
                    <a:prstGeom prst="rect">
                      <a:avLst/>
                    </a:prstGeom>
                    <a:noFill/>
                    <a:ln>
                      <a:noFill/>
                    </a:ln>
                  </pic:spPr>
                </pic:pic>
              </a:graphicData>
            </a:graphic>
          </wp:inline>
        </w:drawing>
      </w:r>
    </w:p>
    <w:p w14:paraId="60CDAD1B">
      <w:pPr>
        <w:spacing w:line="360" w:lineRule="auto"/>
        <w:rPr>
          <w:rFonts w:hint="eastAsia"/>
          <w:color w:val="000000"/>
          <w:sz w:val="24"/>
        </w:rPr>
      </w:pPr>
    </w:p>
    <w:p w14:paraId="040E3898">
      <w:pPr>
        <w:spacing w:line="360" w:lineRule="auto"/>
        <w:rPr>
          <w:rFonts w:hint="eastAsia"/>
          <w:color w:val="000000"/>
          <w:sz w:val="24"/>
        </w:rPr>
      </w:pPr>
    </w:p>
    <w:p w14:paraId="76B56557">
      <w:pPr>
        <w:spacing w:line="360" w:lineRule="auto"/>
        <w:rPr>
          <w:rFonts w:hint="eastAsia"/>
          <w:color w:val="000000"/>
          <w:sz w:val="24"/>
        </w:rPr>
      </w:pPr>
      <w:r>
        <w:rPr>
          <w:rFonts w:hint="eastAsia"/>
          <w:color w:val="000000"/>
          <w:sz w:val="24"/>
        </w:rPr>
        <w:drawing>
          <wp:inline distT="0" distB="0" distL="0" distR="0">
            <wp:extent cx="5269865" cy="7823200"/>
            <wp:effectExtent l="0" t="0" r="0" b="0"/>
            <wp:docPr id="250" name="_x0000_i1426"/>
            <wp:cNvGraphicFramePr/>
            <a:graphic xmlns:a="http://schemas.openxmlformats.org/drawingml/2006/main">
              <a:graphicData uri="http://schemas.openxmlformats.org/drawingml/2006/picture">
                <pic:pic xmlns:pic="http://schemas.openxmlformats.org/drawingml/2006/picture">
                  <pic:nvPicPr>
                    <pic:cNvPr id="250" name="_x0000_i1426"/>
                    <pic:cNvPicPr/>
                  </pic:nvPicPr>
                  <pic:blipFill>
                    <a:blip r:embed="rId96"/>
                    <a:stretch>
                      <a:fillRect/>
                    </a:stretch>
                  </pic:blipFill>
                  <pic:spPr>
                    <a:xfrm>
                      <a:off x="0" y="0"/>
                      <a:ext cx="5269878" cy="7823200"/>
                    </a:xfrm>
                    <a:prstGeom prst="rect">
                      <a:avLst/>
                    </a:prstGeom>
                    <a:noFill/>
                    <a:ln>
                      <a:noFill/>
                    </a:ln>
                  </pic:spPr>
                </pic:pic>
              </a:graphicData>
            </a:graphic>
          </wp:inline>
        </w:drawing>
      </w:r>
    </w:p>
    <w:p w14:paraId="4BCF2422">
      <w:pPr>
        <w:spacing w:line="360" w:lineRule="auto"/>
        <w:rPr>
          <w:rFonts w:hint="eastAsia"/>
          <w:color w:val="000000"/>
          <w:sz w:val="24"/>
        </w:rPr>
      </w:pPr>
      <w:r>
        <w:rPr>
          <w:rFonts w:hint="eastAsia"/>
          <w:color w:val="000000"/>
          <w:sz w:val="24"/>
        </w:rPr>
        <w:drawing>
          <wp:inline distT="0" distB="0" distL="0" distR="0">
            <wp:extent cx="5273040" cy="8147050"/>
            <wp:effectExtent l="0" t="0" r="0" b="0"/>
            <wp:docPr id="251" name="_x0000_i1427"/>
            <wp:cNvGraphicFramePr/>
            <a:graphic xmlns:a="http://schemas.openxmlformats.org/drawingml/2006/main">
              <a:graphicData uri="http://schemas.openxmlformats.org/drawingml/2006/picture">
                <pic:pic xmlns:pic="http://schemas.openxmlformats.org/drawingml/2006/picture">
                  <pic:nvPicPr>
                    <pic:cNvPr id="251" name="_x0000_i1427"/>
                    <pic:cNvPicPr/>
                  </pic:nvPicPr>
                  <pic:blipFill>
                    <a:blip r:embed="rId97"/>
                    <a:stretch>
                      <a:fillRect/>
                    </a:stretch>
                  </pic:blipFill>
                  <pic:spPr>
                    <a:xfrm>
                      <a:off x="0" y="0"/>
                      <a:ext cx="5273116" cy="8147050"/>
                    </a:xfrm>
                    <a:prstGeom prst="rect">
                      <a:avLst/>
                    </a:prstGeom>
                    <a:noFill/>
                    <a:ln>
                      <a:noFill/>
                    </a:ln>
                  </pic:spPr>
                </pic:pic>
              </a:graphicData>
            </a:graphic>
          </wp:inline>
        </w:drawing>
      </w:r>
    </w:p>
    <w:p w14:paraId="40F43F58">
      <w:pPr>
        <w:spacing w:line="360" w:lineRule="auto"/>
        <w:rPr>
          <w:rFonts w:hint="eastAsia"/>
          <w:color w:val="000000"/>
          <w:sz w:val="24"/>
        </w:rPr>
      </w:pPr>
      <w:r>
        <w:rPr>
          <w:rFonts w:hint="eastAsia"/>
          <w:color w:val="000000"/>
          <w:sz w:val="24"/>
        </w:rPr>
        <w:drawing>
          <wp:inline distT="0" distB="0" distL="0" distR="0">
            <wp:extent cx="5268595" cy="8028305"/>
            <wp:effectExtent l="0" t="0" r="0" b="0"/>
            <wp:docPr id="252" name="_x0000_i1428"/>
            <wp:cNvGraphicFramePr/>
            <a:graphic xmlns:a="http://schemas.openxmlformats.org/drawingml/2006/main">
              <a:graphicData uri="http://schemas.openxmlformats.org/drawingml/2006/picture">
                <pic:pic xmlns:pic="http://schemas.openxmlformats.org/drawingml/2006/picture">
                  <pic:nvPicPr>
                    <pic:cNvPr id="252" name="_x0000_i1428"/>
                    <pic:cNvPicPr/>
                  </pic:nvPicPr>
                  <pic:blipFill>
                    <a:blip r:embed="rId98"/>
                    <a:stretch>
                      <a:fillRect/>
                    </a:stretch>
                  </pic:blipFill>
                  <pic:spPr>
                    <a:xfrm>
                      <a:off x="0" y="0"/>
                      <a:ext cx="5268659" cy="8028432"/>
                    </a:xfrm>
                    <a:prstGeom prst="rect">
                      <a:avLst/>
                    </a:prstGeom>
                    <a:noFill/>
                    <a:ln>
                      <a:noFill/>
                    </a:ln>
                  </pic:spPr>
                </pic:pic>
              </a:graphicData>
            </a:graphic>
          </wp:inline>
        </w:drawing>
      </w:r>
    </w:p>
    <w:p w14:paraId="42D5C36B">
      <w:pPr>
        <w:spacing w:line="360" w:lineRule="auto"/>
        <w:rPr>
          <w:rFonts w:hint="eastAsia"/>
          <w:color w:val="000000"/>
          <w:sz w:val="24"/>
        </w:rPr>
      </w:pPr>
      <w:r>
        <w:rPr>
          <w:rFonts w:hint="eastAsia"/>
          <w:color w:val="000000"/>
          <w:sz w:val="24"/>
        </w:rPr>
        <w:drawing>
          <wp:inline distT="0" distB="0" distL="0" distR="0">
            <wp:extent cx="5270500" cy="8025130"/>
            <wp:effectExtent l="0" t="0" r="0" b="0"/>
            <wp:docPr id="253" name="_x0000_i1429"/>
            <wp:cNvGraphicFramePr/>
            <a:graphic xmlns:a="http://schemas.openxmlformats.org/drawingml/2006/main">
              <a:graphicData uri="http://schemas.openxmlformats.org/drawingml/2006/picture">
                <pic:pic xmlns:pic="http://schemas.openxmlformats.org/drawingml/2006/picture">
                  <pic:nvPicPr>
                    <pic:cNvPr id="253" name="_x0000_i1429"/>
                    <pic:cNvPicPr/>
                  </pic:nvPicPr>
                  <pic:blipFill>
                    <a:blip r:embed="rId99"/>
                    <a:stretch>
                      <a:fillRect/>
                    </a:stretch>
                  </pic:blipFill>
                  <pic:spPr>
                    <a:xfrm>
                      <a:off x="0" y="0"/>
                      <a:ext cx="5271110" cy="8025130"/>
                    </a:xfrm>
                    <a:prstGeom prst="rect">
                      <a:avLst/>
                    </a:prstGeom>
                    <a:noFill/>
                    <a:ln>
                      <a:noFill/>
                    </a:ln>
                  </pic:spPr>
                </pic:pic>
              </a:graphicData>
            </a:graphic>
          </wp:inline>
        </w:drawing>
      </w:r>
    </w:p>
    <w:p w14:paraId="2E7C4CFC">
      <w:pPr>
        <w:spacing w:line="360" w:lineRule="auto"/>
        <w:rPr>
          <w:rFonts w:hint="eastAsia"/>
          <w:color w:val="000000"/>
          <w:sz w:val="24"/>
        </w:rPr>
      </w:pPr>
      <w:r>
        <w:rPr>
          <w:rFonts w:hint="eastAsia"/>
          <w:color w:val="000000"/>
          <w:sz w:val="24"/>
        </w:rPr>
        <w:drawing>
          <wp:inline distT="0" distB="0" distL="0" distR="0">
            <wp:extent cx="5274310" cy="8126095"/>
            <wp:effectExtent l="0" t="0" r="0" b="0"/>
            <wp:docPr id="254" name="_x0000_i1430"/>
            <wp:cNvGraphicFramePr/>
            <a:graphic xmlns:a="http://schemas.openxmlformats.org/drawingml/2006/main">
              <a:graphicData uri="http://schemas.openxmlformats.org/drawingml/2006/picture">
                <pic:pic xmlns:pic="http://schemas.openxmlformats.org/drawingml/2006/picture">
                  <pic:nvPicPr>
                    <pic:cNvPr id="254" name="_x0000_i1430"/>
                    <pic:cNvPicPr/>
                  </pic:nvPicPr>
                  <pic:blipFill>
                    <a:blip r:embed="rId100"/>
                    <a:stretch>
                      <a:fillRect/>
                    </a:stretch>
                  </pic:blipFill>
                  <pic:spPr>
                    <a:xfrm>
                      <a:off x="0" y="0"/>
                      <a:ext cx="5274323" cy="8126095"/>
                    </a:xfrm>
                    <a:prstGeom prst="rect">
                      <a:avLst/>
                    </a:prstGeom>
                    <a:noFill/>
                    <a:ln>
                      <a:noFill/>
                    </a:ln>
                  </pic:spPr>
                </pic:pic>
              </a:graphicData>
            </a:graphic>
          </wp:inline>
        </w:drawing>
      </w:r>
    </w:p>
    <w:p w14:paraId="75A11769">
      <w:pPr>
        <w:spacing w:line="360" w:lineRule="auto"/>
        <w:rPr>
          <w:rFonts w:hint="eastAsia"/>
          <w:color w:val="000000"/>
          <w:sz w:val="24"/>
        </w:rPr>
      </w:pPr>
      <w:r>
        <w:rPr>
          <w:color w:val="000000"/>
          <w:sz w:val="24"/>
        </w:rPr>
        <w:drawing>
          <wp:inline distT="0" distB="0" distL="0" distR="0">
            <wp:extent cx="5425440" cy="7447915"/>
            <wp:effectExtent l="0" t="0" r="0" b="0"/>
            <wp:docPr id="255" name="_x0000_i1431"/>
            <wp:cNvGraphicFramePr/>
            <a:graphic xmlns:a="http://schemas.openxmlformats.org/drawingml/2006/main">
              <a:graphicData uri="http://schemas.openxmlformats.org/drawingml/2006/picture">
                <pic:pic xmlns:pic="http://schemas.openxmlformats.org/drawingml/2006/picture">
                  <pic:nvPicPr>
                    <pic:cNvPr id="255" name="_x0000_i1431"/>
                    <pic:cNvPicPr/>
                  </pic:nvPicPr>
                  <pic:blipFill>
                    <a:blip r:embed="rId101"/>
                    <a:stretch>
                      <a:fillRect/>
                    </a:stretch>
                  </pic:blipFill>
                  <pic:spPr>
                    <a:xfrm>
                      <a:off x="0" y="0"/>
                      <a:ext cx="5425580" cy="7448486"/>
                    </a:xfrm>
                    <a:prstGeom prst="rect">
                      <a:avLst/>
                    </a:prstGeom>
                    <a:noFill/>
                    <a:ln>
                      <a:noFill/>
                    </a:ln>
                  </pic:spPr>
                </pic:pic>
              </a:graphicData>
            </a:graphic>
          </wp:inline>
        </w:drawing>
      </w:r>
    </w:p>
    <w:p w14:paraId="27F7A105">
      <w:pPr>
        <w:spacing w:line="360" w:lineRule="auto"/>
        <w:rPr>
          <w:rFonts w:hint="eastAsia"/>
          <w:color w:val="000000"/>
          <w:sz w:val="24"/>
        </w:rPr>
      </w:pPr>
    </w:p>
    <w:p w14:paraId="187E9F39">
      <w:pPr>
        <w:spacing w:line="360" w:lineRule="auto"/>
        <w:rPr>
          <w:rFonts w:hint="eastAsia"/>
          <w:color w:val="000000"/>
          <w:sz w:val="24"/>
        </w:rPr>
      </w:pPr>
      <w:r>
        <w:rPr>
          <w:color w:val="000000"/>
          <w:sz w:val="24"/>
        </w:rPr>
        <w:drawing>
          <wp:inline distT="0" distB="0" distL="0" distR="0">
            <wp:extent cx="5751830" cy="8206105"/>
            <wp:effectExtent l="0" t="0" r="0" b="0"/>
            <wp:docPr id="256" name="_x0000_i1432"/>
            <wp:cNvGraphicFramePr/>
            <a:graphic xmlns:a="http://schemas.openxmlformats.org/drawingml/2006/main">
              <a:graphicData uri="http://schemas.openxmlformats.org/drawingml/2006/picture">
                <pic:pic xmlns:pic="http://schemas.openxmlformats.org/drawingml/2006/picture">
                  <pic:nvPicPr>
                    <pic:cNvPr id="256" name="_x0000_i1432"/>
                    <pic:cNvPicPr/>
                  </pic:nvPicPr>
                  <pic:blipFill>
                    <a:blip r:embed="rId102"/>
                    <a:stretch>
                      <a:fillRect/>
                    </a:stretch>
                  </pic:blipFill>
                  <pic:spPr>
                    <a:xfrm>
                      <a:off x="0" y="0"/>
                      <a:ext cx="5752046" cy="8206130"/>
                    </a:xfrm>
                    <a:prstGeom prst="rect">
                      <a:avLst/>
                    </a:prstGeom>
                    <a:noFill/>
                    <a:ln>
                      <a:noFill/>
                    </a:ln>
                  </pic:spPr>
                </pic:pic>
              </a:graphicData>
            </a:graphic>
          </wp:inline>
        </w:drawing>
      </w:r>
    </w:p>
    <w:p w14:paraId="0C87E05E">
      <w:pPr>
        <w:spacing w:line="360" w:lineRule="auto"/>
        <w:rPr>
          <w:color w:val="000000"/>
          <w:sz w:val="24"/>
        </w:rPr>
      </w:pPr>
      <w:r>
        <w:rPr>
          <w:color w:val="000000"/>
          <w:sz w:val="24"/>
        </w:rPr>
        <w:drawing>
          <wp:inline distT="0" distB="0" distL="0" distR="0">
            <wp:extent cx="5471160" cy="7512050"/>
            <wp:effectExtent l="0" t="0" r="0" b="0"/>
            <wp:docPr id="257" name="_x0000_i1433"/>
            <wp:cNvGraphicFramePr/>
            <a:graphic xmlns:a="http://schemas.openxmlformats.org/drawingml/2006/main">
              <a:graphicData uri="http://schemas.openxmlformats.org/drawingml/2006/picture">
                <pic:pic xmlns:pic="http://schemas.openxmlformats.org/drawingml/2006/picture">
                  <pic:nvPicPr>
                    <pic:cNvPr id="257" name="_x0000_i1433"/>
                    <pic:cNvPicPr/>
                  </pic:nvPicPr>
                  <pic:blipFill>
                    <a:blip r:embed="rId103"/>
                    <a:stretch>
                      <a:fillRect/>
                    </a:stretch>
                  </pic:blipFill>
                  <pic:spPr>
                    <a:xfrm>
                      <a:off x="0" y="0"/>
                      <a:ext cx="5471770" cy="7512507"/>
                    </a:xfrm>
                    <a:prstGeom prst="rect">
                      <a:avLst/>
                    </a:prstGeom>
                    <a:noFill/>
                    <a:ln>
                      <a:noFill/>
                    </a:ln>
                  </pic:spPr>
                </pic:pic>
              </a:graphicData>
            </a:graphic>
          </wp:inline>
        </w:drawing>
      </w:r>
    </w:p>
    <w:p w14:paraId="6A624451">
      <w:pPr>
        <w:spacing w:line="360" w:lineRule="auto"/>
        <w:rPr>
          <w:color w:val="000000"/>
          <w:sz w:val="24"/>
        </w:rPr>
      </w:pPr>
      <w:r>
        <w:rPr>
          <w:color w:val="000000"/>
          <w:sz w:val="24"/>
        </w:rPr>
        <w:drawing>
          <wp:inline distT="0" distB="0" distL="0" distR="0">
            <wp:extent cx="5526405" cy="7586980"/>
            <wp:effectExtent l="0" t="0" r="0" b="0"/>
            <wp:docPr id="258" name="_x0000_i1434"/>
            <wp:cNvGraphicFramePr/>
            <a:graphic xmlns:a="http://schemas.openxmlformats.org/drawingml/2006/main">
              <a:graphicData uri="http://schemas.openxmlformats.org/drawingml/2006/picture">
                <pic:pic xmlns:pic="http://schemas.openxmlformats.org/drawingml/2006/picture">
                  <pic:nvPicPr>
                    <pic:cNvPr id="258" name="_x0000_i1434"/>
                    <pic:cNvPicPr/>
                  </pic:nvPicPr>
                  <pic:blipFill>
                    <a:blip r:embed="rId104"/>
                    <a:stretch>
                      <a:fillRect/>
                    </a:stretch>
                  </pic:blipFill>
                  <pic:spPr>
                    <a:xfrm>
                      <a:off x="0" y="0"/>
                      <a:ext cx="5526634" cy="7587209"/>
                    </a:xfrm>
                    <a:prstGeom prst="rect">
                      <a:avLst/>
                    </a:prstGeom>
                    <a:noFill/>
                    <a:ln>
                      <a:noFill/>
                      <a:round/>
                    </a:ln>
                  </pic:spPr>
                </pic:pic>
              </a:graphicData>
            </a:graphic>
          </wp:inline>
        </w:drawing>
      </w:r>
    </w:p>
    <w:p w14:paraId="1F6E0BD4">
      <w:pPr>
        <w:spacing w:line="360" w:lineRule="auto"/>
        <w:rPr>
          <w:rFonts w:hint="eastAsia"/>
          <w:color w:val="000000"/>
          <w:sz w:val="24"/>
        </w:rPr>
      </w:pPr>
    </w:p>
    <w:p w14:paraId="494C9193">
      <w:pPr>
        <w:spacing w:line="360" w:lineRule="auto"/>
        <w:rPr>
          <w:color w:val="000000"/>
          <w:sz w:val="24"/>
        </w:rPr>
      </w:pPr>
      <w:r>
        <w:rPr>
          <w:color w:val="000000"/>
          <w:sz w:val="24"/>
        </w:rPr>
        <w:drawing>
          <wp:inline distT="0" distB="0" distL="0" distR="0">
            <wp:extent cx="5649595" cy="7746365"/>
            <wp:effectExtent l="0" t="0" r="0" b="0"/>
            <wp:docPr id="259" name="_x0000_i1435"/>
            <wp:cNvGraphicFramePr/>
            <a:graphic xmlns:a="http://schemas.openxmlformats.org/drawingml/2006/main">
              <a:graphicData uri="http://schemas.openxmlformats.org/drawingml/2006/picture">
                <pic:pic xmlns:pic="http://schemas.openxmlformats.org/drawingml/2006/picture">
                  <pic:nvPicPr>
                    <pic:cNvPr id="259" name="_x0000_i1435"/>
                    <pic:cNvPicPr/>
                  </pic:nvPicPr>
                  <pic:blipFill>
                    <a:blip r:embed="rId105"/>
                    <a:stretch>
                      <a:fillRect/>
                    </a:stretch>
                  </pic:blipFill>
                  <pic:spPr>
                    <a:xfrm>
                      <a:off x="0" y="0"/>
                      <a:ext cx="5650078" cy="7746810"/>
                    </a:xfrm>
                    <a:prstGeom prst="rect">
                      <a:avLst/>
                    </a:prstGeom>
                    <a:noFill/>
                    <a:ln>
                      <a:noFill/>
                    </a:ln>
                  </pic:spPr>
                </pic:pic>
              </a:graphicData>
            </a:graphic>
          </wp:inline>
        </w:drawing>
      </w:r>
    </w:p>
    <w:p w14:paraId="163CF83F">
      <w:pPr>
        <w:spacing w:line="360" w:lineRule="auto"/>
        <w:rPr>
          <w:rFonts w:hint="eastAsia"/>
          <w:color w:val="000000"/>
          <w:sz w:val="24"/>
        </w:rPr>
      </w:pPr>
    </w:p>
    <w:p w14:paraId="7009D0BC">
      <w:pPr>
        <w:spacing w:line="360" w:lineRule="auto"/>
        <w:rPr>
          <w:rFonts w:hint="eastAsia"/>
          <w:color w:val="000000"/>
          <w:sz w:val="24"/>
        </w:rPr>
      </w:pPr>
      <w:r>
        <w:rPr>
          <w:color w:val="000000"/>
          <w:sz w:val="24"/>
        </w:rPr>
        <w:drawing>
          <wp:inline distT="0" distB="0" distL="0" distR="0">
            <wp:extent cx="5611495" cy="7704455"/>
            <wp:effectExtent l="0" t="0" r="0" b="0"/>
            <wp:docPr id="260" name="_x0000_i1436"/>
            <wp:cNvGraphicFramePr/>
            <a:graphic xmlns:a="http://schemas.openxmlformats.org/drawingml/2006/main">
              <a:graphicData uri="http://schemas.openxmlformats.org/drawingml/2006/picture">
                <pic:pic xmlns:pic="http://schemas.openxmlformats.org/drawingml/2006/picture">
                  <pic:nvPicPr>
                    <pic:cNvPr id="260" name="_x0000_i1436"/>
                    <pic:cNvPicPr/>
                  </pic:nvPicPr>
                  <pic:blipFill>
                    <a:blip r:embed="rId106"/>
                    <a:stretch>
                      <a:fillRect/>
                    </a:stretch>
                  </pic:blipFill>
                  <pic:spPr>
                    <a:xfrm>
                      <a:off x="0" y="0"/>
                      <a:ext cx="5611673" cy="7704582"/>
                    </a:xfrm>
                    <a:prstGeom prst="rect">
                      <a:avLst/>
                    </a:prstGeom>
                    <a:noFill/>
                    <a:ln>
                      <a:noFill/>
                    </a:ln>
                  </pic:spPr>
                </pic:pic>
              </a:graphicData>
            </a:graphic>
          </wp:inline>
        </w:drawing>
      </w:r>
    </w:p>
    <w:p w14:paraId="33347394">
      <w:pPr>
        <w:spacing w:line="360" w:lineRule="auto"/>
        <w:rPr>
          <w:rFonts w:hint="eastAsia"/>
          <w:color w:val="000000"/>
          <w:sz w:val="24"/>
        </w:rPr>
      </w:pPr>
    </w:p>
    <w:p w14:paraId="0310EB43">
      <w:pPr>
        <w:spacing w:line="360" w:lineRule="auto"/>
        <w:rPr>
          <w:rFonts w:hint="eastAsia"/>
          <w:color w:val="000000"/>
          <w:sz w:val="24"/>
        </w:rPr>
      </w:pPr>
      <w:r>
        <w:rPr>
          <w:color w:val="000000"/>
          <w:sz w:val="24"/>
        </w:rPr>
        <w:drawing>
          <wp:inline distT="0" distB="0" distL="0" distR="0">
            <wp:extent cx="5253355" cy="7021830"/>
            <wp:effectExtent l="0" t="0" r="0" b="0"/>
            <wp:docPr id="261" name="_x0000_i1437"/>
            <wp:cNvGraphicFramePr/>
            <a:graphic xmlns:a="http://schemas.openxmlformats.org/drawingml/2006/main">
              <a:graphicData uri="http://schemas.openxmlformats.org/drawingml/2006/picture">
                <pic:pic xmlns:pic="http://schemas.openxmlformats.org/drawingml/2006/picture">
                  <pic:nvPicPr>
                    <pic:cNvPr id="261" name="_x0000_i1437"/>
                    <pic:cNvPicPr/>
                  </pic:nvPicPr>
                  <pic:blipFill>
                    <a:blip r:embed="rId107"/>
                    <a:stretch>
                      <a:fillRect/>
                    </a:stretch>
                  </pic:blipFill>
                  <pic:spPr>
                    <a:xfrm>
                      <a:off x="0" y="0"/>
                      <a:ext cx="5253469" cy="7022351"/>
                    </a:xfrm>
                    <a:prstGeom prst="rect">
                      <a:avLst/>
                    </a:prstGeom>
                    <a:noFill/>
                    <a:ln>
                      <a:noFill/>
                    </a:ln>
                  </pic:spPr>
                </pic:pic>
              </a:graphicData>
            </a:graphic>
          </wp:inline>
        </w:drawing>
      </w:r>
    </w:p>
    <w:p w14:paraId="34D79148">
      <w:pPr>
        <w:spacing w:line="360" w:lineRule="auto"/>
        <w:rPr>
          <w:rFonts w:hint="eastAsia"/>
          <w:color w:val="000000"/>
          <w:sz w:val="24"/>
        </w:rPr>
      </w:pPr>
    </w:p>
    <w:p w14:paraId="2416E1E6">
      <w:pPr>
        <w:spacing w:line="360" w:lineRule="auto"/>
        <w:rPr>
          <w:rFonts w:hint="eastAsia"/>
          <w:color w:val="000000"/>
          <w:sz w:val="24"/>
        </w:rPr>
      </w:pPr>
      <w:r>
        <w:rPr>
          <w:color w:val="000000"/>
          <w:sz w:val="24"/>
        </w:rPr>
        <w:drawing>
          <wp:inline distT="0" distB="0" distL="0" distR="0">
            <wp:extent cx="5321935" cy="7502525"/>
            <wp:effectExtent l="0" t="0" r="0" b="0"/>
            <wp:docPr id="262" name="_x0000_i1438"/>
            <wp:cNvGraphicFramePr/>
            <a:graphic xmlns:a="http://schemas.openxmlformats.org/drawingml/2006/main">
              <a:graphicData uri="http://schemas.openxmlformats.org/drawingml/2006/picture">
                <pic:pic xmlns:pic="http://schemas.openxmlformats.org/drawingml/2006/picture">
                  <pic:nvPicPr>
                    <pic:cNvPr id="262" name="_x0000_i1438"/>
                    <pic:cNvPicPr/>
                  </pic:nvPicPr>
                  <pic:blipFill>
                    <a:blip r:embed="rId108"/>
                    <a:stretch>
                      <a:fillRect/>
                    </a:stretch>
                  </pic:blipFill>
                  <pic:spPr>
                    <a:xfrm>
                      <a:off x="0" y="0"/>
                      <a:ext cx="5321935" cy="7502525"/>
                    </a:xfrm>
                    <a:prstGeom prst="rect">
                      <a:avLst/>
                    </a:prstGeom>
                    <a:noFill/>
                    <a:ln>
                      <a:noFill/>
                    </a:ln>
                  </pic:spPr>
                </pic:pic>
              </a:graphicData>
            </a:graphic>
          </wp:inline>
        </w:drawing>
      </w:r>
    </w:p>
    <w:p w14:paraId="003062DA">
      <w:pPr>
        <w:spacing w:line="360" w:lineRule="auto"/>
        <w:rPr>
          <w:rFonts w:hint="eastAsia"/>
          <w:color w:val="000000"/>
          <w:sz w:val="24"/>
        </w:rPr>
      </w:pPr>
      <w:r>
        <w:rPr>
          <w:color w:val="000000"/>
          <w:sz w:val="24"/>
        </w:rPr>
        <w:drawing>
          <wp:inline distT="0" distB="0" distL="0" distR="0">
            <wp:extent cx="5207635" cy="6666230"/>
            <wp:effectExtent l="0" t="0" r="0" b="0"/>
            <wp:docPr id="263" name="_x0000_i1439"/>
            <wp:cNvGraphicFramePr/>
            <a:graphic xmlns:a="http://schemas.openxmlformats.org/drawingml/2006/main">
              <a:graphicData uri="http://schemas.openxmlformats.org/drawingml/2006/picture">
                <pic:pic xmlns:pic="http://schemas.openxmlformats.org/drawingml/2006/picture">
                  <pic:nvPicPr>
                    <pic:cNvPr id="263" name="_x0000_i1439"/>
                    <pic:cNvPicPr/>
                  </pic:nvPicPr>
                  <pic:blipFill>
                    <a:blip r:embed="rId109"/>
                    <a:stretch>
                      <a:fillRect/>
                    </a:stretch>
                  </pic:blipFill>
                  <pic:spPr>
                    <a:xfrm>
                      <a:off x="0" y="0"/>
                      <a:ext cx="5207635" cy="6666230"/>
                    </a:xfrm>
                    <a:prstGeom prst="rect">
                      <a:avLst/>
                    </a:prstGeom>
                    <a:noFill/>
                    <a:ln>
                      <a:noFill/>
                    </a:ln>
                  </pic:spPr>
                </pic:pic>
              </a:graphicData>
            </a:graphic>
          </wp:inline>
        </w:drawing>
      </w:r>
    </w:p>
    <w:p w14:paraId="71D994A3">
      <w:pPr>
        <w:spacing w:line="360" w:lineRule="auto"/>
        <w:rPr>
          <w:rFonts w:hint="eastAsia"/>
          <w:color w:val="000000"/>
          <w:sz w:val="24"/>
        </w:rPr>
      </w:pPr>
    </w:p>
    <w:p w14:paraId="70FC818E">
      <w:pPr>
        <w:rPr>
          <w:rFonts w:hint="eastAsia" w:ascii="楷体_GB2312" w:eastAsia="楷体_GB2312"/>
          <w:b/>
          <w:color w:val="000000"/>
          <w:sz w:val="28"/>
        </w:rPr>
      </w:pPr>
    </w:p>
    <w:p w14:paraId="17355DE7">
      <w:pPr>
        <w:rPr>
          <w:rFonts w:hint="eastAsia" w:ascii="楷体_GB2312" w:eastAsia="楷体_GB2312"/>
          <w:b/>
          <w:color w:val="000000"/>
          <w:sz w:val="28"/>
        </w:rPr>
      </w:pPr>
    </w:p>
    <w:p w14:paraId="474740AC">
      <w:pPr>
        <w:rPr>
          <w:rFonts w:hint="eastAsia" w:ascii="楷体_GB2312" w:eastAsia="楷体_GB2312"/>
          <w:b/>
          <w:color w:val="000000"/>
          <w:sz w:val="28"/>
        </w:rPr>
      </w:pPr>
    </w:p>
    <w:p w14:paraId="13330A30">
      <w:pPr>
        <w:rPr>
          <w:rFonts w:hint="eastAsia" w:ascii="楷体_GB2312" w:eastAsia="楷体_GB2312"/>
          <w:b/>
          <w:color w:val="000000"/>
          <w:sz w:val="28"/>
        </w:rPr>
      </w:pPr>
    </w:p>
    <w:p w14:paraId="3D43777F">
      <w:pPr>
        <w:rPr>
          <w:rFonts w:hint="eastAsia" w:ascii="楷体_GB2312" w:eastAsia="楷体_GB2312"/>
          <w:b/>
          <w:color w:val="000000"/>
          <w:sz w:val="28"/>
        </w:rPr>
      </w:pPr>
    </w:p>
    <w:p w14:paraId="3CE0527F">
      <w:pPr>
        <w:rPr>
          <w:rFonts w:hint="eastAsia" w:ascii="楷体_GB2312" w:eastAsia="楷体_GB2312"/>
          <w:b/>
          <w:color w:val="000000"/>
          <w:sz w:val="28"/>
        </w:rPr>
      </w:pPr>
    </w:p>
    <w:p w14:paraId="2EBAA79D">
      <w:pPr>
        <w:rPr>
          <w:rFonts w:hint="eastAsia" w:ascii="楷体_GB2312" w:eastAsia="楷体_GB2312"/>
          <w:b/>
          <w:color w:val="000000"/>
          <w:sz w:val="28"/>
        </w:rPr>
      </w:pPr>
    </w:p>
    <w:p w14:paraId="25F2205F">
      <w:pPr>
        <w:rPr>
          <w:rFonts w:hint="eastAsia" w:ascii="楷体_GB2312" w:eastAsia="楷体_GB2312"/>
          <w:b/>
          <w:color w:val="000000"/>
          <w:sz w:val="28"/>
        </w:rPr>
      </w:pPr>
    </w:p>
    <w:p w14:paraId="47025986">
      <w:pPr>
        <w:rPr>
          <w:rFonts w:hint="eastAsia" w:ascii="楷体_GB2312" w:eastAsia="楷体_GB2312"/>
          <w:b/>
          <w:color w:val="000000"/>
          <w:sz w:val="28"/>
        </w:rPr>
      </w:pPr>
    </w:p>
    <w:p w14:paraId="4806E0DA">
      <w:pPr>
        <w:rPr>
          <w:rFonts w:hint="eastAsia" w:ascii="楷体_GB2312" w:eastAsia="楷体_GB2312"/>
          <w:b/>
          <w:color w:val="000000"/>
          <w:sz w:val="28"/>
        </w:rPr>
      </w:pPr>
    </w:p>
    <w:p w14:paraId="6D07051A">
      <w:pPr>
        <w:rPr>
          <w:rFonts w:hint="eastAsia" w:ascii="楷体_GB2312" w:eastAsia="楷体_GB2312"/>
          <w:b/>
          <w:color w:val="000000"/>
          <w:sz w:val="28"/>
        </w:rPr>
      </w:pPr>
    </w:p>
    <w:p w14:paraId="3D471A36">
      <w:pPr>
        <w:rPr>
          <w:rFonts w:hint="eastAsia" w:ascii="楷体_GB2312" w:eastAsia="楷体_GB2312"/>
          <w:b/>
          <w:color w:val="000000"/>
          <w:sz w:val="28"/>
        </w:rPr>
      </w:pPr>
    </w:p>
    <w:p w14:paraId="558A4742">
      <w:pPr>
        <w:rPr>
          <w:rFonts w:hint="eastAsia" w:ascii="楷体_GB2312" w:eastAsia="楷体_GB2312"/>
          <w:b/>
          <w:color w:val="000000"/>
          <w:sz w:val="28"/>
        </w:rPr>
      </w:pPr>
      <w:r>
        <w:rPr>
          <w:rFonts w:hint="eastAsia" w:ascii="楷体_GB2312" w:eastAsia="楷体_GB2312"/>
          <w:b/>
          <w:color w:val="000000"/>
          <w:sz w:val="28"/>
        </w:rPr>
        <w:t>合同编号：</w:t>
      </w:r>
    </w:p>
    <w:p w14:paraId="248544F9">
      <w:pPr>
        <w:jc w:val="center"/>
        <w:rPr>
          <w:rFonts w:hint="eastAsia" w:ascii="楷体_GB2312" w:eastAsia="楷体_GB2312"/>
          <w:b/>
          <w:color w:val="000000"/>
          <w:sz w:val="48"/>
        </w:rPr>
      </w:pPr>
    </w:p>
    <w:p w14:paraId="79B0629B">
      <w:pPr>
        <w:jc w:val="center"/>
        <w:rPr>
          <w:rFonts w:hint="eastAsia" w:ascii="楷体_GB2312" w:eastAsia="楷体_GB2312"/>
          <w:b/>
          <w:color w:val="000000"/>
          <w:sz w:val="48"/>
        </w:rPr>
      </w:pPr>
    </w:p>
    <w:p w14:paraId="23BD5E61">
      <w:pPr>
        <w:jc w:val="center"/>
        <w:rPr>
          <w:rFonts w:hint="eastAsia" w:ascii="楷体_GB2312" w:eastAsia="楷体_GB2312"/>
          <w:b/>
          <w:color w:val="000000"/>
          <w:sz w:val="48"/>
        </w:rPr>
      </w:pPr>
      <w:r>
        <w:rPr>
          <w:rFonts w:hint="eastAsia" w:ascii="楷体_GB2312" w:eastAsia="楷体_GB2312"/>
          <w:b/>
          <w:color w:val="000000"/>
          <w:sz w:val="48"/>
        </w:rPr>
        <w:t>技术咨询合同</w:t>
      </w:r>
    </w:p>
    <w:p w14:paraId="57E3A786">
      <w:pPr>
        <w:rPr>
          <w:rFonts w:hint="eastAsia" w:ascii="楷体_GB2312" w:eastAsia="楷体_GB2312"/>
          <w:color w:val="000000"/>
          <w:sz w:val="36"/>
        </w:rPr>
      </w:pPr>
    </w:p>
    <w:p w14:paraId="2D673DAB">
      <w:pPr>
        <w:rPr>
          <w:rFonts w:hint="eastAsia" w:ascii="楷体_GB2312" w:eastAsia="楷体_GB2312"/>
          <w:color w:val="000000"/>
          <w:sz w:val="36"/>
        </w:rPr>
      </w:pPr>
    </w:p>
    <w:p w14:paraId="41166615">
      <w:pPr>
        <w:rPr>
          <w:rFonts w:hint="eastAsia" w:ascii="楷体_GB2312" w:eastAsia="楷体_GB2312"/>
          <w:b/>
          <w:color w:val="000000"/>
          <w:sz w:val="36"/>
        </w:rPr>
      </w:pPr>
      <w:r>
        <w:rPr>
          <w:rFonts w:hint="eastAsia" w:ascii="楷体_GB2312" w:eastAsia="楷体_GB2312"/>
          <w:b/>
          <w:color w:val="000000"/>
          <w:sz w:val="36"/>
        </w:rPr>
        <w:t>项 目 名 称：</w:t>
      </w:r>
      <w:r>
        <w:rPr>
          <w:rFonts w:hint="eastAsia" w:ascii="楷体_GB2312" w:eastAsia="楷体_GB2312"/>
          <w:color w:val="000000"/>
          <w:sz w:val="36"/>
          <w:u w:val="single"/>
        </w:rPr>
        <w:t>芒市妇幼保健院迁建</w:t>
      </w:r>
      <w:r>
        <w:rPr>
          <w:rFonts w:ascii="楷体_GB2312" w:eastAsia="楷体_GB2312"/>
          <w:color w:val="000000"/>
          <w:sz w:val="36"/>
          <w:u w:val="single"/>
        </w:rPr>
        <w:t>项目</w:t>
      </w:r>
      <w:r>
        <w:rPr>
          <w:rFonts w:hint="eastAsia" w:ascii="楷体_GB2312" w:eastAsia="楷体_GB2312"/>
          <w:color w:val="000000"/>
          <w:sz w:val="36"/>
          <w:u w:val="single"/>
        </w:rPr>
        <w:t xml:space="preserve">             </w:t>
      </w:r>
    </w:p>
    <w:p w14:paraId="38C5D7F1">
      <w:pPr>
        <w:rPr>
          <w:rFonts w:hint="eastAsia" w:ascii="楷体_GB2312" w:eastAsia="楷体_GB2312"/>
          <w:color w:val="000000"/>
          <w:sz w:val="36"/>
          <w:u w:val="single"/>
        </w:rPr>
      </w:pPr>
      <w:r>
        <w:rPr>
          <w:rFonts w:hint="eastAsia" w:ascii="楷体_GB2312" w:eastAsia="楷体_GB2312"/>
          <w:b/>
          <w:color w:val="000000"/>
          <w:sz w:val="36"/>
        </w:rPr>
        <w:t>委托方（甲方）：</w:t>
      </w:r>
      <w:r>
        <w:rPr>
          <w:rFonts w:hint="eastAsia" w:ascii="楷体_GB2312" w:eastAsia="楷体_GB2312"/>
          <w:color w:val="000000"/>
          <w:sz w:val="36"/>
          <w:u w:val="single"/>
        </w:rPr>
        <w:t xml:space="preserve">芒市妇幼保健院                   </w:t>
      </w:r>
    </w:p>
    <w:p w14:paraId="15159807">
      <w:pPr>
        <w:rPr>
          <w:rFonts w:hint="eastAsia" w:ascii="楷体_GB2312" w:eastAsia="楷体_GB2312"/>
          <w:color w:val="000000"/>
          <w:sz w:val="36"/>
          <w:u w:val="single"/>
        </w:rPr>
      </w:pPr>
      <w:r>
        <w:rPr>
          <w:rFonts w:hint="eastAsia" w:ascii="楷体_GB2312" w:eastAsia="楷体_GB2312"/>
          <w:b/>
          <w:color w:val="000000"/>
          <w:sz w:val="36"/>
        </w:rPr>
        <w:t>受托方（乙方）：</w:t>
      </w:r>
      <w:r>
        <w:rPr>
          <w:rFonts w:hint="eastAsia" w:ascii="楷体_GB2312" w:eastAsia="楷体_GB2312"/>
          <w:color w:val="000000"/>
          <w:sz w:val="36"/>
          <w:u w:val="single"/>
        </w:rPr>
        <w:t>云南七彩环境咨询有限公司</w:t>
      </w:r>
      <w:r>
        <w:rPr>
          <w:rFonts w:hint="eastAsia" w:ascii="楷体_GB2312" w:eastAsia="楷体_GB2312"/>
          <w:b/>
          <w:color w:val="000000"/>
          <w:sz w:val="36"/>
          <w:u w:val="single"/>
        </w:rPr>
        <w:t xml:space="preserve">         </w:t>
      </w:r>
      <w:r>
        <w:rPr>
          <w:rFonts w:hint="eastAsia" w:ascii="楷体_GB2312" w:eastAsia="楷体_GB2312"/>
          <w:color w:val="000000"/>
          <w:sz w:val="36"/>
          <w:u w:val="single"/>
        </w:rPr>
        <w:t xml:space="preserve"> </w:t>
      </w:r>
    </w:p>
    <w:p w14:paraId="1803B411">
      <w:pPr>
        <w:rPr>
          <w:rFonts w:hint="eastAsia" w:ascii="楷体_GB2312" w:eastAsia="楷体_GB2312"/>
          <w:color w:val="000000"/>
          <w:sz w:val="36"/>
          <w:u w:val="single"/>
        </w:rPr>
      </w:pPr>
      <w:r>
        <w:rPr>
          <w:rFonts w:hint="eastAsia" w:ascii="楷体_GB2312" w:eastAsia="楷体_GB2312"/>
          <w:b/>
          <w:color w:val="000000"/>
          <w:sz w:val="36"/>
        </w:rPr>
        <w:t>签订时间：</w:t>
      </w:r>
      <w:r>
        <w:rPr>
          <w:rFonts w:hint="eastAsia" w:ascii="楷体_GB2312" w:eastAsia="楷体_GB2312"/>
          <w:color w:val="000000"/>
          <w:sz w:val="36"/>
          <w:u w:val="single"/>
        </w:rPr>
        <w:t xml:space="preserve">              2017年9月              </w:t>
      </w:r>
    </w:p>
    <w:p w14:paraId="0760B05F">
      <w:pPr>
        <w:rPr>
          <w:rFonts w:hint="eastAsia" w:ascii="楷体_GB2312" w:eastAsia="楷体_GB2312"/>
          <w:color w:val="000000"/>
          <w:sz w:val="36"/>
          <w:u w:val="single"/>
        </w:rPr>
      </w:pPr>
      <w:r>
        <w:rPr>
          <w:rFonts w:hint="eastAsia" w:ascii="楷体_GB2312" w:eastAsia="楷体_GB2312"/>
          <w:b/>
          <w:color w:val="000000"/>
          <w:sz w:val="36"/>
        </w:rPr>
        <w:t>签订地点：</w:t>
      </w:r>
      <w:r>
        <w:rPr>
          <w:rFonts w:hint="eastAsia" w:ascii="楷体_GB2312" w:eastAsia="楷体_GB2312"/>
          <w:color w:val="000000"/>
          <w:sz w:val="32"/>
          <w:u w:val="single"/>
        </w:rPr>
        <w:t xml:space="preserve"> </w:t>
      </w:r>
      <w:r>
        <w:rPr>
          <w:rFonts w:hint="eastAsia" w:ascii="楷体_GB2312" w:eastAsia="楷体_GB2312"/>
          <w:b/>
          <w:color w:val="000000"/>
          <w:sz w:val="32"/>
          <w:u w:val="single"/>
        </w:rPr>
        <w:t xml:space="preserve"> </w:t>
      </w:r>
      <w:r>
        <w:rPr>
          <w:rFonts w:hint="eastAsia" w:ascii="楷体_GB2312" w:eastAsia="楷体_GB2312"/>
          <w:color w:val="000000"/>
          <w:sz w:val="36"/>
          <w:u w:val="single"/>
        </w:rPr>
        <w:t xml:space="preserve">               昆明                  </w:t>
      </w:r>
    </w:p>
    <w:p w14:paraId="6057D5D9">
      <w:pPr>
        <w:rPr>
          <w:rFonts w:hint="eastAsia" w:ascii="楷体_GB2312" w:eastAsia="楷体_GB2312"/>
          <w:color w:val="000000"/>
          <w:sz w:val="36"/>
          <w:u w:val="single"/>
        </w:rPr>
      </w:pPr>
      <w:r>
        <w:rPr>
          <w:rFonts w:hint="eastAsia" w:ascii="楷体_GB2312" w:eastAsia="楷体_GB2312"/>
          <w:b/>
          <w:color w:val="000000"/>
          <w:sz w:val="36"/>
        </w:rPr>
        <w:t>有效期限：</w:t>
      </w:r>
      <w:r>
        <w:rPr>
          <w:rFonts w:hint="eastAsia" w:ascii="楷体_GB2312" w:eastAsia="楷体_GB2312"/>
          <w:color w:val="000000"/>
          <w:sz w:val="36"/>
          <w:u w:val="single"/>
        </w:rPr>
        <w:t xml:space="preserve">                                       </w:t>
      </w:r>
    </w:p>
    <w:p w14:paraId="1D632779">
      <w:pPr>
        <w:rPr>
          <w:rFonts w:hint="eastAsia" w:ascii="楷体_GB2312" w:eastAsia="楷体_GB2312"/>
          <w:color w:val="000000"/>
          <w:sz w:val="32"/>
        </w:rPr>
      </w:pPr>
    </w:p>
    <w:p w14:paraId="5572AF4A">
      <w:pPr>
        <w:rPr>
          <w:rFonts w:hint="eastAsia" w:ascii="楷体_GB2312" w:eastAsia="楷体_GB2312"/>
          <w:b/>
          <w:color w:val="000000"/>
          <w:sz w:val="32"/>
        </w:rPr>
      </w:pPr>
    </w:p>
    <w:p w14:paraId="38AE93AE">
      <w:pPr>
        <w:rPr>
          <w:rFonts w:hint="eastAsia" w:ascii="楷体_GB2312" w:eastAsia="楷体_GB2312"/>
          <w:b/>
          <w:color w:val="000000"/>
        </w:rPr>
      </w:pPr>
    </w:p>
    <w:p w14:paraId="6D36E0D8">
      <w:pPr>
        <w:rPr>
          <w:rFonts w:hint="eastAsia" w:ascii="楷体_GB2312" w:eastAsia="楷体_GB2312"/>
          <w:b/>
          <w:color w:val="000000"/>
        </w:rPr>
      </w:pPr>
    </w:p>
    <w:p w14:paraId="3ADD3721">
      <w:pPr>
        <w:rPr>
          <w:rFonts w:hint="eastAsia" w:ascii="楷体_GB2312" w:eastAsia="楷体_GB2312"/>
          <w:b/>
          <w:color w:val="000000"/>
        </w:rPr>
      </w:pPr>
    </w:p>
    <w:p w14:paraId="60423A5A">
      <w:pPr>
        <w:rPr>
          <w:rFonts w:hint="eastAsia" w:ascii="楷体_GB2312" w:eastAsia="楷体_GB2312"/>
          <w:b/>
          <w:color w:val="000000"/>
        </w:rPr>
      </w:pPr>
    </w:p>
    <w:p w14:paraId="5AB5BF15">
      <w:pPr>
        <w:rPr>
          <w:rFonts w:hint="eastAsia" w:ascii="楷体_GB2312" w:eastAsia="楷体_GB2312"/>
          <w:b/>
          <w:color w:val="000000"/>
        </w:rPr>
      </w:pPr>
    </w:p>
    <w:p w14:paraId="0F985BC5">
      <w:pPr>
        <w:rPr>
          <w:rFonts w:hint="eastAsia" w:ascii="楷体_GB2312" w:eastAsia="楷体_GB2312"/>
          <w:b/>
          <w:color w:val="000000"/>
        </w:rPr>
      </w:pPr>
    </w:p>
    <w:p w14:paraId="10FC232A">
      <w:pPr>
        <w:rPr>
          <w:rFonts w:hint="eastAsia" w:ascii="楷体_GB2312" w:eastAsia="楷体_GB2312"/>
          <w:b/>
          <w:color w:val="000000"/>
        </w:rPr>
      </w:pPr>
    </w:p>
    <w:p w14:paraId="5DEC31F5">
      <w:pPr>
        <w:rPr>
          <w:rFonts w:hint="eastAsia" w:ascii="楷体_GB2312" w:eastAsia="楷体_GB2312"/>
          <w:b/>
          <w:color w:val="000000"/>
        </w:rPr>
      </w:pPr>
    </w:p>
    <w:p w14:paraId="0262A13E">
      <w:pPr>
        <w:rPr>
          <w:rFonts w:hint="eastAsia" w:ascii="楷体_GB2312" w:eastAsia="楷体_GB2312"/>
          <w:b/>
          <w:color w:val="000000"/>
        </w:rPr>
      </w:pPr>
    </w:p>
    <w:p w14:paraId="00D3475F">
      <w:pPr>
        <w:rPr>
          <w:rFonts w:hint="eastAsia" w:ascii="楷体_GB2312" w:eastAsia="楷体_GB2312"/>
          <w:b/>
          <w:color w:val="000000"/>
        </w:rPr>
      </w:pPr>
    </w:p>
    <w:p w14:paraId="20F768C0">
      <w:pPr>
        <w:rPr>
          <w:rFonts w:hint="eastAsia" w:ascii="楷体_GB2312" w:eastAsia="楷体_GB2312"/>
          <w:b/>
          <w:color w:val="000000"/>
        </w:rPr>
      </w:pPr>
    </w:p>
    <w:p w14:paraId="24374065">
      <w:pPr>
        <w:rPr>
          <w:rFonts w:hint="eastAsia" w:ascii="楷体_GB2312" w:eastAsia="楷体_GB2312"/>
          <w:b/>
          <w:color w:val="000000"/>
        </w:rPr>
      </w:pPr>
    </w:p>
    <w:p w14:paraId="10FDFB74">
      <w:pPr>
        <w:rPr>
          <w:rFonts w:hint="eastAsia" w:ascii="楷体_GB2312" w:eastAsia="楷体_GB2312"/>
          <w:b/>
          <w:color w:val="000000"/>
          <w:sz w:val="36"/>
        </w:rPr>
      </w:pPr>
    </w:p>
    <w:p w14:paraId="016063B6">
      <w:pPr>
        <w:jc w:val="center"/>
        <w:rPr>
          <w:rFonts w:hint="eastAsia" w:ascii="楷体_GB2312" w:eastAsia="楷体_GB2312"/>
          <w:b/>
          <w:color w:val="000000"/>
          <w:sz w:val="36"/>
        </w:rPr>
      </w:pPr>
    </w:p>
    <w:p w14:paraId="1118871F">
      <w:pPr>
        <w:jc w:val="center"/>
        <w:rPr>
          <w:rFonts w:hint="eastAsia" w:ascii="楷体_GB2312" w:eastAsia="楷体_GB2312"/>
          <w:b/>
          <w:color w:val="000000"/>
          <w:sz w:val="36"/>
        </w:rPr>
      </w:pPr>
      <w:r>
        <w:rPr>
          <w:rFonts w:hint="eastAsia" w:ascii="楷体_GB2312" w:eastAsia="楷体_GB2312"/>
          <w:b/>
          <w:color w:val="000000"/>
          <w:sz w:val="36"/>
        </w:rPr>
        <w:t>中华人民共和国科学技术部印制</w:t>
      </w:r>
    </w:p>
    <w:p w14:paraId="60C845D6">
      <w:pPr>
        <w:rPr>
          <w:rFonts w:hint="eastAsia" w:ascii="楷体_GB2312" w:eastAsia="楷体_GB2312"/>
          <w:color w:val="000000"/>
          <w:sz w:val="28"/>
        </w:rPr>
      </w:pPr>
    </w:p>
    <w:p w14:paraId="7E9B1950">
      <w:pPr>
        <w:ind w:firstLine="3253"/>
        <w:rPr>
          <w:rFonts w:hint="eastAsia" w:ascii="楷体_GB2312" w:eastAsia="楷体_GB2312"/>
          <w:b/>
          <w:color w:val="000000"/>
          <w:sz w:val="36"/>
        </w:rPr>
      </w:pPr>
    </w:p>
    <w:p w14:paraId="05EFC7EF">
      <w:pPr>
        <w:ind w:firstLine="3253"/>
        <w:rPr>
          <w:rFonts w:hint="eastAsia" w:ascii="楷体_GB2312" w:eastAsia="楷体_GB2312"/>
          <w:b/>
          <w:color w:val="000000"/>
          <w:sz w:val="36"/>
        </w:rPr>
      </w:pPr>
    </w:p>
    <w:p w14:paraId="26B88999">
      <w:pPr>
        <w:ind w:firstLine="3253"/>
        <w:rPr>
          <w:rFonts w:hint="eastAsia" w:ascii="楷体_GB2312" w:eastAsia="楷体_GB2312"/>
          <w:b/>
          <w:color w:val="000000"/>
          <w:sz w:val="36"/>
        </w:rPr>
      </w:pPr>
    </w:p>
    <w:p w14:paraId="3FD74ABC">
      <w:pPr>
        <w:ind w:firstLine="3253"/>
        <w:rPr>
          <w:rFonts w:hint="eastAsia" w:ascii="楷体_GB2312" w:eastAsia="楷体_GB2312"/>
          <w:b/>
          <w:color w:val="000000"/>
          <w:sz w:val="36"/>
        </w:rPr>
      </w:pPr>
      <w:r>
        <w:rPr>
          <w:rFonts w:hint="eastAsia" w:ascii="楷体_GB2312" w:eastAsia="楷体_GB2312"/>
          <w:b/>
          <w:color w:val="000000"/>
          <w:sz w:val="36"/>
        </w:rPr>
        <w:t>填 写 说 明</w:t>
      </w:r>
    </w:p>
    <w:p w14:paraId="744DFFC8">
      <w:pPr>
        <w:spacing w:line="360" w:lineRule="auto"/>
        <w:ind w:firstLine="560"/>
        <w:rPr>
          <w:rFonts w:hint="eastAsia" w:ascii="楷体_GB2312" w:eastAsia="楷体_GB2312"/>
          <w:color w:val="000000"/>
          <w:sz w:val="28"/>
        </w:rPr>
      </w:pPr>
      <w:r>
        <w:rPr>
          <w:rFonts w:hint="eastAsia" w:ascii="楷体_GB2312" w:eastAsia="楷体_GB2312"/>
          <w:color w:val="000000"/>
          <w:sz w:val="28"/>
        </w:rPr>
        <w:t>一、本合同为中华人民共和国科学技术部印制的技术咨询合同示范文本，各技术合同登记机构可推介技术合同当事人参照使用。</w:t>
      </w:r>
    </w:p>
    <w:p w14:paraId="78A7658F">
      <w:pPr>
        <w:spacing w:line="360" w:lineRule="auto"/>
        <w:ind w:firstLine="560"/>
        <w:rPr>
          <w:rFonts w:hint="eastAsia" w:ascii="楷体_GB2312" w:eastAsia="楷体_GB2312"/>
          <w:color w:val="000000"/>
          <w:sz w:val="28"/>
        </w:rPr>
      </w:pPr>
      <w:r>
        <w:rPr>
          <w:rFonts w:hint="eastAsia" w:ascii="楷体_GB2312" w:eastAsia="楷体_GB2312"/>
          <w:color w:val="000000"/>
          <w:sz w:val="28"/>
        </w:rPr>
        <w:t>二、本合同书适用于一方当事人（受托方）为另一方（委托方）就特定技术项目提供可行性论证、技术预测、专题技术调查、分析评价报告所订立的合同。</w:t>
      </w:r>
    </w:p>
    <w:p w14:paraId="0EA1E798">
      <w:pPr>
        <w:spacing w:line="360" w:lineRule="auto"/>
        <w:ind w:firstLine="560"/>
        <w:rPr>
          <w:rFonts w:hint="eastAsia" w:ascii="楷体_GB2312" w:eastAsia="楷体_GB2312"/>
          <w:color w:val="000000"/>
          <w:sz w:val="28"/>
        </w:rPr>
      </w:pPr>
      <w:r>
        <w:rPr>
          <w:rFonts w:hint="eastAsia" w:ascii="楷体_GB2312" w:eastAsia="楷体_GB2312"/>
          <w:color w:val="000000"/>
          <w:sz w:val="28"/>
        </w:rPr>
        <w:t>三、签约一方为多个当事人的，可按各自在合同关系中的作用等，在“委托方”、“受托方”项下（增页）分别排列为共同委托人或共同受托人。</w:t>
      </w:r>
    </w:p>
    <w:p w14:paraId="4DAAD117">
      <w:pPr>
        <w:spacing w:line="360" w:lineRule="auto"/>
        <w:ind w:firstLine="560"/>
        <w:rPr>
          <w:rFonts w:hint="eastAsia" w:ascii="楷体_GB2312" w:eastAsia="楷体_GB2312"/>
          <w:color w:val="000000"/>
          <w:sz w:val="28"/>
        </w:rPr>
      </w:pPr>
      <w:r>
        <w:rPr>
          <w:rFonts w:hint="eastAsia" w:ascii="楷体_GB2312" w:eastAsia="楷体_GB2312"/>
          <w:color w:val="000000"/>
          <w:sz w:val="28"/>
        </w:rPr>
        <w:t>四、本合同书未尽事项，可由当事人附页另行约定，并作为本合同的组成部分。</w:t>
      </w:r>
    </w:p>
    <w:p w14:paraId="259FF4DB">
      <w:pPr>
        <w:spacing w:line="360" w:lineRule="auto"/>
        <w:ind w:firstLine="560"/>
        <w:rPr>
          <w:rFonts w:hint="eastAsia" w:ascii="楷体_GB2312" w:eastAsia="楷体_GB2312"/>
          <w:color w:val="000000"/>
          <w:sz w:val="28"/>
        </w:rPr>
      </w:pPr>
      <w:r>
        <w:rPr>
          <w:rFonts w:hint="eastAsia" w:ascii="楷体_GB2312" w:eastAsia="楷体_GB2312"/>
          <w:color w:val="000000"/>
          <w:sz w:val="28"/>
        </w:rPr>
        <w:t>五、当事人使用本合同书时约定无需填写的条款，应在该条款处注明“无”等字样。</w:t>
      </w:r>
    </w:p>
    <w:p w14:paraId="69A447CE">
      <w:pPr>
        <w:rPr>
          <w:rFonts w:hint="eastAsia" w:ascii="楷体_GB2312" w:eastAsia="楷体_GB2312"/>
          <w:color w:val="000000"/>
          <w:sz w:val="28"/>
        </w:rPr>
      </w:pPr>
    </w:p>
    <w:p w14:paraId="0EE42D96">
      <w:pPr>
        <w:rPr>
          <w:rFonts w:hint="eastAsia" w:ascii="楷体_GB2312" w:eastAsia="楷体_GB2312"/>
          <w:color w:val="000000"/>
          <w:sz w:val="28"/>
        </w:rPr>
      </w:pPr>
    </w:p>
    <w:p w14:paraId="2141D030">
      <w:pPr>
        <w:rPr>
          <w:rFonts w:hint="eastAsia" w:ascii="楷体_GB2312" w:eastAsia="楷体_GB2312"/>
          <w:color w:val="000000"/>
          <w:sz w:val="28"/>
        </w:rPr>
      </w:pPr>
    </w:p>
    <w:p w14:paraId="5004814E">
      <w:pPr>
        <w:rPr>
          <w:rFonts w:hint="eastAsia" w:ascii="楷体_GB2312" w:eastAsia="楷体_GB2312"/>
          <w:color w:val="000000"/>
          <w:sz w:val="28"/>
        </w:rPr>
      </w:pPr>
    </w:p>
    <w:p w14:paraId="5D008494">
      <w:pPr>
        <w:rPr>
          <w:rFonts w:hint="eastAsia" w:ascii="楷体_GB2312" w:eastAsia="楷体_GB2312"/>
          <w:color w:val="000000"/>
          <w:sz w:val="28"/>
        </w:rPr>
      </w:pPr>
    </w:p>
    <w:p w14:paraId="227CD11D">
      <w:pPr>
        <w:rPr>
          <w:rFonts w:hint="eastAsia" w:ascii="楷体_GB2312" w:eastAsia="楷体_GB2312"/>
          <w:color w:val="000000"/>
          <w:sz w:val="28"/>
        </w:rPr>
      </w:pPr>
    </w:p>
    <w:p w14:paraId="4167DBA1">
      <w:pPr>
        <w:rPr>
          <w:rFonts w:hint="eastAsia" w:ascii="楷体_GB2312" w:eastAsia="楷体_GB2312"/>
          <w:color w:val="000000"/>
          <w:sz w:val="28"/>
        </w:rPr>
      </w:pPr>
    </w:p>
    <w:p w14:paraId="7B43E6BF">
      <w:pPr>
        <w:rPr>
          <w:rFonts w:hint="eastAsia" w:ascii="楷体_GB2312" w:eastAsia="楷体_GB2312"/>
          <w:color w:val="000000"/>
          <w:sz w:val="28"/>
        </w:rPr>
      </w:pPr>
    </w:p>
    <w:p w14:paraId="6F61E352">
      <w:pPr>
        <w:rPr>
          <w:rFonts w:hint="eastAsia" w:ascii="楷体_GB2312" w:eastAsia="楷体_GB2312"/>
          <w:color w:val="000000"/>
          <w:sz w:val="28"/>
        </w:rPr>
      </w:pPr>
    </w:p>
    <w:p w14:paraId="318C946B">
      <w:pPr>
        <w:rPr>
          <w:rFonts w:hint="eastAsia" w:ascii="楷体_GB2312" w:eastAsia="楷体_GB2312"/>
          <w:color w:val="000000"/>
          <w:sz w:val="28"/>
        </w:rPr>
      </w:pPr>
    </w:p>
    <w:p w14:paraId="35E68447">
      <w:pPr>
        <w:rPr>
          <w:rFonts w:hint="eastAsia" w:ascii="楷体_GB2312" w:eastAsia="楷体_GB2312"/>
          <w:color w:val="000000"/>
          <w:sz w:val="28"/>
        </w:rPr>
      </w:pPr>
    </w:p>
    <w:p w14:paraId="4A280CB5">
      <w:pPr>
        <w:rPr>
          <w:rFonts w:hint="eastAsia" w:ascii="楷体_GB2312" w:eastAsia="楷体_GB2312"/>
          <w:color w:val="000000"/>
          <w:sz w:val="28"/>
        </w:rPr>
      </w:pPr>
    </w:p>
    <w:p w14:paraId="35540205">
      <w:pPr>
        <w:rPr>
          <w:rFonts w:hint="eastAsia" w:ascii="楷体_GB2312" w:eastAsia="楷体_GB2312"/>
          <w:color w:val="000000"/>
          <w:sz w:val="28"/>
        </w:rPr>
      </w:pPr>
    </w:p>
    <w:p w14:paraId="193AEFFE">
      <w:pPr>
        <w:rPr>
          <w:rFonts w:hint="eastAsia" w:ascii="楷体_GB2312" w:eastAsia="楷体_GB2312"/>
          <w:color w:val="000000"/>
          <w:sz w:val="28"/>
        </w:rPr>
      </w:pPr>
    </w:p>
    <w:p w14:paraId="6DB5FC4D">
      <w:pPr>
        <w:rPr>
          <w:rFonts w:hint="eastAsia" w:ascii="楷体_GB2312" w:eastAsia="楷体_GB2312"/>
          <w:color w:val="000000"/>
          <w:sz w:val="28"/>
        </w:rPr>
      </w:pPr>
    </w:p>
    <w:p w14:paraId="617B63CE">
      <w:pPr>
        <w:rPr>
          <w:rFonts w:hint="eastAsia" w:ascii="楷体_GB2312" w:eastAsia="楷体_GB2312"/>
          <w:color w:val="000000"/>
          <w:sz w:val="28"/>
        </w:rPr>
      </w:pPr>
    </w:p>
    <w:p w14:paraId="562D94DB">
      <w:pPr>
        <w:rPr>
          <w:rFonts w:hint="eastAsia" w:ascii="宋体" w:hAnsi="宋体"/>
          <w:b/>
          <w:color w:val="000000"/>
          <w:sz w:val="32"/>
        </w:rPr>
      </w:pPr>
    </w:p>
    <w:p w14:paraId="4395F6F3">
      <w:pPr>
        <w:jc w:val="center"/>
        <w:rPr>
          <w:rFonts w:hint="eastAsia" w:ascii="宋体" w:hAnsi="宋体"/>
          <w:b/>
          <w:color w:val="000000"/>
          <w:sz w:val="32"/>
        </w:rPr>
      </w:pPr>
    </w:p>
    <w:p w14:paraId="7A7955FB">
      <w:pPr>
        <w:jc w:val="center"/>
        <w:rPr>
          <w:rFonts w:hint="eastAsia" w:ascii="宋体" w:hAnsi="宋体"/>
          <w:b/>
          <w:color w:val="000000"/>
          <w:sz w:val="32"/>
        </w:rPr>
      </w:pPr>
      <w:r>
        <w:rPr>
          <w:rFonts w:hint="eastAsia" w:ascii="宋体" w:hAnsi="宋体"/>
          <w:b/>
          <w:color w:val="000000"/>
          <w:sz w:val="32"/>
        </w:rPr>
        <w:t>技术咨询合同</w:t>
      </w:r>
    </w:p>
    <w:p w14:paraId="235B201A">
      <w:pPr>
        <w:rPr>
          <w:rFonts w:hint="eastAsia" w:ascii="宋体" w:hAnsi="宋体"/>
          <w:color w:val="000000"/>
          <w:spacing w:val="26"/>
          <w:sz w:val="28"/>
        </w:rPr>
      </w:pPr>
    </w:p>
    <w:p w14:paraId="1601B3CB">
      <w:pPr>
        <w:spacing w:line="360" w:lineRule="auto"/>
        <w:rPr>
          <w:rFonts w:hint="eastAsia" w:ascii="宋体" w:hAnsi="宋体"/>
          <w:color w:val="000000"/>
          <w:spacing w:val="26"/>
          <w:sz w:val="28"/>
          <w:u w:val="single"/>
        </w:rPr>
      </w:pPr>
      <w:r>
        <w:rPr>
          <w:rFonts w:hint="eastAsia" w:ascii="宋体" w:hAnsi="宋体"/>
          <w:color w:val="000000"/>
          <w:spacing w:val="26"/>
          <w:sz w:val="28"/>
        </w:rPr>
        <w:t>委托方（甲方）:</w:t>
      </w:r>
      <w:r>
        <w:rPr>
          <w:rFonts w:hint="eastAsia" w:ascii="宋体" w:hAnsi="宋体"/>
          <w:color w:val="000000"/>
          <w:spacing w:val="26"/>
          <w:sz w:val="28"/>
          <w:u w:val="single"/>
        </w:rPr>
        <w:t xml:space="preserve"> 芒市妇幼保健院                  </w:t>
      </w:r>
    </w:p>
    <w:p w14:paraId="5BF9867B">
      <w:pPr>
        <w:spacing w:line="360" w:lineRule="auto"/>
        <w:rPr>
          <w:rFonts w:hint="eastAsia" w:ascii="宋体" w:hAnsi="宋体"/>
          <w:color w:val="000000"/>
          <w:spacing w:val="26"/>
          <w:sz w:val="28"/>
          <w:u w:val="single"/>
        </w:rPr>
      </w:pPr>
      <w:r>
        <w:rPr>
          <w:rFonts w:hint="eastAsia" w:ascii="宋体" w:hAnsi="宋体"/>
          <w:color w:val="000000"/>
          <w:spacing w:val="26"/>
          <w:sz w:val="28"/>
        </w:rPr>
        <w:t>住  所  地：</w:t>
      </w:r>
      <w:r>
        <w:rPr>
          <w:rFonts w:hint="eastAsia" w:ascii="宋体" w:hAnsi="宋体"/>
          <w:color w:val="000000"/>
          <w:sz w:val="28"/>
          <w:szCs w:val="28"/>
          <w:u w:val="single"/>
        </w:rPr>
        <w:t xml:space="preserve">云南省德宏州芒市勐焕路19号                   </w:t>
      </w:r>
    </w:p>
    <w:p w14:paraId="5FCE7948">
      <w:pPr>
        <w:spacing w:line="360" w:lineRule="auto"/>
        <w:rPr>
          <w:rFonts w:hint="eastAsia" w:ascii="宋体" w:hAnsi="宋体"/>
          <w:color w:val="000000"/>
          <w:spacing w:val="26"/>
          <w:sz w:val="28"/>
          <w:u w:val="single"/>
        </w:rPr>
      </w:pPr>
      <w:r>
        <w:rPr>
          <w:rFonts w:hint="eastAsia" w:ascii="宋体" w:hAnsi="宋体"/>
          <w:color w:val="000000"/>
          <w:spacing w:val="26"/>
          <w:sz w:val="28"/>
        </w:rPr>
        <w:t>法定代表人：</w:t>
      </w:r>
      <w:r>
        <w:rPr>
          <w:rFonts w:hint="eastAsia" w:ascii="宋体" w:hAnsi="宋体"/>
          <w:color w:val="000000"/>
          <w:spacing w:val="26"/>
          <w:sz w:val="28"/>
          <w:u w:val="single"/>
        </w:rPr>
        <w:t xml:space="preserve">        黄国著                      </w:t>
      </w:r>
    </w:p>
    <w:p w14:paraId="6B0F7A94">
      <w:pPr>
        <w:spacing w:line="360" w:lineRule="auto"/>
        <w:rPr>
          <w:rFonts w:hint="eastAsia" w:ascii="宋体" w:hAnsi="宋体"/>
          <w:color w:val="000000"/>
          <w:spacing w:val="26"/>
          <w:sz w:val="28"/>
          <w:u w:val="single"/>
        </w:rPr>
      </w:pPr>
      <w:r>
        <w:rPr>
          <w:rFonts w:hint="eastAsia" w:ascii="宋体" w:hAnsi="宋体"/>
          <w:color w:val="000000"/>
          <w:spacing w:val="26"/>
          <w:sz w:val="28"/>
        </w:rPr>
        <w:t>项目联系人：</w:t>
      </w:r>
      <w:r>
        <w:rPr>
          <w:rFonts w:hint="eastAsia" w:ascii="宋体" w:hAnsi="宋体"/>
          <w:color w:val="000000"/>
          <w:spacing w:val="26"/>
          <w:sz w:val="28"/>
          <w:u w:val="single"/>
        </w:rPr>
        <w:t xml:space="preserve">        黄国著                     </w:t>
      </w:r>
    </w:p>
    <w:p w14:paraId="1D0FC4C8">
      <w:pPr>
        <w:spacing w:line="360" w:lineRule="auto"/>
        <w:rPr>
          <w:rFonts w:hint="eastAsia" w:ascii="宋体" w:hAnsi="宋体"/>
          <w:color w:val="000000"/>
          <w:spacing w:val="26"/>
          <w:sz w:val="28"/>
          <w:u w:val="single"/>
        </w:rPr>
      </w:pPr>
      <w:r>
        <w:rPr>
          <w:rFonts w:hint="eastAsia" w:ascii="宋体" w:hAnsi="宋体"/>
          <w:color w:val="000000"/>
          <w:spacing w:val="26"/>
          <w:sz w:val="28"/>
        </w:rPr>
        <w:t>联系方式：</w:t>
      </w:r>
      <w:r>
        <w:rPr>
          <w:rFonts w:hint="eastAsia" w:ascii="宋体" w:hAnsi="宋体"/>
          <w:color w:val="000000"/>
          <w:spacing w:val="26"/>
          <w:sz w:val="28"/>
          <w:u w:val="single"/>
        </w:rPr>
        <w:t xml:space="preserve">       0692-2111959                  </w:t>
      </w:r>
    </w:p>
    <w:p w14:paraId="0BDE104F">
      <w:pPr>
        <w:spacing w:line="360" w:lineRule="auto"/>
        <w:rPr>
          <w:rFonts w:hint="eastAsia" w:ascii="宋体" w:hAnsi="宋体"/>
          <w:color w:val="000000"/>
          <w:spacing w:val="26"/>
          <w:sz w:val="28"/>
          <w:u w:val="single"/>
        </w:rPr>
      </w:pPr>
      <w:r>
        <w:rPr>
          <w:rFonts w:hint="eastAsia" w:ascii="宋体" w:hAnsi="宋体"/>
          <w:color w:val="000000"/>
          <w:spacing w:val="26"/>
          <w:sz w:val="28"/>
        </w:rPr>
        <w:t>通讯地址：</w:t>
      </w:r>
      <w:r>
        <w:rPr>
          <w:rFonts w:hint="eastAsia" w:ascii="宋体" w:hAnsi="宋体"/>
          <w:color w:val="000000"/>
          <w:spacing w:val="26"/>
          <w:sz w:val="28"/>
          <w:u w:val="single"/>
        </w:rPr>
        <w:t xml:space="preserve">  </w:t>
      </w:r>
      <w:r>
        <w:rPr>
          <w:rFonts w:hint="eastAsia" w:ascii="宋体" w:hAnsi="宋体"/>
          <w:color w:val="000000"/>
          <w:sz w:val="28"/>
          <w:szCs w:val="28"/>
          <w:u w:val="single"/>
        </w:rPr>
        <w:t>云南省德宏州芒市勐焕路19号</w:t>
      </w:r>
      <w:r>
        <w:rPr>
          <w:rFonts w:hint="eastAsia" w:ascii="宋体" w:hAnsi="宋体"/>
          <w:color w:val="000000"/>
          <w:spacing w:val="26"/>
          <w:sz w:val="28"/>
          <w:u w:val="single"/>
        </w:rPr>
        <w:t xml:space="preserve">              </w:t>
      </w:r>
    </w:p>
    <w:p w14:paraId="0E46BDF3">
      <w:pPr>
        <w:spacing w:line="360" w:lineRule="auto"/>
        <w:rPr>
          <w:rFonts w:hint="eastAsia" w:ascii="宋体" w:hAnsi="宋体"/>
          <w:color w:val="000000"/>
          <w:spacing w:val="26"/>
          <w:sz w:val="28"/>
          <w:u w:val="single"/>
        </w:rPr>
      </w:pPr>
      <w:r>
        <w:rPr>
          <w:rFonts w:hint="eastAsia" w:ascii="宋体" w:hAnsi="宋体"/>
          <w:color w:val="000000"/>
          <w:spacing w:val="26"/>
          <w:sz w:val="28"/>
        </w:rPr>
        <w:t>电    话：</w:t>
      </w:r>
      <w:r>
        <w:rPr>
          <w:rFonts w:hint="eastAsia" w:ascii="宋体" w:hAnsi="宋体"/>
          <w:color w:val="000000"/>
          <w:spacing w:val="26"/>
          <w:sz w:val="28"/>
          <w:u w:val="single"/>
        </w:rPr>
        <w:t xml:space="preserve">             </w:t>
      </w:r>
      <w:r>
        <w:rPr>
          <w:rFonts w:hint="eastAsia" w:ascii="宋体" w:hAnsi="宋体"/>
          <w:color w:val="000000"/>
          <w:spacing w:val="26"/>
          <w:sz w:val="28"/>
        </w:rPr>
        <w:t xml:space="preserve">   传真：</w:t>
      </w:r>
      <w:r>
        <w:rPr>
          <w:rFonts w:hint="eastAsia" w:ascii="宋体" w:hAnsi="宋体"/>
          <w:color w:val="000000"/>
          <w:spacing w:val="26"/>
          <w:sz w:val="28"/>
          <w:u w:val="single"/>
        </w:rPr>
        <w:t xml:space="preserve">            </w:t>
      </w:r>
    </w:p>
    <w:p w14:paraId="24B951FF">
      <w:pPr>
        <w:spacing w:line="360" w:lineRule="auto"/>
        <w:rPr>
          <w:rFonts w:hint="eastAsia" w:ascii="宋体" w:hAnsi="宋体"/>
          <w:color w:val="000000"/>
          <w:spacing w:val="26"/>
          <w:sz w:val="28"/>
          <w:u w:val="single"/>
        </w:rPr>
      </w:pPr>
      <w:r>
        <w:rPr>
          <w:rFonts w:hint="eastAsia" w:ascii="宋体" w:hAnsi="宋体"/>
          <w:color w:val="000000"/>
          <w:spacing w:val="26"/>
          <w:sz w:val="28"/>
        </w:rPr>
        <w:t>电子信箱：</w:t>
      </w:r>
      <w:r>
        <w:rPr>
          <w:rFonts w:hint="eastAsia" w:ascii="宋体" w:hAnsi="宋体"/>
          <w:color w:val="000000"/>
          <w:spacing w:val="26"/>
          <w:sz w:val="28"/>
          <w:u w:val="single"/>
        </w:rPr>
        <w:t xml:space="preserve">                                   </w:t>
      </w:r>
    </w:p>
    <w:p w14:paraId="5B8C48D4">
      <w:pPr>
        <w:spacing w:line="360" w:lineRule="auto"/>
        <w:rPr>
          <w:rFonts w:hint="eastAsia" w:ascii="宋体" w:hAnsi="宋体"/>
          <w:color w:val="000000"/>
          <w:spacing w:val="26"/>
          <w:sz w:val="28"/>
          <w:u w:val="single"/>
        </w:rPr>
      </w:pPr>
      <w:r>
        <w:rPr>
          <w:rFonts w:hint="eastAsia" w:ascii="宋体" w:hAnsi="宋体"/>
          <w:color w:val="000000"/>
          <w:spacing w:val="26"/>
          <w:sz w:val="28"/>
        </w:rPr>
        <w:t>受托方（乙方）：</w:t>
      </w:r>
      <w:r>
        <w:rPr>
          <w:rFonts w:hint="eastAsia" w:ascii="宋体" w:hAnsi="宋体"/>
          <w:color w:val="000000"/>
          <w:spacing w:val="26"/>
          <w:sz w:val="28"/>
          <w:u w:val="single"/>
        </w:rPr>
        <w:t xml:space="preserve">  </w:t>
      </w:r>
      <w:r>
        <w:rPr>
          <w:rFonts w:hint="eastAsia" w:ascii="宋体" w:hAnsi="宋体"/>
          <w:color w:val="000000"/>
          <w:sz w:val="28"/>
          <w:u w:val="single"/>
        </w:rPr>
        <w:t xml:space="preserve">云南七彩环境咨询有限公司  </w:t>
      </w:r>
      <w:r>
        <w:rPr>
          <w:rFonts w:hint="eastAsia" w:ascii="宋体" w:hAnsi="宋体"/>
          <w:color w:val="000000"/>
          <w:spacing w:val="26"/>
          <w:sz w:val="28"/>
          <w:u w:val="single"/>
        </w:rPr>
        <w:t xml:space="preserve">            </w:t>
      </w:r>
    </w:p>
    <w:p w14:paraId="50EAC786">
      <w:pPr>
        <w:spacing w:line="360" w:lineRule="auto"/>
        <w:rPr>
          <w:rFonts w:hint="eastAsia" w:ascii="宋体" w:hAnsi="宋体"/>
          <w:color w:val="000000"/>
          <w:spacing w:val="26"/>
          <w:sz w:val="28"/>
          <w:u w:val="single"/>
        </w:rPr>
      </w:pPr>
      <w:r>
        <w:rPr>
          <w:rFonts w:hint="eastAsia" w:ascii="宋体" w:hAnsi="宋体"/>
          <w:color w:val="000000"/>
          <w:spacing w:val="26"/>
          <w:sz w:val="28"/>
        </w:rPr>
        <w:t>住  所  地：</w:t>
      </w:r>
      <w:r>
        <w:rPr>
          <w:rFonts w:hint="eastAsia" w:ascii="宋体" w:hAnsi="宋体"/>
          <w:color w:val="000000"/>
          <w:spacing w:val="26"/>
          <w:sz w:val="28"/>
          <w:u w:val="single"/>
        </w:rPr>
        <w:t xml:space="preserve">  云南省曲靖开发区锦华山水缘小区翠连4幢第1-2层翠连4号      </w:t>
      </w:r>
    </w:p>
    <w:p w14:paraId="448EAD57">
      <w:pPr>
        <w:spacing w:line="360" w:lineRule="auto"/>
        <w:rPr>
          <w:rFonts w:hint="eastAsia" w:ascii="宋体" w:hAnsi="宋体"/>
          <w:color w:val="000000"/>
          <w:spacing w:val="26"/>
          <w:sz w:val="28"/>
          <w:u w:val="single"/>
        </w:rPr>
      </w:pPr>
      <w:r>
        <w:rPr>
          <w:rFonts w:hint="eastAsia" w:ascii="宋体" w:hAnsi="宋体"/>
          <w:color w:val="000000"/>
          <w:spacing w:val="26"/>
          <w:sz w:val="28"/>
        </w:rPr>
        <w:t>法定代表人：</w:t>
      </w:r>
      <w:r>
        <w:rPr>
          <w:rFonts w:hint="eastAsia" w:ascii="宋体" w:hAnsi="宋体"/>
          <w:color w:val="000000"/>
          <w:spacing w:val="26"/>
          <w:sz w:val="28"/>
          <w:u w:val="single"/>
        </w:rPr>
        <w:t xml:space="preserve">     刘东生                          </w:t>
      </w:r>
    </w:p>
    <w:p w14:paraId="55CB90DB">
      <w:pPr>
        <w:spacing w:line="360" w:lineRule="auto"/>
        <w:rPr>
          <w:rFonts w:hint="eastAsia" w:ascii="宋体" w:hAnsi="宋体"/>
          <w:color w:val="000000"/>
          <w:spacing w:val="26"/>
          <w:sz w:val="28"/>
          <w:u w:val="single"/>
        </w:rPr>
      </w:pPr>
      <w:r>
        <w:rPr>
          <w:rFonts w:hint="eastAsia" w:ascii="宋体" w:hAnsi="宋体"/>
          <w:color w:val="000000"/>
          <w:spacing w:val="26"/>
          <w:sz w:val="28"/>
        </w:rPr>
        <w:t>项目联系人：</w:t>
      </w:r>
      <w:r>
        <w:rPr>
          <w:rFonts w:hint="eastAsia" w:ascii="宋体" w:hAnsi="宋体"/>
          <w:color w:val="000000"/>
          <w:spacing w:val="26"/>
          <w:sz w:val="28"/>
          <w:u w:val="single"/>
        </w:rPr>
        <w:t xml:space="preserve">      胡文娴                               </w:t>
      </w:r>
    </w:p>
    <w:p w14:paraId="6BE94BE7">
      <w:pPr>
        <w:spacing w:line="360" w:lineRule="auto"/>
        <w:rPr>
          <w:rFonts w:hint="eastAsia" w:ascii="宋体" w:hAnsi="宋体"/>
          <w:color w:val="000000"/>
          <w:spacing w:val="26"/>
          <w:sz w:val="28"/>
          <w:u w:val="single"/>
        </w:rPr>
      </w:pPr>
      <w:r>
        <w:rPr>
          <w:rFonts w:hint="eastAsia" w:ascii="宋体" w:hAnsi="宋体"/>
          <w:color w:val="000000"/>
          <w:spacing w:val="26"/>
          <w:sz w:val="28"/>
        </w:rPr>
        <w:t xml:space="preserve">联系方式： </w:t>
      </w:r>
      <w:r>
        <w:rPr>
          <w:rFonts w:hint="eastAsia" w:ascii="宋体" w:hAnsi="宋体"/>
          <w:color w:val="000000"/>
          <w:spacing w:val="26"/>
          <w:sz w:val="28"/>
          <w:u w:val="single"/>
        </w:rPr>
        <w:t xml:space="preserve">13759154397  </w:t>
      </w:r>
    </w:p>
    <w:p w14:paraId="5F3514AB">
      <w:pPr>
        <w:spacing w:line="360" w:lineRule="auto"/>
        <w:rPr>
          <w:rFonts w:hint="eastAsia" w:ascii="宋体" w:hAnsi="宋体"/>
          <w:color w:val="000000"/>
          <w:spacing w:val="26"/>
          <w:sz w:val="28"/>
        </w:rPr>
      </w:pPr>
      <w:r>
        <w:rPr>
          <w:rFonts w:hint="eastAsia" w:ascii="宋体" w:hAnsi="宋体"/>
          <w:color w:val="000000"/>
          <w:spacing w:val="26"/>
          <w:sz w:val="28"/>
        </w:rPr>
        <w:t>通讯地址：</w:t>
      </w:r>
      <w:r>
        <w:rPr>
          <w:rFonts w:hint="eastAsia" w:ascii="宋体" w:hAnsi="宋体"/>
          <w:color w:val="000000"/>
          <w:spacing w:val="26"/>
          <w:sz w:val="28"/>
          <w:u w:val="single"/>
        </w:rPr>
        <w:t xml:space="preserve">  云南省曲靖开发区锦华山水缘小区翠连4幢第1-2层翠连4号          </w:t>
      </w:r>
    </w:p>
    <w:p w14:paraId="38992E69">
      <w:pPr>
        <w:rPr>
          <w:rFonts w:hint="eastAsia" w:ascii="宋体" w:hAnsi="宋体"/>
          <w:color w:val="000000"/>
          <w:sz w:val="28"/>
        </w:rPr>
      </w:pPr>
    </w:p>
    <w:p w14:paraId="6464D2E4">
      <w:pPr>
        <w:rPr>
          <w:rFonts w:hint="eastAsia" w:ascii="宋体" w:hAnsi="宋体"/>
          <w:color w:val="000000"/>
          <w:sz w:val="28"/>
        </w:rPr>
      </w:pPr>
    </w:p>
    <w:p w14:paraId="122D8ABE">
      <w:pPr>
        <w:rPr>
          <w:rFonts w:hint="eastAsia" w:ascii="宋体" w:hAnsi="宋体"/>
          <w:color w:val="000000"/>
          <w:sz w:val="28"/>
        </w:rPr>
      </w:pPr>
    </w:p>
    <w:p w14:paraId="07B02F8C">
      <w:pPr>
        <w:rPr>
          <w:rFonts w:hint="eastAsia" w:ascii="宋体" w:hAnsi="宋体"/>
          <w:color w:val="000000"/>
          <w:sz w:val="28"/>
        </w:rPr>
      </w:pPr>
    </w:p>
    <w:p w14:paraId="354D9A68">
      <w:pPr>
        <w:rPr>
          <w:rFonts w:hint="eastAsia" w:ascii="宋体" w:hAnsi="宋体"/>
          <w:color w:val="000000"/>
          <w:sz w:val="28"/>
        </w:rPr>
      </w:pPr>
    </w:p>
    <w:p w14:paraId="1EFC82E4">
      <w:pPr>
        <w:rPr>
          <w:rFonts w:hint="eastAsia" w:ascii="宋体" w:hAnsi="宋体"/>
          <w:color w:val="000000"/>
          <w:sz w:val="28"/>
        </w:rPr>
      </w:pPr>
    </w:p>
    <w:p w14:paraId="4E907180">
      <w:pPr>
        <w:rPr>
          <w:rFonts w:hint="eastAsia" w:ascii="宋体" w:hAnsi="宋体"/>
          <w:color w:val="000000"/>
          <w:sz w:val="28"/>
        </w:rPr>
      </w:pPr>
    </w:p>
    <w:p w14:paraId="1B4CEC7A">
      <w:pPr>
        <w:rPr>
          <w:rFonts w:hint="eastAsia" w:ascii="宋体" w:hAnsi="宋体"/>
          <w:color w:val="000000"/>
          <w:sz w:val="28"/>
        </w:rPr>
      </w:pPr>
    </w:p>
    <w:p w14:paraId="36BA970E">
      <w:pPr>
        <w:rPr>
          <w:rFonts w:hint="eastAsia" w:ascii="宋体" w:hAnsi="宋体"/>
          <w:color w:val="000000"/>
          <w:sz w:val="28"/>
        </w:rPr>
      </w:pPr>
    </w:p>
    <w:p w14:paraId="6D435D92">
      <w:pPr>
        <w:rPr>
          <w:rFonts w:hint="eastAsia" w:ascii="宋体" w:hAnsi="宋体"/>
          <w:color w:val="000000"/>
          <w:sz w:val="28"/>
        </w:rPr>
      </w:pPr>
    </w:p>
    <w:p w14:paraId="11AEFA03">
      <w:pPr>
        <w:spacing w:line="360" w:lineRule="auto"/>
        <w:ind w:firstLine="560"/>
        <w:rPr>
          <w:rFonts w:hint="eastAsia" w:ascii="宋体" w:hAnsi="宋体"/>
          <w:color w:val="000000"/>
          <w:sz w:val="28"/>
        </w:rPr>
      </w:pPr>
      <w:r>
        <w:rPr>
          <w:rFonts w:hint="eastAsia" w:ascii="宋体" w:hAnsi="宋体"/>
          <w:color w:val="000000"/>
          <w:sz w:val="28"/>
        </w:rPr>
        <w:t>本合同甲方委托乙方就</w:t>
      </w:r>
      <w:r>
        <w:rPr>
          <w:rFonts w:hint="eastAsia" w:ascii="宋体" w:hAnsi="宋体"/>
          <w:color w:val="000000"/>
          <w:sz w:val="28"/>
          <w:szCs w:val="28"/>
          <w:u w:val="single"/>
        </w:rPr>
        <w:t>芒市妇幼保健院迁建</w:t>
      </w:r>
      <w:r>
        <w:rPr>
          <w:rFonts w:ascii="宋体" w:hAnsi="宋体"/>
          <w:color w:val="000000"/>
          <w:sz w:val="28"/>
          <w:szCs w:val="28"/>
          <w:u w:val="single"/>
        </w:rPr>
        <w:t>项目</w:t>
      </w:r>
      <w:r>
        <w:rPr>
          <w:rFonts w:hint="eastAsia" w:ascii="宋体" w:hAnsi="宋体"/>
          <w:color w:val="000000"/>
          <w:sz w:val="28"/>
          <w:szCs w:val="28"/>
          <w:u w:val="single"/>
        </w:rPr>
        <w:t>环境影响报告书</w:t>
      </w:r>
      <w:r>
        <w:rPr>
          <w:rFonts w:hint="eastAsia" w:ascii="宋体" w:hAnsi="宋体"/>
          <w:color w:val="000000"/>
          <w:sz w:val="28"/>
        </w:rPr>
        <w:t>进行技术咨询，并支付咨询报酬。双方经过平等协商，在真实、充分地表达各自意愿的基础上，根据《中华人民共和国合同法》的规定，达成如下协议，并由双方共同恪守。</w:t>
      </w:r>
    </w:p>
    <w:p w14:paraId="3EEBD843">
      <w:pPr>
        <w:spacing w:line="360" w:lineRule="auto"/>
        <w:rPr>
          <w:rFonts w:hint="eastAsia" w:ascii="宋体" w:hAnsi="宋体"/>
          <w:color w:val="000000"/>
          <w:sz w:val="28"/>
        </w:rPr>
      </w:pPr>
      <w:r>
        <w:rPr>
          <w:rFonts w:hint="eastAsia" w:ascii="宋体" w:hAnsi="宋体"/>
          <w:color w:val="000000"/>
          <w:sz w:val="28"/>
        </w:rPr>
        <w:t xml:space="preserve">    第一条  乙方进行技术咨询的内容、要求和方式：</w:t>
      </w:r>
    </w:p>
    <w:p w14:paraId="0DE91D9F">
      <w:pPr>
        <w:spacing w:line="360" w:lineRule="auto"/>
        <w:ind w:firstLine="560"/>
        <w:rPr>
          <w:rFonts w:hint="eastAsia" w:ascii="宋体" w:hAnsi="宋体"/>
          <w:color w:val="000000"/>
          <w:sz w:val="28"/>
          <w:u w:val="single"/>
        </w:rPr>
      </w:pPr>
      <w:r>
        <w:rPr>
          <w:rFonts w:hint="eastAsia" w:ascii="宋体" w:hAnsi="宋体"/>
          <w:color w:val="000000"/>
          <w:sz w:val="28"/>
        </w:rPr>
        <w:t>1、咨询内容：</w:t>
      </w:r>
      <w:r>
        <w:rPr>
          <w:rFonts w:hint="eastAsia" w:ascii="宋体" w:hAnsi="宋体"/>
          <w:color w:val="000000"/>
          <w:sz w:val="28"/>
          <w:u w:val="single"/>
        </w:rPr>
        <w:t xml:space="preserve">  乙方在资料收集、现场考察及工程分析的基础上，按照建设项目环境影响评价规范及要求，完成《</w:t>
      </w:r>
      <w:r>
        <w:rPr>
          <w:rFonts w:hint="eastAsia" w:ascii="宋体" w:hAnsi="宋体"/>
          <w:color w:val="000000"/>
          <w:sz w:val="28"/>
          <w:szCs w:val="28"/>
          <w:u w:val="single"/>
        </w:rPr>
        <w:t>芒市妇幼保健院迁建</w:t>
      </w:r>
      <w:r>
        <w:rPr>
          <w:rFonts w:ascii="宋体" w:hAnsi="宋体"/>
          <w:color w:val="000000"/>
          <w:sz w:val="28"/>
          <w:szCs w:val="28"/>
          <w:u w:val="single"/>
        </w:rPr>
        <w:t>项目</w:t>
      </w:r>
      <w:r>
        <w:rPr>
          <w:rFonts w:hint="eastAsia" w:ascii="宋体" w:hAnsi="宋体"/>
          <w:color w:val="000000"/>
          <w:sz w:val="28"/>
          <w:szCs w:val="28"/>
          <w:u w:val="single"/>
        </w:rPr>
        <w:t>环境影响报告书</w:t>
      </w:r>
      <w:r>
        <w:rPr>
          <w:rFonts w:hint="eastAsia" w:ascii="宋体" w:hAnsi="宋体"/>
          <w:color w:val="000000"/>
          <w:sz w:val="28"/>
          <w:u w:val="single"/>
        </w:rPr>
        <w:t>》(以下简称《环评报告书》)，提供给甲方并报审批单位审批。</w:t>
      </w:r>
    </w:p>
    <w:p w14:paraId="132BE55F">
      <w:pPr>
        <w:spacing w:line="360" w:lineRule="auto"/>
        <w:ind w:firstLine="560"/>
        <w:rPr>
          <w:rFonts w:hint="eastAsia" w:ascii="宋体" w:hAnsi="宋体"/>
          <w:color w:val="000000"/>
          <w:sz w:val="28"/>
          <w:u w:val="single"/>
        </w:rPr>
      </w:pPr>
      <w:r>
        <w:rPr>
          <w:rFonts w:hint="eastAsia" w:ascii="宋体" w:hAnsi="宋体"/>
          <w:color w:val="000000"/>
          <w:sz w:val="28"/>
        </w:rPr>
        <w:t>2、咨询要求：</w:t>
      </w:r>
      <w:r>
        <w:rPr>
          <w:rFonts w:hint="eastAsia" w:ascii="宋体" w:hAnsi="宋体"/>
          <w:color w:val="000000"/>
          <w:sz w:val="28"/>
          <w:u w:val="single"/>
        </w:rPr>
        <w:t xml:space="preserve"> 严格按照国家建设项目环境影响评价的规范，在资料收集、现场勘察及工程分析的基础上，高质量完成建设项目环境影响报告表的编制，并协助甲方报环保部门审批，按要求做好修改工作，直至通过环评审批。                                     </w:t>
      </w:r>
    </w:p>
    <w:p w14:paraId="4555515F">
      <w:pPr>
        <w:spacing w:line="360" w:lineRule="auto"/>
        <w:ind w:firstLine="560"/>
        <w:rPr>
          <w:rFonts w:hint="eastAsia" w:ascii="宋体" w:hAnsi="宋体"/>
          <w:color w:val="000000"/>
          <w:sz w:val="28"/>
          <w:u w:val="single"/>
        </w:rPr>
      </w:pPr>
      <w:r>
        <w:rPr>
          <w:rFonts w:hint="eastAsia" w:ascii="宋体" w:hAnsi="宋体"/>
          <w:color w:val="000000"/>
          <w:sz w:val="28"/>
        </w:rPr>
        <w:t>3、咨询方式：</w:t>
      </w:r>
      <w:r>
        <w:rPr>
          <w:rFonts w:hint="eastAsia" w:ascii="宋体" w:hAnsi="宋体"/>
          <w:color w:val="000000"/>
          <w:sz w:val="28"/>
          <w:u w:val="single"/>
        </w:rPr>
        <w:t xml:space="preserve"> 乙方对甲方的建设项目进行环境影响评价， 提交《环评报告书》。                                                 </w:t>
      </w:r>
    </w:p>
    <w:p w14:paraId="204A33A3">
      <w:pPr>
        <w:spacing w:line="360" w:lineRule="auto"/>
        <w:ind w:firstLine="560"/>
        <w:rPr>
          <w:rFonts w:hint="eastAsia" w:ascii="宋体" w:hAnsi="宋体"/>
          <w:color w:val="000000"/>
          <w:sz w:val="28"/>
          <w:u w:val="single"/>
        </w:rPr>
      </w:pPr>
      <w:r>
        <w:rPr>
          <w:rFonts w:hint="eastAsia" w:ascii="宋体" w:hAnsi="宋体"/>
          <w:color w:val="000000"/>
          <w:sz w:val="28"/>
        </w:rPr>
        <w:t xml:space="preserve">第二条  乙方应当按照下列进度要求进行本合同项目的技术咨询工作： </w:t>
      </w:r>
    </w:p>
    <w:p w14:paraId="0CB34E97">
      <w:pPr>
        <w:spacing w:line="360" w:lineRule="auto"/>
        <w:ind w:firstLine="648"/>
        <w:rPr>
          <w:rFonts w:hint="eastAsia" w:ascii="宋体" w:hAnsi="宋体"/>
          <w:color w:val="000000"/>
          <w:spacing w:val="22"/>
          <w:sz w:val="28"/>
          <w:u w:val="single"/>
        </w:rPr>
      </w:pPr>
      <w:r>
        <w:rPr>
          <w:rFonts w:hint="eastAsia" w:ascii="宋体" w:hAnsi="宋体"/>
          <w:color w:val="000000"/>
          <w:spacing w:val="22"/>
          <w:sz w:val="28"/>
          <w:u w:val="single"/>
        </w:rPr>
        <w:t>1、</w:t>
      </w:r>
      <w:r>
        <w:rPr>
          <w:rFonts w:hint="eastAsia" w:ascii="宋体" w:hAnsi="宋体"/>
          <w:color w:val="000000"/>
          <w:sz w:val="28"/>
          <w:u w:val="single"/>
        </w:rPr>
        <w:t>合同签订当天向甲方提供所需要的资料清单</w:t>
      </w:r>
      <w:r>
        <w:rPr>
          <w:rFonts w:hint="eastAsia" w:ascii="宋体" w:hAnsi="宋体"/>
          <w:color w:val="000000"/>
          <w:spacing w:val="22"/>
          <w:sz w:val="28"/>
          <w:u w:val="single"/>
        </w:rPr>
        <w:t xml:space="preserve"> </w:t>
      </w:r>
      <w:r>
        <w:rPr>
          <w:rFonts w:hint="eastAsia" w:ascii="宋体" w:hAnsi="宋体"/>
          <w:color w:val="000000"/>
          <w:spacing w:val="22"/>
          <w:sz w:val="28"/>
        </w:rPr>
        <w:t>；</w:t>
      </w:r>
    </w:p>
    <w:p w14:paraId="7D7B31A7">
      <w:pPr>
        <w:spacing w:line="360" w:lineRule="auto"/>
        <w:ind w:firstLine="648"/>
        <w:rPr>
          <w:rFonts w:hint="eastAsia" w:ascii="宋体" w:hAnsi="宋体"/>
          <w:color w:val="000000"/>
          <w:sz w:val="28"/>
          <w:u w:val="single"/>
        </w:rPr>
      </w:pPr>
      <w:r>
        <w:rPr>
          <w:rFonts w:hint="eastAsia" w:ascii="宋体" w:hAnsi="宋体"/>
          <w:color w:val="000000"/>
          <w:spacing w:val="22"/>
          <w:sz w:val="28"/>
          <w:u w:val="single"/>
        </w:rPr>
        <w:t>2、</w:t>
      </w:r>
      <w:r>
        <w:rPr>
          <w:rFonts w:hint="eastAsia" w:ascii="宋体" w:hAnsi="宋体"/>
          <w:bCs/>
          <w:color w:val="000000"/>
          <w:sz w:val="28"/>
          <w:u w:val="single"/>
        </w:rPr>
        <w:t>甲方提交的资料完备后，</w:t>
      </w:r>
      <w:r>
        <w:rPr>
          <w:rFonts w:hint="eastAsia" w:ascii="宋体" w:hAnsi="宋体"/>
          <w:color w:val="000000"/>
          <w:sz w:val="28"/>
          <w:u w:val="single"/>
        </w:rPr>
        <w:t>30个工作日内完成《环评报告书》的编制，并协助甲方报批《环评报告书》，同时向甲方提交评审所需的《环评报告书》(数量根据评审需要而定)。按评审专家及环评审批部门批复意见对《环评报告书》进行修改完善后，向甲方提交4份《环评报告书》修改稿。</w:t>
      </w:r>
    </w:p>
    <w:p w14:paraId="201E3780">
      <w:pPr>
        <w:spacing w:line="360" w:lineRule="auto"/>
        <w:ind w:firstLine="560"/>
        <w:rPr>
          <w:rFonts w:hint="eastAsia" w:ascii="宋体" w:hAnsi="宋体"/>
          <w:color w:val="000000"/>
          <w:sz w:val="28"/>
        </w:rPr>
      </w:pPr>
      <w:r>
        <w:rPr>
          <w:rFonts w:hint="eastAsia" w:ascii="宋体" w:hAnsi="宋体"/>
          <w:color w:val="000000"/>
          <w:sz w:val="28"/>
        </w:rPr>
        <w:t>第三条  为保证乙方有效进行技术咨询工作，甲方应当向乙方提供下列协作事项：</w:t>
      </w:r>
    </w:p>
    <w:p w14:paraId="12B35E7B">
      <w:pPr>
        <w:spacing w:line="360" w:lineRule="auto"/>
        <w:ind w:firstLine="560"/>
        <w:rPr>
          <w:rFonts w:hint="eastAsia" w:ascii="宋体" w:hAnsi="宋体"/>
          <w:color w:val="000000"/>
          <w:sz w:val="28"/>
        </w:rPr>
      </w:pPr>
      <w:r>
        <w:rPr>
          <w:rFonts w:hint="eastAsia" w:ascii="宋体" w:hAnsi="宋体"/>
          <w:color w:val="000000"/>
          <w:sz w:val="28"/>
        </w:rPr>
        <w:t>1、提供技术资料：</w:t>
      </w:r>
    </w:p>
    <w:p w14:paraId="4D840FDC">
      <w:pPr>
        <w:spacing w:line="360" w:lineRule="auto"/>
        <w:ind w:firstLine="560"/>
        <w:rPr>
          <w:rFonts w:hint="eastAsia" w:ascii="宋体" w:hAnsi="宋体"/>
          <w:color w:val="000000"/>
          <w:sz w:val="28"/>
          <w:u w:val="single"/>
        </w:rPr>
      </w:pPr>
      <w:r>
        <w:rPr>
          <w:rFonts w:hint="eastAsia" w:ascii="宋体" w:hAnsi="宋体"/>
          <w:color w:val="000000"/>
          <w:sz w:val="28"/>
        </w:rPr>
        <w:t>（1）</w:t>
      </w:r>
      <w:r>
        <w:rPr>
          <w:rFonts w:hint="eastAsia" w:ascii="宋体" w:hAnsi="宋体"/>
          <w:color w:val="000000"/>
          <w:sz w:val="28"/>
          <w:u w:val="single"/>
        </w:rPr>
        <w:t xml:space="preserve">  在合同签订一周内，按乙方“资料清单”提供资料；       </w:t>
      </w:r>
    </w:p>
    <w:p w14:paraId="3A52F55B">
      <w:pPr>
        <w:spacing w:line="360" w:lineRule="auto"/>
        <w:ind w:firstLine="560"/>
        <w:rPr>
          <w:rFonts w:hint="eastAsia" w:ascii="宋体" w:hAnsi="宋体"/>
          <w:color w:val="000000"/>
          <w:sz w:val="28"/>
          <w:u w:val="single"/>
        </w:rPr>
      </w:pPr>
      <w:r>
        <w:rPr>
          <w:rFonts w:hint="eastAsia" w:ascii="宋体" w:hAnsi="宋体"/>
          <w:color w:val="000000"/>
          <w:sz w:val="28"/>
        </w:rPr>
        <w:t>（2）</w:t>
      </w:r>
      <w:r>
        <w:rPr>
          <w:rFonts w:hint="eastAsia" w:ascii="宋体" w:hAnsi="宋体"/>
          <w:color w:val="000000"/>
          <w:sz w:val="28"/>
          <w:u w:val="single"/>
        </w:rPr>
        <w:t xml:space="preserve">  对资料的真实性负责                                  </w:t>
      </w:r>
    </w:p>
    <w:p w14:paraId="639E6677">
      <w:pPr>
        <w:spacing w:line="360" w:lineRule="auto"/>
        <w:ind w:firstLine="560"/>
        <w:rPr>
          <w:rFonts w:hint="eastAsia" w:ascii="宋体" w:hAnsi="宋体"/>
          <w:color w:val="000000"/>
          <w:sz w:val="28"/>
        </w:rPr>
      </w:pPr>
      <w:r>
        <w:rPr>
          <w:rFonts w:hint="eastAsia" w:ascii="宋体" w:hAnsi="宋体"/>
          <w:color w:val="000000"/>
          <w:sz w:val="28"/>
        </w:rPr>
        <w:t>2、提供工作条件：</w:t>
      </w:r>
    </w:p>
    <w:p w14:paraId="7B7ABFEE">
      <w:pPr>
        <w:spacing w:line="360" w:lineRule="auto"/>
        <w:ind w:firstLine="560"/>
        <w:rPr>
          <w:rFonts w:hint="eastAsia" w:ascii="宋体" w:hAnsi="宋体"/>
          <w:color w:val="000000"/>
          <w:sz w:val="28"/>
          <w:u w:val="single"/>
        </w:rPr>
      </w:pPr>
      <w:r>
        <w:rPr>
          <w:rFonts w:hint="eastAsia" w:ascii="宋体" w:hAnsi="宋体"/>
          <w:color w:val="000000"/>
          <w:sz w:val="28"/>
        </w:rPr>
        <w:t>（1）</w:t>
      </w:r>
      <w:r>
        <w:rPr>
          <w:rFonts w:hint="eastAsia" w:ascii="宋体" w:hAnsi="宋体"/>
          <w:color w:val="000000"/>
          <w:sz w:val="28"/>
          <w:u w:val="single"/>
        </w:rPr>
        <w:t xml:space="preserve">  协助乙方勘察现场                                                 </w:t>
      </w:r>
    </w:p>
    <w:p w14:paraId="44563984">
      <w:pPr>
        <w:spacing w:line="360" w:lineRule="auto"/>
        <w:ind w:firstLine="560"/>
        <w:rPr>
          <w:rFonts w:hint="eastAsia" w:ascii="宋体" w:hAnsi="宋体"/>
          <w:color w:val="000000"/>
          <w:sz w:val="28"/>
          <w:u w:val="single"/>
        </w:rPr>
      </w:pPr>
      <w:r>
        <w:rPr>
          <w:rFonts w:hint="eastAsia" w:ascii="宋体" w:hAnsi="宋体"/>
          <w:color w:val="000000"/>
          <w:sz w:val="28"/>
        </w:rPr>
        <w:t>（2）</w:t>
      </w:r>
      <w:r>
        <w:rPr>
          <w:rFonts w:hint="eastAsia" w:ascii="宋体" w:hAnsi="宋体"/>
          <w:color w:val="000000"/>
          <w:sz w:val="28"/>
          <w:u w:val="single"/>
        </w:rPr>
        <w:t xml:space="preserve">  按约定及时向乙方支付环评工作经费                                                        </w:t>
      </w:r>
    </w:p>
    <w:p w14:paraId="1DF5D7EB">
      <w:pPr>
        <w:spacing w:line="360" w:lineRule="auto"/>
        <w:ind w:firstLine="700"/>
        <w:rPr>
          <w:rFonts w:hint="eastAsia" w:ascii="宋体" w:hAnsi="宋体"/>
          <w:color w:val="000000"/>
          <w:sz w:val="28"/>
          <w:u w:val="single"/>
        </w:rPr>
      </w:pPr>
      <w:r>
        <w:rPr>
          <w:rFonts w:hint="eastAsia" w:ascii="宋体" w:hAnsi="宋体"/>
          <w:color w:val="000000"/>
          <w:sz w:val="28"/>
        </w:rPr>
        <w:t>其他：</w:t>
      </w:r>
      <w:r>
        <w:rPr>
          <w:rFonts w:hint="eastAsia" w:ascii="宋体" w:hAnsi="宋体"/>
          <w:color w:val="000000"/>
          <w:sz w:val="28"/>
          <w:u w:val="single"/>
        </w:rPr>
        <w:t xml:space="preserve">  无                                                </w:t>
      </w:r>
    </w:p>
    <w:p w14:paraId="6118B83D">
      <w:pPr>
        <w:spacing w:line="360" w:lineRule="auto"/>
        <w:ind w:firstLine="700"/>
        <w:rPr>
          <w:rFonts w:hint="eastAsia" w:ascii="宋体" w:hAnsi="宋体"/>
          <w:color w:val="000000"/>
          <w:sz w:val="28"/>
        </w:rPr>
      </w:pPr>
      <w:r>
        <w:rPr>
          <w:rFonts w:hint="eastAsia" w:ascii="宋体" w:hAnsi="宋体"/>
          <w:color w:val="000000"/>
          <w:sz w:val="28"/>
        </w:rPr>
        <w:t>甲方提供上述协作事项的时间及方式：</w:t>
      </w:r>
      <w:r>
        <w:rPr>
          <w:rFonts w:hint="eastAsia" w:ascii="宋体" w:hAnsi="宋体"/>
          <w:color w:val="000000"/>
          <w:sz w:val="28"/>
          <w:u w:val="single"/>
        </w:rPr>
        <w:t xml:space="preserve"> 合同签订后一周内提供书面资料       </w:t>
      </w:r>
      <w:r>
        <w:rPr>
          <w:rFonts w:hint="eastAsia" w:ascii="宋体" w:hAnsi="宋体"/>
          <w:color w:val="000000"/>
          <w:sz w:val="28"/>
        </w:rPr>
        <w:t xml:space="preserve">。                              </w:t>
      </w:r>
    </w:p>
    <w:p w14:paraId="16EA73DD">
      <w:pPr>
        <w:spacing w:line="360" w:lineRule="auto"/>
        <w:ind w:firstLine="560"/>
        <w:rPr>
          <w:rFonts w:hint="eastAsia" w:ascii="宋体" w:hAnsi="宋体"/>
          <w:color w:val="000000"/>
          <w:sz w:val="28"/>
        </w:rPr>
      </w:pPr>
      <w:r>
        <w:rPr>
          <w:rFonts w:hint="eastAsia" w:ascii="宋体" w:hAnsi="宋体"/>
          <w:color w:val="000000"/>
          <w:sz w:val="28"/>
        </w:rPr>
        <w:t>第四条  甲方向乙方支付技术咨询报酬及支付方式为：</w:t>
      </w:r>
    </w:p>
    <w:p w14:paraId="4A4D5D8D">
      <w:pPr>
        <w:spacing w:line="360" w:lineRule="auto"/>
        <w:ind w:firstLine="560"/>
        <w:rPr>
          <w:rFonts w:hint="eastAsia" w:ascii="宋体" w:hAnsi="宋体"/>
          <w:color w:val="000000"/>
          <w:sz w:val="28"/>
        </w:rPr>
      </w:pPr>
      <w:r>
        <w:rPr>
          <w:rFonts w:hint="eastAsia" w:ascii="宋体" w:hAnsi="宋体"/>
          <w:color w:val="000000"/>
          <w:sz w:val="28"/>
        </w:rPr>
        <w:t>1、技术咨询报酬总额为：</w:t>
      </w:r>
      <w:r>
        <w:rPr>
          <w:rFonts w:hint="eastAsia" w:ascii="宋体" w:hAnsi="宋体"/>
          <w:color w:val="000000"/>
          <w:sz w:val="28"/>
          <w:u w:val="single"/>
        </w:rPr>
        <w:t xml:space="preserve"> 人民币肆万捌仟元整           </w:t>
      </w:r>
      <w:r>
        <w:rPr>
          <w:rFonts w:hint="eastAsia" w:ascii="宋体" w:hAnsi="宋体"/>
          <w:color w:val="000000"/>
          <w:sz w:val="28"/>
        </w:rPr>
        <w:t>。</w:t>
      </w:r>
    </w:p>
    <w:p w14:paraId="1D8F8415">
      <w:pPr>
        <w:spacing w:line="360" w:lineRule="auto"/>
        <w:ind w:firstLine="560"/>
        <w:rPr>
          <w:rFonts w:hint="eastAsia" w:ascii="宋体" w:hAnsi="宋体"/>
          <w:color w:val="000000"/>
          <w:sz w:val="28"/>
          <w:u w:val="single"/>
        </w:rPr>
      </w:pPr>
      <w:r>
        <w:rPr>
          <w:rFonts w:hint="eastAsia" w:ascii="宋体" w:hAnsi="宋体"/>
          <w:color w:val="000000"/>
          <w:sz w:val="28"/>
        </w:rPr>
        <w:t>2、技术咨询报酬由甲方分</w:t>
      </w:r>
      <w:r>
        <w:rPr>
          <w:rFonts w:hint="eastAsia" w:ascii="宋体" w:hAnsi="宋体"/>
          <w:color w:val="000000"/>
          <w:sz w:val="28"/>
          <w:u w:val="single"/>
        </w:rPr>
        <w:t xml:space="preserve">  二  </w:t>
      </w:r>
      <w:r>
        <w:rPr>
          <w:rFonts w:hint="eastAsia" w:ascii="宋体" w:hAnsi="宋体"/>
          <w:color w:val="000000"/>
          <w:sz w:val="28"/>
        </w:rPr>
        <w:t>支付乙方。</w:t>
      </w:r>
    </w:p>
    <w:p w14:paraId="6764C342">
      <w:pPr>
        <w:ind w:firstLine="560"/>
        <w:rPr>
          <w:rFonts w:hint="eastAsia" w:ascii="宋体" w:hAnsi="宋体"/>
          <w:color w:val="000000"/>
          <w:sz w:val="28"/>
        </w:rPr>
      </w:pPr>
      <w:r>
        <w:rPr>
          <w:rFonts w:hint="eastAsia" w:ascii="宋体" w:hAnsi="宋体"/>
          <w:color w:val="000000"/>
          <w:sz w:val="28"/>
        </w:rPr>
        <w:t>具体支付方式和时间如下：</w:t>
      </w:r>
    </w:p>
    <w:p w14:paraId="607AACD5">
      <w:pPr>
        <w:ind w:firstLine="486"/>
        <w:rPr>
          <w:rFonts w:hint="eastAsia" w:ascii="宋体" w:hAnsi="宋体"/>
          <w:color w:val="000000"/>
          <w:spacing w:val="22"/>
          <w:sz w:val="28"/>
          <w:u w:val="single"/>
        </w:rPr>
      </w:pPr>
      <w:r>
        <w:rPr>
          <w:rFonts w:hint="eastAsia" w:ascii="宋体" w:hAnsi="宋体"/>
          <w:color w:val="000000"/>
          <w:spacing w:val="22"/>
          <w:sz w:val="28"/>
          <w:u w:val="single"/>
        </w:rPr>
        <w:t xml:space="preserve">   项目合同签订后一周内甲方向乙方支付首付款贰万   元整，余款待项目专家评审通过后提交报批稿前一次性付清。                                          </w:t>
      </w:r>
      <w:r>
        <w:rPr>
          <w:rFonts w:hint="eastAsia" w:ascii="宋体" w:hAnsi="宋体"/>
          <w:color w:val="000000"/>
          <w:spacing w:val="22"/>
          <w:sz w:val="28"/>
        </w:rPr>
        <w:t xml:space="preserve">                </w:t>
      </w:r>
    </w:p>
    <w:p w14:paraId="1F61F480">
      <w:pPr>
        <w:ind w:firstLine="560"/>
        <w:rPr>
          <w:rFonts w:hint="eastAsia" w:ascii="宋体" w:hAnsi="宋体"/>
          <w:color w:val="000000"/>
          <w:sz w:val="28"/>
        </w:rPr>
      </w:pPr>
      <w:r>
        <w:rPr>
          <w:rFonts w:hint="eastAsia" w:ascii="宋体" w:hAnsi="宋体"/>
          <w:color w:val="000000"/>
          <w:sz w:val="28"/>
        </w:rPr>
        <w:t>乙方开户银行名称、地址和帐号为：</w:t>
      </w:r>
    </w:p>
    <w:p w14:paraId="0E7FFEDF">
      <w:pPr>
        <w:ind w:firstLine="560"/>
        <w:rPr>
          <w:rFonts w:hint="eastAsia" w:ascii="宋体" w:hAnsi="宋体"/>
          <w:color w:val="000000"/>
          <w:sz w:val="28"/>
          <w:u w:val="single"/>
        </w:rPr>
      </w:pPr>
      <w:r>
        <w:rPr>
          <w:rFonts w:hint="eastAsia" w:ascii="宋体" w:hAnsi="宋体"/>
          <w:color w:val="000000"/>
          <w:sz w:val="28"/>
        </w:rPr>
        <w:t>开户银行：</w:t>
      </w:r>
      <w:r>
        <w:rPr>
          <w:rFonts w:hint="eastAsia" w:ascii="宋体" w:hAnsi="宋体"/>
          <w:color w:val="000000"/>
          <w:sz w:val="28"/>
          <w:u w:val="single"/>
        </w:rPr>
        <w:t xml:space="preserve">  曲靖市惠民村镇银行城东支行                          </w:t>
      </w:r>
    </w:p>
    <w:p w14:paraId="153F1828">
      <w:pPr>
        <w:ind w:firstLine="560"/>
        <w:rPr>
          <w:rFonts w:hint="eastAsia" w:ascii="宋体" w:hAnsi="宋体"/>
          <w:color w:val="000000"/>
          <w:sz w:val="28"/>
          <w:u w:val="single"/>
        </w:rPr>
      </w:pPr>
      <w:r>
        <w:rPr>
          <w:rFonts w:hint="eastAsia" w:ascii="宋体" w:hAnsi="宋体"/>
          <w:color w:val="000000"/>
          <w:sz w:val="28"/>
        </w:rPr>
        <w:t>帐号：</w:t>
      </w:r>
      <w:r>
        <w:rPr>
          <w:rFonts w:hint="eastAsia" w:ascii="宋体" w:hAnsi="宋体"/>
          <w:color w:val="000000"/>
          <w:sz w:val="28"/>
          <w:u w:val="single"/>
        </w:rPr>
        <w:t xml:space="preserve">       </w:t>
      </w:r>
      <w:r>
        <w:rPr>
          <w:rFonts w:ascii="宋体" w:hAnsi="宋体"/>
          <w:color w:val="000000"/>
          <w:sz w:val="28"/>
          <w:u w:val="single"/>
        </w:rPr>
        <w:t>5303028201600000057628</w:t>
      </w:r>
      <w:r>
        <w:rPr>
          <w:rFonts w:hint="eastAsia" w:ascii="宋体" w:hAnsi="宋体"/>
          <w:color w:val="000000"/>
          <w:sz w:val="28"/>
          <w:u w:val="single"/>
        </w:rPr>
        <w:t xml:space="preserve">                    </w:t>
      </w:r>
    </w:p>
    <w:p w14:paraId="0C3F5221">
      <w:pPr>
        <w:ind w:firstLine="560"/>
        <w:rPr>
          <w:rFonts w:hint="eastAsia" w:ascii="宋体" w:hAnsi="宋体"/>
          <w:color w:val="000000"/>
          <w:sz w:val="28"/>
        </w:rPr>
      </w:pPr>
      <w:r>
        <w:rPr>
          <w:rFonts w:hint="eastAsia" w:ascii="宋体" w:hAnsi="宋体"/>
          <w:color w:val="000000"/>
          <w:sz w:val="28"/>
        </w:rPr>
        <w:t>第五条 双方确定因履行本合同应遵守的保密义务如下：</w:t>
      </w:r>
    </w:p>
    <w:p w14:paraId="5942D96B">
      <w:pPr>
        <w:rPr>
          <w:rFonts w:hint="eastAsia" w:ascii="宋体" w:hAnsi="宋体"/>
          <w:color w:val="000000"/>
          <w:spacing w:val="22"/>
          <w:sz w:val="28"/>
        </w:rPr>
      </w:pPr>
      <w:r>
        <w:rPr>
          <w:rFonts w:hint="eastAsia" w:ascii="宋体" w:hAnsi="宋体"/>
          <w:color w:val="000000"/>
          <w:spacing w:val="22"/>
          <w:sz w:val="28"/>
        </w:rPr>
        <w:t xml:space="preserve">   甲方：</w:t>
      </w:r>
    </w:p>
    <w:p w14:paraId="5B3D5575">
      <w:pPr>
        <w:ind w:firstLine="648"/>
        <w:rPr>
          <w:rFonts w:hint="eastAsia" w:ascii="宋体" w:hAnsi="宋体"/>
          <w:color w:val="000000"/>
          <w:spacing w:val="22"/>
          <w:sz w:val="28"/>
        </w:rPr>
      </w:pPr>
      <w:r>
        <w:rPr>
          <w:rFonts w:hint="eastAsia" w:ascii="宋体" w:hAnsi="宋体"/>
          <w:color w:val="000000"/>
          <w:spacing w:val="22"/>
          <w:sz w:val="28"/>
        </w:rPr>
        <w:t>1、保密内容（包括技术信息和经营信息）：</w:t>
      </w:r>
      <w:r>
        <w:rPr>
          <w:rFonts w:hint="eastAsia" w:ascii="宋体" w:hAnsi="宋体"/>
          <w:color w:val="000000"/>
          <w:spacing w:val="22"/>
          <w:sz w:val="28"/>
          <w:u w:val="single"/>
        </w:rPr>
        <w:t xml:space="preserve">  无   </w:t>
      </w:r>
      <w:r>
        <w:rPr>
          <w:rFonts w:hint="eastAsia" w:ascii="宋体" w:hAnsi="宋体"/>
          <w:color w:val="000000"/>
          <w:spacing w:val="22"/>
          <w:sz w:val="28"/>
        </w:rPr>
        <w:t>。</w:t>
      </w:r>
    </w:p>
    <w:p w14:paraId="798A8C77">
      <w:pPr>
        <w:ind w:firstLine="648"/>
        <w:rPr>
          <w:rFonts w:hint="eastAsia" w:ascii="宋体" w:hAnsi="宋体"/>
          <w:color w:val="000000"/>
          <w:spacing w:val="22"/>
          <w:sz w:val="28"/>
        </w:rPr>
      </w:pPr>
      <w:r>
        <w:rPr>
          <w:rFonts w:hint="eastAsia" w:ascii="宋体" w:hAnsi="宋体"/>
          <w:color w:val="000000"/>
          <w:spacing w:val="22"/>
          <w:sz w:val="28"/>
        </w:rPr>
        <w:t>2、涉密人员范围：</w:t>
      </w:r>
      <w:r>
        <w:rPr>
          <w:rFonts w:hint="eastAsia" w:ascii="宋体" w:hAnsi="宋体"/>
          <w:color w:val="000000"/>
          <w:spacing w:val="22"/>
          <w:sz w:val="28"/>
          <w:u w:val="single"/>
        </w:rPr>
        <w:t xml:space="preserve">  无                         </w:t>
      </w:r>
    </w:p>
    <w:p w14:paraId="584CC806">
      <w:pPr>
        <w:ind w:firstLine="700"/>
        <w:rPr>
          <w:rFonts w:hint="eastAsia" w:ascii="宋体" w:hAnsi="宋体"/>
          <w:color w:val="000000"/>
          <w:sz w:val="28"/>
        </w:rPr>
      </w:pPr>
      <w:r>
        <w:rPr>
          <w:rFonts w:hint="eastAsia" w:ascii="宋体" w:hAnsi="宋体"/>
          <w:color w:val="000000"/>
          <w:sz w:val="28"/>
        </w:rPr>
        <w:t>3、保密期限：</w:t>
      </w:r>
      <w:r>
        <w:rPr>
          <w:rFonts w:hint="eastAsia" w:ascii="宋体" w:hAnsi="宋体"/>
          <w:color w:val="000000"/>
          <w:sz w:val="28"/>
          <w:u w:val="single"/>
        </w:rPr>
        <w:t xml:space="preserve">  无                               </w:t>
      </w:r>
      <w:r>
        <w:rPr>
          <w:rFonts w:hint="eastAsia" w:ascii="宋体" w:hAnsi="宋体"/>
          <w:color w:val="000000"/>
          <w:sz w:val="28"/>
        </w:rPr>
        <w:t>。</w:t>
      </w:r>
    </w:p>
    <w:p w14:paraId="1C968874">
      <w:pPr>
        <w:rPr>
          <w:rFonts w:hint="eastAsia" w:ascii="宋体" w:hAnsi="宋体"/>
          <w:color w:val="000000"/>
          <w:spacing w:val="22"/>
          <w:sz w:val="28"/>
        </w:rPr>
      </w:pPr>
      <w:r>
        <w:rPr>
          <w:rFonts w:hint="eastAsia" w:ascii="宋体" w:hAnsi="宋体"/>
          <w:color w:val="000000"/>
          <w:spacing w:val="22"/>
          <w:sz w:val="28"/>
        </w:rPr>
        <w:t xml:space="preserve">    4、泄密责任：</w:t>
      </w:r>
      <w:r>
        <w:rPr>
          <w:rFonts w:hint="eastAsia" w:ascii="宋体" w:hAnsi="宋体"/>
          <w:color w:val="000000"/>
          <w:spacing w:val="22"/>
          <w:sz w:val="28"/>
          <w:u w:val="single"/>
        </w:rPr>
        <w:t xml:space="preserve">  无                         </w:t>
      </w:r>
      <w:r>
        <w:rPr>
          <w:rFonts w:hint="eastAsia" w:ascii="宋体" w:hAnsi="宋体"/>
          <w:color w:val="000000"/>
          <w:spacing w:val="22"/>
          <w:sz w:val="28"/>
        </w:rPr>
        <w:t>。</w:t>
      </w:r>
    </w:p>
    <w:p w14:paraId="678652CE">
      <w:pPr>
        <w:ind w:firstLine="648"/>
        <w:rPr>
          <w:rFonts w:hint="eastAsia" w:ascii="宋体" w:hAnsi="宋体"/>
          <w:color w:val="000000"/>
          <w:spacing w:val="22"/>
          <w:sz w:val="28"/>
        </w:rPr>
      </w:pPr>
      <w:r>
        <w:rPr>
          <w:rFonts w:hint="eastAsia" w:ascii="宋体" w:hAnsi="宋体"/>
          <w:color w:val="000000"/>
          <w:spacing w:val="22"/>
          <w:sz w:val="28"/>
        </w:rPr>
        <w:t>乙方：</w:t>
      </w:r>
    </w:p>
    <w:p w14:paraId="13A6E796">
      <w:pPr>
        <w:ind w:firstLine="648"/>
        <w:rPr>
          <w:rFonts w:hint="eastAsia" w:ascii="宋体" w:hAnsi="宋体"/>
          <w:color w:val="000000"/>
          <w:spacing w:val="22"/>
          <w:sz w:val="28"/>
        </w:rPr>
      </w:pPr>
      <w:r>
        <w:rPr>
          <w:rFonts w:hint="eastAsia" w:ascii="宋体" w:hAnsi="宋体"/>
          <w:color w:val="000000"/>
          <w:spacing w:val="22"/>
          <w:sz w:val="28"/>
        </w:rPr>
        <w:t>1、保密内容（包括技术信息和经营信息）：</w:t>
      </w:r>
      <w:r>
        <w:rPr>
          <w:rFonts w:hint="eastAsia" w:ascii="宋体" w:hAnsi="宋体"/>
          <w:color w:val="000000"/>
          <w:spacing w:val="22"/>
          <w:sz w:val="28"/>
          <w:u w:val="single"/>
        </w:rPr>
        <w:t xml:space="preserve">  无 </w:t>
      </w:r>
      <w:r>
        <w:rPr>
          <w:rFonts w:hint="eastAsia" w:ascii="宋体" w:hAnsi="宋体"/>
          <w:color w:val="000000"/>
          <w:spacing w:val="22"/>
          <w:sz w:val="28"/>
        </w:rPr>
        <w:t xml:space="preserve"> 。</w:t>
      </w:r>
    </w:p>
    <w:p w14:paraId="1660491F">
      <w:pPr>
        <w:ind w:firstLine="648"/>
        <w:rPr>
          <w:rFonts w:hint="eastAsia" w:ascii="宋体" w:hAnsi="宋体"/>
          <w:color w:val="000000"/>
          <w:spacing w:val="22"/>
          <w:sz w:val="28"/>
        </w:rPr>
      </w:pPr>
      <w:r>
        <w:rPr>
          <w:rFonts w:hint="eastAsia" w:ascii="宋体" w:hAnsi="宋体"/>
          <w:color w:val="000000"/>
          <w:spacing w:val="22"/>
          <w:sz w:val="28"/>
        </w:rPr>
        <w:t>2、涉密人员范围：</w:t>
      </w:r>
      <w:r>
        <w:rPr>
          <w:rFonts w:hint="eastAsia" w:ascii="宋体" w:hAnsi="宋体"/>
          <w:color w:val="000000"/>
          <w:spacing w:val="22"/>
          <w:sz w:val="28"/>
          <w:u w:val="single"/>
        </w:rPr>
        <w:t xml:space="preserve">  无    </w:t>
      </w:r>
      <w:r>
        <w:rPr>
          <w:rFonts w:hint="eastAsia" w:ascii="宋体" w:hAnsi="宋体"/>
          <w:color w:val="000000"/>
          <w:spacing w:val="22"/>
          <w:sz w:val="28"/>
        </w:rPr>
        <w:t xml:space="preserve"> 。                   </w:t>
      </w:r>
    </w:p>
    <w:p w14:paraId="4888DC38">
      <w:pPr>
        <w:ind w:firstLine="648"/>
        <w:rPr>
          <w:rFonts w:hint="eastAsia" w:ascii="宋体" w:hAnsi="宋体"/>
          <w:color w:val="000000"/>
          <w:spacing w:val="22"/>
          <w:sz w:val="28"/>
        </w:rPr>
      </w:pPr>
      <w:r>
        <w:rPr>
          <w:rFonts w:hint="eastAsia" w:ascii="宋体" w:hAnsi="宋体"/>
          <w:color w:val="000000"/>
          <w:spacing w:val="22"/>
          <w:sz w:val="28"/>
        </w:rPr>
        <w:t>3、保密期限：</w:t>
      </w:r>
      <w:r>
        <w:rPr>
          <w:rFonts w:hint="eastAsia" w:ascii="宋体" w:hAnsi="宋体"/>
          <w:color w:val="000000"/>
          <w:spacing w:val="22"/>
          <w:sz w:val="28"/>
          <w:u w:val="single"/>
        </w:rPr>
        <w:t xml:space="preserve">   无    </w:t>
      </w:r>
      <w:r>
        <w:rPr>
          <w:rFonts w:hint="eastAsia" w:ascii="宋体" w:hAnsi="宋体"/>
          <w:color w:val="000000"/>
          <w:spacing w:val="22"/>
          <w:sz w:val="28"/>
        </w:rPr>
        <w:t xml:space="preserve">  。 </w:t>
      </w:r>
    </w:p>
    <w:p w14:paraId="159B049B">
      <w:pPr>
        <w:ind w:firstLine="648"/>
        <w:rPr>
          <w:rFonts w:hint="eastAsia" w:ascii="宋体" w:hAnsi="宋体"/>
          <w:color w:val="000000"/>
          <w:spacing w:val="22"/>
          <w:sz w:val="28"/>
        </w:rPr>
      </w:pPr>
      <w:r>
        <w:rPr>
          <w:rFonts w:hint="eastAsia" w:ascii="宋体" w:hAnsi="宋体"/>
          <w:color w:val="000000"/>
          <w:spacing w:val="22"/>
          <w:sz w:val="28"/>
        </w:rPr>
        <w:t>4、泄密责任：乙方有责任替甲方保密,没有甲方允许的情况下，不得将甲方提供的资料和乙方的研究成果向第三方泄露。</w:t>
      </w:r>
    </w:p>
    <w:p w14:paraId="61CF769E">
      <w:pPr>
        <w:ind w:firstLine="560"/>
        <w:rPr>
          <w:rFonts w:hint="eastAsia" w:ascii="宋体" w:hAnsi="宋体"/>
          <w:color w:val="000000"/>
          <w:sz w:val="28"/>
        </w:rPr>
      </w:pPr>
      <w:r>
        <w:rPr>
          <w:rFonts w:hint="eastAsia" w:ascii="宋体" w:hAnsi="宋体"/>
          <w:color w:val="000000"/>
          <w:sz w:val="28"/>
        </w:rPr>
        <w:t>第六条  本合同的变更必须由双方协商一致，并以书面形式确定。但有下列情形之一的，一方可以向另一方提出变更合同权利与义务的请求，另一方应当在 无 日内予以答复；逾期未予答复的，视为同意：</w:t>
      </w:r>
    </w:p>
    <w:p w14:paraId="2BBE6ECC">
      <w:pPr>
        <w:ind w:firstLine="560"/>
        <w:rPr>
          <w:rFonts w:hint="eastAsia" w:ascii="宋体" w:hAnsi="宋体"/>
          <w:color w:val="000000"/>
          <w:sz w:val="28"/>
        </w:rPr>
      </w:pPr>
      <w:r>
        <w:rPr>
          <w:rFonts w:hint="eastAsia" w:ascii="宋体" w:hAnsi="宋体"/>
          <w:color w:val="000000"/>
          <w:sz w:val="28"/>
        </w:rPr>
        <w:t>第七条  双方确定，按以下标准和方式对乙方提交的技术咨询工作</w:t>
      </w:r>
    </w:p>
    <w:p w14:paraId="4D160BA1">
      <w:pPr>
        <w:rPr>
          <w:rFonts w:hint="eastAsia" w:ascii="宋体" w:hAnsi="宋体"/>
          <w:color w:val="000000"/>
          <w:sz w:val="28"/>
        </w:rPr>
      </w:pPr>
      <w:r>
        <w:rPr>
          <w:rFonts w:hint="eastAsia" w:ascii="宋体" w:hAnsi="宋体"/>
          <w:color w:val="000000"/>
          <w:sz w:val="28"/>
        </w:rPr>
        <w:t>成果进行验收：</w:t>
      </w:r>
    </w:p>
    <w:p w14:paraId="64A2AF07">
      <w:pPr>
        <w:ind w:firstLine="560"/>
        <w:rPr>
          <w:rFonts w:hint="eastAsia" w:ascii="宋体" w:hAnsi="宋体"/>
          <w:color w:val="000000"/>
          <w:sz w:val="28"/>
          <w:u w:val="single"/>
        </w:rPr>
      </w:pPr>
      <w:r>
        <w:rPr>
          <w:rFonts w:hint="eastAsia" w:ascii="宋体" w:hAnsi="宋体"/>
          <w:color w:val="000000"/>
          <w:sz w:val="28"/>
        </w:rPr>
        <w:t>1. 乙方提交技术咨询工作成果的形式：</w:t>
      </w:r>
      <w:r>
        <w:rPr>
          <w:rFonts w:hint="eastAsia" w:ascii="宋体" w:hAnsi="宋体"/>
          <w:color w:val="000000"/>
          <w:sz w:val="28"/>
          <w:u w:val="single"/>
        </w:rPr>
        <w:t>《</w:t>
      </w:r>
      <w:r>
        <w:rPr>
          <w:rFonts w:hint="eastAsia" w:ascii="宋体" w:hAnsi="宋体"/>
          <w:color w:val="000000"/>
          <w:sz w:val="28"/>
          <w:szCs w:val="28"/>
          <w:u w:val="single"/>
        </w:rPr>
        <w:t>芒市妇幼保健院迁建</w:t>
      </w:r>
      <w:r>
        <w:rPr>
          <w:rFonts w:ascii="宋体" w:hAnsi="宋体"/>
          <w:color w:val="000000"/>
          <w:sz w:val="28"/>
          <w:szCs w:val="28"/>
          <w:u w:val="single"/>
        </w:rPr>
        <w:t>项目</w:t>
      </w:r>
      <w:r>
        <w:rPr>
          <w:rFonts w:hint="eastAsia" w:ascii="宋体" w:hAnsi="宋体"/>
          <w:color w:val="000000"/>
          <w:sz w:val="28"/>
          <w:szCs w:val="28"/>
          <w:u w:val="single"/>
        </w:rPr>
        <w:t>环境影响报告书</w:t>
      </w:r>
      <w:r>
        <w:rPr>
          <w:rFonts w:hint="eastAsia" w:ascii="宋体" w:hAnsi="宋体"/>
          <w:color w:val="000000"/>
          <w:sz w:val="28"/>
          <w:u w:val="single"/>
        </w:rPr>
        <w:t xml:space="preserve">》。 </w:t>
      </w:r>
      <w:r>
        <w:rPr>
          <w:rFonts w:hint="eastAsia" w:ascii="宋体" w:hAnsi="宋体"/>
          <w:color w:val="000000"/>
          <w:sz w:val="28"/>
        </w:rPr>
        <w:t xml:space="preserve"> </w:t>
      </w:r>
    </w:p>
    <w:p w14:paraId="6397E583">
      <w:pPr>
        <w:ind w:firstLine="560"/>
        <w:rPr>
          <w:rFonts w:hint="eastAsia" w:ascii="宋体" w:hAnsi="宋体"/>
          <w:color w:val="000000"/>
          <w:sz w:val="28"/>
          <w:u w:val="single"/>
        </w:rPr>
      </w:pPr>
      <w:r>
        <w:rPr>
          <w:rFonts w:hint="eastAsia" w:ascii="宋体" w:hAnsi="宋体"/>
          <w:color w:val="000000"/>
          <w:sz w:val="28"/>
        </w:rPr>
        <w:t>2. 技术咨询工作成果的验收标准：</w:t>
      </w:r>
      <w:r>
        <w:rPr>
          <w:rFonts w:hint="eastAsia" w:ascii="宋体" w:hAnsi="宋体"/>
          <w:color w:val="000000"/>
          <w:sz w:val="28"/>
          <w:u w:val="single"/>
        </w:rPr>
        <w:t xml:space="preserve">  </w:t>
      </w:r>
      <w:r>
        <w:rPr>
          <w:rFonts w:hint="eastAsia" w:ascii="宋体" w:hAnsi="宋体"/>
          <w:color w:val="000000"/>
          <w:spacing w:val="22"/>
          <w:sz w:val="28"/>
          <w:u w:val="single"/>
        </w:rPr>
        <w:t>通过环评审批部门审批视为验收合格。</w:t>
      </w:r>
      <w:r>
        <w:rPr>
          <w:rFonts w:hint="eastAsia" w:ascii="宋体" w:hAnsi="宋体"/>
          <w:color w:val="000000"/>
          <w:sz w:val="28"/>
          <w:u w:val="single"/>
        </w:rPr>
        <w:t xml:space="preserve">                                                                   </w:t>
      </w:r>
    </w:p>
    <w:p w14:paraId="4E12E8E8">
      <w:pPr>
        <w:ind w:firstLine="560"/>
        <w:rPr>
          <w:rFonts w:hint="eastAsia" w:ascii="宋体" w:hAnsi="宋体"/>
          <w:color w:val="000000"/>
          <w:sz w:val="28"/>
          <w:u w:val="single"/>
        </w:rPr>
      </w:pPr>
      <w:r>
        <w:rPr>
          <w:rFonts w:hint="eastAsia" w:ascii="宋体" w:hAnsi="宋体"/>
          <w:color w:val="000000"/>
          <w:sz w:val="28"/>
        </w:rPr>
        <w:t>3、技术咨询工作成果的验收方法：</w:t>
      </w:r>
      <w:r>
        <w:rPr>
          <w:rFonts w:hint="eastAsia" w:ascii="宋体" w:hAnsi="宋体"/>
          <w:color w:val="000000"/>
          <w:sz w:val="28"/>
          <w:u w:val="single"/>
        </w:rPr>
        <w:t xml:space="preserve"> 报</w:t>
      </w:r>
      <w:r>
        <w:rPr>
          <w:rFonts w:hint="eastAsia" w:ascii="宋体" w:hAnsi="宋体"/>
          <w:color w:val="000000"/>
          <w:spacing w:val="22"/>
          <w:sz w:val="28"/>
          <w:u w:val="single"/>
        </w:rPr>
        <w:t>环评审批部门审批</w:t>
      </w:r>
      <w:r>
        <w:rPr>
          <w:rFonts w:hint="eastAsia" w:ascii="宋体" w:hAnsi="宋体"/>
          <w:color w:val="000000"/>
          <w:sz w:val="28"/>
          <w:u w:val="single"/>
        </w:rPr>
        <w:t>。</w:t>
      </w:r>
    </w:p>
    <w:p w14:paraId="7214FF84">
      <w:pPr>
        <w:ind w:firstLine="560"/>
        <w:rPr>
          <w:rFonts w:hint="eastAsia" w:ascii="宋体" w:hAnsi="宋体"/>
          <w:color w:val="000000"/>
          <w:sz w:val="28"/>
          <w:u w:val="single"/>
        </w:rPr>
      </w:pPr>
      <w:r>
        <w:rPr>
          <w:rFonts w:hint="eastAsia" w:ascii="宋体" w:hAnsi="宋体"/>
          <w:color w:val="000000"/>
          <w:sz w:val="28"/>
        </w:rPr>
        <w:t>4、验收的时间和地点：</w:t>
      </w:r>
      <w:r>
        <w:rPr>
          <w:rFonts w:hint="eastAsia" w:ascii="宋体" w:hAnsi="宋体"/>
          <w:color w:val="000000"/>
          <w:spacing w:val="22"/>
          <w:sz w:val="28"/>
          <w:u w:val="single"/>
        </w:rPr>
        <w:t>时间及地点由环评审批部门确定</w:t>
      </w:r>
      <w:r>
        <w:rPr>
          <w:rFonts w:hint="eastAsia" w:ascii="宋体" w:hAnsi="宋体"/>
          <w:color w:val="000000"/>
          <w:sz w:val="28"/>
          <w:u w:val="single"/>
        </w:rPr>
        <w:t>。</w:t>
      </w:r>
    </w:p>
    <w:p w14:paraId="000B7247">
      <w:pPr>
        <w:ind w:firstLine="560"/>
        <w:rPr>
          <w:rFonts w:hint="eastAsia" w:ascii="宋体" w:hAnsi="宋体"/>
          <w:color w:val="000000"/>
          <w:sz w:val="28"/>
        </w:rPr>
      </w:pPr>
      <w:r>
        <w:rPr>
          <w:rFonts w:hint="eastAsia" w:ascii="宋体" w:hAnsi="宋体"/>
          <w:color w:val="000000"/>
          <w:sz w:val="28"/>
        </w:rPr>
        <w:t>第八条  双方确定，按以下约定承担各自的违约责任：</w:t>
      </w:r>
    </w:p>
    <w:p w14:paraId="71F8D8F5">
      <w:pPr>
        <w:ind w:firstLine="648"/>
        <w:rPr>
          <w:rFonts w:hint="eastAsia" w:ascii="宋体" w:hAnsi="宋体"/>
          <w:color w:val="000000"/>
          <w:spacing w:val="22"/>
          <w:sz w:val="28"/>
          <w:u w:val="single"/>
        </w:rPr>
      </w:pPr>
      <w:r>
        <w:rPr>
          <w:rFonts w:hint="eastAsia" w:ascii="宋体" w:hAnsi="宋体"/>
          <w:color w:val="000000"/>
          <w:spacing w:val="22"/>
          <w:sz w:val="28"/>
        </w:rPr>
        <w:t>1、</w:t>
      </w:r>
      <w:r>
        <w:rPr>
          <w:rFonts w:hint="eastAsia" w:ascii="宋体" w:hAnsi="宋体"/>
          <w:color w:val="000000"/>
          <w:spacing w:val="22"/>
          <w:sz w:val="28"/>
          <w:u w:val="single"/>
        </w:rPr>
        <w:t>甲</w:t>
      </w:r>
      <w:r>
        <w:rPr>
          <w:rFonts w:hint="eastAsia" w:ascii="宋体" w:hAnsi="宋体"/>
          <w:color w:val="000000"/>
          <w:spacing w:val="22"/>
          <w:sz w:val="28"/>
        </w:rPr>
        <w:t>方违反本合同第</w:t>
      </w:r>
      <w:r>
        <w:rPr>
          <w:rFonts w:hint="eastAsia" w:ascii="宋体" w:hAnsi="宋体"/>
          <w:color w:val="000000"/>
          <w:spacing w:val="22"/>
          <w:sz w:val="28"/>
          <w:u w:val="single"/>
        </w:rPr>
        <w:t>三、四</w:t>
      </w:r>
      <w:r>
        <w:rPr>
          <w:rFonts w:hint="eastAsia" w:ascii="宋体" w:hAnsi="宋体"/>
          <w:color w:val="000000"/>
          <w:spacing w:val="22"/>
          <w:sz w:val="28"/>
        </w:rPr>
        <w:t>条约定，</w:t>
      </w:r>
      <w:r>
        <w:rPr>
          <w:rFonts w:hint="eastAsia" w:ascii="宋体" w:hAnsi="宋体"/>
          <w:color w:val="000000"/>
          <w:spacing w:val="22"/>
          <w:sz w:val="28"/>
          <w:u w:val="single"/>
        </w:rPr>
        <w:t xml:space="preserve"> </w:t>
      </w:r>
      <w:r>
        <w:rPr>
          <w:rFonts w:hint="eastAsia" w:ascii="宋体" w:hAnsi="宋体"/>
          <w:color w:val="000000"/>
          <w:sz w:val="28"/>
          <w:u w:val="single"/>
        </w:rPr>
        <w:t>乙方有权不退还甲方已支付的款项，合同终止。</w:t>
      </w:r>
      <w:r>
        <w:rPr>
          <w:rFonts w:hint="eastAsia" w:ascii="宋体" w:hAnsi="宋体"/>
          <w:color w:val="000000"/>
          <w:spacing w:val="22"/>
          <w:sz w:val="28"/>
          <w:u w:val="single"/>
        </w:rPr>
        <w:t xml:space="preserve"> </w:t>
      </w:r>
    </w:p>
    <w:p w14:paraId="57F97F85">
      <w:pPr>
        <w:ind w:firstLine="648"/>
        <w:rPr>
          <w:rFonts w:hint="eastAsia" w:ascii="宋体" w:hAnsi="宋体"/>
          <w:color w:val="000000"/>
          <w:spacing w:val="22"/>
          <w:sz w:val="28"/>
        </w:rPr>
      </w:pPr>
      <w:r>
        <w:rPr>
          <w:rFonts w:hint="eastAsia" w:ascii="宋体" w:hAnsi="宋体"/>
          <w:color w:val="000000"/>
          <w:spacing w:val="22"/>
          <w:sz w:val="28"/>
        </w:rPr>
        <w:t>2、</w:t>
      </w:r>
      <w:r>
        <w:rPr>
          <w:rFonts w:hint="eastAsia" w:ascii="宋体" w:hAnsi="宋体"/>
          <w:color w:val="000000"/>
          <w:spacing w:val="22"/>
          <w:sz w:val="28"/>
          <w:u w:val="single"/>
        </w:rPr>
        <w:t>乙</w:t>
      </w:r>
      <w:r>
        <w:rPr>
          <w:rFonts w:hint="eastAsia" w:ascii="宋体" w:hAnsi="宋体"/>
          <w:color w:val="000000"/>
          <w:spacing w:val="22"/>
          <w:sz w:val="28"/>
        </w:rPr>
        <w:t>方违反本合同第</w:t>
      </w:r>
      <w:r>
        <w:rPr>
          <w:rFonts w:hint="eastAsia" w:ascii="宋体" w:hAnsi="宋体"/>
          <w:color w:val="000000"/>
          <w:spacing w:val="22"/>
          <w:sz w:val="28"/>
          <w:u w:val="single"/>
        </w:rPr>
        <w:t xml:space="preserve"> 一、二  </w:t>
      </w:r>
      <w:r>
        <w:rPr>
          <w:rFonts w:hint="eastAsia" w:ascii="宋体" w:hAnsi="宋体"/>
          <w:color w:val="000000"/>
          <w:spacing w:val="22"/>
          <w:sz w:val="28"/>
        </w:rPr>
        <w:t>条约定，</w:t>
      </w:r>
      <w:r>
        <w:rPr>
          <w:rFonts w:hint="eastAsia" w:ascii="宋体" w:hAnsi="宋体"/>
          <w:color w:val="000000"/>
          <w:sz w:val="28"/>
          <w:u w:val="single"/>
        </w:rPr>
        <w:t>返还已支付的款项，合同终止。</w:t>
      </w:r>
      <w:r>
        <w:rPr>
          <w:rFonts w:hint="eastAsia" w:ascii="宋体" w:hAnsi="宋体"/>
          <w:color w:val="000000"/>
          <w:spacing w:val="22"/>
          <w:sz w:val="28"/>
        </w:rPr>
        <w:t xml:space="preserve">    </w:t>
      </w:r>
    </w:p>
    <w:p w14:paraId="3D82A4D9">
      <w:pPr>
        <w:ind w:firstLine="648"/>
        <w:rPr>
          <w:rFonts w:hint="eastAsia" w:ascii="宋体" w:hAnsi="宋体"/>
          <w:color w:val="000000"/>
          <w:spacing w:val="22"/>
          <w:sz w:val="28"/>
        </w:rPr>
      </w:pPr>
      <w:r>
        <w:rPr>
          <w:rFonts w:hint="eastAsia" w:ascii="宋体" w:hAnsi="宋体"/>
          <w:color w:val="000000"/>
          <w:spacing w:val="22"/>
          <w:sz w:val="28"/>
        </w:rPr>
        <w:t>第九条  双方确定：</w:t>
      </w:r>
    </w:p>
    <w:p w14:paraId="07BB0B51">
      <w:pPr>
        <w:ind w:firstLine="648"/>
        <w:rPr>
          <w:rFonts w:hint="eastAsia" w:ascii="宋体" w:hAnsi="宋体"/>
          <w:color w:val="000000"/>
          <w:spacing w:val="22"/>
          <w:sz w:val="28"/>
        </w:rPr>
      </w:pPr>
      <w:r>
        <w:rPr>
          <w:rFonts w:hint="eastAsia" w:ascii="宋体" w:hAnsi="宋体"/>
          <w:color w:val="000000"/>
          <w:spacing w:val="22"/>
          <w:sz w:val="28"/>
        </w:rPr>
        <w:t>1、在本合同有效期内，甲方利用乙方提交的技术咨询工作成果所完成的新的技术成果，归</w:t>
      </w:r>
      <w:r>
        <w:rPr>
          <w:rFonts w:hint="eastAsia" w:ascii="宋体" w:hAnsi="宋体"/>
          <w:color w:val="000000"/>
          <w:spacing w:val="22"/>
          <w:sz w:val="28"/>
          <w:u w:val="single"/>
        </w:rPr>
        <w:t xml:space="preserve">  甲  </w:t>
      </w:r>
      <w:r>
        <w:rPr>
          <w:rFonts w:hint="eastAsia" w:ascii="宋体" w:hAnsi="宋体"/>
          <w:color w:val="000000"/>
          <w:spacing w:val="22"/>
          <w:sz w:val="28"/>
        </w:rPr>
        <w:t>（甲、双）方所有。</w:t>
      </w:r>
    </w:p>
    <w:p w14:paraId="05CD5FD3">
      <w:pPr>
        <w:ind w:firstLine="648"/>
        <w:rPr>
          <w:rFonts w:hint="eastAsia" w:ascii="宋体" w:hAnsi="宋体"/>
          <w:color w:val="000000"/>
          <w:spacing w:val="22"/>
          <w:sz w:val="28"/>
          <w:u w:val="single"/>
        </w:rPr>
      </w:pPr>
      <w:r>
        <w:rPr>
          <w:rFonts w:hint="eastAsia" w:ascii="宋体" w:hAnsi="宋体"/>
          <w:color w:val="000000"/>
          <w:spacing w:val="22"/>
          <w:sz w:val="28"/>
        </w:rPr>
        <w:t>第十条  双方确定，在本合同有效期内，甲方指定</w:t>
      </w:r>
      <w:r>
        <w:rPr>
          <w:rFonts w:hint="eastAsia" w:ascii="宋体" w:hAnsi="宋体"/>
          <w:color w:val="000000"/>
          <w:spacing w:val="22"/>
          <w:sz w:val="28"/>
          <w:u w:val="single"/>
        </w:rPr>
        <w:t xml:space="preserve">     </w:t>
      </w:r>
      <w:r>
        <w:rPr>
          <w:rFonts w:hint="eastAsia" w:ascii="宋体" w:hAnsi="宋体"/>
          <w:color w:val="000000"/>
          <w:spacing w:val="22"/>
          <w:sz w:val="28"/>
        </w:rPr>
        <w:t>为甲方项目联系人，乙方指定</w:t>
      </w:r>
      <w:r>
        <w:rPr>
          <w:rFonts w:hint="eastAsia" w:ascii="宋体" w:hAnsi="宋体"/>
          <w:color w:val="000000"/>
          <w:spacing w:val="22"/>
          <w:sz w:val="28"/>
          <w:u w:val="single"/>
        </w:rPr>
        <w:t xml:space="preserve">      </w:t>
      </w:r>
      <w:r>
        <w:rPr>
          <w:rFonts w:hint="eastAsia" w:ascii="宋体" w:hAnsi="宋体"/>
          <w:color w:val="000000"/>
          <w:spacing w:val="22"/>
          <w:sz w:val="28"/>
        </w:rPr>
        <w:t>为乙方项目联系人。项目联系人承担以下责任：</w:t>
      </w:r>
    </w:p>
    <w:p w14:paraId="4DA26B7D">
      <w:pPr>
        <w:ind w:firstLine="700"/>
        <w:rPr>
          <w:rFonts w:hint="eastAsia" w:ascii="宋体" w:hAnsi="宋体"/>
          <w:color w:val="000000"/>
          <w:sz w:val="28"/>
          <w:u w:val="single"/>
        </w:rPr>
      </w:pPr>
      <w:r>
        <w:rPr>
          <w:rFonts w:hint="eastAsia" w:ascii="宋体" w:hAnsi="宋体"/>
          <w:color w:val="000000"/>
          <w:sz w:val="28"/>
        </w:rPr>
        <w:t>1、</w:t>
      </w:r>
      <w:r>
        <w:rPr>
          <w:rFonts w:hint="eastAsia" w:ascii="宋体" w:hAnsi="宋体"/>
          <w:color w:val="000000"/>
          <w:sz w:val="28"/>
          <w:u w:val="single"/>
        </w:rPr>
        <w:t xml:space="preserve">  提供本项目所需材料                                                         </w:t>
      </w:r>
    </w:p>
    <w:p w14:paraId="57E98D23">
      <w:pPr>
        <w:ind w:firstLine="700"/>
        <w:rPr>
          <w:rFonts w:hint="eastAsia" w:ascii="宋体" w:hAnsi="宋体"/>
          <w:color w:val="000000"/>
          <w:sz w:val="28"/>
          <w:u w:val="single"/>
        </w:rPr>
      </w:pPr>
      <w:r>
        <w:rPr>
          <w:rFonts w:hint="eastAsia" w:ascii="宋体" w:hAnsi="宋体"/>
          <w:color w:val="000000"/>
          <w:sz w:val="28"/>
        </w:rPr>
        <w:t>2、</w:t>
      </w:r>
      <w:r>
        <w:rPr>
          <w:rFonts w:hint="eastAsia" w:ascii="宋体" w:hAnsi="宋体"/>
          <w:color w:val="000000"/>
          <w:sz w:val="28"/>
          <w:u w:val="single"/>
        </w:rPr>
        <w:t xml:space="preserve">  及时沟通、协调项目进展                                                          </w:t>
      </w:r>
    </w:p>
    <w:p w14:paraId="15A7FEA2">
      <w:pPr>
        <w:ind w:firstLine="810"/>
        <w:rPr>
          <w:rFonts w:hint="eastAsia" w:ascii="宋体" w:hAnsi="宋体"/>
          <w:color w:val="000000"/>
          <w:spacing w:val="22"/>
          <w:sz w:val="28"/>
        </w:rPr>
      </w:pPr>
      <w:r>
        <w:rPr>
          <w:rFonts w:hint="eastAsia" w:ascii="宋体" w:hAnsi="宋体"/>
          <w:color w:val="000000"/>
          <w:spacing w:val="22"/>
          <w:sz w:val="28"/>
        </w:rPr>
        <w:t>一方变更项目联系人的，应当及时以书面形式通知另一方。未及时通知并影响本合同履行或造成损失的，应承担相应的责任。</w:t>
      </w:r>
    </w:p>
    <w:p w14:paraId="68DA5320">
      <w:pPr>
        <w:ind w:firstLine="648"/>
        <w:rPr>
          <w:rFonts w:hint="eastAsia" w:ascii="宋体" w:hAnsi="宋体"/>
          <w:color w:val="000000"/>
          <w:spacing w:val="22"/>
          <w:sz w:val="28"/>
        </w:rPr>
      </w:pPr>
      <w:r>
        <w:rPr>
          <w:rFonts w:hint="eastAsia" w:ascii="宋体" w:hAnsi="宋体"/>
          <w:color w:val="000000"/>
          <w:spacing w:val="22"/>
          <w:sz w:val="28"/>
        </w:rPr>
        <w:t>第十一条  双方确定，出现下列情形，致使本合同的履行成为不必要或不可能的，可以解除本合同：</w:t>
      </w:r>
    </w:p>
    <w:p w14:paraId="43682B63">
      <w:pPr>
        <w:ind w:firstLine="648"/>
        <w:rPr>
          <w:rFonts w:hint="eastAsia" w:ascii="宋体" w:hAnsi="宋体"/>
          <w:color w:val="000000"/>
          <w:spacing w:val="22"/>
          <w:sz w:val="28"/>
          <w:u w:val="single"/>
        </w:rPr>
      </w:pPr>
      <w:r>
        <w:rPr>
          <w:rFonts w:hint="eastAsia" w:ascii="宋体" w:hAnsi="宋体"/>
          <w:color w:val="000000"/>
          <w:spacing w:val="22"/>
          <w:sz w:val="28"/>
        </w:rPr>
        <w:t>1、</w:t>
      </w:r>
      <w:r>
        <w:rPr>
          <w:rFonts w:hint="eastAsia" w:ascii="宋体" w:hAnsi="宋体"/>
          <w:color w:val="000000"/>
          <w:spacing w:val="22"/>
          <w:sz w:val="28"/>
          <w:u w:val="single"/>
        </w:rPr>
        <w:t>发生不可抗力；</w:t>
      </w:r>
    </w:p>
    <w:p w14:paraId="02F3F8E2">
      <w:pPr>
        <w:ind w:firstLine="648"/>
        <w:rPr>
          <w:rFonts w:hint="eastAsia" w:ascii="宋体" w:hAnsi="宋体"/>
          <w:color w:val="000000"/>
          <w:spacing w:val="22"/>
          <w:sz w:val="28"/>
        </w:rPr>
      </w:pPr>
      <w:r>
        <w:rPr>
          <w:rFonts w:hint="eastAsia" w:ascii="宋体" w:hAnsi="宋体"/>
          <w:color w:val="000000"/>
          <w:spacing w:val="22"/>
          <w:sz w:val="28"/>
        </w:rPr>
        <w:t>第十二条 双方因履行本合同而发生的争议，应协商、调解解决。 协商、调解不成的，确定按以下第</w:t>
      </w:r>
      <w:r>
        <w:rPr>
          <w:rFonts w:hint="eastAsia" w:ascii="宋体" w:hAnsi="宋体"/>
          <w:color w:val="000000"/>
          <w:spacing w:val="22"/>
          <w:sz w:val="28"/>
          <w:u w:val="single"/>
        </w:rPr>
        <w:t>2</w:t>
      </w:r>
      <w:r>
        <w:rPr>
          <w:rFonts w:hint="eastAsia" w:ascii="宋体" w:hAnsi="宋体"/>
          <w:color w:val="000000"/>
          <w:spacing w:val="22"/>
          <w:sz w:val="28"/>
        </w:rPr>
        <w:t>种方式处理：</w:t>
      </w:r>
    </w:p>
    <w:p w14:paraId="141F4234">
      <w:pPr>
        <w:ind w:firstLine="648"/>
        <w:rPr>
          <w:rFonts w:hint="eastAsia" w:ascii="宋体" w:hAnsi="宋体"/>
          <w:color w:val="000000"/>
          <w:spacing w:val="22"/>
          <w:sz w:val="28"/>
        </w:rPr>
      </w:pPr>
      <w:r>
        <w:rPr>
          <w:rFonts w:hint="eastAsia" w:ascii="宋体" w:hAnsi="宋体"/>
          <w:color w:val="000000"/>
          <w:spacing w:val="22"/>
          <w:sz w:val="28"/>
        </w:rPr>
        <w:t>1、依法向人民法院起诉。</w:t>
      </w:r>
    </w:p>
    <w:p w14:paraId="418DE3A1">
      <w:pPr>
        <w:spacing w:line="360" w:lineRule="auto"/>
        <w:rPr>
          <w:rFonts w:hint="eastAsia"/>
          <w:color w:val="000000"/>
          <w:sz w:val="24"/>
        </w:rPr>
      </w:pPr>
      <w:r>
        <w:rPr>
          <w:rFonts w:hint="eastAsia" w:ascii="宋体" w:hAnsi="宋体"/>
          <w:color w:val="000000"/>
          <w:sz w:val="28"/>
        </w:rPr>
        <w:drawing>
          <wp:inline distT="0" distB="0" distL="0" distR="0">
            <wp:extent cx="5268595" cy="7560310"/>
            <wp:effectExtent l="0" t="0" r="0" b="0"/>
            <wp:docPr id="264" name="_x0000_i1440"/>
            <wp:cNvGraphicFramePr/>
            <a:graphic xmlns:a="http://schemas.openxmlformats.org/drawingml/2006/main">
              <a:graphicData uri="http://schemas.openxmlformats.org/drawingml/2006/picture">
                <pic:pic xmlns:pic="http://schemas.openxmlformats.org/drawingml/2006/picture">
                  <pic:nvPicPr>
                    <pic:cNvPr id="264" name="_x0000_i1440"/>
                    <pic:cNvPicPr/>
                  </pic:nvPicPr>
                  <pic:blipFill>
                    <a:blip r:embed="rId110"/>
                    <a:stretch>
                      <a:fillRect/>
                    </a:stretch>
                  </pic:blipFill>
                  <pic:spPr>
                    <a:xfrm>
                      <a:off x="0" y="0"/>
                      <a:ext cx="5268595" cy="7560310"/>
                    </a:xfrm>
                    <a:prstGeom prst="rect">
                      <a:avLst/>
                    </a:prstGeom>
                    <a:noFill/>
                    <a:ln>
                      <a:noFill/>
                    </a:ln>
                  </pic:spPr>
                </pic:pic>
              </a:graphicData>
            </a:graphic>
          </wp:inline>
        </w:drawing>
      </w:r>
    </w:p>
    <w:p w14:paraId="01D76CC6">
      <w:pPr>
        <w:spacing w:line="360" w:lineRule="auto"/>
        <w:rPr>
          <w:rFonts w:hint="eastAsia"/>
          <w:color w:val="000000"/>
          <w:sz w:val="24"/>
        </w:rPr>
      </w:pPr>
    </w:p>
    <w:p w14:paraId="6D001263">
      <w:pPr>
        <w:spacing w:line="360" w:lineRule="auto"/>
        <w:rPr>
          <w:rFonts w:hint="eastAsia"/>
          <w:color w:val="000000"/>
          <w:sz w:val="24"/>
        </w:rPr>
      </w:pPr>
      <w:r>
        <w:rPr>
          <w:rFonts w:hint="eastAsia"/>
          <w:color w:val="000000"/>
          <w:sz w:val="24"/>
        </w:rPr>
        <w:drawing>
          <wp:inline distT="0" distB="0" distL="0" distR="0">
            <wp:extent cx="5268595" cy="8552180"/>
            <wp:effectExtent l="0" t="0" r="0" b="0"/>
            <wp:docPr id="265" name="_x0000_i1441"/>
            <wp:cNvGraphicFramePr/>
            <a:graphic xmlns:a="http://schemas.openxmlformats.org/drawingml/2006/main">
              <a:graphicData uri="http://schemas.openxmlformats.org/drawingml/2006/picture">
                <pic:pic xmlns:pic="http://schemas.openxmlformats.org/drawingml/2006/picture">
                  <pic:nvPicPr>
                    <pic:cNvPr id="265" name="_x0000_i1441"/>
                    <pic:cNvPicPr/>
                  </pic:nvPicPr>
                  <pic:blipFill>
                    <a:blip r:embed="rId111"/>
                    <a:stretch>
                      <a:fillRect/>
                    </a:stretch>
                  </pic:blipFill>
                  <pic:spPr>
                    <a:xfrm>
                      <a:off x="0" y="0"/>
                      <a:ext cx="5268608" cy="8552180"/>
                    </a:xfrm>
                    <a:prstGeom prst="rect">
                      <a:avLst/>
                    </a:prstGeom>
                    <a:noFill/>
                    <a:ln>
                      <a:noFill/>
                    </a:ln>
                  </pic:spPr>
                </pic:pic>
              </a:graphicData>
            </a:graphic>
          </wp:inline>
        </w:drawing>
      </w:r>
    </w:p>
    <w:p w14:paraId="5DFF2284">
      <w:pPr>
        <w:spacing w:line="360" w:lineRule="auto"/>
        <w:rPr>
          <w:rFonts w:hint="eastAsia"/>
          <w:color w:val="000000"/>
          <w:sz w:val="24"/>
        </w:rPr>
      </w:pPr>
      <w:r>
        <w:rPr>
          <w:rFonts w:hint="eastAsia"/>
          <w:color w:val="000000"/>
          <w:sz w:val="24"/>
        </w:rPr>
        <w:drawing>
          <wp:inline distT="0" distB="0" distL="0" distR="0">
            <wp:extent cx="5268595" cy="8388350"/>
            <wp:effectExtent l="0" t="0" r="0" b="0"/>
            <wp:docPr id="266" name="_x0000_i1442"/>
            <wp:cNvGraphicFramePr/>
            <a:graphic xmlns:a="http://schemas.openxmlformats.org/drawingml/2006/main">
              <a:graphicData uri="http://schemas.openxmlformats.org/drawingml/2006/picture">
                <pic:pic xmlns:pic="http://schemas.openxmlformats.org/drawingml/2006/picture">
                  <pic:nvPicPr>
                    <pic:cNvPr id="266" name="_x0000_i1442"/>
                    <pic:cNvPicPr/>
                  </pic:nvPicPr>
                  <pic:blipFill>
                    <a:blip r:embed="rId112"/>
                    <a:stretch>
                      <a:fillRect/>
                    </a:stretch>
                  </pic:blipFill>
                  <pic:spPr>
                    <a:xfrm>
                      <a:off x="0" y="0"/>
                      <a:ext cx="5268608" cy="8388350"/>
                    </a:xfrm>
                    <a:prstGeom prst="rect">
                      <a:avLst/>
                    </a:prstGeom>
                    <a:noFill/>
                    <a:ln>
                      <a:noFill/>
                    </a:ln>
                  </pic:spPr>
                </pic:pic>
              </a:graphicData>
            </a:graphic>
          </wp:inline>
        </w:drawing>
      </w:r>
    </w:p>
    <w:p w14:paraId="7D817942">
      <w:pPr>
        <w:spacing w:line="360" w:lineRule="auto"/>
        <w:rPr>
          <w:rFonts w:hint="eastAsia"/>
          <w:color w:val="000000"/>
          <w:sz w:val="24"/>
        </w:rPr>
      </w:pPr>
      <w:r>
        <w:rPr>
          <w:color w:val="000000"/>
          <w:sz w:val="24"/>
        </w:rPr>
        <w:drawing>
          <wp:inline distT="0" distB="0" distL="0" distR="0">
            <wp:extent cx="5564505" cy="7651115"/>
            <wp:effectExtent l="0" t="0" r="0" b="0"/>
            <wp:docPr id="267" name="_x0000_i1443"/>
            <wp:cNvGraphicFramePr/>
            <a:graphic xmlns:a="http://schemas.openxmlformats.org/drawingml/2006/main">
              <a:graphicData uri="http://schemas.openxmlformats.org/drawingml/2006/picture">
                <pic:pic xmlns:pic="http://schemas.openxmlformats.org/drawingml/2006/picture">
                  <pic:nvPicPr>
                    <pic:cNvPr id="267" name="_x0000_i1443"/>
                    <pic:cNvPicPr/>
                  </pic:nvPicPr>
                  <pic:blipFill>
                    <a:blip r:embed="rId113"/>
                    <a:stretch>
                      <a:fillRect/>
                    </a:stretch>
                  </pic:blipFill>
                  <pic:spPr>
                    <a:xfrm>
                      <a:off x="0" y="0"/>
                      <a:ext cx="5565038" cy="7651229"/>
                    </a:xfrm>
                    <a:prstGeom prst="rect">
                      <a:avLst/>
                    </a:prstGeom>
                    <a:noFill/>
                    <a:ln>
                      <a:noFill/>
                    </a:ln>
                  </pic:spPr>
                </pic:pic>
              </a:graphicData>
            </a:graphic>
          </wp:inline>
        </w:drawing>
      </w:r>
    </w:p>
    <w:p w14:paraId="77F1F9E3">
      <w:pPr>
        <w:spacing w:line="360" w:lineRule="auto"/>
        <w:rPr>
          <w:rFonts w:hint="eastAsia"/>
          <w:color w:val="000000"/>
          <w:sz w:val="24"/>
        </w:rPr>
      </w:pPr>
      <w:r>
        <w:rPr>
          <w:color w:val="000000"/>
          <w:sz w:val="24"/>
        </w:rPr>
        <w:drawing>
          <wp:inline distT="0" distB="0" distL="0" distR="0">
            <wp:extent cx="5564505" cy="7639685"/>
            <wp:effectExtent l="0" t="0" r="0" b="0"/>
            <wp:docPr id="268" name="_x0000_i1444"/>
            <wp:cNvGraphicFramePr/>
            <a:graphic xmlns:a="http://schemas.openxmlformats.org/drawingml/2006/main">
              <a:graphicData uri="http://schemas.openxmlformats.org/drawingml/2006/picture">
                <pic:pic xmlns:pic="http://schemas.openxmlformats.org/drawingml/2006/picture">
                  <pic:nvPicPr>
                    <pic:cNvPr id="268" name="_x0000_i1444"/>
                    <pic:cNvPicPr/>
                  </pic:nvPicPr>
                  <pic:blipFill>
                    <a:blip r:embed="rId114"/>
                    <a:stretch>
                      <a:fillRect/>
                    </a:stretch>
                  </pic:blipFill>
                  <pic:spPr>
                    <a:xfrm>
                      <a:off x="0" y="0"/>
                      <a:ext cx="5565038" cy="7640104"/>
                    </a:xfrm>
                    <a:prstGeom prst="rect">
                      <a:avLst/>
                    </a:prstGeom>
                    <a:noFill/>
                    <a:ln>
                      <a:noFill/>
                    </a:ln>
                  </pic:spPr>
                </pic:pic>
              </a:graphicData>
            </a:graphic>
          </wp:inline>
        </w:drawing>
      </w:r>
    </w:p>
    <w:p w14:paraId="6C6C7784">
      <w:pPr>
        <w:spacing w:line="360" w:lineRule="auto"/>
        <w:rPr>
          <w:rFonts w:hint="eastAsia"/>
          <w:color w:val="000000"/>
          <w:sz w:val="24"/>
        </w:rPr>
      </w:pPr>
    </w:p>
    <w:p w14:paraId="5812C24D">
      <w:pPr>
        <w:spacing w:line="360" w:lineRule="auto"/>
        <w:rPr>
          <w:rFonts w:hint="eastAsia"/>
          <w:color w:val="000000"/>
          <w:sz w:val="24"/>
        </w:rPr>
      </w:pPr>
    </w:p>
    <w:p w14:paraId="4EF8A0B1">
      <w:pPr>
        <w:spacing w:line="360" w:lineRule="auto"/>
        <w:rPr>
          <w:rFonts w:hint="eastAsia"/>
          <w:color w:val="000000"/>
          <w:sz w:val="24"/>
        </w:rPr>
      </w:pPr>
    </w:p>
    <w:p w14:paraId="2F71C96F">
      <w:pPr>
        <w:spacing w:line="360" w:lineRule="auto"/>
        <w:rPr>
          <w:rFonts w:hint="eastAsia"/>
          <w:color w:val="000000"/>
          <w:sz w:val="24"/>
        </w:rPr>
      </w:pPr>
    </w:p>
    <w:p w14:paraId="1879BEE8">
      <w:pPr>
        <w:jc w:val="center"/>
        <w:outlineLvl w:val="0"/>
        <w:rPr>
          <w:rFonts w:hint="eastAsia"/>
          <w:b/>
          <w:color w:val="000000"/>
          <w:sz w:val="32"/>
          <w:szCs w:val="32"/>
        </w:rPr>
      </w:pPr>
      <w:r>
        <w:rPr>
          <w:rFonts w:hint="eastAsia"/>
          <w:b/>
          <w:color w:val="000000"/>
          <w:sz w:val="32"/>
          <w:szCs w:val="32"/>
        </w:rPr>
        <w:t>关于《</w:t>
      </w:r>
      <w:r>
        <w:rPr>
          <w:rFonts w:hint="eastAsia" w:ascii="宋体" w:hAnsi="宋体"/>
          <w:b/>
          <w:color w:val="000000"/>
          <w:sz w:val="30"/>
          <w:szCs w:val="30"/>
        </w:rPr>
        <w:t>芒市妇幼保健院迁建</w:t>
      </w:r>
      <w:r>
        <w:rPr>
          <w:rFonts w:ascii="宋体" w:hAnsi="宋体"/>
          <w:b/>
          <w:color w:val="000000"/>
          <w:sz w:val="30"/>
          <w:szCs w:val="30"/>
        </w:rPr>
        <w:t>项目</w:t>
      </w:r>
      <w:r>
        <w:rPr>
          <w:rFonts w:hint="eastAsia"/>
          <w:b/>
          <w:color w:val="000000"/>
          <w:sz w:val="32"/>
          <w:szCs w:val="32"/>
        </w:rPr>
        <w:t>环境影响报告</w:t>
      </w:r>
      <w:r>
        <w:rPr>
          <w:rFonts w:hint="eastAsia" w:ascii="宋体" w:hAnsi="宋体"/>
          <w:b/>
          <w:color w:val="000000"/>
          <w:sz w:val="30"/>
          <w:szCs w:val="30"/>
        </w:rPr>
        <w:t>书</w:t>
      </w:r>
      <w:r>
        <w:rPr>
          <w:rFonts w:hint="eastAsia"/>
          <w:b/>
          <w:color w:val="000000"/>
          <w:sz w:val="32"/>
          <w:szCs w:val="32"/>
        </w:rPr>
        <w:t>》评审会</w:t>
      </w:r>
    </w:p>
    <w:p w14:paraId="7BAC3B53">
      <w:pPr>
        <w:jc w:val="center"/>
        <w:outlineLvl w:val="0"/>
        <w:rPr>
          <w:rFonts w:hint="eastAsia"/>
          <w:b/>
          <w:color w:val="000000"/>
          <w:sz w:val="32"/>
          <w:szCs w:val="32"/>
        </w:rPr>
      </w:pPr>
      <w:r>
        <w:rPr>
          <w:rFonts w:hint="eastAsia"/>
          <w:b/>
          <w:color w:val="000000"/>
          <w:sz w:val="32"/>
          <w:szCs w:val="32"/>
        </w:rPr>
        <w:t>会议纪要</w:t>
      </w:r>
    </w:p>
    <w:p w14:paraId="27E56707">
      <w:pPr>
        <w:jc w:val="center"/>
        <w:outlineLvl w:val="0"/>
        <w:rPr>
          <w:rFonts w:hint="eastAsia"/>
          <w:b/>
          <w:color w:val="000000"/>
          <w:sz w:val="32"/>
          <w:szCs w:val="32"/>
        </w:rPr>
      </w:pPr>
      <w:r>
        <w:rPr>
          <w:rFonts w:hint="eastAsia"/>
          <w:b/>
          <w:color w:val="000000"/>
          <w:sz w:val="32"/>
          <w:szCs w:val="32"/>
        </w:rPr>
        <w:t>修改清单</w:t>
      </w:r>
    </w:p>
    <w:tbl>
      <w:tblPr>
        <w:tblStyle w:val="27"/>
        <w:tblW w:w="0" w:type="auto"/>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
      <w:tblGrid>
        <w:gridCol w:w="663"/>
        <w:gridCol w:w="3067"/>
        <w:gridCol w:w="3724"/>
        <w:gridCol w:w="1477"/>
      </w:tblGrid>
      <w:tr w14:paraId="19BA4F71">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55" w:hRule="atLeast"/>
          <w:jc w:val="center"/>
        </w:trPr>
        <w:tc>
          <w:tcPr>
            <w:tcW w:w="663" w:type="dxa"/>
            <w:noWrap w:val="0"/>
            <w:vAlign w:val="center"/>
          </w:tcPr>
          <w:p w14:paraId="4922FCF4">
            <w:pPr>
              <w:widowControl/>
              <w:spacing w:line="360" w:lineRule="auto"/>
              <w:jc w:val="center"/>
              <w:rPr>
                <w:rFonts w:ascii="宋体" w:hAnsi="宋体" w:cs="宋体"/>
                <w:b/>
                <w:color w:val="000000"/>
                <w:szCs w:val="21"/>
              </w:rPr>
            </w:pPr>
            <w:r>
              <w:rPr>
                <w:rFonts w:hint="eastAsia" w:ascii="宋体" w:hAnsi="宋体" w:cs="宋体"/>
                <w:b/>
                <w:color w:val="000000"/>
                <w:szCs w:val="21"/>
              </w:rPr>
              <w:t>序号</w:t>
            </w:r>
          </w:p>
        </w:tc>
        <w:tc>
          <w:tcPr>
            <w:tcW w:w="3067" w:type="dxa"/>
            <w:noWrap w:val="0"/>
            <w:vAlign w:val="center"/>
          </w:tcPr>
          <w:p w14:paraId="14B3B052">
            <w:pPr>
              <w:widowControl/>
              <w:jc w:val="center"/>
              <w:rPr>
                <w:rFonts w:hint="eastAsia" w:ascii="宋体" w:hAnsi="宋体" w:cs="宋体"/>
                <w:b/>
                <w:color w:val="000000"/>
                <w:szCs w:val="21"/>
              </w:rPr>
            </w:pPr>
            <w:r>
              <w:rPr>
                <w:rFonts w:hint="eastAsia" w:ascii="宋体" w:hAnsi="宋体" w:cs="宋体"/>
                <w:b/>
                <w:color w:val="000000"/>
                <w:szCs w:val="21"/>
              </w:rPr>
              <w:t>评审意见</w:t>
            </w:r>
          </w:p>
        </w:tc>
        <w:tc>
          <w:tcPr>
            <w:tcW w:w="3724" w:type="dxa"/>
            <w:noWrap w:val="0"/>
            <w:vAlign w:val="center"/>
          </w:tcPr>
          <w:p w14:paraId="2293941C">
            <w:pPr>
              <w:widowControl/>
              <w:jc w:val="center"/>
              <w:rPr>
                <w:rFonts w:ascii="宋体" w:hAnsi="宋体" w:cs="宋体"/>
                <w:b/>
                <w:color w:val="000000"/>
                <w:szCs w:val="21"/>
              </w:rPr>
            </w:pPr>
            <w:r>
              <w:rPr>
                <w:rFonts w:hint="eastAsia" w:ascii="宋体" w:hAnsi="宋体" w:cs="宋体"/>
                <w:b/>
                <w:color w:val="000000"/>
                <w:szCs w:val="21"/>
              </w:rPr>
              <w:t>已 修 改 内 容</w:t>
            </w:r>
          </w:p>
        </w:tc>
        <w:tc>
          <w:tcPr>
            <w:tcW w:w="1477" w:type="dxa"/>
            <w:noWrap w:val="0"/>
            <w:vAlign w:val="center"/>
          </w:tcPr>
          <w:p w14:paraId="16ED7DF5">
            <w:pPr>
              <w:widowControl/>
              <w:spacing w:line="360" w:lineRule="auto"/>
              <w:jc w:val="center"/>
              <w:rPr>
                <w:rFonts w:ascii="宋体" w:hAnsi="宋体" w:cs="宋体"/>
                <w:b/>
                <w:color w:val="000000"/>
                <w:szCs w:val="21"/>
              </w:rPr>
            </w:pPr>
            <w:r>
              <w:rPr>
                <w:rFonts w:hint="eastAsia" w:ascii="宋体" w:hAnsi="宋体" w:cs="宋体"/>
                <w:b/>
                <w:color w:val="000000"/>
                <w:szCs w:val="21"/>
              </w:rPr>
              <w:t>页码</w:t>
            </w:r>
          </w:p>
        </w:tc>
      </w:tr>
      <w:tr w14:paraId="4F80EF95">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55" w:hRule="atLeast"/>
          <w:jc w:val="center"/>
        </w:trPr>
        <w:tc>
          <w:tcPr>
            <w:tcW w:w="663" w:type="dxa"/>
            <w:noWrap w:val="0"/>
            <w:vAlign w:val="center"/>
          </w:tcPr>
          <w:p w14:paraId="1F956883">
            <w:pPr>
              <w:widowControl/>
              <w:spacing w:line="360" w:lineRule="auto"/>
              <w:jc w:val="center"/>
              <w:rPr>
                <w:rFonts w:hint="eastAsia" w:ascii="宋体" w:hAnsi="宋体" w:cs="宋体"/>
                <w:color w:val="000000"/>
                <w:sz w:val="24"/>
              </w:rPr>
            </w:pPr>
            <w:r>
              <w:rPr>
                <w:rFonts w:hint="eastAsia" w:ascii="宋体" w:hAnsi="宋体" w:cs="宋体"/>
                <w:color w:val="000000"/>
                <w:sz w:val="24"/>
              </w:rPr>
              <w:t>1</w:t>
            </w:r>
          </w:p>
        </w:tc>
        <w:tc>
          <w:tcPr>
            <w:tcW w:w="3067" w:type="dxa"/>
            <w:noWrap w:val="0"/>
            <w:vAlign w:val="center"/>
          </w:tcPr>
          <w:p w14:paraId="274303E6">
            <w:pPr>
              <w:widowControl/>
              <w:spacing w:line="360" w:lineRule="auto"/>
              <w:rPr>
                <w:rFonts w:hint="eastAsia" w:ascii="宋体" w:hAnsi="宋体" w:cs="宋体"/>
                <w:color w:val="000000"/>
                <w:sz w:val="24"/>
              </w:rPr>
            </w:pPr>
            <w:r>
              <w:rPr>
                <w:rFonts w:hint="eastAsia" w:ascii="宋体" w:hAnsi="宋体"/>
                <w:color w:val="000000"/>
                <w:sz w:val="24"/>
              </w:rPr>
              <w:t>进一步细化施工期噪声，扬尘污染防治措施和管理要求；加强对运营期高噪声设备的环境影响分析。</w:t>
            </w:r>
          </w:p>
        </w:tc>
        <w:tc>
          <w:tcPr>
            <w:tcW w:w="5201" w:type="dxa"/>
            <w:gridSpan w:val="2"/>
            <w:noWrap w:val="0"/>
            <w:vAlign w:val="center"/>
          </w:tcPr>
          <w:p w14:paraId="50568197">
            <w:pPr>
              <w:widowControl/>
              <w:spacing w:line="360" w:lineRule="auto"/>
              <w:rPr>
                <w:rFonts w:hint="eastAsia" w:ascii="宋体" w:hAnsi="宋体" w:cs="宋体"/>
                <w:color w:val="000000"/>
                <w:sz w:val="24"/>
              </w:rPr>
            </w:pPr>
            <w:r>
              <w:rPr>
                <w:rFonts w:hint="eastAsia" w:ascii="宋体" w:hAnsi="宋体"/>
                <w:color w:val="000000"/>
                <w:sz w:val="24"/>
              </w:rPr>
              <w:t>进一步细化了施工期噪声，扬尘污染防治措施和管理要求</w:t>
            </w:r>
            <w:r>
              <w:rPr>
                <w:rFonts w:hint="eastAsia" w:ascii="宋体" w:hAnsi="宋体" w:cs="宋体"/>
                <w:color w:val="000000"/>
                <w:sz w:val="24"/>
              </w:rPr>
              <w:t>P75-82、P107-108、P109</w:t>
            </w:r>
            <w:r>
              <w:rPr>
                <w:rFonts w:hint="eastAsia" w:ascii="宋体" w:hAnsi="宋体"/>
                <w:color w:val="000000"/>
                <w:sz w:val="24"/>
              </w:rPr>
              <w:t>；加强了对运营期高噪声设备的环境影响分析P90-94。</w:t>
            </w:r>
          </w:p>
        </w:tc>
      </w:tr>
      <w:tr w14:paraId="1BC643B6">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1339" w:hRule="atLeast"/>
          <w:jc w:val="center"/>
        </w:trPr>
        <w:tc>
          <w:tcPr>
            <w:tcW w:w="663" w:type="dxa"/>
            <w:noWrap w:val="0"/>
            <w:vAlign w:val="center"/>
          </w:tcPr>
          <w:p w14:paraId="1A6012E8">
            <w:pPr>
              <w:widowControl/>
              <w:spacing w:line="360" w:lineRule="auto"/>
              <w:jc w:val="center"/>
              <w:rPr>
                <w:rFonts w:hint="eastAsia" w:ascii="宋体" w:hAnsi="宋体" w:cs="宋体"/>
                <w:color w:val="000000"/>
                <w:sz w:val="24"/>
              </w:rPr>
            </w:pPr>
            <w:r>
              <w:rPr>
                <w:rFonts w:hint="eastAsia" w:ascii="宋体" w:hAnsi="宋体" w:cs="宋体"/>
                <w:color w:val="000000"/>
                <w:sz w:val="24"/>
              </w:rPr>
              <w:t>2</w:t>
            </w:r>
          </w:p>
        </w:tc>
        <w:tc>
          <w:tcPr>
            <w:tcW w:w="3067" w:type="dxa"/>
            <w:noWrap w:val="0"/>
            <w:vAlign w:val="center"/>
          </w:tcPr>
          <w:p w14:paraId="4CBC4A5A">
            <w:pPr>
              <w:widowControl/>
              <w:spacing w:line="360" w:lineRule="auto"/>
              <w:rPr>
                <w:rFonts w:hint="eastAsia" w:ascii="宋体" w:hAnsi="宋体" w:cs="宋体"/>
                <w:color w:val="000000"/>
                <w:sz w:val="24"/>
              </w:rPr>
            </w:pPr>
            <w:r>
              <w:rPr>
                <w:rFonts w:hint="eastAsia" w:ascii="宋体" w:hAnsi="宋体" w:cs="宋体"/>
                <w:color w:val="000000"/>
                <w:sz w:val="24"/>
              </w:rPr>
              <w:t>补充完善污水处理站工艺流程和在线监测系统介绍、废水达标性分析、臭气处理措施，核实二氧化氯和活性炭的使用量、储存方式及活性炭的处置方式，补充污水处理站，化粪池防渗措施的介绍并明确污泥的处理去向。</w:t>
            </w:r>
          </w:p>
        </w:tc>
        <w:tc>
          <w:tcPr>
            <w:tcW w:w="5201" w:type="dxa"/>
            <w:gridSpan w:val="2"/>
            <w:noWrap w:val="0"/>
            <w:vAlign w:val="center"/>
          </w:tcPr>
          <w:p w14:paraId="0AF5D8C3">
            <w:pPr>
              <w:widowControl/>
              <w:spacing w:line="360" w:lineRule="auto"/>
              <w:rPr>
                <w:rFonts w:hint="eastAsia" w:ascii="宋体" w:hAnsi="宋体" w:cs="宋体"/>
                <w:color w:val="000000"/>
                <w:sz w:val="24"/>
              </w:rPr>
            </w:pPr>
            <w:r>
              <w:rPr>
                <w:rFonts w:hint="eastAsia" w:ascii="宋体" w:hAnsi="宋体" w:cs="宋体"/>
                <w:color w:val="000000"/>
                <w:sz w:val="24"/>
              </w:rPr>
              <w:t>补充完善了污水处理站工艺流程和在线监测系统介绍、废水达标性分析、臭气处理措施，核实了二氧化氯和活性炭的使用量、储存方式及活性炭的处置方式，补充了污水处理站，化粪池防渗措施的介绍并明确了污泥的处理去向委托有资质的相关单位处置。P51、P54、P56、P59、P84、P89、104、P98、P110、P111、P112、P136、P140。</w:t>
            </w:r>
          </w:p>
        </w:tc>
      </w:tr>
      <w:tr w14:paraId="07851CA2">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1317" w:hRule="atLeast"/>
          <w:jc w:val="center"/>
        </w:trPr>
        <w:tc>
          <w:tcPr>
            <w:tcW w:w="663" w:type="dxa"/>
            <w:noWrap w:val="0"/>
            <w:vAlign w:val="center"/>
          </w:tcPr>
          <w:p w14:paraId="69DA2BD3">
            <w:pPr>
              <w:widowControl/>
              <w:spacing w:line="360" w:lineRule="auto"/>
              <w:jc w:val="center"/>
              <w:rPr>
                <w:rFonts w:hint="eastAsia" w:ascii="宋体" w:hAnsi="宋体" w:cs="宋体"/>
                <w:color w:val="000000"/>
                <w:sz w:val="24"/>
              </w:rPr>
            </w:pPr>
            <w:r>
              <w:rPr>
                <w:rFonts w:hint="eastAsia" w:ascii="宋体" w:hAnsi="宋体" w:cs="宋体"/>
                <w:color w:val="000000"/>
                <w:sz w:val="24"/>
              </w:rPr>
              <w:t>3</w:t>
            </w:r>
          </w:p>
        </w:tc>
        <w:tc>
          <w:tcPr>
            <w:tcW w:w="3067" w:type="dxa"/>
            <w:noWrap w:val="0"/>
            <w:vAlign w:val="center"/>
          </w:tcPr>
          <w:p w14:paraId="530BAE18">
            <w:pPr>
              <w:widowControl/>
              <w:spacing w:line="360" w:lineRule="auto"/>
              <w:rPr>
                <w:rFonts w:hint="eastAsia" w:ascii="宋体" w:hAnsi="宋体" w:cs="宋体"/>
                <w:color w:val="000000"/>
                <w:sz w:val="24"/>
              </w:rPr>
            </w:pPr>
            <w:r>
              <w:rPr>
                <w:rFonts w:hint="eastAsia" w:ascii="宋体" w:hAnsi="宋体" w:cs="宋体"/>
                <w:color w:val="000000"/>
                <w:sz w:val="24"/>
              </w:rPr>
              <w:t>补充周围环境敏感目标的识别和调查及医疗废物暂存间的介绍，提出对医疗废物的收、储要求，明确医疗废物处置去向。</w:t>
            </w:r>
          </w:p>
        </w:tc>
        <w:tc>
          <w:tcPr>
            <w:tcW w:w="5201" w:type="dxa"/>
            <w:gridSpan w:val="2"/>
            <w:noWrap w:val="0"/>
            <w:vAlign w:val="center"/>
          </w:tcPr>
          <w:p w14:paraId="148D95D3">
            <w:pPr>
              <w:widowControl/>
              <w:spacing w:line="360" w:lineRule="auto"/>
              <w:rPr>
                <w:rFonts w:hint="eastAsia" w:ascii="宋体" w:hAnsi="宋体" w:cs="宋体"/>
                <w:color w:val="000000"/>
                <w:sz w:val="24"/>
              </w:rPr>
            </w:pPr>
            <w:r>
              <w:rPr>
                <w:rFonts w:hint="eastAsia" w:ascii="宋体" w:hAnsi="宋体"/>
                <w:color w:val="000000"/>
                <w:sz w:val="24"/>
              </w:rPr>
              <w:t>补充了周围环境敏感目标的识别和调查P14及医疗废物暂存间的介绍，提出了对医疗废物的收、储要求，明确医疗废物处置去向。P32、P56-P58、P95-P100、P113-P114。</w:t>
            </w:r>
          </w:p>
        </w:tc>
      </w:tr>
      <w:tr w14:paraId="1D15048C">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1317" w:hRule="atLeast"/>
          <w:jc w:val="center"/>
        </w:trPr>
        <w:tc>
          <w:tcPr>
            <w:tcW w:w="663" w:type="dxa"/>
            <w:noWrap w:val="0"/>
            <w:vAlign w:val="center"/>
          </w:tcPr>
          <w:p w14:paraId="042438B4">
            <w:pPr>
              <w:widowControl/>
              <w:spacing w:line="360" w:lineRule="auto"/>
              <w:jc w:val="center"/>
              <w:rPr>
                <w:rFonts w:hint="eastAsia" w:ascii="宋体" w:hAnsi="宋体" w:cs="宋体"/>
                <w:color w:val="000000"/>
                <w:sz w:val="24"/>
              </w:rPr>
            </w:pPr>
            <w:r>
              <w:rPr>
                <w:rFonts w:hint="eastAsia" w:ascii="宋体" w:hAnsi="宋体" w:cs="宋体"/>
                <w:color w:val="000000"/>
                <w:sz w:val="24"/>
              </w:rPr>
              <w:t>4</w:t>
            </w:r>
          </w:p>
        </w:tc>
        <w:tc>
          <w:tcPr>
            <w:tcW w:w="3067" w:type="dxa"/>
            <w:noWrap w:val="0"/>
            <w:vAlign w:val="center"/>
          </w:tcPr>
          <w:p w14:paraId="4397887F">
            <w:pPr>
              <w:widowControl/>
              <w:spacing w:line="360" w:lineRule="auto"/>
              <w:rPr>
                <w:rFonts w:hint="eastAsia" w:ascii="宋体" w:hAnsi="宋体" w:cs="宋体"/>
                <w:color w:val="000000"/>
                <w:sz w:val="24"/>
              </w:rPr>
            </w:pPr>
            <w:r>
              <w:rPr>
                <w:rFonts w:hint="eastAsia" w:ascii="宋体" w:hAnsi="宋体" w:cs="宋体"/>
                <w:color w:val="000000"/>
                <w:sz w:val="24"/>
              </w:rPr>
              <w:t>核实环境保护投资、化粪池的数量和容积、事故应急池的容积、环境监理计划表、验收一览表，在项目平面布局图标出环保设施的位置。</w:t>
            </w:r>
          </w:p>
        </w:tc>
        <w:tc>
          <w:tcPr>
            <w:tcW w:w="5201" w:type="dxa"/>
            <w:gridSpan w:val="2"/>
            <w:noWrap w:val="0"/>
            <w:vAlign w:val="center"/>
          </w:tcPr>
          <w:p w14:paraId="57C22023">
            <w:pPr>
              <w:widowControl/>
              <w:spacing w:line="360" w:lineRule="auto"/>
              <w:rPr>
                <w:rFonts w:hint="eastAsia" w:ascii="宋体" w:hAnsi="宋体"/>
                <w:color w:val="000000"/>
                <w:sz w:val="24"/>
              </w:rPr>
            </w:pPr>
            <w:r>
              <w:rPr>
                <w:rFonts w:hint="eastAsia" w:ascii="宋体" w:hAnsi="宋体"/>
                <w:color w:val="000000"/>
                <w:sz w:val="24"/>
              </w:rPr>
              <w:t>核实了环境保护投资P122-P123、化粪池的数量和容积P20、P25、P86、P140、事故应急池的容积P60、P104、P122、P139、环境监理计划表P137、验收一览表P140，在项目平面布局图标出了环保设施的位置，见总平面布置图。</w:t>
            </w:r>
          </w:p>
        </w:tc>
      </w:tr>
      <w:tr w14:paraId="31ACA450">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1317" w:hRule="atLeast"/>
          <w:jc w:val="center"/>
        </w:trPr>
        <w:tc>
          <w:tcPr>
            <w:tcW w:w="663" w:type="dxa"/>
            <w:noWrap w:val="0"/>
            <w:vAlign w:val="center"/>
          </w:tcPr>
          <w:p w14:paraId="625DA865">
            <w:pPr>
              <w:widowControl/>
              <w:spacing w:line="360" w:lineRule="auto"/>
              <w:jc w:val="center"/>
              <w:rPr>
                <w:rFonts w:hint="eastAsia" w:ascii="宋体" w:hAnsi="宋体" w:cs="宋体"/>
                <w:color w:val="000000"/>
                <w:sz w:val="24"/>
              </w:rPr>
            </w:pPr>
            <w:r>
              <w:rPr>
                <w:rFonts w:hint="eastAsia" w:ascii="宋体" w:hAnsi="宋体" w:cs="宋体"/>
                <w:color w:val="000000"/>
                <w:sz w:val="24"/>
              </w:rPr>
              <w:t>5</w:t>
            </w:r>
          </w:p>
        </w:tc>
        <w:tc>
          <w:tcPr>
            <w:tcW w:w="3067" w:type="dxa"/>
            <w:noWrap w:val="0"/>
            <w:vAlign w:val="center"/>
          </w:tcPr>
          <w:p w14:paraId="4F003EB7">
            <w:pPr>
              <w:widowControl/>
              <w:spacing w:line="360" w:lineRule="auto"/>
              <w:rPr>
                <w:rFonts w:hint="eastAsia" w:ascii="宋体" w:hAnsi="宋体" w:cs="宋体"/>
                <w:color w:val="000000"/>
                <w:sz w:val="24"/>
              </w:rPr>
            </w:pPr>
            <w:r>
              <w:rPr>
                <w:rFonts w:hint="eastAsia" w:ascii="宋体" w:hAnsi="宋体" w:cs="宋体"/>
                <w:color w:val="000000"/>
                <w:sz w:val="24"/>
              </w:rPr>
              <w:t>认真加强文本的校队与修改，并注意内容前后的一致性。</w:t>
            </w:r>
          </w:p>
        </w:tc>
        <w:tc>
          <w:tcPr>
            <w:tcW w:w="5201" w:type="dxa"/>
            <w:gridSpan w:val="2"/>
            <w:noWrap w:val="0"/>
            <w:vAlign w:val="center"/>
          </w:tcPr>
          <w:p w14:paraId="0D2EE066">
            <w:pPr>
              <w:widowControl/>
              <w:spacing w:line="360" w:lineRule="auto"/>
              <w:rPr>
                <w:rFonts w:hint="eastAsia" w:ascii="宋体" w:hAnsi="宋体"/>
                <w:color w:val="000000"/>
                <w:sz w:val="24"/>
              </w:rPr>
            </w:pPr>
            <w:r>
              <w:rPr>
                <w:rFonts w:hint="eastAsia" w:ascii="宋体" w:hAnsi="宋体"/>
                <w:color w:val="000000"/>
                <w:sz w:val="24"/>
              </w:rPr>
              <w:t>认真加强了文本的校队与修改，并注意了内容前后的一致性。详见全文。</w:t>
            </w:r>
          </w:p>
        </w:tc>
      </w:tr>
    </w:tbl>
    <w:p w14:paraId="7793D830">
      <w:pPr>
        <w:rPr>
          <w:rFonts w:hint="eastAsia"/>
          <w:color w:val="000000"/>
          <w:sz w:val="24"/>
        </w:rPr>
      </w:pPr>
      <w:r>
        <w:rPr>
          <w:rFonts w:hint="eastAsia"/>
          <w:color w:val="000000"/>
          <w:sz w:val="24"/>
        </w:rPr>
        <w:t>注：报告书中有的内容已按各专家意见进行了修改，在清单中没有列出。</w:t>
      </w:r>
    </w:p>
    <w:p w14:paraId="3458F187">
      <w:pPr>
        <w:jc w:val="center"/>
        <w:rPr>
          <w:rFonts w:hint="eastAsia"/>
          <w:color w:val="000000"/>
        </w:rPr>
      </w:pPr>
    </w:p>
    <w:sectPr>
      <w:pgSz w:w="11906" w:h="16838" w:orient="landscape"/>
      <w:pgMar w:top="1440" w:right="1797" w:bottom="1440" w:left="1797" w:header="851" w:footer="992" w:gutter="0"/>
      <w:cols w:space="1701" w:num="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仿宋_GB2312">
    <w:panose1 w:val="02010609030101010101"/>
    <w:charset w:val="86"/>
    <w:family w:val="auto"/>
    <w:pitch w:val="default"/>
    <w:sig w:usb0="00000001" w:usb1="080E0000" w:usb2="00000000" w:usb3="00000000" w:csb0="00040000" w:csb1="00000000"/>
  </w:font>
  <w:font w:name="Arial Black">
    <w:panose1 w:val="020B0A04020102020204"/>
    <w:charset w:val="00"/>
    <w:family w:val="auto"/>
    <w:pitch w:val="default"/>
    <w:sig w:usb0="A00002AF" w:usb1="400078FB" w:usb2="00000000" w:usb3="00000000" w:csb0="6000009F" w:csb1="DFD70000"/>
  </w:font>
  <w:font w:name="楷体_GB2312">
    <w:panose1 w:val="02010609030101010101"/>
    <w:charset w:val="86"/>
    <w:family w:val="auto"/>
    <w:pitch w:val="default"/>
    <w:sig w:usb0="00000001" w:usb1="080E0000" w:usb2="00000000" w:usb3="00000000" w:csb0="00040000" w:csb1="00000000"/>
  </w:font>
  <w:font w:name="TimesNewRoman">
    <w:altName w:val="Times New Roman"/>
    <w:panose1 w:val="02020603050405020304"/>
    <w:charset w:val="00"/>
    <w:family w:val="auto"/>
    <w:pitch w:val="default"/>
    <w:sig w:usb0="00000000" w:usb1="00000000" w:usb2="00000000" w:usb3="00000000" w:csb0="00000000" w:csb1="00000000"/>
  </w:font>
  <w:font w:name="Verdana">
    <w:panose1 w:val="020B0604030504040204"/>
    <w:charset w:val="00"/>
    <w:family w:val="auto"/>
    <w:pitch w:val="default"/>
    <w:sig w:usb0="A00006FF" w:usb1="4000205B" w:usb2="00000010" w:usb3="00000000" w:csb0="2000019F" w:csb1="00000000"/>
  </w:font>
  <w:font w:name="ˎ̥">
    <w:altName w:val="Segoe Print"/>
    <w:panose1 w:val="020B0604020202020204"/>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36EA64">
    <w:pPr>
      <w:pStyle w:val="206"/>
      <w:framePr w:wrap="around" w:vAnchor="text" w:hAnchor="page" w:x="5863" w:y="1"/>
    </w:pPr>
    <w:r>
      <w:fldChar w:fldCharType="begin"/>
    </w:r>
    <w:r>
      <w:instrText xml:space="preserve"> PAGE \* ROMAN </w:instrText>
    </w:r>
    <w:r>
      <w:fldChar w:fldCharType="separate"/>
    </w:r>
    <w:r>
      <w:t>I</w:t>
    </w:r>
    <w:r>
      <w:fldChar w:fldCharType="end"/>
    </w:r>
  </w:p>
  <w:p w14:paraId="7E452A65">
    <w:pPr>
      <w:pStyle w:val="20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E50F209">
    <w:pPr>
      <w:pStyle w:val="206"/>
      <w:framePr w:wrap="around" w:vAnchor="text" w:hAnchor="margin" w:xAlign="center" w:y="1"/>
      <w:rPr>
        <w:rStyle w:val="224"/>
      </w:rPr>
    </w:pPr>
    <w:r>
      <w:fldChar w:fldCharType="begin"/>
    </w:r>
    <w:r>
      <w:rPr>
        <w:rStyle w:val="224"/>
      </w:rPr>
      <w:instrText xml:space="preserve">PAGE  </w:instrText>
    </w:r>
    <w:r>
      <w:fldChar w:fldCharType="end"/>
    </w:r>
  </w:p>
  <w:p w14:paraId="05D96E31">
    <w:pPr>
      <w:pStyle w:val="206"/>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4125000">
    <w:pPr>
      <w:pStyle w:val="206"/>
      <w:framePr w:wrap="around" w:vAnchor="text" w:hAnchor="margin" w:xAlign="center" w:y="1"/>
      <w:rPr>
        <w:rStyle w:val="224"/>
      </w:rPr>
    </w:pPr>
    <w:r>
      <w:fldChar w:fldCharType="begin"/>
    </w:r>
    <w:r>
      <w:rPr>
        <w:rStyle w:val="224"/>
      </w:rPr>
      <w:instrText xml:space="preserve">PAGE  </w:instrText>
    </w:r>
    <w:r>
      <w:fldChar w:fldCharType="separate"/>
    </w:r>
    <w:r>
      <w:rPr>
        <w:rStyle w:val="224"/>
      </w:rPr>
      <w:t>17</w:t>
    </w:r>
    <w:r>
      <w:fldChar w:fldCharType="end"/>
    </w:r>
  </w:p>
  <w:p w14:paraId="13B92577">
    <w:pPr>
      <w:pStyle w:val="206"/>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DEC590">
    <w:pPr>
      <w:pStyle w:val="206"/>
      <w:framePr w:wrap="around" w:vAnchor="text" w:hAnchor="margin" w:xAlign="center" w:y="1"/>
      <w:tabs>
        <w:tab w:val="right" w:pos="8306"/>
      </w:tabs>
    </w:pPr>
    <w:r>
      <w:fldChar w:fldCharType="begin"/>
    </w:r>
    <w:r>
      <w:instrText xml:space="preserve"> PAGE \* Arabic </w:instrText>
    </w:r>
    <w:r>
      <w:fldChar w:fldCharType="separate"/>
    </w:r>
    <w:r>
      <w:t>7</w:t>
    </w:r>
    <w:r>
      <w:fldChar w:fldCharType="end"/>
    </w:r>
  </w:p>
  <w:p w14:paraId="1A222ABC">
    <w:pPr>
      <w:pStyle w:val="206"/>
      <w:tabs>
        <w:tab w:val="right" w:pos="8306"/>
      </w:tabs>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54DAAC0">
    <w:pPr>
      <w:pStyle w:val="206"/>
      <w:framePr w:wrap="around" w:vAnchor="text" w:hAnchor="page" w:x="8329" w:y="1"/>
      <w:tabs>
        <w:tab w:val="right" w:pos="8306"/>
      </w:tabs>
    </w:pPr>
    <w:r>
      <w:fldChar w:fldCharType="begin"/>
    </w:r>
    <w:r>
      <w:instrText xml:space="preserve"> PAGE \* Arabic </w:instrText>
    </w:r>
    <w:r>
      <w:fldChar w:fldCharType="separate"/>
    </w:r>
    <w:r>
      <w:t>46</w:t>
    </w:r>
    <w:r>
      <w:fldChar w:fldCharType="end"/>
    </w:r>
  </w:p>
  <w:p w14:paraId="1CE02573">
    <w:pPr>
      <w:pStyle w:val="206"/>
      <w:tabs>
        <w:tab w:val="right" w:pos="8306"/>
      </w:tabs>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EB00A7F">
    <w:pPr>
      <w:pStyle w:val="206"/>
      <w:framePr w:wrap="around" w:vAnchor="text" w:hAnchor="page" w:x="5863" w:y="1"/>
      <w:tabs>
        <w:tab w:val="right" w:pos="8306"/>
      </w:tabs>
    </w:pPr>
    <w:r>
      <w:fldChar w:fldCharType="begin"/>
    </w:r>
    <w:r>
      <w:instrText xml:space="preserve"> PAGE \* Arabic </w:instrText>
    </w:r>
    <w:r>
      <w:fldChar w:fldCharType="separate"/>
    </w:r>
    <w:r>
      <w:t>52</w:t>
    </w:r>
    <w:r>
      <w:fldChar w:fldCharType="end"/>
    </w:r>
  </w:p>
  <w:p w14:paraId="319471E3">
    <w:pPr>
      <w:pStyle w:val="206"/>
      <w:tabs>
        <w:tab w:val="right" w:pos="8306"/>
      </w:tabs>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F04BB91">
    <w:pPr>
      <w:pStyle w:val="206"/>
      <w:framePr w:wrap="around" w:vAnchor="text" w:hAnchor="page" w:x="5818" w:y="1"/>
      <w:tabs>
        <w:tab w:val="right" w:pos="8306"/>
      </w:tabs>
    </w:pPr>
    <w:r>
      <w:fldChar w:fldCharType="begin"/>
    </w:r>
    <w:r>
      <w:instrText xml:space="preserve"> PAGE \* Arabic </w:instrText>
    </w:r>
    <w:r>
      <w:fldChar w:fldCharType="separate"/>
    </w:r>
    <w:r>
      <w:t>88</w:t>
    </w:r>
    <w:r>
      <w:fldChar w:fldCharType="end"/>
    </w:r>
  </w:p>
  <w:p w14:paraId="3F1E4448">
    <w:pPr>
      <w:pStyle w:val="206"/>
      <w:tabs>
        <w:tab w:val="right" w:pos="8306"/>
      </w:tabs>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BB227C7">
    <w:pPr>
      <w:pStyle w:val="207"/>
    </w:pPr>
    <w:r>
      <w:rPr>
        <w:rFonts w:ascii="宋体" w:hAnsi="宋体" w:cs="宋体"/>
      </w:rPr>
      <w:t>芒市妇幼保健院迁建项目</w:t>
    </w:r>
    <w:r>
      <w:t>环境影响报告书</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246D57A">
    <w:pPr>
      <w:pStyle w:val="207"/>
      <w:tabs>
        <w:tab w:val="right" w:pos="8306"/>
      </w:tabs>
    </w:pPr>
    <w:r>
      <w:rPr>
        <w:rFonts w:ascii="宋体" w:hAnsi="宋体" w:cs="宋体"/>
      </w:rPr>
      <w:t>芒市妇幼保健院迁建项目</w:t>
    </w:r>
    <w:r>
      <w:t>环境影响报告书</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E22208B">
    <w:pPr>
      <w:pStyle w:val="207"/>
      <w:tabs>
        <w:tab w:val="right" w:pos="8306"/>
      </w:tabs>
    </w:pPr>
    <w:r>
      <w:rPr>
        <w:rFonts w:ascii="宋体" w:hAnsi="宋体" w:cs="宋体"/>
      </w:rPr>
      <w:t>芒市妇幼保健院迁建项目</w:t>
    </w:r>
    <w:r>
      <w:t>环境影响报告书</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3161CA9">
    <w:pPr>
      <w:pStyle w:val="207"/>
      <w:tabs>
        <w:tab w:val="right" w:pos="8306"/>
      </w:tabs>
    </w:pPr>
    <w:r>
      <w:rPr>
        <w:rFonts w:ascii="宋体" w:hAnsi="宋体" w:cs="宋体"/>
      </w:rPr>
      <w:t>芒市妇幼保健院迁建项目</w:t>
    </w:r>
    <w:r>
      <w:t>环境影响报告书</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DC54CDF">
    <w:pPr>
      <w:pStyle w:val="207"/>
      <w:tabs>
        <w:tab w:val="right" w:pos="8306"/>
      </w:tabs>
    </w:pPr>
    <w:r>
      <w:rPr>
        <w:rFonts w:ascii="宋体" w:hAnsi="宋体" w:cs="宋体"/>
      </w:rPr>
      <w:t>芒市妇幼保健院迁建项目</w:t>
    </w:r>
    <w:r>
      <w:t>环境影响报告书</w:t>
    </w:r>
  </w:p>
</w:hdr>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USER">
    <w15:presenceInfo w15:providerId="None" w15:userId="US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oNotDisplayPageBoundaries w:val="1"/>
  <w:displayBackgroundShape w:val="1"/>
  <w:documentProtection w:enforcement="0"/>
  <w:defaultTabStop w:val="420"/>
  <w:characterSpacingControl w:val="doNotCompress"/>
  <w:compat>
    <w:balanceSingleByteDoubleByteWidth/>
    <w:ulTrailSpace/>
    <w:doNotExpandShiftReturn/>
    <w:useFELayout/>
    <w:splitPgBreakAndParaMark/>
    <w:compatSetting w:name="compatibilityMode" w:uri="http://schemas.microsoft.com/office/word" w:val="11"/>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0C0A4DDB"/>
    <w:rsid w:val="2C0E4A62"/>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semiHidden="0" w:name="heading 5"/>
    <w:lsdException w:qFormat="1" w:uiPriority="9" w:semiHidden="0" w:name="heading 6"/>
    <w:lsdException w:qFormat="1" w:uiPriority="9" w:semiHidden="0" w:name="heading 7"/>
    <w:lsdException w:qFormat="1" w:uiPriority="9" w:semiHidden="0" w:name="heading 8"/>
    <w:lsdException w:qFormat="1" w:uiPriority="9"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semiHidden="0" w:name="toc 1"/>
    <w:lsdException w:uiPriority="39" w:semiHidden="0" w:name="toc 2"/>
    <w:lsdException w:uiPriority="39" w:semiHidden="0" w:name="toc 3"/>
    <w:lsdException w:uiPriority="39" w:semiHidden="0" w:name="toc 4"/>
    <w:lsdException w:uiPriority="39" w:semiHidden="0" w:name="toc 5"/>
    <w:lsdException w:uiPriority="39" w:semiHidden="0" w:name="toc 6"/>
    <w:lsdException w:uiPriority="39" w:semiHidden="0" w:name="toc 7"/>
    <w:lsdException w:uiPriority="39" w:semiHidden="0" w:name="toc 8"/>
    <w:lsdException w:uiPriority="39" w:semiHidden="0"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semiHidden="0" w:name="table of figures"/>
    <w:lsdException w:uiPriority="99" w:name="envelope address"/>
    <w:lsdException w:uiPriority="99" w:name="envelope return"/>
    <w:lsdException w:uiPriority="99" w:semiHidden="0"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5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qFormat="1" w:unhideWhenUsed="0" w:uiPriority="29" w:semiHidden="0" w:name="Quote"/>
    <w:lsdException w:qFormat="1" w:unhideWhenUsed="0" w:uiPriority="30"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link w:val="263"/>
    <w:uiPriority w:val="0"/>
    <w:pPr>
      <w:widowControl w:val="0"/>
      <w:jc w:val="both"/>
    </w:pPr>
    <w:rPr>
      <w:rFonts w:hint="default" w:ascii="Times New Roman" w:hAnsi="Times New Roman" w:eastAsia="宋体" w:cs="Times New Roman"/>
      <w:color w:val="000000"/>
      <w:sz w:val="21"/>
      <w:szCs w:val="24"/>
      <w:lang w:val="en-US" w:eastAsia="zh-CN" w:bidi="ar-SA"/>
    </w:rPr>
  </w:style>
  <w:style w:type="paragraph" w:styleId="2">
    <w:name w:val="heading 1"/>
    <w:basedOn w:val="1"/>
    <w:next w:val="1"/>
    <w:link w:val="33"/>
    <w:qFormat/>
    <w:uiPriority w:val="9"/>
    <w:pPr>
      <w:keepNext/>
      <w:keepLines/>
      <w:spacing w:before="480" w:after="200"/>
      <w:outlineLvl w:val="0"/>
    </w:pPr>
    <w:rPr>
      <w:rFonts w:ascii="等线" w:hAnsi="等线" w:eastAsia="等线" w:cs="等线"/>
      <w:sz w:val="40"/>
      <w:szCs w:val="40"/>
    </w:rPr>
  </w:style>
  <w:style w:type="paragraph" w:styleId="3">
    <w:name w:val="heading 2"/>
    <w:basedOn w:val="1"/>
    <w:next w:val="1"/>
    <w:link w:val="34"/>
    <w:unhideWhenUsed/>
    <w:qFormat/>
    <w:uiPriority w:val="9"/>
    <w:pPr>
      <w:keepNext/>
      <w:keepLines/>
      <w:spacing w:before="360" w:after="200"/>
      <w:outlineLvl w:val="1"/>
    </w:pPr>
    <w:rPr>
      <w:rFonts w:ascii="等线" w:hAnsi="等线" w:eastAsia="等线" w:cs="等线"/>
      <w:sz w:val="34"/>
    </w:rPr>
  </w:style>
  <w:style w:type="paragraph" w:styleId="4">
    <w:name w:val="heading 3"/>
    <w:basedOn w:val="1"/>
    <w:next w:val="1"/>
    <w:link w:val="35"/>
    <w:unhideWhenUsed/>
    <w:qFormat/>
    <w:uiPriority w:val="9"/>
    <w:pPr>
      <w:keepNext/>
      <w:keepLines/>
      <w:spacing w:before="320" w:after="200"/>
      <w:outlineLvl w:val="2"/>
    </w:pPr>
    <w:rPr>
      <w:rFonts w:ascii="等线" w:hAnsi="等线" w:eastAsia="等线" w:cs="等线"/>
      <w:sz w:val="30"/>
      <w:szCs w:val="30"/>
    </w:rPr>
  </w:style>
  <w:style w:type="paragraph" w:styleId="5">
    <w:name w:val="heading 4"/>
    <w:basedOn w:val="1"/>
    <w:next w:val="1"/>
    <w:link w:val="36"/>
    <w:unhideWhenUsed/>
    <w:qFormat/>
    <w:uiPriority w:val="9"/>
    <w:pPr>
      <w:keepNext/>
      <w:keepLines/>
      <w:spacing w:before="320" w:after="200"/>
      <w:outlineLvl w:val="3"/>
    </w:pPr>
    <w:rPr>
      <w:rFonts w:ascii="等线" w:hAnsi="等线" w:eastAsia="等线" w:cs="等线"/>
      <w:b/>
      <w:bCs/>
      <w:sz w:val="26"/>
      <w:szCs w:val="26"/>
    </w:rPr>
  </w:style>
  <w:style w:type="paragraph" w:styleId="6">
    <w:name w:val="heading 5"/>
    <w:basedOn w:val="1"/>
    <w:next w:val="1"/>
    <w:link w:val="37"/>
    <w:unhideWhenUsed/>
    <w:qFormat/>
    <w:uiPriority w:val="9"/>
    <w:pPr>
      <w:keepNext/>
      <w:keepLines/>
      <w:spacing w:before="320" w:after="200"/>
      <w:outlineLvl w:val="4"/>
    </w:pPr>
    <w:rPr>
      <w:rFonts w:ascii="等线" w:hAnsi="等线" w:eastAsia="等线" w:cs="等线"/>
      <w:b/>
      <w:bCs/>
      <w:sz w:val="24"/>
      <w:szCs w:val="24"/>
    </w:rPr>
  </w:style>
  <w:style w:type="paragraph" w:styleId="7">
    <w:name w:val="heading 6"/>
    <w:basedOn w:val="1"/>
    <w:next w:val="1"/>
    <w:link w:val="38"/>
    <w:unhideWhenUsed/>
    <w:qFormat/>
    <w:uiPriority w:val="9"/>
    <w:pPr>
      <w:keepNext/>
      <w:keepLines/>
      <w:spacing w:before="320" w:after="200"/>
      <w:outlineLvl w:val="5"/>
    </w:pPr>
    <w:rPr>
      <w:rFonts w:ascii="等线" w:hAnsi="等线" w:eastAsia="等线" w:cs="等线"/>
      <w:b/>
      <w:bCs/>
      <w:sz w:val="22"/>
      <w:szCs w:val="22"/>
    </w:rPr>
  </w:style>
  <w:style w:type="paragraph" w:styleId="8">
    <w:name w:val="heading 7"/>
    <w:basedOn w:val="1"/>
    <w:next w:val="1"/>
    <w:link w:val="39"/>
    <w:unhideWhenUsed/>
    <w:qFormat/>
    <w:uiPriority w:val="9"/>
    <w:pPr>
      <w:keepNext/>
      <w:keepLines/>
      <w:spacing w:before="320" w:after="200"/>
      <w:outlineLvl w:val="6"/>
    </w:pPr>
    <w:rPr>
      <w:rFonts w:ascii="等线" w:hAnsi="等线" w:eastAsia="等线" w:cs="等线"/>
      <w:b/>
      <w:bCs/>
      <w:i/>
      <w:iCs/>
      <w:sz w:val="22"/>
      <w:szCs w:val="22"/>
    </w:rPr>
  </w:style>
  <w:style w:type="paragraph" w:styleId="9">
    <w:name w:val="heading 8"/>
    <w:basedOn w:val="1"/>
    <w:next w:val="1"/>
    <w:link w:val="40"/>
    <w:unhideWhenUsed/>
    <w:qFormat/>
    <w:uiPriority w:val="9"/>
    <w:pPr>
      <w:keepNext/>
      <w:keepLines/>
      <w:spacing w:before="320" w:after="200"/>
      <w:outlineLvl w:val="7"/>
    </w:pPr>
    <w:rPr>
      <w:rFonts w:ascii="等线" w:hAnsi="等线" w:eastAsia="等线" w:cs="等线"/>
      <w:i/>
      <w:iCs/>
      <w:sz w:val="22"/>
      <w:szCs w:val="22"/>
    </w:rPr>
  </w:style>
  <w:style w:type="paragraph" w:styleId="10">
    <w:name w:val="heading 9"/>
    <w:basedOn w:val="1"/>
    <w:next w:val="1"/>
    <w:link w:val="41"/>
    <w:unhideWhenUsed/>
    <w:qFormat/>
    <w:uiPriority w:val="9"/>
    <w:pPr>
      <w:keepNext/>
      <w:keepLines/>
      <w:spacing w:before="320" w:after="200"/>
      <w:outlineLvl w:val="8"/>
    </w:pPr>
    <w:rPr>
      <w:rFonts w:ascii="等线" w:hAnsi="等线" w:eastAsia="等线" w:cs="等线"/>
      <w:i/>
      <w:iCs/>
      <w:sz w:val="21"/>
      <w:szCs w:val="21"/>
    </w:rPr>
  </w:style>
  <w:style w:type="character" w:default="1" w:styleId="29">
    <w:name w:val="Default Paragraph Font"/>
    <w:semiHidden/>
    <w:unhideWhenUsed/>
    <w:qFormat/>
    <w:uiPriority w:val="1"/>
  </w:style>
  <w:style w:type="table" w:default="1" w:styleId="27">
    <w:name w:val="Normal Table"/>
    <w:semiHidden/>
    <w:unhideWhenUsed/>
    <w:qFormat/>
    <w:uiPriority w:val="99"/>
    <w:tblPr>
      <w:tblCellMar>
        <w:top w:w="0" w:type="dxa"/>
        <w:left w:w="108" w:type="dxa"/>
        <w:bottom w:w="0" w:type="dxa"/>
        <w:right w:w="108" w:type="dxa"/>
      </w:tblCellMar>
    </w:tbl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paragraph" w:styleId="11">
    <w:name w:val="toc 7"/>
    <w:basedOn w:val="1"/>
    <w:next w:val="1"/>
    <w:unhideWhenUsed/>
    <w:uiPriority w:val="39"/>
    <w:pPr>
      <w:spacing w:after="57"/>
      <w:ind w:left="1701" w:right="0" w:firstLine="0"/>
    </w:pPr>
  </w:style>
  <w:style w:type="paragraph" w:styleId="12">
    <w:name w:val="caption"/>
    <w:basedOn w:val="1"/>
    <w:next w:val="1"/>
    <w:semiHidden/>
    <w:unhideWhenUsed/>
    <w:qFormat/>
    <w:uiPriority w:val="35"/>
    <w:pPr>
      <w:spacing w:line="276" w:lineRule="auto"/>
    </w:pPr>
    <w:rPr>
      <w:b/>
      <w:bCs/>
      <w:color w:val="4F81BD" w:themeColor="accent1"/>
      <w:sz w:val="18"/>
      <w:szCs w:val="18"/>
    </w:rPr>
  </w:style>
  <w:style w:type="paragraph" w:styleId="13">
    <w:name w:val="toc 5"/>
    <w:basedOn w:val="1"/>
    <w:next w:val="1"/>
    <w:unhideWhenUsed/>
    <w:uiPriority w:val="39"/>
    <w:pPr>
      <w:spacing w:after="57"/>
      <w:ind w:left="1134" w:right="0" w:firstLine="0"/>
    </w:pPr>
  </w:style>
  <w:style w:type="paragraph" w:styleId="14">
    <w:name w:val="toc 3"/>
    <w:basedOn w:val="1"/>
    <w:next w:val="1"/>
    <w:unhideWhenUsed/>
    <w:uiPriority w:val="39"/>
    <w:pPr>
      <w:spacing w:after="57"/>
      <w:ind w:left="567" w:right="0" w:firstLine="0"/>
    </w:pPr>
  </w:style>
  <w:style w:type="paragraph" w:styleId="15">
    <w:name w:val="toc 8"/>
    <w:basedOn w:val="1"/>
    <w:next w:val="1"/>
    <w:unhideWhenUsed/>
    <w:uiPriority w:val="39"/>
    <w:pPr>
      <w:spacing w:after="57"/>
      <w:ind w:left="1984" w:right="0" w:firstLine="0"/>
    </w:pPr>
  </w:style>
  <w:style w:type="paragraph" w:styleId="16">
    <w:name w:val="endnote text"/>
    <w:basedOn w:val="1"/>
    <w:link w:val="179"/>
    <w:semiHidden/>
    <w:unhideWhenUsed/>
    <w:uiPriority w:val="99"/>
    <w:pPr>
      <w:spacing w:after="0" w:line="240" w:lineRule="auto"/>
    </w:pPr>
    <w:rPr>
      <w:sz w:val="20"/>
    </w:rPr>
  </w:style>
  <w:style w:type="paragraph" w:styleId="17">
    <w:name w:val="footer"/>
    <w:basedOn w:val="1"/>
    <w:link w:val="52"/>
    <w:unhideWhenUsed/>
    <w:qFormat/>
    <w:uiPriority w:val="99"/>
    <w:pPr>
      <w:tabs>
        <w:tab w:val="center" w:pos="7143"/>
        <w:tab w:val="right" w:pos="14287"/>
      </w:tabs>
      <w:spacing w:after="0" w:line="240" w:lineRule="auto"/>
    </w:pPr>
  </w:style>
  <w:style w:type="paragraph" w:styleId="18">
    <w:name w:val="header"/>
    <w:basedOn w:val="1"/>
    <w:link w:val="50"/>
    <w:unhideWhenUsed/>
    <w:qFormat/>
    <w:uiPriority w:val="99"/>
    <w:pPr>
      <w:tabs>
        <w:tab w:val="center" w:pos="7143"/>
        <w:tab w:val="right" w:pos="14287"/>
      </w:tabs>
      <w:spacing w:after="0" w:line="240" w:lineRule="auto"/>
    </w:pPr>
  </w:style>
  <w:style w:type="paragraph" w:styleId="19">
    <w:name w:val="toc 1"/>
    <w:basedOn w:val="1"/>
    <w:next w:val="1"/>
    <w:unhideWhenUsed/>
    <w:uiPriority w:val="39"/>
    <w:pPr>
      <w:spacing w:after="57"/>
      <w:ind w:left="0" w:right="0" w:firstLine="0"/>
    </w:pPr>
  </w:style>
  <w:style w:type="paragraph" w:styleId="20">
    <w:name w:val="toc 4"/>
    <w:basedOn w:val="1"/>
    <w:next w:val="1"/>
    <w:unhideWhenUsed/>
    <w:uiPriority w:val="39"/>
    <w:pPr>
      <w:spacing w:after="57"/>
      <w:ind w:left="850" w:right="0" w:firstLine="0"/>
    </w:pPr>
  </w:style>
  <w:style w:type="paragraph" w:styleId="21">
    <w:name w:val="Subtitle"/>
    <w:basedOn w:val="1"/>
    <w:next w:val="1"/>
    <w:link w:val="45"/>
    <w:qFormat/>
    <w:uiPriority w:val="11"/>
    <w:pPr>
      <w:spacing w:before="200" w:after="200"/>
    </w:pPr>
    <w:rPr>
      <w:sz w:val="24"/>
      <w:szCs w:val="24"/>
    </w:rPr>
  </w:style>
  <w:style w:type="paragraph" w:styleId="22">
    <w:name w:val="footnote text"/>
    <w:basedOn w:val="1"/>
    <w:link w:val="178"/>
    <w:semiHidden/>
    <w:unhideWhenUsed/>
    <w:uiPriority w:val="99"/>
    <w:pPr>
      <w:spacing w:after="40" w:line="240" w:lineRule="auto"/>
    </w:pPr>
    <w:rPr>
      <w:sz w:val="18"/>
    </w:rPr>
  </w:style>
  <w:style w:type="paragraph" w:styleId="23">
    <w:name w:val="toc 6"/>
    <w:basedOn w:val="1"/>
    <w:next w:val="1"/>
    <w:unhideWhenUsed/>
    <w:uiPriority w:val="39"/>
    <w:pPr>
      <w:spacing w:after="57"/>
      <w:ind w:left="1417" w:right="0" w:firstLine="0"/>
    </w:pPr>
  </w:style>
  <w:style w:type="paragraph" w:styleId="24">
    <w:name w:val="table of figures"/>
    <w:basedOn w:val="1"/>
    <w:next w:val="1"/>
    <w:unhideWhenUsed/>
    <w:uiPriority w:val="99"/>
    <w:pPr>
      <w:spacing w:after="0" w:afterAutospacing="0"/>
    </w:pPr>
  </w:style>
  <w:style w:type="paragraph" w:styleId="25">
    <w:name w:val="toc 2"/>
    <w:basedOn w:val="1"/>
    <w:next w:val="1"/>
    <w:unhideWhenUsed/>
    <w:uiPriority w:val="39"/>
    <w:pPr>
      <w:spacing w:after="57"/>
      <w:ind w:left="283" w:right="0" w:firstLine="0"/>
    </w:pPr>
  </w:style>
  <w:style w:type="paragraph" w:styleId="26">
    <w:name w:val="toc 9"/>
    <w:basedOn w:val="1"/>
    <w:next w:val="1"/>
    <w:unhideWhenUsed/>
    <w:uiPriority w:val="39"/>
    <w:pPr>
      <w:spacing w:after="57"/>
      <w:ind w:left="2268" w:right="0" w:firstLine="0"/>
    </w:pPr>
  </w:style>
  <w:style w:type="table" w:styleId="28">
    <w:name w:val="Table Grid"/>
    <w:qFormat/>
    <w:uiPriority w:val="59"/>
    <w:pPr>
      <w:spacing w:after="0" w:line="240" w:lineRule="auto"/>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character" w:styleId="30">
    <w:name w:val="endnote reference"/>
    <w:semiHidden/>
    <w:unhideWhenUsed/>
    <w:uiPriority w:val="99"/>
    <w:rPr>
      <w:vertAlign w:val="superscript"/>
    </w:rPr>
  </w:style>
  <w:style w:type="character" w:styleId="31">
    <w:name w:val="Hyperlink"/>
    <w:unhideWhenUsed/>
    <w:uiPriority w:val="99"/>
    <w:rPr>
      <w:color w:val="0000FF" w:themeColor="hyperlink"/>
      <w:u w:val="single"/>
    </w:rPr>
  </w:style>
  <w:style w:type="character" w:styleId="32">
    <w:name w:val="footnote reference"/>
    <w:unhideWhenUsed/>
    <w:uiPriority w:val="99"/>
    <w:rPr>
      <w:vertAlign w:val="superscript"/>
    </w:rPr>
  </w:style>
  <w:style w:type="character" w:customStyle="1" w:styleId="33">
    <w:name w:val="Heading 1 Char"/>
    <w:link w:val="2"/>
    <w:qFormat/>
    <w:uiPriority w:val="9"/>
    <w:rPr>
      <w:rFonts w:ascii="等线" w:hAnsi="等线" w:eastAsia="等线" w:cs="等线"/>
      <w:sz w:val="40"/>
      <w:szCs w:val="40"/>
    </w:rPr>
  </w:style>
  <w:style w:type="character" w:customStyle="1" w:styleId="34">
    <w:name w:val="Heading 2 Char"/>
    <w:link w:val="3"/>
    <w:qFormat/>
    <w:uiPriority w:val="9"/>
    <w:rPr>
      <w:rFonts w:ascii="等线" w:hAnsi="等线" w:eastAsia="等线" w:cs="等线"/>
      <w:sz w:val="34"/>
    </w:rPr>
  </w:style>
  <w:style w:type="character" w:customStyle="1" w:styleId="35">
    <w:name w:val="Heading 3 Char"/>
    <w:link w:val="4"/>
    <w:qFormat/>
    <w:uiPriority w:val="9"/>
    <w:rPr>
      <w:rFonts w:ascii="等线" w:hAnsi="等线" w:eastAsia="等线" w:cs="等线"/>
      <w:sz w:val="30"/>
      <w:szCs w:val="30"/>
    </w:rPr>
  </w:style>
  <w:style w:type="character" w:customStyle="1" w:styleId="36">
    <w:name w:val="Heading 4 Char"/>
    <w:link w:val="5"/>
    <w:qFormat/>
    <w:uiPriority w:val="9"/>
    <w:rPr>
      <w:rFonts w:ascii="等线" w:hAnsi="等线" w:eastAsia="等线" w:cs="等线"/>
      <w:b/>
      <w:bCs/>
      <w:sz w:val="26"/>
      <w:szCs w:val="26"/>
    </w:rPr>
  </w:style>
  <w:style w:type="character" w:customStyle="1" w:styleId="37">
    <w:name w:val="Heading 5 Char"/>
    <w:link w:val="6"/>
    <w:qFormat/>
    <w:uiPriority w:val="9"/>
    <w:rPr>
      <w:rFonts w:ascii="等线" w:hAnsi="等线" w:eastAsia="等线" w:cs="等线"/>
      <w:b/>
      <w:bCs/>
      <w:sz w:val="24"/>
      <w:szCs w:val="24"/>
    </w:rPr>
  </w:style>
  <w:style w:type="character" w:customStyle="1" w:styleId="38">
    <w:name w:val="Heading 6 Char"/>
    <w:link w:val="7"/>
    <w:qFormat/>
    <w:uiPriority w:val="9"/>
    <w:rPr>
      <w:rFonts w:ascii="等线" w:hAnsi="等线" w:eastAsia="等线" w:cs="等线"/>
      <w:b/>
      <w:bCs/>
      <w:sz w:val="22"/>
      <w:szCs w:val="22"/>
    </w:rPr>
  </w:style>
  <w:style w:type="character" w:customStyle="1" w:styleId="39">
    <w:name w:val="Heading 7 Char"/>
    <w:link w:val="8"/>
    <w:uiPriority w:val="9"/>
    <w:rPr>
      <w:rFonts w:ascii="等线" w:hAnsi="等线" w:eastAsia="等线" w:cs="等线"/>
      <w:b/>
      <w:bCs/>
      <w:i/>
      <w:iCs/>
      <w:sz w:val="22"/>
      <w:szCs w:val="22"/>
    </w:rPr>
  </w:style>
  <w:style w:type="character" w:customStyle="1" w:styleId="40">
    <w:name w:val="Heading 8 Char"/>
    <w:link w:val="9"/>
    <w:qFormat/>
    <w:uiPriority w:val="9"/>
    <w:rPr>
      <w:rFonts w:ascii="等线" w:hAnsi="等线" w:eastAsia="等线" w:cs="等线"/>
      <w:i/>
      <w:iCs/>
      <w:sz w:val="22"/>
      <w:szCs w:val="22"/>
    </w:rPr>
  </w:style>
  <w:style w:type="character" w:customStyle="1" w:styleId="41">
    <w:name w:val="Heading 9 Char"/>
    <w:link w:val="10"/>
    <w:qFormat/>
    <w:uiPriority w:val="9"/>
    <w:rPr>
      <w:rFonts w:ascii="等线" w:hAnsi="等线" w:eastAsia="等线" w:cs="等线"/>
      <w:i/>
      <w:iCs/>
      <w:sz w:val="21"/>
      <w:szCs w:val="21"/>
    </w:rPr>
  </w:style>
  <w:style w:type="paragraph" w:styleId="42">
    <w:name w:val="List Paragraph"/>
    <w:basedOn w:val="1"/>
    <w:qFormat/>
    <w:uiPriority w:val="34"/>
    <w:pPr>
      <w:ind w:left="720"/>
      <w:contextualSpacing/>
    </w:pPr>
  </w:style>
  <w:style w:type="paragraph" w:styleId="43">
    <w:name w:val="No Spacing"/>
    <w:qFormat/>
    <w:uiPriority w:val="1"/>
    <w:pPr>
      <w:spacing w:before="0" w:after="0" w:line="240" w:lineRule="auto"/>
    </w:pPr>
    <w:rPr>
      <w:rFonts w:hint="default" w:ascii="Times New Roman" w:hAnsi="Times New Roman" w:eastAsia="宋体" w:cs="Times New Roman"/>
    </w:rPr>
  </w:style>
  <w:style w:type="character" w:customStyle="1" w:styleId="44">
    <w:name w:val="Title Char"/>
    <w:qFormat/>
    <w:uiPriority w:val="10"/>
    <w:rPr>
      <w:sz w:val="48"/>
      <w:szCs w:val="48"/>
    </w:rPr>
  </w:style>
  <w:style w:type="character" w:customStyle="1" w:styleId="45">
    <w:name w:val="Subtitle Char"/>
    <w:link w:val="21"/>
    <w:qFormat/>
    <w:uiPriority w:val="11"/>
    <w:rPr>
      <w:sz w:val="24"/>
      <w:szCs w:val="24"/>
    </w:rPr>
  </w:style>
  <w:style w:type="paragraph" w:styleId="46">
    <w:name w:val="Quote"/>
    <w:basedOn w:val="1"/>
    <w:next w:val="1"/>
    <w:link w:val="47"/>
    <w:qFormat/>
    <w:uiPriority w:val="29"/>
    <w:pPr>
      <w:ind w:left="720" w:right="720"/>
    </w:pPr>
    <w:rPr>
      <w:i/>
    </w:rPr>
  </w:style>
  <w:style w:type="character" w:customStyle="1" w:styleId="47">
    <w:name w:val="Quote Char"/>
    <w:link w:val="46"/>
    <w:qFormat/>
    <w:uiPriority w:val="29"/>
    <w:rPr>
      <w:i/>
    </w:rPr>
  </w:style>
  <w:style w:type="paragraph" w:styleId="48">
    <w:name w:val="Intense Quote"/>
    <w:basedOn w:val="1"/>
    <w:next w:val="1"/>
    <w:link w:val="49"/>
    <w:qFormat/>
    <w:uiPriority w:val="30"/>
    <w:pPr>
      <w:pBdr>
        <w:top w:val="single" w:color="FFFFFF" w:sz="4" w:space="5"/>
        <w:left w:val="single" w:color="FFFFFF" w:sz="4" w:space="10"/>
        <w:bottom w:val="single" w:color="FFFFFF" w:sz="4" w:space="5"/>
        <w:right w:val="single" w:color="FFFFFF" w:sz="4" w:space="10"/>
      </w:pBdr>
      <w:shd w:val="clear" w:color="auto" w:fill="F2F2F2"/>
      <w:ind w:left="720" w:right="720"/>
      <w:contextualSpacing w:val="0"/>
    </w:pPr>
    <w:rPr>
      <w:i/>
    </w:rPr>
  </w:style>
  <w:style w:type="character" w:customStyle="1" w:styleId="49">
    <w:name w:val="Intense Quote Char"/>
    <w:link w:val="48"/>
    <w:qFormat/>
    <w:uiPriority w:val="30"/>
    <w:rPr>
      <w:i/>
    </w:rPr>
  </w:style>
  <w:style w:type="character" w:customStyle="1" w:styleId="50">
    <w:name w:val="Header Char"/>
    <w:link w:val="18"/>
    <w:qFormat/>
    <w:uiPriority w:val="99"/>
  </w:style>
  <w:style w:type="character" w:customStyle="1" w:styleId="51">
    <w:name w:val="Footer Char"/>
    <w:link w:val="17"/>
    <w:qFormat/>
    <w:uiPriority w:val="99"/>
  </w:style>
  <w:style w:type="character" w:customStyle="1" w:styleId="52">
    <w:name w:val="Caption Char"/>
    <w:link w:val="17"/>
    <w:qFormat/>
    <w:uiPriority w:val="99"/>
  </w:style>
  <w:style w:type="table" w:customStyle="1" w:styleId="53">
    <w:name w:val="Table Grid Light"/>
    <w:qFormat/>
    <w:uiPriority w:val="59"/>
    <w:pPr>
      <w:spacing w:after="0" w:line="240" w:lineRule="auto"/>
    </w:pPr>
    <w:tblPr>
      <w:tblBorders>
        <w:top w:val="single" w:color="AEAEAE" w:themeColor="text1" w:themeTint="50" w:sz="4" w:space="0"/>
        <w:left w:val="single" w:color="AEAEAE" w:themeColor="text1" w:themeTint="50" w:sz="4" w:space="0"/>
        <w:bottom w:val="single" w:color="AEAEAE" w:themeColor="text1" w:themeTint="50" w:sz="4" w:space="0"/>
        <w:right w:val="single" w:color="AEAEAE" w:themeColor="text1" w:themeTint="50" w:sz="4" w:space="0"/>
        <w:insideH w:val="single" w:color="AEAEAE" w:themeColor="text1" w:themeTint="50" w:sz="4" w:space="0"/>
        <w:insideV w:val="single" w:color="AEAEAE" w:themeColor="text1" w:themeTint="50" w:sz="4" w:space="0"/>
      </w:tblBorders>
      <w:tblCellMar>
        <w:top w:w="0" w:type="dxa"/>
        <w:left w:w="108" w:type="dxa"/>
        <w:bottom w:w="0" w:type="dxa"/>
        <w:right w:w="108" w:type="dxa"/>
      </w:tblCellMar>
    </w:tbl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table" w:customStyle="1" w:styleId="54">
    <w:name w:val="Plain Table 1"/>
    <w:qFormat/>
    <w:uiPriority w:val="59"/>
    <w:pPr>
      <w:spacing w:after="0" w:line="240" w:lineRule="auto"/>
    </w:pPr>
    <w:tblPr>
      <w:tblBorders>
        <w:top w:val="single" w:color="AEAEAE" w:themeColor="text1" w:themeTint="50" w:sz="4" w:space="0"/>
        <w:left w:val="single" w:color="AEAEAE" w:themeColor="text1" w:themeTint="50" w:sz="4" w:space="0"/>
        <w:bottom w:val="single" w:color="AEAEAE" w:themeColor="text1" w:themeTint="50" w:sz="4" w:space="0"/>
        <w:right w:val="single" w:color="AEAEAE" w:themeColor="text1" w:themeTint="50" w:sz="4" w:space="0"/>
        <w:insideH w:val="single" w:color="AEAEAE" w:themeColor="text1" w:themeTint="50" w:sz="4" w:space="0"/>
        <w:insideV w:val="single" w:color="AEAEAE" w:themeColor="text1" w:themeTint="50" w:sz="4" w:space="0"/>
      </w:tblBorders>
      <w:tblCellMar>
        <w:top w:w="0" w:type="dxa"/>
        <w:left w:w="108" w:type="dxa"/>
        <w:bottom w:w="0" w:type="dxa"/>
        <w:right w:w="108" w:type="dxa"/>
      </w:tblCellMar>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cPr>
        <w:shd w:val="clear" w:color="F1F1F1" w:themeColor="text1" w:themeTint="0D" w:fill="F1F1F1" w:themeFill="text1" w:themeFillTint="0D"/>
      </w:tcPr>
    </w:tblStylePr>
    <w:tblStylePr w:type="band2Vert"/>
    <w:tblStylePr w:type="band1Horz">
      <w:tcPr>
        <w:shd w:val="clear" w:color="F1F1F1" w:themeColor="text1" w:themeTint="0D" w:fill="F1F1F1" w:themeFill="text1" w:themeFillTint="0D"/>
      </w:tcPr>
    </w:tblStylePr>
    <w:tblStylePr w:type="band2Horz"/>
    <w:tblStylePr w:type="neCell"/>
    <w:tblStylePr w:type="nwCell"/>
    <w:tblStylePr w:type="seCell"/>
    <w:tblStylePr w:type="swCell"/>
  </w:style>
  <w:style w:type="table" w:customStyle="1" w:styleId="55">
    <w:name w:val="Plain Table 2"/>
    <w:qFormat/>
    <w:uiPriority w:val="59"/>
    <w:pPr>
      <w:spacing w:after="0" w:line="240" w:lineRule="auto"/>
    </w:pPr>
    <w:tblPr>
      <w:tblBorders>
        <w:top w:val="single" w:color="000000" w:themeColor="text1" w:sz="4" w:space="0"/>
        <w:left w:val="none" w:color="000000" w:themeColor="text1" w:sz="4" w:space="0"/>
        <w:bottom w:val="single" w:color="000000" w:themeColor="text1" w:sz="4" w:space="0"/>
        <w:right w:val="none" w:color="000000" w:themeColor="text1" w:sz="4" w:space="0"/>
      </w:tblBorders>
      <w:tblCellMar>
        <w:top w:w="0" w:type="dxa"/>
        <w:left w:w="108" w:type="dxa"/>
        <w:bottom w:w="0" w:type="dxa"/>
        <w:right w:w="108" w:type="dxa"/>
      </w:tblCellMar>
    </w:tblPr>
    <w:tblStylePr w:type="firstRow">
      <w:rPr>
        <w:rFonts w:ascii="Arial" w:hAnsi="Arial"/>
        <w:b/>
        <w:color w:val="404040"/>
        <w:sz w:val="22"/>
      </w:rPr>
      <w:tcPr>
        <w:tcBorders>
          <w:top w:val="single" w:color="000000" w:themeColor="text1" w:sz="4" w:space="0"/>
          <w:bottom w:val="single" w:color="000000" w:themeColor="text1" w:sz="4" w:space="0"/>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cPr>
        <w:tcBorders>
          <w:left w:val="single" w:color="000000" w:themeColor="text1" w:sz="4" w:space="0"/>
          <w:right w:val="single" w:color="000000" w:themeColor="text1" w:sz="4" w:space="0"/>
        </w:tcBorders>
      </w:tcPr>
    </w:tblStylePr>
    <w:tblStylePr w:type="band2Vert">
      <w:tcPr>
        <w:tcBorders>
          <w:left w:val="single" w:color="000000" w:themeColor="text1" w:sz="4" w:space="0"/>
          <w:right w:val="single" w:color="000000" w:themeColor="text1" w:sz="4" w:space="0"/>
        </w:tcBorders>
      </w:tcPr>
    </w:tblStylePr>
    <w:tblStylePr w:type="band1Horz">
      <w:tcPr>
        <w:tcBorders>
          <w:top w:val="single" w:color="000000" w:themeColor="text1" w:sz="4" w:space="0"/>
          <w:bottom w:val="single" w:color="000000" w:themeColor="text1" w:sz="4" w:space="0"/>
        </w:tcBorders>
      </w:tcPr>
    </w:tblStylePr>
    <w:tblStylePr w:type="band2Horz"/>
    <w:tblStylePr w:type="neCell"/>
    <w:tblStylePr w:type="nwCell"/>
    <w:tblStylePr w:type="seCell"/>
    <w:tblStylePr w:type="swCell"/>
  </w:style>
  <w:style w:type="table" w:customStyle="1" w:styleId="56">
    <w:name w:val="Plain Table 3"/>
    <w:qFormat/>
    <w:uiPriority w:val="99"/>
    <w:pPr>
      <w:spacing w:after="0" w:line="240" w:lineRule="auto"/>
    </w:pPr>
    <w:tblStylePr w:type="firstRow">
      <w:rPr>
        <w:b/>
        <w:caps/>
        <w:color w:val="404040"/>
      </w:rPr>
      <w:tcPr>
        <w:tcBorders>
          <w:top w:val="nil"/>
          <w:left w:val="nil"/>
          <w:bottom w:val="single" w:color="404040" w:sz="4" w:space="0"/>
          <w:right w:val="nil"/>
        </w:tcBorders>
      </w:tcPr>
    </w:tblStylePr>
    <w:tblStylePr w:type="lastRow">
      <w:rPr>
        <w:b/>
        <w:caps/>
        <w:color w:val="404040"/>
      </w:rPr>
    </w:tblStylePr>
    <w:tblStylePr w:type="firstCol">
      <w:rPr>
        <w:b/>
        <w:caps/>
        <w:color w:val="404040"/>
      </w:rPr>
      <w:tcPr>
        <w:tcBorders>
          <w:top w:val="nil"/>
          <w:left w:val="nil"/>
          <w:bottom w:val="nil"/>
          <w:right w:val="single" w:color="404040" w:sz="4" w:space="0"/>
        </w:tcBorders>
      </w:tcPr>
    </w:tblStylePr>
    <w:tblStylePr w:type="lastCol">
      <w:rPr>
        <w:b/>
        <w:caps/>
        <w:color w:val="404040"/>
      </w:rPr>
    </w:tblStylePr>
    <w:tblStylePr w:type="band1Vert">
      <w:rPr>
        <w:rFonts w:ascii="Arial" w:hAnsi="Arial"/>
        <w:color w:val="404040"/>
        <w:sz w:val="22"/>
      </w:rPr>
      <w:tcPr>
        <w:shd w:val="clear" w:color="F1F1F1" w:themeColor="text1" w:themeTint="0D" w:fill="F1F1F1" w:themeFill="text1" w:themeFillTint="0D"/>
      </w:tcPr>
    </w:tblStylePr>
    <w:tblStylePr w:type="band2Vert"/>
    <w:tblStylePr w:type="band1Horz">
      <w:rPr>
        <w:rFonts w:ascii="Arial" w:hAnsi="Arial"/>
        <w:color w:val="404040"/>
        <w:sz w:val="22"/>
      </w:rPr>
      <w:tcPr>
        <w:shd w:val="clear" w:color="F1F1F1" w:themeColor="text1" w:themeTint="0D" w:fill="F1F1F1" w:themeFill="text1" w:themeFillTint="0D"/>
      </w:tcPr>
    </w:tblStylePr>
    <w:tblStylePr w:type="band2Horz"/>
    <w:tblStylePr w:type="neCell"/>
    <w:tblStylePr w:type="nwCell"/>
    <w:tblStylePr w:type="seCell"/>
    <w:tblStylePr w:type="swCell"/>
  </w:style>
  <w:style w:type="table" w:customStyle="1" w:styleId="57">
    <w:name w:val="Plain Table 4"/>
    <w:qFormat/>
    <w:uiPriority w:val="99"/>
    <w:pPr>
      <w:spacing w:after="0" w:line="240" w:lineRule="auto"/>
    </w:p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cPr>
        <w:shd w:val="clear" w:color="F1F1F1" w:themeColor="text1" w:themeTint="0D" w:fill="F1F1F1" w:themeFill="text1" w:themeFillTint="0D"/>
      </w:tcPr>
    </w:tblStylePr>
    <w:tblStylePr w:type="band2Vert"/>
    <w:tblStylePr w:type="band1Horz">
      <w:rPr>
        <w:rFonts w:ascii="Arial" w:hAnsi="Arial"/>
        <w:color w:val="404040"/>
        <w:sz w:val="22"/>
      </w:rPr>
      <w:tcPr>
        <w:shd w:val="clear" w:color="F1F1F1" w:themeColor="text1" w:themeTint="0D" w:fill="F1F1F1" w:themeFill="text1" w:themeFillTint="0D"/>
      </w:tcPr>
    </w:tblStylePr>
    <w:tblStylePr w:type="band2Horz"/>
    <w:tblStylePr w:type="neCell"/>
    <w:tblStylePr w:type="nwCell"/>
    <w:tblStylePr w:type="seCell"/>
    <w:tblStylePr w:type="swCell"/>
  </w:style>
  <w:style w:type="table" w:customStyle="1" w:styleId="58">
    <w:name w:val="Plain Table 5"/>
    <w:qFormat/>
    <w:uiPriority w:val="99"/>
    <w:pPr>
      <w:spacing w:after="0" w:line="240" w:lineRule="auto"/>
    </w:pPr>
    <w:tblStylePr w:type="firstRow">
      <w:rPr>
        <w:i/>
        <w:color w:val="404040"/>
      </w:rPr>
      <w:tcPr>
        <w:tcBorders>
          <w:left w:val="nil"/>
          <w:bottom w:val="single" w:color="404040" w:sz="4" w:space="0"/>
          <w:right w:val="nil"/>
        </w:tcBorders>
        <w:shd w:val="clear" w:color="FFFFFF" w:fill="auto"/>
      </w:tcPr>
    </w:tblStylePr>
    <w:tblStylePr w:type="lastRow">
      <w:rPr>
        <w:i/>
        <w:color w:val="404040"/>
      </w:rPr>
      <w:tcPr>
        <w:tcBorders>
          <w:top w:val="single" w:color="404040" w:sz="4" w:space="0"/>
          <w:left w:val="nil"/>
          <w:right w:val="nil"/>
        </w:tcBorders>
        <w:shd w:val="clear" w:color="FFFFFF" w:fill="auto"/>
      </w:tcPr>
    </w:tblStylePr>
    <w:tblStylePr w:type="firstCol">
      <w:pPr>
        <w:jc w:val="right"/>
      </w:pPr>
      <w:rPr>
        <w:i/>
        <w:color w:val="404040"/>
      </w:rPr>
      <w:tcPr>
        <w:tcBorders>
          <w:right w:val="single" w:color="404040" w:sz="4" w:space="0"/>
        </w:tcBorders>
        <w:shd w:val="clear" w:color="FFFFFF" w:fill="auto"/>
      </w:tcPr>
    </w:tblStylePr>
    <w:tblStylePr w:type="lastCol">
      <w:rPr>
        <w:i/>
        <w:color w:val="404040"/>
      </w:rPr>
      <w:tcPr>
        <w:tcBorders>
          <w:left w:val="single" w:color="404040" w:sz="4" w:space="0"/>
        </w:tcBorders>
        <w:shd w:val="clear" w:color="FFFFFF" w:fill="auto"/>
      </w:tcPr>
    </w:tblStylePr>
    <w:tblStylePr w:type="band1Vert">
      <w:rPr>
        <w:rFonts w:ascii="Arial" w:hAnsi="Arial"/>
        <w:color w:val="404040"/>
        <w:sz w:val="22"/>
      </w:rPr>
      <w:tcPr>
        <w:shd w:val="clear" w:color="F1F1F1" w:themeColor="text1" w:themeTint="0D" w:fill="F1F1F1" w:themeFill="text1" w:themeFillTint="0D"/>
      </w:tcPr>
    </w:tblStylePr>
    <w:tblStylePr w:type="band2Vert"/>
    <w:tblStylePr w:type="band1Horz">
      <w:rPr>
        <w:rFonts w:ascii="Arial" w:hAnsi="Arial"/>
        <w:color w:val="404040"/>
        <w:sz w:val="22"/>
      </w:rPr>
      <w:tcPr>
        <w:shd w:val="clear" w:color="F1F1F1" w:themeColor="text1" w:themeTint="0D" w:fill="F1F1F1" w:themeFill="text1" w:themeFillTint="0D"/>
      </w:tcPr>
    </w:tblStylePr>
    <w:tblStylePr w:type="band2Horz"/>
    <w:tblStylePr w:type="neCell"/>
    <w:tblStylePr w:type="nwCell"/>
    <w:tblStylePr w:type="seCell"/>
    <w:tblStylePr w:type="swCell"/>
  </w:style>
  <w:style w:type="table" w:customStyle="1" w:styleId="59">
    <w:name w:val="Grid Table 1 Light"/>
    <w:qFormat/>
    <w:uiPriority w:val="99"/>
    <w:pPr>
      <w:spacing w:after="0" w:line="240" w:lineRule="auto"/>
    </w:pPr>
    <w:tblPr>
      <w:tblBorders>
        <w:top w:val="single" w:color="979797" w:themeColor="text1" w:themeTint="67" w:sz="4" w:space="0"/>
        <w:left w:val="single" w:color="979797" w:themeColor="text1" w:themeTint="67" w:sz="4" w:space="0"/>
        <w:bottom w:val="single" w:color="979797" w:themeColor="text1" w:themeTint="67" w:sz="4" w:space="0"/>
        <w:right w:val="single" w:color="979797" w:themeColor="text1" w:themeTint="67" w:sz="4" w:space="0"/>
        <w:insideH w:val="single" w:color="979797" w:themeColor="text1" w:themeTint="67" w:sz="4" w:space="0"/>
        <w:insideV w:val="single" w:color="979797" w:themeColor="text1" w:themeTint="67" w:sz="4" w:space="0"/>
      </w:tblBorders>
    </w:tblPr>
    <w:tblStylePr w:type="firstRow">
      <w:rPr>
        <w:b/>
        <w:color w:val="404040"/>
      </w:rPr>
      <w:tcPr>
        <w:tcBorders>
          <w:bottom w:val="single" w:color="696969" w:themeColor="text1" w:themeTint="95" w:sz="12" w:space="0"/>
        </w:tcBorders>
      </w:tcPr>
    </w:tblStylePr>
    <w:tblStylePr w:type="lastRow">
      <w:rPr>
        <w:b/>
        <w:color w:val="404040"/>
      </w:rPr>
    </w:tblStylePr>
    <w:tblStylePr w:type="firstCol">
      <w:rPr>
        <w:b/>
        <w:color w:val="404040"/>
      </w:rPr>
    </w:tblStylePr>
    <w:tblStylePr w:type="lastCol">
      <w:rPr>
        <w:b/>
        <w:color w:val="404040"/>
      </w:rPr>
    </w:tblStylePr>
    <w:tblStylePr w:type="band1Vert"/>
    <w:tblStylePr w:type="band2Vert"/>
    <w:tblStylePr w:type="band1Horz">
      <w:rPr>
        <w:rFonts w:ascii="Arial" w:hAnsi="Arial"/>
        <w:color w:val="404040"/>
        <w:sz w:val="22"/>
      </w:rPr>
      <w:tcPr>
        <w:tcBorders>
          <w:top w:val="single" w:color="979797" w:themeColor="text1" w:themeTint="67" w:sz="4" w:space="0"/>
          <w:left w:val="single" w:color="979797" w:themeColor="text1" w:themeTint="67" w:sz="4" w:space="0"/>
          <w:bottom w:val="single" w:color="979797" w:themeColor="text1" w:themeTint="67" w:sz="4" w:space="0"/>
          <w:right w:val="single" w:color="979797" w:themeColor="text1" w:themeTint="67" w:sz="4" w:space="0"/>
        </w:tcBorders>
      </w:tcPr>
    </w:tblStylePr>
    <w:tblStylePr w:type="band2Horz"/>
    <w:tblStylePr w:type="neCell"/>
    <w:tblStylePr w:type="nwCell"/>
    <w:tblStylePr w:type="seCell"/>
    <w:tblStylePr w:type="swCell"/>
  </w:style>
  <w:style w:type="table" w:customStyle="1" w:styleId="60">
    <w:name w:val="Grid Table 1 Light - Accent 1"/>
    <w:qFormat/>
    <w:uiPriority w:val="99"/>
    <w:pPr>
      <w:spacing w:after="0" w:line="240" w:lineRule="auto"/>
    </w:pPr>
    <w:tblPr>
      <w:tblBorders>
        <w:top w:val="single" w:color="B7CCE4" w:themeColor="accent1" w:themeTint="67" w:sz="4" w:space="0"/>
        <w:left w:val="single" w:color="B7CCE4" w:themeColor="accent1" w:themeTint="67" w:sz="4" w:space="0"/>
        <w:bottom w:val="single" w:color="B7CCE4" w:themeColor="accent1" w:themeTint="67" w:sz="4" w:space="0"/>
        <w:right w:val="single" w:color="B7CCE4" w:themeColor="accent1" w:themeTint="67" w:sz="4" w:space="0"/>
        <w:insideH w:val="single" w:color="B7CCE4" w:themeColor="accent1" w:themeTint="67" w:sz="4" w:space="0"/>
        <w:insideV w:val="single" w:color="B7CCE4" w:themeColor="accent1" w:themeTint="67" w:sz="4" w:space="0"/>
      </w:tblBorders>
    </w:tblPr>
    <w:tblStylePr w:type="firstRow">
      <w:rPr>
        <w:b/>
        <w:color w:val="404040"/>
      </w:rPr>
      <w:tcPr>
        <w:tcBorders>
          <w:bottom w:val="single" w:color="98B5D8" w:themeColor="accent1" w:themeTint="95" w:sz="12" w:space="0"/>
        </w:tcBorders>
      </w:tcPr>
    </w:tblStylePr>
    <w:tblStylePr w:type="lastRow">
      <w:rPr>
        <w:b/>
        <w:color w:val="404040"/>
      </w:rPr>
    </w:tblStylePr>
    <w:tblStylePr w:type="firstCol">
      <w:rPr>
        <w:b/>
        <w:color w:val="404040"/>
      </w:rPr>
    </w:tblStylePr>
    <w:tblStylePr w:type="lastCol">
      <w:rPr>
        <w:b/>
        <w:color w:val="404040"/>
      </w:rPr>
    </w:tblStylePr>
    <w:tblStylePr w:type="band1Vert"/>
    <w:tblStylePr w:type="band2Vert"/>
    <w:tblStylePr w:type="band1Horz">
      <w:rPr>
        <w:rFonts w:ascii="Arial" w:hAnsi="Arial"/>
        <w:color w:val="404040"/>
        <w:sz w:val="22"/>
      </w:rPr>
      <w:tcPr>
        <w:tcBorders>
          <w:top w:val="single" w:color="B7CCE4" w:themeColor="accent1" w:themeTint="67" w:sz="4" w:space="0"/>
          <w:left w:val="single" w:color="B7CCE4" w:themeColor="accent1" w:themeTint="67" w:sz="4" w:space="0"/>
          <w:bottom w:val="single" w:color="B7CCE4" w:themeColor="accent1" w:themeTint="67" w:sz="4" w:space="0"/>
          <w:right w:val="single" w:color="B7CCE4" w:themeColor="accent1" w:themeTint="67" w:sz="4" w:space="0"/>
        </w:tcBorders>
      </w:tcPr>
    </w:tblStylePr>
    <w:tblStylePr w:type="band2Horz"/>
    <w:tblStylePr w:type="neCell"/>
    <w:tblStylePr w:type="nwCell"/>
    <w:tblStylePr w:type="seCell"/>
    <w:tblStylePr w:type="swCell"/>
  </w:style>
  <w:style w:type="table" w:customStyle="1" w:styleId="61">
    <w:name w:val="Grid Table 1 Light - Accent 2"/>
    <w:qFormat/>
    <w:uiPriority w:val="99"/>
    <w:pPr>
      <w:spacing w:after="0" w:line="240" w:lineRule="auto"/>
    </w:pPr>
    <w:tblPr>
      <w:tblBorders>
        <w:top w:val="single" w:color="E5B8B7" w:themeColor="accent2" w:themeTint="67" w:sz="4" w:space="0"/>
        <w:left w:val="single" w:color="E5B8B7" w:themeColor="accent2" w:themeTint="67" w:sz="4" w:space="0"/>
        <w:bottom w:val="single" w:color="E5B8B7" w:themeColor="accent2" w:themeTint="67" w:sz="4" w:space="0"/>
        <w:right w:val="single" w:color="E5B8B7" w:themeColor="accent2" w:themeTint="67" w:sz="4" w:space="0"/>
        <w:insideH w:val="single" w:color="E5B8B7" w:themeColor="accent2" w:themeTint="67" w:sz="4" w:space="0"/>
        <w:insideV w:val="single" w:color="E5B8B7" w:themeColor="accent2" w:themeTint="67" w:sz="4" w:space="0"/>
      </w:tblBorders>
    </w:tblPr>
    <w:tblStylePr w:type="firstRow">
      <w:rPr>
        <w:b/>
        <w:color w:val="404040"/>
      </w:rPr>
      <w:tcPr>
        <w:tcBorders>
          <w:bottom w:val="single" w:color="DA9896" w:themeColor="accent2" w:themeTint="95" w:sz="12" w:space="0"/>
        </w:tcBorders>
      </w:tcPr>
    </w:tblStylePr>
    <w:tblStylePr w:type="lastRow">
      <w:rPr>
        <w:b/>
        <w:color w:val="404040"/>
      </w:rPr>
    </w:tblStylePr>
    <w:tblStylePr w:type="firstCol">
      <w:rPr>
        <w:b/>
        <w:color w:val="404040"/>
      </w:rPr>
    </w:tblStylePr>
    <w:tblStylePr w:type="lastCol">
      <w:rPr>
        <w:b/>
        <w:color w:val="404040"/>
      </w:rPr>
    </w:tblStylePr>
    <w:tblStylePr w:type="band1Vert"/>
    <w:tblStylePr w:type="band2Vert"/>
    <w:tblStylePr w:type="band1Horz">
      <w:rPr>
        <w:rFonts w:ascii="Arial" w:hAnsi="Arial"/>
        <w:color w:val="404040"/>
        <w:sz w:val="22"/>
      </w:rPr>
      <w:tcPr>
        <w:tcBorders>
          <w:top w:val="single" w:color="E5B8B7" w:themeColor="accent2" w:themeTint="67" w:sz="4" w:space="0"/>
          <w:left w:val="single" w:color="E5B8B7" w:themeColor="accent2" w:themeTint="67" w:sz="4" w:space="0"/>
          <w:bottom w:val="single" w:color="E5B8B7" w:themeColor="accent2" w:themeTint="67" w:sz="4" w:space="0"/>
          <w:right w:val="single" w:color="E5B8B7" w:themeColor="accent2" w:themeTint="67" w:sz="4" w:space="0"/>
        </w:tcBorders>
      </w:tcPr>
    </w:tblStylePr>
    <w:tblStylePr w:type="band2Horz"/>
    <w:tblStylePr w:type="neCell"/>
    <w:tblStylePr w:type="nwCell"/>
    <w:tblStylePr w:type="seCell"/>
    <w:tblStylePr w:type="swCell"/>
  </w:style>
  <w:style w:type="table" w:customStyle="1" w:styleId="62">
    <w:name w:val="Grid Table 1 Light - Accent 3"/>
    <w:qFormat/>
    <w:uiPriority w:val="99"/>
    <w:pPr>
      <w:spacing w:after="0" w:line="240" w:lineRule="auto"/>
    </w:pPr>
    <w:tblPr>
      <w:tblBorders>
        <w:top w:val="single" w:color="D6E3BB" w:themeColor="accent3" w:themeTint="67" w:sz="4" w:space="0"/>
        <w:left w:val="single" w:color="D6E3BB" w:themeColor="accent3" w:themeTint="67" w:sz="4" w:space="0"/>
        <w:bottom w:val="single" w:color="D6E3BB" w:themeColor="accent3" w:themeTint="67" w:sz="4" w:space="0"/>
        <w:right w:val="single" w:color="D6E3BB" w:themeColor="accent3" w:themeTint="67" w:sz="4" w:space="0"/>
        <w:insideH w:val="single" w:color="D6E3BB" w:themeColor="accent3" w:themeTint="67" w:sz="4" w:space="0"/>
        <w:insideV w:val="single" w:color="D6E3BB" w:themeColor="accent3" w:themeTint="67" w:sz="4" w:space="0"/>
      </w:tblBorders>
    </w:tblPr>
    <w:tblStylePr w:type="firstRow">
      <w:rPr>
        <w:b/>
        <w:color w:val="404040"/>
      </w:rPr>
      <w:tcPr>
        <w:tcBorders>
          <w:bottom w:val="single" w:color="C4D79E" w:themeColor="accent3" w:themeTint="95" w:sz="12" w:space="0"/>
        </w:tcBorders>
      </w:tcPr>
    </w:tblStylePr>
    <w:tblStylePr w:type="lastRow">
      <w:rPr>
        <w:b/>
        <w:color w:val="404040"/>
      </w:rPr>
    </w:tblStylePr>
    <w:tblStylePr w:type="firstCol">
      <w:rPr>
        <w:b/>
        <w:color w:val="404040"/>
      </w:rPr>
    </w:tblStylePr>
    <w:tblStylePr w:type="lastCol">
      <w:rPr>
        <w:b/>
        <w:color w:val="404040"/>
      </w:rPr>
    </w:tblStylePr>
    <w:tblStylePr w:type="band1Vert"/>
    <w:tblStylePr w:type="band2Vert"/>
    <w:tblStylePr w:type="band1Horz">
      <w:rPr>
        <w:rFonts w:ascii="Arial" w:hAnsi="Arial"/>
        <w:color w:val="404040"/>
        <w:sz w:val="22"/>
      </w:rPr>
      <w:tcPr>
        <w:tcBorders>
          <w:top w:val="single" w:color="D6E3BB" w:themeColor="accent3" w:themeTint="67" w:sz="4" w:space="0"/>
          <w:left w:val="single" w:color="D6E3BB" w:themeColor="accent3" w:themeTint="67" w:sz="4" w:space="0"/>
          <w:bottom w:val="single" w:color="D6E3BB" w:themeColor="accent3" w:themeTint="67" w:sz="4" w:space="0"/>
          <w:right w:val="single" w:color="D6E3BB" w:themeColor="accent3" w:themeTint="67" w:sz="4" w:space="0"/>
        </w:tcBorders>
      </w:tcPr>
    </w:tblStylePr>
    <w:tblStylePr w:type="band2Horz"/>
    <w:tblStylePr w:type="neCell"/>
    <w:tblStylePr w:type="nwCell"/>
    <w:tblStylePr w:type="seCell"/>
    <w:tblStylePr w:type="swCell"/>
  </w:style>
  <w:style w:type="table" w:customStyle="1" w:styleId="63">
    <w:name w:val="Grid Table 1 Light - Accent 4"/>
    <w:qFormat/>
    <w:uiPriority w:val="99"/>
    <w:pPr>
      <w:spacing w:after="0" w:line="240" w:lineRule="auto"/>
    </w:pPr>
    <w:tblPr>
      <w:tblBorders>
        <w:top w:val="single" w:color="CBC0D9" w:themeColor="accent4" w:themeTint="67" w:sz="4" w:space="0"/>
        <w:left w:val="single" w:color="CBC0D9" w:themeColor="accent4" w:themeTint="67" w:sz="4" w:space="0"/>
        <w:bottom w:val="single" w:color="CBC0D9" w:themeColor="accent4" w:themeTint="67" w:sz="4" w:space="0"/>
        <w:right w:val="single" w:color="CBC0D9" w:themeColor="accent4" w:themeTint="67" w:sz="4" w:space="0"/>
        <w:insideH w:val="single" w:color="CBC0D9" w:themeColor="accent4" w:themeTint="67" w:sz="4" w:space="0"/>
        <w:insideV w:val="single" w:color="CBC0D9" w:themeColor="accent4" w:themeTint="67" w:sz="4" w:space="0"/>
      </w:tblBorders>
    </w:tblPr>
    <w:tblStylePr w:type="firstRow">
      <w:rPr>
        <w:b/>
        <w:color w:val="404040"/>
      </w:rPr>
      <w:tcPr>
        <w:tcBorders>
          <w:bottom w:val="single" w:color="B4A4C8" w:themeColor="accent4" w:themeTint="95" w:sz="12" w:space="0"/>
        </w:tcBorders>
      </w:tcPr>
    </w:tblStylePr>
    <w:tblStylePr w:type="lastRow">
      <w:rPr>
        <w:b/>
        <w:color w:val="404040"/>
      </w:rPr>
    </w:tblStylePr>
    <w:tblStylePr w:type="firstCol">
      <w:rPr>
        <w:b/>
        <w:color w:val="404040"/>
      </w:rPr>
    </w:tblStylePr>
    <w:tblStylePr w:type="lastCol">
      <w:rPr>
        <w:b/>
        <w:color w:val="404040"/>
      </w:rPr>
    </w:tblStylePr>
    <w:tblStylePr w:type="band1Vert"/>
    <w:tblStylePr w:type="band2Vert"/>
    <w:tblStylePr w:type="band1Horz">
      <w:rPr>
        <w:rFonts w:ascii="Arial" w:hAnsi="Arial"/>
        <w:color w:val="404040"/>
        <w:sz w:val="22"/>
      </w:rPr>
      <w:tcPr>
        <w:tcBorders>
          <w:top w:val="single" w:color="CBC0D9" w:themeColor="accent4" w:themeTint="67" w:sz="4" w:space="0"/>
          <w:left w:val="single" w:color="CBC0D9" w:themeColor="accent4" w:themeTint="67" w:sz="4" w:space="0"/>
          <w:bottom w:val="single" w:color="CBC0D9" w:themeColor="accent4" w:themeTint="67" w:sz="4" w:space="0"/>
          <w:right w:val="single" w:color="CBC0D9" w:themeColor="accent4" w:themeTint="67" w:sz="4" w:space="0"/>
        </w:tcBorders>
      </w:tcPr>
    </w:tblStylePr>
    <w:tblStylePr w:type="band2Horz"/>
    <w:tblStylePr w:type="neCell"/>
    <w:tblStylePr w:type="nwCell"/>
    <w:tblStylePr w:type="seCell"/>
    <w:tblStylePr w:type="swCell"/>
  </w:style>
  <w:style w:type="table" w:customStyle="1" w:styleId="64">
    <w:name w:val="Grid Table 1 Light - Accent 5"/>
    <w:qFormat/>
    <w:uiPriority w:val="99"/>
    <w:pPr>
      <w:spacing w:after="0" w:line="240" w:lineRule="auto"/>
    </w:pPr>
    <w:tblPr>
      <w:tblBorders>
        <w:top w:val="single" w:color="B6DDE7" w:themeColor="accent5" w:themeTint="67" w:sz="4" w:space="0"/>
        <w:left w:val="single" w:color="B6DDE7" w:themeColor="accent5" w:themeTint="67" w:sz="4" w:space="0"/>
        <w:bottom w:val="single" w:color="B6DDE7" w:themeColor="accent5" w:themeTint="67" w:sz="4" w:space="0"/>
        <w:right w:val="single" w:color="B6DDE7" w:themeColor="accent5" w:themeTint="67" w:sz="4" w:space="0"/>
        <w:insideH w:val="single" w:color="B6DDE7" w:themeColor="accent5" w:themeTint="67" w:sz="4" w:space="0"/>
        <w:insideV w:val="single" w:color="B6DDE7" w:themeColor="accent5" w:themeTint="67" w:sz="4" w:space="0"/>
      </w:tblBorders>
    </w:tblPr>
    <w:tblStylePr w:type="firstRow">
      <w:rPr>
        <w:b/>
        <w:color w:val="404040"/>
      </w:rPr>
      <w:tcPr>
        <w:tcBorders>
          <w:bottom w:val="single" w:color="95CEDD" w:themeColor="accent5" w:themeTint="95" w:sz="12" w:space="0"/>
        </w:tcBorders>
      </w:tcPr>
    </w:tblStylePr>
    <w:tblStylePr w:type="lastRow">
      <w:rPr>
        <w:b/>
        <w:color w:val="404040"/>
      </w:rPr>
    </w:tblStylePr>
    <w:tblStylePr w:type="firstCol">
      <w:rPr>
        <w:b/>
        <w:color w:val="404040"/>
      </w:rPr>
    </w:tblStylePr>
    <w:tblStylePr w:type="lastCol">
      <w:rPr>
        <w:b/>
        <w:color w:val="404040"/>
      </w:rPr>
    </w:tblStylePr>
    <w:tblStylePr w:type="band1Vert"/>
    <w:tblStylePr w:type="band2Vert"/>
    <w:tblStylePr w:type="band1Horz">
      <w:rPr>
        <w:rFonts w:ascii="Arial" w:hAnsi="Arial"/>
        <w:color w:val="404040"/>
        <w:sz w:val="22"/>
      </w:rPr>
      <w:tcPr>
        <w:tcBorders>
          <w:top w:val="single" w:color="B6DDE7" w:themeColor="accent5" w:themeTint="67" w:sz="4" w:space="0"/>
          <w:left w:val="single" w:color="B6DDE7" w:themeColor="accent5" w:themeTint="67" w:sz="4" w:space="0"/>
          <w:bottom w:val="single" w:color="B6DDE7" w:themeColor="accent5" w:themeTint="67" w:sz="4" w:space="0"/>
          <w:right w:val="single" w:color="B6DDE7" w:themeColor="accent5" w:themeTint="67" w:sz="4" w:space="0"/>
        </w:tcBorders>
      </w:tcPr>
    </w:tblStylePr>
    <w:tblStylePr w:type="band2Horz"/>
    <w:tblStylePr w:type="neCell"/>
    <w:tblStylePr w:type="nwCell"/>
    <w:tblStylePr w:type="seCell"/>
    <w:tblStylePr w:type="swCell"/>
  </w:style>
  <w:style w:type="table" w:customStyle="1" w:styleId="65">
    <w:name w:val="Grid Table 1 Light - Accent 6"/>
    <w:qFormat/>
    <w:uiPriority w:val="99"/>
    <w:pPr>
      <w:spacing w:after="0" w:line="240" w:lineRule="auto"/>
    </w:pPr>
    <w:tblPr>
      <w:tblBorders>
        <w:top w:val="single" w:color="FBD4B4" w:themeColor="accent6" w:themeTint="67" w:sz="4" w:space="0"/>
        <w:left w:val="single" w:color="FBD4B4" w:themeColor="accent6" w:themeTint="67" w:sz="4" w:space="0"/>
        <w:bottom w:val="single" w:color="FBD4B4" w:themeColor="accent6" w:themeTint="67" w:sz="4" w:space="0"/>
        <w:right w:val="single" w:color="FBD4B4" w:themeColor="accent6" w:themeTint="67" w:sz="4" w:space="0"/>
        <w:insideH w:val="single" w:color="FBD4B4" w:themeColor="accent6" w:themeTint="67" w:sz="4" w:space="0"/>
        <w:insideV w:val="single" w:color="FBD4B4" w:themeColor="accent6" w:themeTint="67" w:sz="4" w:space="0"/>
      </w:tblBorders>
    </w:tblPr>
    <w:tblStylePr w:type="firstRow">
      <w:rPr>
        <w:b/>
        <w:color w:val="404040"/>
      </w:rPr>
      <w:tcPr>
        <w:tcBorders>
          <w:bottom w:val="single" w:color="FAC192" w:themeColor="accent6" w:themeTint="95" w:sz="12" w:space="0"/>
        </w:tcBorders>
      </w:tcPr>
    </w:tblStylePr>
    <w:tblStylePr w:type="lastRow">
      <w:rPr>
        <w:b/>
        <w:color w:val="404040"/>
      </w:rPr>
    </w:tblStylePr>
    <w:tblStylePr w:type="firstCol">
      <w:rPr>
        <w:b/>
        <w:color w:val="404040"/>
      </w:rPr>
    </w:tblStylePr>
    <w:tblStylePr w:type="lastCol">
      <w:rPr>
        <w:b/>
        <w:color w:val="404040"/>
      </w:rPr>
    </w:tblStylePr>
    <w:tblStylePr w:type="band1Vert"/>
    <w:tblStylePr w:type="band2Vert"/>
    <w:tblStylePr w:type="band1Horz">
      <w:rPr>
        <w:rFonts w:ascii="Arial" w:hAnsi="Arial"/>
        <w:color w:val="404040"/>
        <w:sz w:val="22"/>
      </w:rPr>
      <w:tcPr>
        <w:tcBorders>
          <w:top w:val="single" w:color="FBD4B4" w:themeColor="accent6" w:themeTint="67" w:sz="4" w:space="0"/>
          <w:left w:val="single" w:color="FBD4B4" w:themeColor="accent6" w:themeTint="67" w:sz="4" w:space="0"/>
          <w:bottom w:val="single" w:color="FBD4B4" w:themeColor="accent6" w:themeTint="67" w:sz="4" w:space="0"/>
          <w:right w:val="single" w:color="FBD4B4" w:themeColor="accent6" w:themeTint="67" w:sz="4" w:space="0"/>
        </w:tcBorders>
      </w:tcPr>
    </w:tblStylePr>
    <w:tblStylePr w:type="band2Horz"/>
    <w:tblStylePr w:type="neCell"/>
    <w:tblStylePr w:type="nwCell"/>
    <w:tblStylePr w:type="seCell"/>
    <w:tblStylePr w:type="swCell"/>
  </w:style>
  <w:style w:type="table" w:customStyle="1" w:styleId="66">
    <w:name w:val="Grid Table 2"/>
    <w:qFormat/>
    <w:uiPriority w:val="99"/>
    <w:pPr>
      <w:spacing w:after="0" w:line="240" w:lineRule="auto"/>
    </w:pPr>
    <w:tblPr>
      <w:tblBorders>
        <w:bottom w:val="single" w:color="696969" w:themeColor="text1" w:themeTint="95" w:sz="4" w:space="0"/>
        <w:insideH w:val="single" w:color="696969" w:themeColor="text1" w:themeTint="95" w:sz="4" w:space="0"/>
        <w:insideV w:val="single" w:color="696969" w:themeColor="text1" w:themeTint="95" w:sz="4" w:space="0"/>
      </w:tblBorders>
    </w:tblPr>
    <w:tblStylePr w:type="firstRow">
      <w:rPr>
        <w:b/>
        <w:color w:val="404040"/>
      </w:rPr>
      <w:tcPr>
        <w:tcBorders>
          <w:top w:val="nil"/>
          <w:left w:val="nil"/>
          <w:bottom w:val="single" w:color="696969" w:themeColor="text1" w:themeTint="95" w:sz="12" w:space="0"/>
          <w:right w:val="nil"/>
        </w:tcBorders>
        <w:shd w:val="clear" w:color="FFFFFF" w:fill="auto"/>
      </w:tcPr>
    </w:tblStylePr>
    <w:tblStylePr w:type="lastRow">
      <w:rPr>
        <w:b/>
        <w:color w:val="404040"/>
      </w:rPr>
      <w:tcPr>
        <w:tcBorders>
          <w:top w:val="single" w:color="696969" w:themeColor="text1" w:themeTint="95" w:sz="4" w:space="0"/>
          <w:left w:val="nil"/>
          <w:bottom w:val="nil"/>
          <w:right w:val="nil"/>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cPr>
        <w:shd w:val="clear" w:color="CACACA" w:themeColor="text1" w:themeTint="34" w:fill="CACACA" w:themeFill="text1" w:themeFillTint="34"/>
      </w:tcPr>
    </w:tblStylePr>
    <w:tblStylePr w:type="band2Vert"/>
    <w:tblStylePr w:type="band1Horz">
      <w:rPr>
        <w:rFonts w:ascii="Arial" w:hAnsi="Arial"/>
        <w:color w:val="404040"/>
        <w:sz w:val="22"/>
      </w:rPr>
      <w:tcPr>
        <w:shd w:val="clear" w:color="CACACA" w:themeColor="text1" w:themeTint="34" w:fill="CACACA" w:themeFill="text1" w:themeFillTint="34"/>
      </w:tcPr>
    </w:tblStylePr>
    <w:tblStylePr w:type="band2Horz"/>
    <w:tblStylePr w:type="neCell"/>
    <w:tblStylePr w:type="nwCell"/>
    <w:tblStylePr w:type="seCell"/>
    <w:tblStylePr w:type="swCell"/>
  </w:style>
  <w:style w:type="table" w:customStyle="1" w:styleId="67">
    <w:name w:val="Grid Table 2 - Accent 1"/>
    <w:qFormat/>
    <w:uiPriority w:val="99"/>
    <w:pPr>
      <w:spacing w:after="0" w:line="240" w:lineRule="auto"/>
    </w:pPr>
    <w:tblPr>
      <w:tblBorders>
        <w:bottom w:val="single" w:color="5D8BC2" w:themeColor="accent1" w:themeTint="EA" w:sz="4" w:space="0"/>
        <w:insideH w:val="single" w:color="5D8BC2" w:themeColor="accent1" w:themeTint="EA" w:sz="4" w:space="0"/>
        <w:insideV w:val="single" w:color="5D8BC2" w:themeColor="accent1" w:themeTint="EA" w:sz="4" w:space="0"/>
      </w:tblBorders>
    </w:tblPr>
    <w:tblStylePr w:type="firstRow">
      <w:rPr>
        <w:b/>
        <w:color w:val="404040"/>
      </w:rPr>
      <w:tcPr>
        <w:tcBorders>
          <w:top w:val="nil"/>
          <w:left w:val="nil"/>
          <w:bottom w:val="single" w:color="5D8BC2" w:themeColor="accent1" w:themeTint="EA" w:sz="12" w:space="0"/>
          <w:right w:val="nil"/>
        </w:tcBorders>
        <w:shd w:val="clear" w:color="FFFFFF" w:fill="auto"/>
      </w:tcPr>
    </w:tblStylePr>
    <w:tblStylePr w:type="lastRow">
      <w:rPr>
        <w:b/>
        <w:color w:val="404040"/>
      </w:rPr>
      <w:tcPr>
        <w:tcBorders>
          <w:top w:val="single" w:color="5D8BC2" w:themeColor="accent1" w:themeTint="EA" w:sz="4" w:space="0"/>
          <w:left w:val="nil"/>
          <w:bottom w:val="nil"/>
          <w:right w:val="nil"/>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cPr>
        <w:shd w:val="clear" w:color="DBE5F1" w:themeColor="accent1" w:themeTint="34" w:fill="DBE5F1" w:themeFill="accent1" w:themeFillTint="34"/>
      </w:tcPr>
    </w:tblStylePr>
    <w:tblStylePr w:type="band2Vert"/>
    <w:tblStylePr w:type="band1Horz">
      <w:rPr>
        <w:rFonts w:ascii="Arial" w:hAnsi="Arial"/>
        <w:color w:val="404040"/>
        <w:sz w:val="22"/>
      </w:rPr>
      <w:tcPr>
        <w:shd w:val="clear" w:color="DBE5F1" w:themeColor="accent1" w:themeTint="34" w:fill="DBE5F1" w:themeFill="accent1" w:themeFillTint="34"/>
      </w:tcPr>
    </w:tblStylePr>
    <w:tblStylePr w:type="band2Horz"/>
    <w:tblStylePr w:type="neCell"/>
    <w:tblStylePr w:type="nwCell"/>
    <w:tblStylePr w:type="seCell"/>
    <w:tblStylePr w:type="swCell"/>
  </w:style>
  <w:style w:type="table" w:customStyle="1" w:styleId="68">
    <w:name w:val="Grid Table 2 - Accent 2"/>
    <w:qFormat/>
    <w:uiPriority w:val="99"/>
    <w:pPr>
      <w:spacing w:after="0" w:line="240" w:lineRule="auto"/>
    </w:pPr>
    <w:tblPr>
      <w:tblBorders>
        <w:bottom w:val="single" w:color="D99795" w:themeColor="accent2" w:themeTint="97" w:sz="4" w:space="0"/>
        <w:insideH w:val="single" w:color="D99795" w:themeColor="accent2" w:themeTint="97" w:sz="4" w:space="0"/>
        <w:insideV w:val="single" w:color="D99795" w:themeColor="accent2" w:themeTint="97" w:sz="4" w:space="0"/>
      </w:tblBorders>
    </w:tblPr>
    <w:tblStylePr w:type="firstRow">
      <w:rPr>
        <w:b/>
        <w:color w:val="404040"/>
      </w:rPr>
      <w:tcPr>
        <w:tcBorders>
          <w:top w:val="nil"/>
          <w:left w:val="nil"/>
          <w:bottom w:val="single" w:color="D99795" w:themeColor="accent2" w:themeTint="97" w:sz="12" w:space="0"/>
          <w:right w:val="nil"/>
        </w:tcBorders>
        <w:shd w:val="clear" w:color="FFFFFF" w:fill="auto"/>
      </w:tcPr>
    </w:tblStylePr>
    <w:tblStylePr w:type="lastRow">
      <w:rPr>
        <w:b/>
        <w:color w:val="404040"/>
      </w:rPr>
      <w:tcPr>
        <w:tcBorders>
          <w:top w:val="single" w:color="D99795" w:themeColor="accent2" w:themeTint="97" w:sz="4" w:space="0"/>
          <w:left w:val="nil"/>
          <w:bottom w:val="nil"/>
          <w:right w:val="nil"/>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cPr>
        <w:shd w:val="clear" w:color="F2DCDC" w:themeColor="accent2" w:themeTint="32" w:fill="F2DCDC" w:themeFill="accent2" w:themeFillTint="32"/>
      </w:tcPr>
    </w:tblStylePr>
    <w:tblStylePr w:type="band2Vert"/>
    <w:tblStylePr w:type="band1Horz">
      <w:rPr>
        <w:rFonts w:ascii="Arial" w:hAnsi="Arial"/>
        <w:color w:val="404040"/>
        <w:sz w:val="22"/>
      </w:rPr>
      <w:tcPr>
        <w:shd w:val="clear" w:color="F2DCDC" w:themeColor="accent2" w:themeTint="32" w:fill="F2DCDC" w:themeFill="accent2" w:themeFillTint="32"/>
      </w:tcPr>
    </w:tblStylePr>
    <w:tblStylePr w:type="band2Horz"/>
    <w:tblStylePr w:type="neCell"/>
    <w:tblStylePr w:type="nwCell"/>
    <w:tblStylePr w:type="seCell"/>
    <w:tblStylePr w:type="swCell"/>
  </w:style>
  <w:style w:type="table" w:customStyle="1" w:styleId="69">
    <w:name w:val="Grid Table 2 - Accent 3"/>
    <w:qFormat/>
    <w:uiPriority w:val="99"/>
    <w:pPr>
      <w:spacing w:after="0" w:line="240" w:lineRule="auto"/>
    </w:pPr>
    <w:tblPr>
      <w:tblBorders>
        <w:bottom w:val="single" w:color="9BBB59" w:themeColor="accent3" w:themeTint="FE" w:sz="4" w:space="0"/>
        <w:insideH w:val="single" w:color="9BBB59" w:themeColor="accent3" w:themeTint="FE" w:sz="4" w:space="0"/>
        <w:insideV w:val="single" w:color="9BBB59" w:themeColor="accent3" w:themeTint="FE" w:sz="4" w:space="0"/>
      </w:tblBorders>
    </w:tblPr>
    <w:tblStylePr w:type="firstRow">
      <w:rPr>
        <w:b/>
        <w:color w:val="404040"/>
      </w:rPr>
      <w:tcPr>
        <w:tcBorders>
          <w:top w:val="nil"/>
          <w:left w:val="nil"/>
          <w:bottom w:val="single" w:color="9BBB59" w:themeColor="accent3" w:themeTint="FE" w:sz="12" w:space="0"/>
          <w:right w:val="nil"/>
        </w:tcBorders>
        <w:shd w:val="clear" w:color="FFFFFF" w:fill="auto"/>
      </w:tcPr>
    </w:tblStylePr>
    <w:tblStylePr w:type="lastRow">
      <w:rPr>
        <w:b/>
        <w:color w:val="404040"/>
      </w:rPr>
      <w:tcPr>
        <w:tcBorders>
          <w:top w:val="single" w:color="9BBB59" w:themeColor="accent3" w:themeTint="FE" w:sz="4" w:space="0"/>
          <w:left w:val="nil"/>
          <w:bottom w:val="nil"/>
          <w:right w:val="nil"/>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cPr>
        <w:shd w:val="clear" w:color="EAF1DD" w:themeColor="accent3" w:themeTint="34" w:fill="EAF1DD" w:themeFill="accent3" w:themeFillTint="34"/>
      </w:tcPr>
    </w:tblStylePr>
    <w:tblStylePr w:type="band2Vert"/>
    <w:tblStylePr w:type="band1Horz">
      <w:rPr>
        <w:rFonts w:ascii="Arial" w:hAnsi="Arial"/>
        <w:color w:val="404040"/>
        <w:sz w:val="22"/>
      </w:rPr>
      <w:tcPr>
        <w:shd w:val="clear" w:color="EAF1DD" w:themeColor="accent3" w:themeTint="34" w:fill="EAF1DD" w:themeFill="accent3" w:themeFillTint="34"/>
      </w:tcPr>
    </w:tblStylePr>
    <w:tblStylePr w:type="band2Horz"/>
    <w:tblStylePr w:type="neCell"/>
    <w:tblStylePr w:type="nwCell"/>
    <w:tblStylePr w:type="seCell"/>
    <w:tblStylePr w:type="swCell"/>
  </w:style>
  <w:style w:type="table" w:customStyle="1" w:styleId="70">
    <w:name w:val="Grid Table 2 - Accent 4"/>
    <w:uiPriority w:val="99"/>
    <w:pPr>
      <w:spacing w:after="0" w:line="240" w:lineRule="auto"/>
    </w:pPr>
    <w:tblPr>
      <w:tblBorders>
        <w:bottom w:val="single" w:color="B2A1C6" w:themeColor="accent4" w:themeTint="9A" w:sz="4" w:space="0"/>
        <w:insideH w:val="single" w:color="B2A1C6" w:themeColor="accent4" w:themeTint="9A" w:sz="4" w:space="0"/>
        <w:insideV w:val="single" w:color="B2A1C6" w:themeColor="accent4" w:themeTint="9A" w:sz="4" w:space="0"/>
      </w:tblBorders>
    </w:tblPr>
    <w:tblStylePr w:type="firstRow">
      <w:rPr>
        <w:b/>
        <w:color w:val="404040"/>
      </w:rPr>
      <w:tcPr>
        <w:tcBorders>
          <w:top w:val="nil"/>
          <w:left w:val="nil"/>
          <w:bottom w:val="single" w:color="B2A1C6" w:themeColor="accent4" w:themeTint="9A" w:sz="12" w:space="0"/>
          <w:right w:val="nil"/>
        </w:tcBorders>
        <w:shd w:val="clear" w:color="FFFFFF" w:fill="auto"/>
      </w:tcPr>
    </w:tblStylePr>
    <w:tblStylePr w:type="lastRow">
      <w:rPr>
        <w:b/>
        <w:color w:val="404040"/>
      </w:rPr>
      <w:tcPr>
        <w:tcBorders>
          <w:top w:val="single" w:color="B2A1C6" w:themeColor="accent4" w:themeTint="9A" w:sz="4" w:space="0"/>
          <w:left w:val="nil"/>
          <w:bottom w:val="nil"/>
          <w:right w:val="nil"/>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cPr>
        <w:shd w:val="clear" w:color="E5DFEC" w:themeColor="accent4" w:themeTint="34" w:fill="E5DFEC" w:themeFill="accent4" w:themeFillTint="34"/>
      </w:tcPr>
    </w:tblStylePr>
    <w:tblStylePr w:type="band2Vert"/>
    <w:tblStylePr w:type="band1Horz">
      <w:rPr>
        <w:rFonts w:ascii="Arial" w:hAnsi="Arial"/>
        <w:color w:val="404040"/>
        <w:sz w:val="22"/>
      </w:rPr>
      <w:tcPr>
        <w:shd w:val="clear" w:color="E5DFEC" w:themeColor="accent4" w:themeTint="34" w:fill="E5DFEC" w:themeFill="accent4" w:themeFillTint="34"/>
      </w:tcPr>
    </w:tblStylePr>
    <w:tblStylePr w:type="band2Horz"/>
    <w:tblStylePr w:type="neCell"/>
    <w:tblStylePr w:type="nwCell"/>
    <w:tblStylePr w:type="seCell"/>
    <w:tblStylePr w:type="swCell"/>
  </w:style>
  <w:style w:type="table" w:customStyle="1" w:styleId="71">
    <w:name w:val="Grid Table 2 - Accent 5"/>
    <w:qFormat/>
    <w:uiPriority w:val="99"/>
    <w:pPr>
      <w:spacing w:after="0" w:line="240" w:lineRule="auto"/>
    </w:pPr>
    <w:tblPr>
      <w:tblBorders>
        <w:bottom w:val="single" w:color="4BACC6" w:themeColor="accent5" w:sz="4" w:space="0"/>
        <w:insideH w:val="single" w:color="4BACC6" w:themeColor="accent5" w:sz="4" w:space="0"/>
        <w:insideV w:val="single" w:color="4BACC6" w:themeColor="accent5" w:sz="4" w:space="0"/>
      </w:tblBorders>
    </w:tblPr>
    <w:tblStylePr w:type="firstRow">
      <w:rPr>
        <w:b/>
        <w:color w:val="404040"/>
      </w:rPr>
      <w:tcPr>
        <w:tcBorders>
          <w:top w:val="nil"/>
          <w:left w:val="nil"/>
          <w:bottom w:val="single" w:color="4BACC6" w:themeColor="accent5" w:sz="12" w:space="0"/>
          <w:right w:val="nil"/>
        </w:tcBorders>
        <w:shd w:val="clear" w:color="FFFFFF" w:fill="auto"/>
      </w:tcPr>
    </w:tblStylePr>
    <w:tblStylePr w:type="lastRow">
      <w:rPr>
        <w:b/>
        <w:color w:val="404040"/>
      </w:rPr>
      <w:tcPr>
        <w:tcBorders>
          <w:top w:val="single" w:color="4BACC6" w:themeColor="accent5" w:sz="4" w:space="0"/>
          <w:left w:val="nil"/>
          <w:bottom w:val="nil"/>
          <w:right w:val="nil"/>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cPr>
        <w:shd w:val="clear" w:color="DAEEF3" w:themeColor="accent5" w:themeTint="34" w:fill="DAEEF3" w:themeFill="accent5" w:themeFillTint="34"/>
      </w:tcPr>
    </w:tblStylePr>
    <w:tblStylePr w:type="band2Vert"/>
    <w:tblStylePr w:type="band1Horz">
      <w:rPr>
        <w:rFonts w:ascii="Arial" w:hAnsi="Arial"/>
        <w:color w:val="404040"/>
        <w:sz w:val="22"/>
      </w:rPr>
      <w:tcPr>
        <w:shd w:val="clear" w:color="DAEEF3" w:themeColor="accent5" w:themeTint="34" w:fill="DAEEF3" w:themeFill="accent5" w:themeFillTint="34"/>
      </w:tcPr>
    </w:tblStylePr>
    <w:tblStylePr w:type="band2Horz"/>
    <w:tblStylePr w:type="neCell"/>
    <w:tblStylePr w:type="nwCell"/>
    <w:tblStylePr w:type="seCell"/>
    <w:tblStylePr w:type="swCell"/>
  </w:style>
  <w:style w:type="table" w:customStyle="1" w:styleId="72">
    <w:name w:val="Grid Table 2 - Accent 6"/>
    <w:qFormat/>
    <w:uiPriority w:val="99"/>
    <w:pPr>
      <w:spacing w:after="0" w:line="240" w:lineRule="auto"/>
    </w:pPr>
    <w:tblPr>
      <w:tblBorders>
        <w:bottom w:val="single" w:color="F79646" w:themeColor="accent6" w:sz="4" w:space="0"/>
        <w:insideH w:val="single" w:color="F79646" w:themeColor="accent6" w:sz="4" w:space="0"/>
        <w:insideV w:val="single" w:color="F79646" w:themeColor="accent6" w:sz="4" w:space="0"/>
      </w:tblBorders>
    </w:tblPr>
    <w:tblStylePr w:type="firstRow">
      <w:rPr>
        <w:b/>
        <w:color w:val="404040"/>
      </w:rPr>
      <w:tcPr>
        <w:tcBorders>
          <w:top w:val="nil"/>
          <w:left w:val="nil"/>
          <w:bottom w:val="single" w:color="F79646" w:themeColor="accent6" w:sz="12" w:space="0"/>
          <w:right w:val="nil"/>
        </w:tcBorders>
        <w:shd w:val="clear" w:color="FFFFFF" w:fill="auto"/>
      </w:tcPr>
    </w:tblStylePr>
    <w:tblStylePr w:type="lastRow">
      <w:rPr>
        <w:b/>
        <w:color w:val="404040"/>
      </w:rPr>
      <w:tcPr>
        <w:tcBorders>
          <w:top w:val="single" w:color="F79646" w:themeColor="accent6" w:sz="4" w:space="0"/>
          <w:left w:val="nil"/>
          <w:bottom w:val="nil"/>
          <w:right w:val="nil"/>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cPr>
        <w:shd w:val="clear" w:color="FDE9D9" w:themeColor="accent6" w:themeTint="34" w:fill="FDE9D9" w:themeFill="accent6" w:themeFillTint="34"/>
      </w:tcPr>
    </w:tblStylePr>
    <w:tblStylePr w:type="band2Vert"/>
    <w:tblStylePr w:type="band1Horz">
      <w:rPr>
        <w:rFonts w:ascii="Arial" w:hAnsi="Arial"/>
        <w:color w:val="404040"/>
        <w:sz w:val="22"/>
      </w:rPr>
      <w:tcPr>
        <w:shd w:val="clear" w:color="FDE9D9" w:themeColor="accent6" w:themeTint="34" w:fill="FDE9D9" w:themeFill="accent6" w:themeFillTint="34"/>
      </w:tcPr>
    </w:tblStylePr>
    <w:tblStylePr w:type="band2Horz"/>
    <w:tblStylePr w:type="neCell"/>
    <w:tblStylePr w:type="nwCell"/>
    <w:tblStylePr w:type="seCell"/>
    <w:tblStylePr w:type="swCell"/>
  </w:style>
  <w:style w:type="table" w:customStyle="1" w:styleId="73">
    <w:name w:val="Grid Table 3"/>
    <w:qFormat/>
    <w:uiPriority w:val="99"/>
    <w:pPr>
      <w:spacing w:after="0" w:line="240" w:lineRule="auto"/>
    </w:pPr>
    <w:tblPr>
      <w:tblBorders>
        <w:bottom w:val="single" w:color="696969" w:themeColor="text1" w:themeTint="95" w:sz="4" w:space="0"/>
        <w:insideH w:val="single" w:color="696969" w:themeColor="text1" w:themeTint="95" w:sz="4" w:space="0"/>
        <w:insideV w:val="single" w:color="696969" w:themeColor="text1" w:themeTint="95" w:sz="4" w:space="0"/>
      </w:tblBorders>
    </w:tblPr>
    <w:tblStylePr w:type="firstRow">
      <w:rPr>
        <w:b/>
        <w:color w:val="404040"/>
      </w:rPr>
      <w:tcPr>
        <w:tcBorders>
          <w:top w:val="nil"/>
          <w:left w:val="nil"/>
          <w:bottom w:val="nil"/>
          <w:right w:val="nil"/>
        </w:tcBorders>
        <w:shd w:val="clear" w:color="FFFFFF" w:fill="auto"/>
      </w:tcPr>
    </w:tblStylePr>
    <w:tblStylePr w:type="lastRow">
      <w:rPr>
        <w:b/>
        <w:color w:val="404040"/>
      </w:rPr>
      <w:tcPr>
        <w:tcBorders>
          <w:top w:val="nil"/>
          <w:left w:val="nil"/>
          <w:bottom w:val="nil"/>
          <w:right w:val="nil"/>
        </w:tcBorders>
        <w:shd w:val="clear" w:color="FFFFFF" w:fill="auto"/>
      </w:tcPr>
    </w:tblStylePr>
    <w:tblStylePr w:type="firstCol">
      <w:pPr>
        <w:jc w:val="right"/>
      </w:pPr>
      <w:rPr>
        <w:i/>
        <w:color w:val="404040"/>
      </w:rPr>
      <w:tcPr>
        <w:tcBorders>
          <w:top w:val="nil"/>
          <w:left w:val="nil"/>
          <w:bottom w:val="nil"/>
          <w:right w:val="nil"/>
        </w:tcBorders>
        <w:shd w:val="clear" w:color="FFFFFF" w:fill="auto"/>
      </w:tcPr>
    </w:tblStylePr>
    <w:tblStylePr w:type="lastCol">
      <w:rPr>
        <w:i/>
        <w:color w:val="404040"/>
      </w:rPr>
      <w:tcPr>
        <w:tcBorders>
          <w:top w:val="nil"/>
          <w:left w:val="nil"/>
          <w:bottom w:val="nil"/>
          <w:right w:val="nil"/>
        </w:tcBorders>
        <w:shd w:val="clear" w:color="FFFFFF" w:fill="auto"/>
      </w:tcPr>
    </w:tblStylePr>
    <w:tblStylePr w:type="band1Vert">
      <w:rPr>
        <w:rFonts w:ascii="Arial" w:hAnsi="Arial"/>
        <w:color w:val="404040"/>
        <w:sz w:val="22"/>
      </w:rPr>
      <w:tcPr>
        <w:shd w:val="clear" w:color="CACACA" w:themeColor="text1" w:themeTint="34" w:fill="CACACA" w:themeFill="text1" w:themeFillTint="34"/>
      </w:tcPr>
    </w:tblStylePr>
    <w:tblStylePr w:type="band2Vert"/>
    <w:tblStylePr w:type="band1Horz">
      <w:rPr>
        <w:rFonts w:ascii="Arial" w:hAnsi="Arial"/>
        <w:color w:val="404040"/>
        <w:sz w:val="22"/>
      </w:rPr>
      <w:tcPr>
        <w:shd w:val="clear" w:color="CACACA" w:themeColor="text1" w:themeTint="34" w:fill="CACACA" w:themeFill="text1" w:themeFillTint="34"/>
      </w:tcPr>
    </w:tblStylePr>
    <w:tblStylePr w:type="band2Horz"/>
    <w:tblStylePr w:type="neCell"/>
    <w:tblStylePr w:type="nwCell"/>
    <w:tblStylePr w:type="seCell"/>
    <w:tblStylePr w:type="swCell"/>
  </w:style>
  <w:style w:type="table" w:customStyle="1" w:styleId="74">
    <w:name w:val="Grid Table 3 - Accent 1"/>
    <w:qFormat/>
    <w:uiPriority w:val="99"/>
    <w:pPr>
      <w:spacing w:after="0" w:line="240" w:lineRule="auto"/>
    </w:pPr>
    <w:tblPr>
      <w:tblBorders>
        <w:bottom w:val="single" w:color="5D8BC2" w:themeColor="accent1" w:themeTint="EA" w:sz="4" w:space="0"/>
        <w:insideH w:val="single" w:color="5D8BC2" w:themeColor="accent1" w:themeTint="EA" w:sz="4" w:space="0"/>
        <w:insideV w:val="single" w:color="5D8BC2" w:themeColor="accent1" w:themeTint="EA" w:sz="4" w:space="0"/>
      </w:tblBorders>
    </w:tblPr>
    <w:tblStylePr w:type="firstRow">
      <w:rPr>
        <w:b/>
        <w:color w:val="404040"/>
      </w:rPr>
      <w:tcPr>
        <w:tcBorders>
          <w:top w:val="nil"/>
          <w:left w:val="nil"/>
          <w:bottom w:val="nil"/>
          <w:right w:val="nil"/>
        </w:tcBorders>
        <w:shd w:val="clear" w:color="FFFFFF" w:fill="auto"/>
      </w:tcPr>
    </w:tblStylePr>
    <w:tblStylePr w:type="lastRow">
      <w:rPr>
        <w:b/>
        <w:color w:val="404040"/>
      </w:rPr>
      <w:tcPr>
        <w:tcBorders>
          <w:top w:val="nil"/>
          <w:left w:val="nil"/>
          <w:bottom w:val="nil"/>
          <w:right w:val="nil"/>
        </w:tcBorders>
        <w:shd w:val="clear" w:color="FFFFFF" w:fill="auto"/>
      </w:tcPr>
    </w:tblStylePr>
    <w:tblStylePr w:type="firstCol">
      <w:pPr>
        <w:jc w:val="right"/>
      </w:pPr>
      <w:rPr>
        <w:i/>
        <w:color w:val="404040"/>
      </w:rPr>
      <w:tcPr>
        <w:tcBorders>
          <w:top w:val="nil"/>
          <w:left w:val="nil"/>
          <w:bottom w:val="nil"/>
          <w:right w:val="nil"/>
        </w:tcBorders>
        <w:shd w:val="clear" w:color="FFFFFF" w:fill="auto"/>
      </w:tcPr>
    </w:tblStylePr>
    <w:tblStylePr w:type="lastCol">
      <w:rPr>
        <w:i/>
        <w:color w:val="404040"/>
      </w:rPr>
      <w:tcPr>
        <w:tcBorders>
          <w:top w:val="nil"/>
          <w:left w:val="nil"/>
          <w:bottom w:val="nil"/>
          <w:right w:val="nil"/>
        </w:tcBorders>
        <w:shd w:val="clear" w:color="FFFFFF" w:fill="auto"/>
      </w:tcPr>
    </w:tblStylePr>
    <w:tblStylePr w:type="band1Vert">
      <w:rPr>
        <w:rFonts w:ascii="Arial" w:hAnsi="Arial"/>
        <w:color w:val="404040"/>
        <w:sz w:val="22"/>
      </w:rPr>
      <w:tcPr>
        <w:shd w:val="clear" w:color="DBE5F1" w:themeColor="accent1" w:themeTint="34" w:fill="DBE5F1" w:themeFill="accent1" w:themeFillTint="34"/>
      </w:tcPr>
    </w:tblStylePr>
    <w:tblStylePr w:type="band2Vert"/>
    <w:tblStylePr w:type="band1Horz">
      <w:rPr>
        <w:rFonts w:ascii="Arial" w:hAnsi="Arial"/>
        <w:color w:val="404040"/>
        <w:sz w:val="22"/>
      </w:rPr>
      <w:tcPr>
        <w:shd w:val="clear" w:color="DBE5F1" w:themeColor="accent1" w:themeTint="34" w:fill="DBE5F1" w:themeFill="accent1" w:themeFillTint="34"/>
      </w:tcPr>
    </w:tblStylePr>
    <w:tblStylePr w:type="band2Horz"/>
    <w:tblStylePr w:type="neCell"/>
    <w:tblStylePr w:type="nwCell"/>
    <w:tblStylePr w:type="seCell"/>
    <w:tblStylePr w:type="swCell"/>
  </w:style>
  <w:style w:type="table" w:customStyle="1" w:styleId="75">
    <w:name w:val="Grid Table 3 - Accent 2"/>
    <w:qFormat/>
    <w:uiPriority w:val="99"/>
    <w:pPr>
      <w:spacing w:after="0" w:line="240" w:lineRule="auto"/>
    </w:pPr>
    <w:tblPr>
      <w:tblBorders>
        <w:bottom w:val="single" w:color="D99795" w:themeColor="accent2" w:themeTint="97" w:sz="4" w:space="0"/>
        <w:insideH w:val="single" w:color="D99795" w:themeColor="accent2" w:themeTint="97" w:sz="4" w:space="0"/>
        <w:insideV w:val="single" w:color="D99795" w:themeColor="accent2" w:themeTint="97" w:sz="4" w:space="0"/>
      </w:tblBorders>
    </w:tblPr>
    <w:tblStylePr w:type="firstRow">
      <w:rPr>
        <w:b/>
        <w:color w:val="404040"/>
      </w:rPr>
      <w:tcPr>
        <w:tcBorders>
          <w:top w:val="nil"/>
          <w:left w:val="nil"/>
          <w:bottom w:val="nil"/>
          <w:right w:val="nil"/>
        </w:tcBorders>
        <w:shd w:val="clear" w:color="FFFFFF" w:fill="auto"/>
      </w:tcPr>
    </w:tblStylePr>
    <w:tblStylePr w:type="lastRow">
      <w:rPr>
        <w:b/>
        <w:color w:val="404040"/>
      </w:rPr>
      <w:tcPr>
        <w:tcBorders>
          <w:top w:val="nil"/>
          <w:left w:val="nil"/>
          <w:bottom w:val="nil"/>
          <w:right w:val="nil"/>
        </w:tcBorders>
        <w:shd w:val="clear" w:color="FFFFFF" w:fill="auto"/>
      </w:tcPr>
    </w:tblStylePr>
    <w:tblStylePr w:type="firstCol">
      <w:pPr>
        <w:jc w:val="right"/>
      </w:pPr>
      <w:rPr>
        <w:i/>
        <w:color w:val="404040"/>
      </w:rPr>
      <w:tcPr>
        <w:tcBorders>
          <w:top w:val="nil"/>
          <w:left w:val="nil"/>
          <w:bottom w:val="nil"/>
          <w:right w:val="nil"/>
        </w:tcBorders>
        <w:shd w:val="clear" w:color="FFFFFF" w:fill="auto"/>
      </w:tcPr>
    </w:tblStylePr>
    <w:tblStylePr w:type="lastCol">
      <w:rPr>
        <w:i/>
        <w:color w:val="404040"/>
      </w:rPr>
      <w:tcPr>
        <w:tcBorders>
          <w:top w:val="nil"/>
          <w:left w:val="nil"/>
          <w:bottom w:val="nil"/>
          <w:right w:val="nil"/>
        </w:tcBorders>
        <w:shd w:val="clear" w:color="FFFFFF" w:fill="auto"/>
      </w:tcPr>
    </w:tblStylePr>
    <w:tblStylePr w:type="band1Vert">
      <w:rPr>
        <w:rFonts w:ascii="Arial" w:hAnsi="Arial"/>
        <w:color w:val="404040"/>
        <w:sz w:val="22"/>
      </w:rPr>
      <w:tcPr>
        <w:shd w:val="clear" w:color="F2DCDC" w:themeColor="accent2" w:themeTint="32" w:fill="F2DCDC" w:themeFill="accent2" w:themeFillTint="32"/>
      </w:tcPr>
    </w:tblStylePr>
    <w:tblStylePr w:type="band2Vert"/>
    <w:tblStylePr w:type="band1Horz">
      <w:rPr>
        <w:rFonts w:ascii="Arial" w:hAnsi="Arial"/>
        <w:color w:val="404040"/>
        <w:sz w:val="22"/>
      </w:rPr>
      <w:tcPr>
        <w:shd w:val="clear" w:color="F2DCDC" w:themeColor="accent2" w:themeTint="32" w:fill="F2DCDC" w:themeFill="accent2" w:themeFillTint="32"/>
      </w:tcPr>
    </w:tblStylePr>
    <w:tblStylePr w:type="band2Horz"/>
    <w:tblStylePr w:type="neCell"/>
    <w:tblStylePr w:type="nwCell"/>
    <w:tblStylePr w:type="seCell"/>
    <w:tblStylePr w:type="swCell"/>
  </w:style>
  <w:style w:type="table" w:customStyle="1" w:styleId="76">
    <w:name w:val="Grid Table 3 - Accent 3"/>
    <w:qFormat/>
    <w:uiPriority w:val="99"/>
    <w:pPr>
      <w:spacing w:after="0" w:line="240" w:lineRule="auto"/>
    </w:pPr>
    <w:tblPr>
      <w:tblBorders>
        <w:bottom w:val="single" w:color="9BBB59" w:themeColor="accent3" w:themeTint="FE" w:sz="4" w:space="0"/>
        <w:insideH w:val="single" w:color="9BBB59" w:themeColor="accent3" w:themeTint="FE" w:sz="4" w:space="0"/>
        <w:insideV w:val="single" w:color="9BBB59" w:themeColor="accent3" w:themeTint="FE" w:sz="4" w:space="0"/>
      </w:tblBorders>
    </w:tblPr>
    <w:tblStylePr w:type="firstRow">
      <w:rPr>
        <w:b/>
        <w:color w:val="404040"/>
      </w:rPr>
      <w:tcPr>
        <w:tcBorders>
          <w:top w:val="nil"/>
          <w:left w:val="nil"/>
          <w:bottom w:val="nil"/>
          <w:right w:val="nil"/>
        </w:tcBorders>
        <w:shd w:val="clear" w:color="FFFFFF" w:fill="auto"/>
      </w:tcPr>
    </w:tblStylePr>
    <w:tblStylePr w:type="lastRow">
      <w:rPr>
        <w:b/>
        <w:color w:val="404040"/>
      </w:rPr>
      <w:tcPr>
        <w:tcBorders>
          <w:top w:val="nil"/>
          <w:left w:val="nil"/>
          <w:bottom w:val="nil"/>
          <w:right w:val="nil"/>
        </w:tcBorders>
        <w:shd w:val="clear" w:color="FFFFFF" w:fill="auto"/>
      </w:tcPr>
    </w:tblStylePr>
    <w:tblStylePr w:type="firstCol">
      <w:pPr>
        <w:jc w:val="right"/>
      </w:pPr>
      <w:rPr>
        <w:i/>
        <w:color w:val="404040"/>
      </w:rPr>
      <w:tcPr>
        <w:tcBorders>
          <w:top w:val="nil"/>
          <w:left w:val="nil"/>
          <w:bottom w:val="nil"/>
          <w:right w:val="nil"/>
        </w:tcBorders>
        <w:shd w:val="clear" w:color="FFFFFF" w:fill="auto"/>
      </w:tcPr>
    </w:tblStylePr>
    <w:tblStylePr w:type="lastCol">
      <w:rPr>
        <w:i/>
        <w:color w:val="404040"/>
      </w:rPr>
      <w:tcPr>
        <w:tcBorders>
          <w:top w:val="nil"/>
          <w:left w:val="nil"/>
          <w:bottom w:val="nil"/>
          <w:right w:val="nil"/>
        </w:tcBorders>
        <w:shd w:val="clear" w:color="FFFFFF" w:fill="auto"/>
      </w:tcPr>
    </w:tblStylePr>
    <w:tblStylePr w:type="band1Vert">
      <w:rPr>
        <w:rFonts w:ascii="Arial" w:hAnsi="Arial"/>
        <w:color w:val="404040"/>
        <w:sz w:val="22"/>
      </w:rPr>
      <w:tcPr>
        <w:shd w:val="clear" w:color="EAF1DD" w:themeColor="accent3" w:themeTint="34" w:fill="EAF1DD" w:themeFill="accent3" w:themeFillTint="34"/>
      </w:tcPr>
    </w:tblStylePr>
    <w:tblStylePr w:type="band2Vert"/>
    <w:tblStylePr w:type="band1Horz">
      <w:rPr>
        <w:rFonts w:ascii="Arial" w:hAnsi="Arial"/>
        <w:color w:val="404040"/>
        <w:sz w:val="22"/>
      </w:rPr>
      <w:tcPr>
        <w:shd w:val="clear" w:color="EAF1DD" w:themeColor="accent3" w:themeTint="34" w:fill="EAF1DD" w:themeFill="accent3" w:themeFillTint="34"/>
      </w:tcPr>
    </w:tblStylePr>
    <w:tblStylePr w:type="band2Horz"/>
    <w:tblStylePr w:type="neCell"/>
    <w:tblStylePr w:type="nwCell"/>
    <w:tblStylePr w:type="seCell"/>
    <w:tblStylePr w:type="swCell"/>
  </w:style>
  <w:style w:type="table" w:customStyle="1" w:styleId="77">
    <w:name w:val="Grid Table 3 - Accent 4"/>
    <w:qFormat/>
    <w:uiPriority w:val="99"/>
    <w:pPr>
      <w:spacing w:after="0" w:line="240" w:lineRule="auto"/>
    </w:pPr>
    <w:tblPr>
      <w:tblBorders>
        <w:bottom w:val="single" w:color="B2A1C6" w:themeColor="accent4" w:themeTint="9A" w:sz="4" w:space="0"/>
        <w:insideH w:val="single" w:color="B2A1C6" w:themeColor="accent4" w:themeTint="9A" w:sz="4" w:space="0"/>
        <w:insideV w:val="single" w:color="B2A1C6" w:themeColor="accent4" w:themeTint="9A" w:sz="4" w:space="0"/>
      </w:tblBorders>
    </w:tblPr>
    <w:tblStylePr w:type="firstRow">
      <w:rPr>
        <w:b/>
        <w:color w:val="404040"/>
      </w:rPr>
      <w:tcPr>
        <w:tcBorders>
          <w:top w:val="nil"/>
          <w:left w:val="nil"/>
          <w:bottom w:val="nil"/>
          <w:right w:val="nil"/>
        </w:tcBorders>
        <w:shd w:val="clear" w:color="FFFFFF" w:fill="auto"/>
      </w:tcPr>
    </w:tblStylePr>
    <w:tblStylePr w:type="lastRow">
      <w:rPr>
        <w:b/>
        <w:color w:val="404040"/>
      </w:rPr>
      <w:tcPr>
        <w:tcBorders>
          <w:top w:val="nil"/>
          <w:left w:val="nil"/>
          <w:bottom w:val="nil"/>
          <w:right w:val="nil"/>
        </w:tcBorders>
        <w:shd w:val="clear" w:color="FFFFFF" w:fill="auto"/>
      </w:tcPr>
    </w:tblStylePr>
    <w:tblStylePr w:type="firstCol">
      <w:pPr>
        <w:jc w:val="right"/>
      </w:pPr>
      <w:rPr>
        <w:i/>
        <w:color w:val="404040"/>
      </w:rPr>
      <w:tcPr>
        <w:tcBorders>
          <w:top w:val="nil"/>
          <w:left w:val="nil"/>
          <w:bottom w:val="nil"/>
          <w:right w:val="nil"/>
        </w:tcBorders>
        <w:shd w:val="clear" w:color="FFFFFF" w:fill="auto"/>
      </w:tcPr>
    </w:tblStylePr>
    <w:tblStylePr w:type="lastCol">
      <w:rPr>
        <w:i/>
        <w:color w:val="404040"/>
      </w:rPr>
      <w:tcPr>
        <w:tcBorders>
          <w:top w:val="nil"/>
          <w:left w:val="nil"/>
          <w:bottom w:val="nil"/>
          <w:right w:val="nil"/>
        </w:tcBorders>
        <w:shd w:val="clear" w:color="FFFFFF" w:fill="auto"/>
      </w:tcPr>
    </w:tblStylePr>
    <w:tblStylePr w:type="band1Vert">
      <w:rPr>
        <w:rFonts w:ascii="Arial" w:hAnsi="Arial"/>
        <w:color w:val="404040"/>
        <w:sz w:val="22"/>
      </w:rPr>
      <w:tcPr>
        <w:shd w:val="clear" w:color="E5DFEC" w:themeColor="accent4" w:themeTint="34" w:fill="E5DFEC" w:themeFill="accent4" w:themeFillTint="34"/>
      </w:tcPr>
    </w:tblStylePr>
    <w:tblStylePr w:type="band2Vert"/>
    <w:tblStylePr w:type="band1Horz">
      <w:rPr>
        <w:rFonts w:ascii="Arial" w:hAnsi="Arial"/>
        <w:color w:val="404040"/>
        <w:sz w:val="22"/>
      </w:rPr>
      <w:tcPr>
        <w:shd w:val="clear" w:color="E5DFEC" w:themeColor="accent4" w:themeTint="34" w:fill="E5DFEC" w:themeFill="accent4" w:themeFillTint="34"/>
      </w:tcPr>
    </w:tblStylePr>
    <w:tblStylePr w:type="band2Horz"/>
    <w:tblStylePr w:type="neCell"/>
    <w:tblStylePr w:type="nwCell"/>
    <w:tblStylePr w:type="seCell"/>
    <w:tblStylePr w:type="swCell"/>
  </w:style>
  <w:style w:type="table" w:customStyle="1" w:styleId="78">
    <w:name w:val="Grid Table 3 - Accent 5"/>
    <w:qFormat/>
    <w:uiPriority w:val="99"/>
    <w:pPr>
      <w:spacing w:after="0" w:line="240" w:lineRule="auto"/>
    </w:pPr>
    <w:tblPr>
      <w:tblBorders>
        <w:bottom w:val="single" w:color="4BACC6" w:themeColor="accent5" w:sz="4" w:space="0"/>
        <w:insideH w:val="single" w:color="4BACC6" w:themeColor="accent5" w:sz="4" w:space="0"/>
        <w:insideV w:val="single" w:color="4BACC6" w:themeColor="accent5" w:sz="4" w:space="0"/>
      </w:tblBorders>
    </w:tblPr>
    <w:tblStylePr w:type="firstRow">
      <w:rPr>
        <w:b/>
        <w:color w:val="404040"/>
      </w:rPr>
      <w:tcPr>
        <w:tcBorders>
          <w:top w:val="nil"/>
          <w:left w:val="nil"/>
          <w:bottom w:val="nil"/>
          <w:right w:val="nil"/>
        </w:tcBorders>
        <w:shd w:val="clear" w:color="FFFFFF" w:fill="auto"/>
      </w:tcPr>
    </w:tblStylePr>
    <w:tblStylePr w:type="lastRow">
      <w:rPr>
        <w:b/>
        <w:color w:val="404040"/>
      </w:rPr>
      <w:tcPr>
        <w:tcBorders>
          <w:top w:val="nil"/>
          <w:left w:val="nil"/>
          <w:bottom w:val="nil"/>
          <w:right w:val="nil"/>
        </w:tcBorders>
        <w:shd w:val="clear" w:color="FFFFFF" w:fill="auto"/>
      </w:tcPr>
    </w:tblStylePr>
    <w:tblStylePr w:type="firstCol">
      <w:pPr>
        <w:jc w:val="right"/>
      </w:pPr>
      <w:rPr>
        <w:i/>
        <w:color w:val="404040"/>
      </w:rPr>
      <w:tcPr>
        <w:tcBorders>
          <w:top w:val="nil"/>
          <w:left w:val="nil"/>
          <w:bottom w:val="nil"/>
          <w:right w:val="nil"/>
        </w:tcBorders>
        <w:shd w:val="clear" w:color="FFFFFF" w:fill="auto"/>
      </w:tcPr>
    </w:tblStylePr>
    <w:tblStylePr w:type="lastCol">
      <w:rPr>
        <w:i/>
        <w:color w:val="404040"/>
      </w:rPr>
      <w:tcPr>
        <w:tcBorders>
          <w:top w:val="nil"/>
          <w:left w:val="nil"/>
          <w:bottom w:val="nil"/>
          <w:right w:val="nil"/>
        </w:tcBorders>
        <w:shd w:val="clear" w:color="FFFFFF" w:fill="auto"/>
      </w:tcPr>
    </w:tblStylePr>
    <w:tblStylePr w:type="band1Vert">
      <w:rPr>
        <w:rFonts w:ascii="Arial" w:hAnsi="Arial"/>
        <w:color w:val="404040"/>
        <w:sz w:val="22"/>
      </w:rPr>
      <w:tcPr>
        <w:shd w:val="clear" w:color="DAEEF3" w:themeColor="accent5" w:themeTint="34" w:fill="DAEEF3" w:themeFill="accent5" w:themeFillTint="34"/>
      </w:tcPr>
    </w:tblStylePr>
    <w:tblStylePr w:type="band2Vert"/>
    <w:tblStylePr w:type="band1Horz">
      <w:rPr>
        <w:rFonts w:ascii="Arial" w:hAnsi="Arial"/>
        <w:color w:val="404040"/>
        <w:sz w:val="22"/>
      </w:rPr>
      <w:tcPr>
        <w:shd w:val="clear" w:color="DAEEF3" w:themeColor="accent5" w:themeTint="34" w:fill="DAEEF3" w:themeFill="accent5" w:themeFillTint="34"/>
      </w:tcPr>
    </w:tblStylePr>
    <w:tblStylePr w:type="band2Horz"/>
    <w:tblStylePr w:type="neCell"/>
    <w:tblStylePr w:type="nwCell"/>
    <w:tblStylePr w:type="seCell"/>
    <w:tblStylePr w:type="swCell"/>
  </w:style>
  <w:style w:type="table" w:customStyle="1" w:styleId="79">
    <w:name w:val="Grid Table 3 - Accent 6"/>
    <w:qFormat/>
    <w:uiPriority w:val="99"/>
    <w:pPr>
      <w:spacing w:after="0" w:line="240" w:lineRule="auto"/>
    </w:pPr>
    <w:tblPr>
      <w:tblBorders>
        <w:bottom w:val="single" w:color="F79646" w:themeColor="accent6" w:sz="4" w:space="0"/>
        <w:insideH w:val="single" w:color="F79646" w:themeColor="accent6" w:sz="4" w:space="0"/>
        <w:insideV w:val="single" w:color="F79646" w:themeColor="accent6" w:sz="4" w:space="0"/>
      </w:tblBorders>
    </w:tblPr>
    <w:tblStylePr w:type="firstRow">
      <w:rPr>
        <w:b/>
        <w:color w:val="404040"/>
      </w:rPr>
      <w:tcPr>
        <w:tcBorders>
          <w:top w:val="nil"/>
          <w:left w:val="nil"/>
          <w:bottom w:val="nil"/>
          <w:right w:val="nil"/>
        </w:tcBorders>
        <w:shd w:val="clear" w:color="FFFFFF" w:fill="auto"/>
      </w:tcPr>
    </w:tblStylePr>
    <w:tblStylePr w:type="lastRow">
      <w:rPr>
        <w:b/>
        <w:color w:val="404040"/>
      </w:rPr>
      <w:tcPr>
        <w:tcBorders>
          <w:top w:val="nil"/>
          <w:left w:val="nil"/>
          <w:bottom w:val="nil"/>
          <w:right w:val="nil"/>
        </w:tcBorders>
        <w:shd w:val="clear" w:color="FFFFFF" w:fill="auto"/>
      </w:tcPr>
    </w:tblStylePr>
    <w:tblStylePr w:type="firstCol">
      <w:pPr>
        <w:jc w:val="right"/>
      </w:pPr>
      <w:rPr>
        <w:i/>
        <w:color w:val="404040"/>
      </w:rPr>
      <w:tcPr>
        <w:tcBorders>
          <w:top w:val="nil"/>
          <w:left w:val="nil"/>
          <w:bottom w:val="nil"/>
          <w:right w:val="nil"/>
        </w:tcBorders>
        <w:shd w:val="clear" w:color="FFFFFF" w:fill="auto"/>
      </w:tcPr>
    </w:tblStylePr>
    <w:tblStylePr w:type="lastCol">
      <w:rPr>
        <w:i/>
        <w:color w:val="404040"/>
      </w:rPr>
      <w:tcPr>
        <w:tcBorders>
          <w:top w:val="nil"/>
          <w:left w:val="nil"/>
          <w:bottom w:val="nil"/>
          <w:right w:val="nil"/>
        </w:tcBorders>
        <w:shd w:val="clear" w:color="FFFFFF" w:fill="auto"/>
      </w:tcPr>
    </w:tblStylePr>
    <w:tblStylePr w:type="band1Vert">
      <w:rPr>
        <w:rFonts w:ascii="Arial" w:hAnsi="Arial"/>
        <w:color w:val="404040"/>
        <w:sz w:val="22"/>
      </w:rPr>
      <w:tcPr>
        <w:shd w:val="clear" w:color="FDE9D9" w:themeColor="accent6" w:themeTint="34" w:fill="FDE9D9" w:themeFill="accent6" w:themeFillTint="34"/>
      </w:tcPr>
    </w:tblStylePr>
    <w:tblStylePr w:type="band2Vert"/>
    <w:tblStylePr w:type="band1Horz">
      <w:rPr>
        <w:rFonts w:ascii="Arial" w:hAnsi="Arial"/>
        <w:color w:val="404040"/>
        <w:sz w:val="22"/>
      </w:rPr>
      <w:tcPr>
        <w:shd w:val="clear" w:color="FDE9D9" w:themeColor="accent6" w:themeTint="34" w:fill="FDE9D9" w:themeFill="accent6" w:themeFillTint="34"/>
      </w:tcPr>
    </w:tblStylePr>
    <w:tblStylePr w:type="band2Horz"/>
    <w:tblStylePr w:type="neCell"/>
    <w:tblStylePr w:type="nwCell"/>
    <w:tblStylePr w:type="seCell"/>
    <w:tblStylePr w:type="swCell"/>
  </w:style>
  <w:style w:type="table" w:customStyle="1" w:styleId="80">
    <w:name w:val="Grid Table 4"/>
    <w:qFormat/>
    <w:uiPriority w:val="59"/>
    <w:pPr>
      <w:spacing w:after="0" w:line="240" w:lineRule="auto"/>
    </w:pPr>
    <w:tblPr>
      <w:tblBorders>
        <w:top w:val="single" w:color="6E6E6E" w:themeColor="text1" w:themeTint="90" w:sz="4" w:space="0"/>
        <w:left w:val="single" w:color="6E6E6E" w:themeColor="text1" w:themeTint="90" w:sz="4" w:space="0"/>
        <w:bottom w:val="single" w:color="6E6E6E" w:themeColor="text1" w:themeTint="90" w:sz="4" w:space="0"/>
        <w:right w:val="single" w:color="6E6E6E" w:themeColor="text1" w:themeTint="90" w:sz="4" w:space="0"/>
        <w:insideH w:val="single" w:color="6E6E6E" w:themeColor="text1" w:themeTint="90" w:sz="4" w:space="0"/>
        <w:insideV w:val="single" w:color="6E6E6E" w:themeColor="text1" w:themeTint="90" w:sz="4" w:space="0"/>
      </w:tblBorders>
    </w:tblPr>
    <w:tblStylePr w:type="firstRow">
      <w:rPr>
        <w:rFonts w:ascii="Arial" w:hAnsi="Arial"/>
        <w:b/>
        <w:color w:val="FFFFFF"/>
        <w:sz w:val="22"/>
      </w:rPr>
      <w:tcPr>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000000" w:themeColor="text1" w:fill="000000" w:themeFill="text1"/>
      </w:tcPr>
    </w:tblStylePr>
    <w:tblStylePr w:type="lastRow">
      <w:rPr>
        <w:b/>
        <w:color w:val="404040"/>
      </w:rPr>
      <w:tcPr>
        <w:tcBorders>
          <w:top w:val="single" w:color="000000" w:themeColor="text1" w:sz="4" w:space="0"/>
        </w:tcBorders>
      </w:tcPr>
    </w:tblStylePr>
    <w:tblStylePr w:type="firstCol">
      <w:rPr>
        <w:b/>
        <w:color w:val="404040"/>
      </w:rPr>
    </w:tblStylePr>
    <w:tblStylePr w:type="lastCol">
      <w:rPr>
        <w:b/>
        <w:color w:val="404040"/>
      </w:rPr>
    </w:tblStylePr>
    <w:tblStylePr w:type="band1Vert">
      <w:rPr>
        <w:rFonts w:ascii="Arial" w:hAnsi="Arial"/>
        <w:color w:val="404040"/>
        <w:sz w:val="22"/>
      </w:rPr>
      <w:tcPr>
        <w:shd w:val="clear" w:color="CACACA" w:themeColor="text1" w:themeTint="34" w:fill="CACACA" w:themeFill="text1" w:themeFillTint="34"/>
      </w:tcPr>
    </w:tblStylePr>
    <w:tblStylePr w:type="band2Vert"/>
    <w:tblStylePr w:type="band1Horz">
      <w:rPr>
        <w:rFonts w:ascii="Arial" w:hAnsi="Arial"/>
        <w:color w:val="404040"/>
        <w:sz w:val="22"/>
      </w:rPr>
      <w:tcPr>
        <w:shd w:val="clear" w:color="CACACA" w:themeColor="text1" w:themeTint="34" w:fill="CACACA" w:themeFill="text1" w:themeFillTint="34"/>
      </w:tcPr>
    </w:tblStylePr>
    <w:tblStylePr w:type="band2Horz"/>
    <w:tblStylePr w:type="neCell"/>
    <w:tblStylePr w:type="nwCell"/>
    <w:tblStylePr w:type="seCell"/>
    <w:tblStylePr w:type="swCell"/>
  </w:style>
  <w:style w:type="table" w:customStyle="1" w:styleId="81">
    <w:name w:val="Grid Table 4 - Accent 1"/>
    <w:qFormat/>
    <w:uiPriority w:val="59"/>
    <w:pPr>
      <w:spacing w:after="0" w:line="240" w:lineRule="auto"/>
    </w:pPr>
    <w:tblPr>
      <w:tblBorders>
        <w:top w:val="single" w:color="9BB7D9" w:themeColor="accent1" w:themeTint="90" w:sz="4" w:space="0"/>
        <w:left w:val="single" w:color="9BB7D9" w:themeColor="accent1" w:themeTint="90" w:sz="4" w:space="0"/>
        <w:bottom w:val="single" w:color="9BB7D9" w:themeColor="accent1" w:themeTint="90" w:sz="4" w:space="0"/>
        <w:right w:val="single" w:color="9BB7D9" w:themeColor="accent1" w:themeTint="90" w:sz="4" w:space="0"/>
        <w:insideH w:val="single" w:color="9BB7D9" w:themeColor="accent1" w:themeTint="90" w:sz="4" w:space="0"/>
        <w:insideV w:val="single" w:color="9BB7D9" w:themeColor="accent1" w:themeTint="90" w:sz="4" w:space="0"/>
      </w:tblBorders>
    </w:tblPr>
    <w:tblStylePr w:type="firstRow">
      <w:rPr>
        <w:rFonts w:ascii="Arial" w:hAnsi="Arial"/>
        <w:b/>
        <w:color w:val="FFFFFF"/>
        <w:sz w:val="22"/>
      </w:rPr>
      <w:tcPr>
        <w:tcBorders>
          <w:top w:val="single" w:color="5D8BC2" w:themeColor="accent1" w:themeTint="EA" w:sz="4" w:space="0"/>
          <w:left w:val="single" w:color="5D8BC2" w:themeColor="accent1" w:themeTint="EA" w:sz="4" w:space="0"/>
          <w:bottom w:val="single" w:color="5D8BC2" w:themeColor="accent1" w:themeTint="EA" w:sz="4" w:space="0"/>
          <w:right w:val="single" w:color="5D8BC2" w:themeColor="accent1" w:themeTint="EA" w:sz="4" w:space="0"/>
        </w:tcBorders>
        <w:shd w:val="clear" w:color="5D8BC2" w:themeColor="accent1" w:themeTint="EA" w:fill="5D8BC2" w:themeFill="accent1" w:themeFillTint="EA"/>
      </w:tcPr>
    </w:tblStylePr>
    <w:tblStylePr w:type="lastRow">
      <w:rPr>
        <w:b/>
        <w:color w:val="404040"/>
      </w:rPr>
      <w:tcPr>
        <w:tcBorders>
          <w:top w:val="single" w:color="5D8BC2" w:themeColor="accent1" w:themeTint="EA" w:sz="4" w:space="0"/>
        </w:tcBorders>
      </w:tcPr>
    </w:tblStylePr>
    <w:tblStylePr w:type="firstCol">
      <w:rPr>
        <w:b/>
        <w:color w:val="404040"/>
      </w:rPr>
    </w:tblStylePr>
    <w:tblStylePr w:type="lastCol">
      <w:rPr>
        <w:b/>
        <w:color w:val="404040"/>
      </w:rPr>
    </w:tblStylePr>
    <w:tblStylePr w:type="band1Vert">
      <w:rPr>
        <w:rFonts w:ascii="Arial" w:hAnsi="Arial"/>
        <w:color w:val="404040"/>
        <w:sz w:val="22"/>
      </w:rPr>
      <w:tcPr>
        <w:shd w:val="clear" w:color="DCE6F2" w:themeColor="accent1" w:themeTint="32" w:fill="DCE6F2" w:themeFill="accent1" w:themeFillTint="32"/>
      </w:tcPr>
    </w:tblStylePr>
    <w:tblStylePr w:type="band2Vert"/>
    <w:tblStylePr w:type="band1Horz">
      <w:rPr>
        <w:rFonts w:ascii="Arial" w:hAnsi="Arial"/>
        <w:color w:val="404040"/>
        <w:sz w:val="22"/>
      </w:rPr>
      <w:tcPr>
        <w:shd w:val="clear" w:color="DCE6F2" w:themeColor="accent1" w:themeTint="32" w:fill="DCE6F2" w:themeFill="accent1" w:themeFillTint="32"/>
      </w:tcPr>
    </w:tblStylePr>
    <w:tblStylePr w:type="band2Horz"/>
    <w:tblStylePr w:type="neCell"/>
    <w:tblStylePr w:type="nwCell"/>
    <w:tblStylePr w:type="seCell"/>
    <w:tblStylePr w:type="swCell"/>
  </w:style>
  <w:style w:type="table" w:customStyle="1" w:styleId="82">
    <w:name w:val="Grid Table 4 - Accent 2"/>
    <w:qFormat/>
    <w:uiPriority w:val="59"/>
    <w:pPr>
      <w:spacing w:after="0" w:line="240" w:lineRule="auto"/>
    </w:pPr>
    <w:tblPr>
      <w:tblBorders>
        <w:top w:val="single" w:color="DB9C9A" w:themeColor="accent2" w:themeTint="90" w:sz="4" w:space="0"/>
        <w:left w:val="single" w:color="DB9C9A" w:themeColor="accent2" w:themeTint="90" w:sz="4" w:space="0"/>
        <w:bottom w:val="single" w:color="DB9C9A" w:themeColor="accent2" w:themeTint="90" w:sz="4" w:space="0"/>
        <w:right w:val="single" w:color="DB9C9A" w:themeColor="accent2" w:themeTint="90" w:sz="4" w:space="0"/>
        <w:insideH w:val="single" w:color="DB9C9A" w:themeColor="accent2" w:themeTint="90" w:sz="4" w:space="0"/>
        <w:insideV w:val="single" w:color="DB9C9A" w:themeColor="accent2" w:themeTint="90" w:sz="4" w:space="0"/>
      </w:tblBorders>
    </w:tblPr>
    <w:tblStylePr w:type="firstRow">
      <w:rPr>
        <w:rFonts w:ascii="Arial" w:hAnsi="Arial"/>
        <w:b/>
        <w:color w:val="FFFFFF"/>
        <w:sz w:val="22"/>
      </w:rPr>
      <w:tcPr>
        <w:tcBorders>
          <w:top w:val="single" w:color="D99795" w:themeColor="accent2" w:themeTint="97" w:sz="4" w:space="0"/>
          <w:left w:val="single" w:color="D99795" w:themeColor="accent2" w:themeTint="97" w:sz="4" w:space="0"/>
          <w:bottom w:val="single" w:color="D99795" w:themeColor="accent2" w:themeTint="97" w:sz="4" w:space="0"/>
          <w:right w:val="single" w:color="D99795" w:themeColor="accent2" w:themeTint="97" w:sz="4" w:space="0"/>
        </w:tcBorders>
        <w:shd w:val="clear" w:color="D99795" w:themeColor="accent2" w:themeTint="97" w:fill="D99795" w:themeFill="accent2" w:themeFillTint="97"/>
      </w:tcPr>
    </w:tblStylePr>
    <w:tblStylePr w:type="lastRow">
      <w:rPr>
        <w:b/>
        <w:color w:val="404040"/>
      </w:rPr>
      <w:tcPr>
        <w:tcBorders>
          <w:top w:val="single" w:color="D99795" w:themeColor="accent2" w:themeTint="97" w:sz="4" w:space="0"/>
        </w:tcBorders>
      </w:tcPr>
    </w:tblStylePr>
    <w:tblStylePr w:type="firstCol">
      <w:rPr>
        <w:b/>
        <w:color w:val="404040"/>
      </w:rPr>
    </w:tblStylePr>
    <w:tblStylePr w:type="lastCol">
      <w:rPr>
        <w:b/>
        <w:color w:val="404040"/>
      </w:rPr>
    </w:tblStylePr>
    <w:tblStylePr w:type="band1Vert">
      <w:rPr>
        <w:rFonts w:ascii="Arial" w:hAnsi="Arial"/>
        <w:color w:val="404040"/>
        <w:sz w:val="22"/>
      </w:rPr>
      <w:tcPr>
        <w:shd w:val="clear" w:color="F2DCDC" w:themeColor="accent2" w:themeTint="32" w:fill="F2DCDC" w:themeFill="accent2" w:themeFillTint="32"/>
      </w:tcPr>
    </w:tblStylePr>
    <w:tblStylePr w:type="band2Vert"/>
    <w:tblStylePr w:type="band1Horz">
      <w:rPr>
        <w:rFonts w:ascii="Arial" w:hAnsi="Arial"/>
        <w:color w:val="404040"/>
        <w:sz w:val="22"/>
      </w:rPr>
      <w:tcPr>
        <w:shd w:val="clear" w:color="F2DCDC" w:themeColor="accent2" w:themeTint="32" w:fill="F2DCDC" w:themeFill="accent2" w:themeFillTint="32"/>
      </w:tcPr>
    </w:tblStylePr>
    <w:tblStylePr w:type="band2Horz"/>
    <w:tblStylePr w:type="neCell"/>
    <w:tblStylePr w:type="nwCell"/>
    <w:tblStylePr w:type="seCell"/>
    <w:tblStylePr w:type="swCell"/>
  </w:style>
  <w:style w:type="table" w:customStyle="1" w:styleId="83">
    <w:name w:val="Grid Table 4 - Accent 3"/>
    <w:qFormat/>
    <w:uiPriority w:val="59"/>
    <w:pPr>
      <w:spacing w:after="0" w:line="240" w:lineRule="auto"/>
    </w:pPr>
    <w:tblPr>
      <w:tblBorders>
        <w:top w:val="single" w:color="C6D8A1" w:themeColor="accent3" w:themeTint="90" w:sz="4" w:space="0"/>
        <w:left w:val="single" w:color="C6D8A1" w:themeColor="accent3" w:themeTint="90" w:sz="4" w:space="0"/>
        <w:bottom w:val="single" w:color="C6D8A1" w:themeColor="accent3" w:themeTint="90" w:sz="4" w:space="0"/>
        <w:right w:val="single" w:color="C6D8A1" w:themeColor="accent3" w:themeTint="90" w:sz="4" w:space="0"/>
        <w:insideH w:val="single" w:color="C6D8A1" w:themeColor="accent3" w:themeTint="90" w:sz="4" w:space="0"/>
        <w:insideV w:val="single" w:color="C6D8A1" w:themeColor="accent3" w:themeTint="90" w:sz="4" w:space="0"/>
      </w:tblBorders>
    </w:tblPr>
    <w:tblStylePr w:type="firstRow">
      <w:rPr>
        <w:rFonts w:ascii="Arial" w:hAnsi="Arial"/>
        <w:b/>
        <w:color w:val="FFFFFF"/>
        <w:sz w:val="22"/>
      </w:rPr>
      <w:tcPr>
        <w:tcBorders>
          <w:top w:val="single" w:color="9BBB59" w:themeColor="accent3" w:themeTint="FE" w:sz="4" w:space="0"/>
          <w:left w:val="single" w:color="9BBB59" w:themeColor="accent3" w:themeTint="FE" w:sz="4" w:space="0"/>
          <w:bottom w:val="single" w:color="9BBB59" w:themeColor="accent3" w:themeTint="FE" w:sz="4" w:space="0"/>
          <w:right w:val="single" w:color="9BBB59" w:themeColor="accent3" w:themeTint="FE" w:sz="4" w:space="0"/>
        </w:tcBorders>
        <w:shd w:val="clear" w:color="9BBB59" w:themeColor="accent3" w:themeTint="FE" w:fill="9BBB59" w:themeFill="accent3" w:themeFillTint="FE"/>
      </w:tcPr>
    </w:tblStylePr>
    <w:tblStylePr w:type="lastRow">
      <w:rPr>
        <w:b/>
        <w:color w:val="404040"/>
      </w:rPr>
      <w:tcPr>
        <w:tcBorders>
          <w:top w:val="single" w:color="9BBB59" w:themeColor="accent3" w:themeTint="FE" w:sz="4" w:space="0"/>
        </w:tcBorders>
      </w:tcPr>
    </w:tblStylePr>
    <w:tblStylePr w:type="firstCol">
      <w:rPr>
        <w:b/>
        <w:color w:val="404040"/>
      </w:rPr>
    </w:tblStylePr>
    <w:tblStylePr w:type="lastCol">
      <w:rPr>
        <w:b/>
        <w:color w:val="404040"/>
      </w:rPr>
    </w:tblStylePr>
    <w:tblStylePr w:type="band1Vert">
      <w:rPr>
        <w:rFonts w:ascii="Arial" w:hAnsi="Arial"/>
        <w:color w:val="404040"/>
        <w:sz w:val="22"/>
      </w:rPr>
      <w:tcPr>
        <w:shd w:val="clear" w:color="EAF1DD" w:themeColor="accent3" w:themeTint="34" w:fill="EAF1DD" w:themeFill="accent3" w:themeFillTint="34"/>
      </w:tcPr>
    </w:tblStylePr>
    <w:tblStylePr w:type="band2Vert"/>
    <w:tblStylePr w:type="band1Horz">
      <w:rPr>
        <w:rFonts w:ascii="Arial" w:hAnsi="Arial"/>
        <w:color w:val="404040"/>
        <w:sz w:val="22"/>
      </w:rPr>
      <w:tcPr>
        <w:shd w:val="clear" w:color="EAF1DD" w:themeColor="accent3" w:themeTint="34" w:fill="EAF1DD" w:themeFill="accent3" w:themeFillTint="34"/>
      </w:tcPr>
    </w:tblStylePr>
    <w:tblStylePr w:type="band2Horz"/>
    <w:tblStylePr w:type="neCell"/>
    <w:tblStylePr w:type="nwCell"/>
    <w:tblStylePr w:type="seCell"/>
    <w:tblStylePr w:type="swCell"/>
  </w:style>
  <w:style w:type="table" w:customStyle="1" w:styleId="84">
    <w:name w:val="Grid Table 4 - Accent 4"/>
    <w:qFormat/>
    <w:uiPriority w:val="59"/>
    <w:pPr>
      <w:spacing w:after="0" w:line="240" w:lineRule="auto"/>
    </w:pPr>
    <w:tblPr>
      <w:tblBorders>
        <w:top w:val="single" w:color="B7A7CA" w:themeColor="accent4" w:themeTint="90" w:sz="4" w:space="0"/>
        <w:left w:val="single" w:color="B7A7CA" w:themeColor="accent4" w:themeTint="90" w:sz="4" w:space="0"/>
        <w:bottom w:val="single" w:color="B7A7CA" w:themeColor="accent4" w:themeTint="90" w:sz="4" w:space="0"/>
        <w:right w:val="single" w:color="B7A7CA" w:themeColor="accent4" w:themeTint="90" w:sz="4" w:space="0"/>
        <w:insideH w:val="single" w:color="B7A7CA" w:themeColor="accent4" w:themeTint="90" w:sz="4" w:space="0"/>
        <w:insideV w:val="single" w:color="B7A7CA" w:themeColor="accent4" w:themeTint="90" w:sz="4" w:space="0"/>
      </w:tblBorders>
    </w:tblPr>
    <w:tblStylePr w:type="firstRow">
      <w:rPr>
        <w:rFonts w:ascii="Arial" w:hAnsi="Arial"/>
        <w:b/>
        <w:color w:val="FFFFFF"/>
        <w:sz w:val="22"/>
      </w:rPr>
      <w:tcPr>
        <w:tcBorders>
          <w:top w:val="single" w:color="B2A1C6" w:themeColor="accent4" w:themeTint="9A" w:sz="4" w:space="0"/>
          <w:left w:val="single" w:color="B2A1C6" w:themeColor="accent4" w:themeTint="9A" w:sz="4" w:space="0"/>
          <w:bottom w:val="single" w:color="B2A1C6" w:themeColor="accent4" w:themeTint="9A" w:sz="4" w:space="0"/>
          <w:right w:val="single" w:color="B2A1C6" w:themeColor="accent4" w:themeTint="9A" w:sz="4" w:space="0"/>
        </w:tcBorders>
        <w:shd w:val="clear" w:color="B2A1C6" w:themeColor="accent4" w:themeTint="9A" w:fill="B2A1C6" w:themeFill="accent4" w:themeFillTint="9A"/>
      </w:tcPr>
    </w:tblStylePr>
    <w:tblStylePr w:type="lastRow">
      <w:rPr>
        <w:b/>
        <w:color w:val="404040"/>
      </w:rPr>
      <w:tcPr>
        <w:tcBorders>
          <w:top w:val="single" w:color="B2A1C6" w:themeColor="accent4" w:themeTint="9A" w:sz="4" w:space="0"/>
        </w:tcBorders>
      </w:tcPr>
    </w:tblStylePr>
    <w:tblStylePr w:type="firstCol">
      <w:rPr>
        <w:b/>
        <w:color w:val="404040"/>
      </w:rPr>
    </w:tblStylePr>
    <w:tblStylePr w:type="lastCol">
      <w:rPr>
        <w:b/>
        <w:color w:val="404040"/>
      </w:rPr>
    </w:tblStylePr>
    <w:tblStylePr w:type="band1Vert">
      <w:rPr>
        <w:rFonts w:ascii="Arial" w:hAnsi="Arial"/>
        <w:color w:val="404040"/>
        <w:sz w:val="22"/>
      </w:rPr>
      <w:tcPr>
        <w:shd w:val="clear" w:color="E5DFEC" w:themeColor="accent4" w:themeTint="34" w:fill="E5DFEC" w:themeFill="accent4" w:themeFillTint="34"/>
      </w:tcPr>
    </w:tblStylePr>
    <w:tblStylePr w:type="band2Vert"/>
    <w:tblStylePr w:type="band1Horz">
      <w:rPr>
        <w:rFonts w:ascii="Arial" w:hAnsi="Arial"/>
        <w:color w:val="404040"/>
        <w:sz w:val="22"/>
      </w:rPr>
      <w:tcPr>
        <w:shd w:val="clear" w:color="E5DFEC" w:themeColor="accent4" w:themeTint="34" w:fill="E5DFEC" w:themeFill="accent4" w:themeFillTint="34"/>
      </w:tcPr>
    </w:tblStylePr>
    <w:tblStylePr w:type="band2Horz"/>
    <w:tblStylePr w:type="neCell"/>
    <w:tblStylePr w:type="nwCell"/>
    <w:tblStylePr w:type="seCell"/>
    <w:tblStylePr w:type="swCell"/>
  </w:style>
  <w:style w:type="table" w:customStyle="1" w:styleId="85">
    <w:name w:val="Grid Table 4 - Accent 5"/>
    <w:qFormat/>
    <w:uiPriority w:val="59"/>
    <w:pPr>
      <w:spacing w:after="0" w:line="240" w:lineRule="auto"/>
    </w:pPr>
    <w:tblPr>
      <w:tblBorders>
        <w:top w:val="single" w:color="99D0DE" w:themeColor="accent5" w:themeTint="90" w:sz="4" w:space="0"/>
        <w:left w:val="single" w:color="99D0DE" w:themeColor="accent5" w:themeTint="90" w:sz="4" w:space="0"/>
        <w:bottom w:val="single" w:color="99D0DE" w:themeColor="accent5" w:themeTint="90" w:sz="4" w:space="0"/>
        <w:right w:val="single" w:color="99D0DE" w:themeColor="accent5" w:themeTint="90" w:sz="4" w:space="0"/>
        <w:insideH w:val="single" w:color="99D0DE" w:themeColor="accent5" w:themeTint="90" w:sz="4" w:space="0"/>
        <w:insideV w:val="single" w:color="99D0DE" w:themeColor="accent5" w:themeTint="90" w:sz="4" w:space="0"/>
      </w:tblBorders>
    </w:tblPr>
    <w:tblStylePr w:type="firstRow">
      <w:rPr>
        <w:rFonts w:ascii="Arial" w:hAnsi="Arial"/>
        <w:b/>
        <w:color w:val="FFFFFF"/>
        <w:sz w:val="22"/>
      </w:rPr>
      <w:tcPr>
        <w:tcBorders>
          <w:top w:val="single" w:color="4BACC6" w:themeColor="accent5" w:sz="4" w:space="0"/>
          <w:left w:val="single" w:color="4BACC6" w:themeColor="accent5" w:sz="4" w:space="0"/>
          <w:bottom w:val="single" w:color="4BACC6" w:themeColor="accent5" w:sz="4" w:space="0"/>
          <w:right w:val="single" w:color="4BACC6" w:themeColor="accent5" w:sz="4" w:space="0"/>
        </w:tcBorders>
        <w:shd w:val="clear" w:color="4BACC6" w:themeColor="accent5" w:fill="4BACC6" w:themeFill="accent5"/>
      </w:tcPr>
    </w:tblStylePr>
    <w:tblStylePr w:type="lastRow">
      <w:rPr>
        <w:b/>
        <w:color w:val="404040"/>
      </w:rPr>
      <w:tcPr>
        <w:tcBorders>
          <w:top w:val="single" w:color="4BACC6" w:themeColor="accent5" w:sz="4" w:space="0"/>
        </w:tcBorders>
      </w:tcPr>
    </w:tblStylePr>
    <w:tblStylePr w:type="firstCol">
      <w:rPr>
        <w:b/>
        <w:color w:val="404040"/>
      </w:rPr>
    </w:tblStylePr>
    <w:tblStylePr w:type="lastCol">
      <w:rPr>
        <w:b/>
        <w:color w:val="404040"/>
      </w:rPr>
    </w:tblStylePr>
    <w:tblStylePr w:type="band1Vert">
      <w:rPr>
        <w:rFonts w:ascii="Arial" w:hAnsi="Arial"/>
        <w:color w:val="404040"/>
        <w:sz w:val="22"/>
      </w:rPr>
      <w:tcPr>
        <w:shd w:val="clear" w:color="DAEEF3" w:themeColor="accent5" w:themeTint="34" w:fill="DAEEF3" w:themeFill="accent5" w:themeFillTint="34"/>
      </w:tcPr>
    </w:tblStylePr>
    <w:tblStylePr w:type="band2Vert"/>
    <w:tblStylePr w:type="band1Horz">
      <w:rPr>
        <w:rFonts w:ascii="Arial" w:hAnsi="Arial"/>
        <w:color w:val="404040"/>
        <w:sz w:val="22"/>
      </w:rPr>
      <w:tcPr>
        <w:shd w:val="clear" w:color="DAEEF3" w:themeColor="accent5" w:themeTint="34" w:fill="DAEEF3" w:themeFill="accent5" w:themeFillTint="34"/>
      </w:tcPr>
    </w:tblStylePr>
    <w:tblStylePr w:type="band2Horz"/>
    <w:tblStylePr w:type="neCell"/>
    <w:tblStylePr w:type="nwCell"/>
    <w:tblStylePr w:type="seCell"/>
    <w:tblStylePr w:type="swCell"/>
  </w:style>
  <w:style w:type="table" w:customStyle="1" w:styleId="86">
    <w:name w:val="Grid Table 4 - Accent 6"/>
    <w:qFormat/>
    <w:uiPriority w:val="59"/>
    <w:pPr>
      <w:spacing w:after="0" w:line="240" w:lineRule="auto"/>
    </w:pPr>
    <w:tblPr>
      <w:tblBorders>
        <w:top w:val="single" w:color="FAC396" w:themeColor="accent6" w:themeTint="90" w:sz="4" w:space="0"/>
        <w:left w:val="single" w:color="FAC396" w:themeColor="accent6" w:themeTint="90" w:sz="4" w:space="0"/>
        <w:bottom w:val="single" w:color="FAC396" w:themeColor="accent6" w:themeTint="90" w:sz="4" w:space="0"/>
        <w:right w:val="single" w:color="FAC396" w:themeColor="accent6" w:themeTint="90" w:sz="4" w:space="0"/>
        <w:insideH w:val="single" w:color="FAC396" w:themeColor="accent6" w:themeTint="90" w:sz="4" w:space="0"/>
        <w:insideV w:val="single" w:color="FAC396" w:themeColor="accent6" w:themeTint="90" w:sz="4" w:space="0"/>
      </w:tblBorders>
    </w:tblPr>
    <w:tblStylePr w:type="firstRow">
      <w:rPr>
        <w:rFonts w:ascii="Arial" w:hAnsi="Arial"/>
        <w:b/>
        <w:color w:val="FFFFFF"/>
        <w:sz w:val="22"/>
      </w:rPr>
      <w:tcPr>
        <w:tcBorders>
          <w:top w:val="single" w:color="F79646" w:themeColor="accent6" w:sz="4" w:space="0"/>
          <w:left w:val="single" w:color="F79646" w:themeColor="accent6" w:sz="4" w:space="0"/>
          <w:bottom w:val="single" w:color="F79646" w:themeColor="accent6" w:sz="4" w:space="0"/>
          <w:right w:val="single" w:color="F79646" w:themeColor="accent6" w:sz="4" w:space="0"/>
        </w:tcBorders>
        <w:shd w:val="clear" w:color="F79646" w:themeColor="accent6" w:fill="F79646" w:themeFill="accent6"/>
      </w:tcPr>
    </w:tblStylePr>
    <w:tblStylePr w:type="lastRow">
      <w:rPr>
        <w:b/>
        <w:color w:val="404040"/>
      </w:rPr>
      <w:tcPr>
        <w:tcBorders>
          <w:top w:val="single" w:color="F79646" w:themeColor="accent6" w:sz="4" w:space="0"/>
        </w:tcBorders>
      </w:tcPr>
    </w:tblStylePr>
    <w:tblStylePr w:type="firstCol">
      <w:rPr>
        <w:b/>
        <w:color w:val="404040"/>
      </w:rPr>
    </w:tblStylePr>
    <w:tblStylePr w:type="lastCol">
      <w:rPr>
        <w:b/>
        <w:color w:val="404040"/>
      </w:rPr>
    </w:tblStylePr>
    <w:tblStylePr w:type="band1Vert">
      <w:rPr>
        <w:rFonts w:ascii="Arial" w:hAnsi="Arial"/>
        <w:color w:val="404040"/>
        <w:sz w:val="22"/>
      </w:rPr>
      <w:tcPr>
        <w:shd w:val="clear" w:color="FDE9D9" w:themeColor="accent6" w:themeTint="34" w:fill="FDE9D9" w:themeFill="accent6" w:themeFillTint="34"/>
      </w:tcPr>
    </w:tblStylePr>
    <w:tblStylePr w:type="band2Vert"/>
    <w:tblStylePr w:type="band1Horz">
      <w:rPr>
        <w:rFonts w:ascii="Arial" w:hAnsi="Arial"/>
        <w:color w:val="404040"/>
        <w:sz w:val="22"/>
      </w:rPr>
      <w:tcPr>
        <w:shd w:val="clear" w:color="FDE9D9" w:themeColor="accent6" w:themeTint="34" w:fill="FDE9D9" w:themeFill="accent6" w:themeFillTint="34"/>
      </w:tcPr>
    </w:tblStylePr>
    <w:tblStylePr w:type="band2Horz"/>
    <w:tblStylePr w:type="neCell"/>
    <w:tblStylePr w:type="nwCell"/>
    <w:tblStylePr w:type="seCell"/>
    <w:tblStylePr w:type="swCell"/>
  </w:style>
  <w:style w:type="table" w:customStyle="1" w:styleId="87">
    <w:name w:val="Grid Table 5 Dark"/>
    <w:uiPriority w:val="99"/>
    <w:pPr>
      <w:spacing w:after="0" w:line="240" w:lineRule="auto"/>
    </w:pPr>
    <w:tblPr>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tblPr>
    <w:tblStylePr w:type="firstRow">
      <w:rPr>
        <w:rFonts w:ascii="Arial" w:hAnsi="Arial"/>
        <w:b/>
        <w:color w:val="FFFFFF"/>
        <w:sz w:val="22"/>
      </w:rPr>
      <w:tcPr>
        <w:shd w:val="clear" w:color="000000" w:themeColor="text1" w:fill="000000" w:themeFill="text1"/>
      </w:tcPr>
    </w:tblStylePr>
    <w:tblStylePr w:type="lastRow">
      <w:rPr>
        <w:rFonts w:ascii="Arial" w:hAnsi="Arial"/>
        <w:b/>
        <w:color w:val="FFFFFF"/>
        <w:sz w:val="22"/>
      </w:rPr>
      <w:tcPr>
        <w:tcBorders>
          <w:top w:val="single" w:color="FFFFFF" w:themeColor="light1" w:sz="4" w:space="0"/>
        </w:tcBorders>
        <w:shd w:val="clear" w:color="000000" w:themeColor="text1" w:fill="000000" w:themeFill="text1"/>
      </w:tcPr>
    </w:tblStylePr>
    <w:tblStylePr w:type="firstCol">
      <w:rPr>
        <w:rFonts w:ascii="Arial" w:hAnsi="Arial"/>
        <w:b/>
        <w:color w:val="FFFFFF"/>
        <w:sz w:val="22"/>
      </w:rPr>
      <w:tcPr>
        <w:shd w:val="clear" w:color="000000" w:themeColor="text1" w:fill="000000" w:themeFill="text1"/>
      </w:tcPr>
    </w:tblStylePr>
    <w:tblStylePr w:type="lastCol">
      <w:rPr>
        <w:rFonts w:ascii="Arial" w:hAnsi="Arial"/>
        <w:b/>
        <w:color w:val="FFFFFF"/>
        <w:sz w:val="22"/>
      </w:rPr>
      <w:tcPr>
        <w:shd w:val="clear" w:color="000000" w:themeColor="text1" w:fill="000000" w:themeFill="text1"/>
      </w:tcPr>
    </w:tblStylePr>
    <w:tblStylePr w:type="band1Vert">
      <w:tcPr>
        <w:shd w:val="clear" w:color="898989" w:themeColor="text1" w:themeTint="75" w:fill="898989" w:themeFill="text1" w:themeFillTint="75"/>
      </w:tcPr>
    </w:tblStylePr>
    <w:tblStylePr w:type="band2Vert"/>
    <w:tblStylePr w:type="band1Horz">
      <w:tcPr>
        <w:shd w:val="clear" w:color="898989" w:themeColor="text1" w:themeTint="75" w:fill="898989" w:themeFill="text1" w:themeFillTint="75"/>
      </w:tcPr>
    </w:tblStylePr>
    <w:tblStylePr w:type="band2Horz"/>
    <w:tblStylePr w:type="neCell"/>
    <w:tblStylePr w:type="nwCell"/>
    <w:tblStylePr w:type="seCell"/>
    <w:tblStylePr w:type="swCell"/>
  </w:style>
  <w:style w:type="table" w:customStyle="1" w:styleId="88">
    <w:name w:val="Grid Table 5 Dark- Accent 1"/>
    <w:uiPriority w:val="99"/>
    <w:pPr>
      <w:spacing w:after="0" w:line="240" w:lineRule="auto"/>
    </w:pPr>
    <w:tblPr>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tblPr>
    <w:tblStylePr w:type="firstRow">
      <w:rPr>
        <w:rFonts w:ascii="Arial" w:hAnsi="Arial"/>
        <w:b/>
        <w:color w:val="FFFFFF"/>
        <w:sz w:val="22"/>
      </w:rPr>
      <w:tcPr>
        <w:shd w:val="clear" w:color="4F81BD" w:themeColor="accent1" w:fill="4F81BD" w:themeFill="accent1"/>
      </w:tcPr>
    </w:tblStylePr>
    <w:tblStylePr w:type="lastRow">
      <w:rPr>
        <w:rFonts w:ascii="Arial" w:hAnsi="Arial"/>
        <w:b/>
        <w:color w:val="FFFFFF"/>
        <w:sz w:val="22"/>
      </w:rPr>
      <w:tcPr>
        <w:tcBorders>
          <w:top w:val="single" w:color="FFFFFF" w:themeColor="light1" w:sz="4" w:space="0"/>
        </w:tcBorders>
        <w:shd w:val="clear" w:color="4F81BD" w:themeColor="accent1" w:fill="4F81BD" w:themeFill="accent1"/>
      </w:tcPr>
    </w:tblStylePr>
    <w:tblStylePr w:type="firstCol">
      <w:rPr>
        <w:rFonts w:ascii="Arial" w:hAnsi="Arial"/>
        <w:b/>
        <w:color w:val="FFFFFF"/>
        <w:sz w:val="22"/>
      </w:rPr>
      <w:tcPr>
        <w:shd w:val="clear" w:color="4F81BD" w:themeColor="accent1" w:fill="4F81BD" w:themeFill="accent1"/>
      </w:tcPr>
    </w:tblStylePr>
    <w:tblStylePr w:type="lastCol">
      <w:rPr>
        <w:rFonts w:ascii="Arial" w:hAnsi="Arial"/>
        <w:b/>
        <w:color w:val="FFFFFF"/>
        <w:sz w:val="22"/>
      </w:rPr>
      <w:tcPr>
        <w:shd w:val="clear" w:color="4F81BD" w:themeColor="accent1" w:fill="4F81BD" w:themeFill="accent1"/>
      </w:tcPr>
    </w:tblStylePr>
    <w:tblStylePr w:type="band1Vert">
      <w:tcPr>
        <w:shd w:val="clear" w:color="AEC5E0" w:themeColor="accent1" w:themeTint="75" w:fill="AEC5E0" w:themeFill="accent1" w:themeFillTint="75"/>
      </w:tcPr>
    </w:tblStylePr>
    <w:tblStylePr w:type="band2Vert"/>
    <w:tblStylePr w:type="band1Horz">
      <w:tcPr>
        <w:shd w:val="clear" w:color="AEC5E0" w:themeColor="accent1" w:themeTint="75" w:fill="AEC5E0" w:themeFill="accent1" w:themeFillTint="75"/>
      </w:tcPr>
    </w:tblStylePr>
    <w:tblStylePr w:type="band2Horz"/>
    <w:tblStylePr w:type="neCell"/>
    <w:tblStylePr w:type="nwCell"/>
    <w:tblStylePr w:type="seCell"/>
    <w:tblStylePr w:type="swCell"/>
  </w:style>
  <w:style w:type="table" w:customStyle="1" w:styleId="89">
    <w:name w:val="Grid Table 5 Dark - Accent 2"/>
    <w:qFormat/>
    <w:uiPriority w:val="99"/>
    <w:pPr>
      <w:spacing w:after="0" w:line="240" w:lineRule="auto"/>
    </w:pPr>
    <w:tblPr>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tblPr>
    <w:tblStylePr w:type="firstRow">
      <w:rPr>
        <w:rFonts w:ascii="Arial" w:hAnsi="Arial"/>
        <w:b/>
        <w:color w:val="FFFFFF"/>
        <w:sz w:val="22"/>
      </w:rPr>
      <w:tcPr>
        <w:shd w:val="clear" w:color="C0504D" w:themeColor="accent2" w:fill="C0504D" w:themeFill="accent2"/>
      </w:tcPr>
    </w:tblStylePr>
    <w:tblStylePr w:type="lastRow">
      <w:rPr>
        <w:rFonts w:ascii="Arial" w:hAnsi="Arial"/>
        <w:b/>
        <w:color w:val="FFFFFF"/>
        <w:sz w:val="22"/>
      </w:rPr>
      <w:tcPr>
        <w:tcBorders>
          <w:top w:val="single" w:color="FFFFFF" w:themeColor="light1" w:sz="4" w:space="0"/>
        </w:tcBorders>
        <w:shd w:val="clear" w:color="C0504D" w:themeColor="accent2" w:fill="C0504D" w:themeFill="accent2"/>
      </w:tcPr>
    </w:tblStylePr>
    <w:tblStylePr w:type="firstCol">
      <w:rPr>
        <w:rFonts w:ascii="Arial" w:hAnsi="Arial"/>
        <w:b/>
        <w:color w:val="FFFFFF"/>
        <w:sz w:val="22"/>
      </w:rPr>
      <w:tcPr>
        <w:shd w:val="clear" w:color="C0504D" w:themeColor="accent2" w:fill="C0504D" w:themeFill="accent2"/>
      </w:tcPr>
    </w:tblStylePr>
    <w:tblStylePr w:type="lastCol">
      <w:rPr>
        <w:rFonts w:ascii="Arial" w:hAnsi="Arial"/>
        <w:b/>
        <w:color w:val="FFFFFF"/>
        <w:sz w:val="22"/>
      </w:rPr>
      <w:tcPr>
        <w:shd w:val="clear" w:color="C0504D" w:themeColor="accent2" w:fill="C0504D" w:themeFill="accent2"/>
      </w:tcPr>
    </w:tblStylePr>
    <w:tblStylePr w:type="band1Vert">
      <w:tcPr>
        <w:shd w:val="clear" w:color="E2AEAD" w:themeColor="accent2" w:themeTint="75" w:fill="E2AEAD" w:themeFill="accent2" w:themeFillTint="75"/>
      </w:tcPr>
    </w:tblStylePr>
    <w:tblStylePr w:type="band2Vert"/>
    <w:tblStylePr w:type="band1Horz">
      <w:tcPr>
        <w:shd w:val="clear" w:color="E2AEAD" w:themeColor="accent2" w:themeTint="75" w:fill="E2AEAD" w:themeFill="accent2" w:themeFillTint="75"/>
      </w:tcPr>
    </w:tblStylePr>
    <w:tblStylePr w:type="band2Horz"/>
    <w:tblStylePr w:type="neCell"/>
    <w:tblStylePr w:type="nwCell"/>
    <w:tblStylePr w:type="seCell"/>
    <w:tblStylePr w:type="swCell"/>
  </w:style>
  <w:style w:type="table" w:customStyle="1" w:styleId="90">
    <w:name w:val="Grid Table 5 Dark - Accent 3"/>
    <w:qFormat/>
    <w:uiPriority w:val="99"/>
    <w:pPr>
      <w:spacing w:after="0" w:line="240" w:lineRule="auto"/>
    </w:pPr>
    <w:tblPr>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tblPr>
    <w:tblStylePr w:type="firstRow">
      <w:rPr>
        <w:rFonts w:ascii="Arial" w:hAnsi="Arial"/>
        <w:b/>
        <w:color w:val="FFFFFF"/>
        <w:sz w:val="22"/>
      </w:rPr>
      <w:tcPr>
        <w:shd w:val="clear" w:color="9BBB59" w:themeColor="accent3" w:fill="9BBB59" w:themeFill="accent3"/>
      </w:tcPr>
    </w:tblStylePr>
    <w:tblStylePr w:type="lastRow">
      <w:rPr>
        <w:rFonts w:ascii="Arial" w:hAnsi="Arial"/>
        <w:b/>
        <w:color w:val="FFFFFF"/>
        <w:sz w:val="22"/>
      </w:rPr>
      <w:tcPr>
        <w:tcBorders>
          <w:top w:val="single" w:color="FFFFFF" w:themeColor="light1" w:sz="4" w:space="0"/>
        </w:tcBorders>
        <w:shd w:val="clear" w:color="9BBB59" w:themeColor="accent3" w:fill="9BBB59" w:themeFill="accent3"/>
      </w:tcPr>
    </w:tblStylePr>
    <w:tblStylePr w:type="firstCol">
      <w:rPr>
        <w:rFonts w:ascii="Arial" w:hAnsi="Arial"/>
        <w:b/>
        <w:color w:val="FFFFFF"/>
        <w:sz w:val="22"/>
      </w:rPr>
      <w:tcPr>
        <w:shd w:val="clear" w:color="9BBB59" w:themeColor="accent3" w:fill="9BBB59" w:themeFill="accent3"/>
      </w:tcPr>
    </w:tblStylePr>
    <w:tblStylePr w:type="lastCol">
      <w:rPr>
        <w:rFonts w:ascii="Arial" w:hAnsi="Arial"/>
        <w:b/>
        <w:color w:val="FFFFFF"/>
        <w:sz w:val="22"/>
      </w:rPr>
      <w:tcPr>
        <w:shd w:val="clear" w:color="9BBB59" w:themeColor="accent3" w:fill="9BBB59" w:themeFill="accent3"/>
      </w:tcPr>
    </w:tblStylePr>
    <w:tblStylePr w:type="band1Vert">
      <w:tcPr>
        <w:shd w:val="clear" w:color="D1DFB2" w:themeColor="accent3" w:themeTint="75" w:fill="D1DFB2" w:themeFill="accent3" w:themeFillTint="75"/>
      </w:tcPr>
    </w:tblStylePr>
    <w:tblStylePr w:type="band2Vert"/>
    <w:tblStylePr w:type="band1Horz">
      <w:tcPr>
        <w:shd w:val="clear" w:color="D1DFB2" w:themeColor="accent3" w:themeTint="75" w:fill="D1DFB2" w:themeFill="accent3" w:themeFillTint="75"/>
      </w:tcPr>
    </w:tblStylePr>
    <w:tblStylePr w:type="band2Horz"/>
    <w:tblStylePr w:type="neCell"/>
    <w:tblStylePr w:type="nwCell"/>
    <w:tblStylePr w:type="seCell"/>
    <w:tblStylePr w:type="swCell"/>
  </w:style>
  <w:style w:type="table" w:customStyle="1" w:styleId="91">
    <w:name w:val="Grid Table 5 Dark- Accent 4"/>
    <w:qFormat/>
    <w:uiPriority w:val="99"/>
    <w:pPr>
      <w:spacing w:after="0" w:line="240" w:lineRule="auto"/>
    </w:pPr>
    <w:tblPr>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tblPr>
    <w:tblStylePr w:type="firstRow">
      <w:rPr>
        <w:rFonts w:ascii="Arial" w:hAnsi="Arial"/>
        <w:b/>
        <w:color w:val="FFFFFF"/>
        <w:sz w:val="22"/>
      </w:rPr>
      <w:tcPr>
        <w:shd w:val="clear" w:color="8064A2" w:themeColor="accent4" w:fill="8064A2" w:themeFill="accent4"/>
      </w:tcPr>
    </w:tblStylePr>
    <w:tblStylePr w:type="lastRow">
      <w:rPr>
        <w:rFonts w:ascii="Arial" w:hAnsi="Arial"/>
        <w:b/>
        <w:color w:val="FFFFFF"/>
        <w:sz w:val="22"/>
      </w:rPr>
      <w:tcPr>
        <w:tcBorders>
          <w:top w:val="single" w:color="FFFFFF" w:themeColor="light1" w:sz="4" w:space="0"/>
        </w:tcBorders>
        <w:shd w:val="clear" w:color="8064A2" w:themeColor="accent4" w:fill="8064A2" w:themeFill="accent4"/>
      </w:tcPr>
    </w:tblStylePr>
    <w:tblStylePr w:type="firstCol">
      <w:rPr>
        <w:rFonts w:ascii="Arial" w:hAnsi="Arial"/>
        <w:b/>
        <w:color w:val="FFFFFF"/>
        <w:sz w:val="22"/>
      </w:rPr>
      <w:tcPr>
        <w:shd w:val="clear" w:color="8064A2" w:themeColor="accent4" w:fill="8064A2" w:themeFill="accent4"/>
      </w:tcPr>
    </w:tblStylePr>
    <w:tblStylePr w:type="lastCol">
      <w:rPr>
        <w:rFonts w:ascii="Arial" w:hAnsi="Arial"/>
        <w:b/>
        <w:color w:val="FFFFFF"/>
        <w:sz w:val="22"/>
      </w:rPr>
      <w:tcPr>
        <w:shd w:val="clear" w:color="8064A2" w:themeColor="accent4" w:fill="8064A2" w:themeFill="accent4"/>
      </w:tcPr>
    </w:tblStylePr>
    <w:tblStylePr w:type="band1Vert">
      <w:tcPr>
        <w:shd w:val="clear" w:color="C4B7D4" w:themeColor="accent4" w:themeTint="75" w:fill="C4B7D4" w:themeFill="accent4" w:themeFillTint="75"/>
      </w:tcPr>
    </w:tblStylePr>
    <w:tblStylePr w:type="band2Vert"/>
    <w:tblStylePr w:type="band1Horz">
      <w:tcPr>
        <w:shd w:val="clear" w:color="C4B7D4" w:themeColor="accent4" w:themeTint="75" w:fill="C4B7D4" w:themeFill="accent4" w:themeFillTint="75"/>
      </w:tcPr>
    </w:tblStylePr>
    <w:tblStylePr w:type="band2Horz"/>
    <w:tblStylePr w:type="neCell"/>
    <w:tblStylePr w:type="nwCell"/>
    <w:tblStylePr w:type="seCell"/>
    <w:tblStylePr w:type="swCell"/>
  </w:style>
  <w:style w:type="table" w:customStyle="1" w:styleId="92">
    <w:name w:val="Grid Table 5 Dark - Accent 5"/>
    <w:qFormat/>
    <w:uiPriority w:val="99"/>
    <w:pPr>
      <w:spacing w:after="0" w:line="240" w:lineRule="auto"/>
    </w:pPr>
    <w:tblPr>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tblPr>
    <w:tblStylePr w:type="firstRow">
      <w:rPr>
        <w:rFonts w:ascii="Arial" w:hAnsi="Arial"/>
        <w:b/>
        <w:color w:val="FFFFFF"/>
        <w:sz w:val="22"/>
      </w:rPr>
      <w:tcPr>
        <w:shd w:val="clear" w:color="4BACC6" w:themeColor="accent5" w:fill="4BACC6" w:themeFill="accent5"/>
      </w:tcPr>
    </w:tblStylePr>
    <w:tblStylePr w:type="lastRow">
      <w:rPr>
        <w:rFonts w:ascii="Arial" w:hAnsi="Arial"/>
        <w:b/>
        <w:color w:val="FFFFFF"/>
        <w:sz w:val="22"/>
      </w:rPr>
      <w:tcPr>
        <w:tcBorders>
          <w:top w:val="single" w:color="FFFFFF" w:themeColor="light1" w:sz="4" w:space="0"/>
        </w:tcBorders>
        <w:shd w:val="clear" w:color="4BACC6" w:themeColor="accent5" w:fill="4BACC6" w:themeFill="accent5"/>
      </w:tcPr>
    </w:tblStylePr>
    <w:tblStylePr w:type="firstCol">
      <w:rPr>
        <w:rFonts w:ascii="Arial" w:hAnsi="Arial"/>
        <w:b/>
        <w:color w:val="FFFFFF"/>
        <w:sz w:val="22"/>
      </w:rPr>
      <w:tcPr>
        <w:shd w:val="clear" w:color="4BACC6" w:themeColor="accent5" w:fill="4BACC6" w:themeFill="accent5"/>
      </w:tcPr>
    </w:tblStylePr>
    <w:tblStylePr w:type="lastCol">
      <w:rPr>
        <w:rFonts w:ascii="Arial" w:hAnsi="Arial"/>
        <w:b/>
        <w:color w:val="FFFFFF"/>
        <w:sz w:val="22"/>
      </w:rPr>
      <w:tcPr>
        <w:shd w:val="clear" w:color="4BACC6" w:themeColor="accent5" w:fill="4BACC6" w:themeFill="accent5"/>
      </w:tcPr>
    </w:tblStylePr>
    <w:tblStylePr w:type="band1Vert">
      <w:tcPr>
        <w:shd w:val="clear" w:color="ACD8E4" w:themeColor="accent5" w:themeTint="75" w:fill="ACD8E4" w:themeFill="accent5" w:themeFillTint="75"/>
      </w:tcPr>
    </w:tblStylePr>
    <w:tblStylePr w:type="band2Vert"/>
    <w:tblStylePr w:type="band1Horz">
      <w:tcPr>
        <w:shd w:val="clear" w:color="ACD8E4" w:themeColor="accent5" w:themeTint="75" w:fill="ACD8E4" w:themeFill="accent5" w:themeFillTint="75"/>
      </w:tcPr>
    </w:tblStylePr>
    <w:tblStylePr w:type="band2Horz"/>
    <w:tblStylePr w:type="neCell"/>
    <w:tblStylePr w:type="nwCell"/>
    <w:tblStylePr w:type="seCell"/>
    <w:tblStylePr w:type="swCell"/>
  </w:style>
  <w:style w:type="table" w:customStyle="1" w:styleId="93">
    <w:name w:val="Grid Table 5 Dark - Accent 6"/>
    <w:qFormat/>
    <w:uiPriority w:val="99"/>
    <w:pPr>
      <w:spacing w:after="0" w:line="240" w:lineRule="auto"/>
    </w:pPr>
    <w:tblPr>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tblPr>
    <w:tblStylePr w:type="firstRow">
      <w:rPr>
        <w:rFonts w:ascii="Arial" w:hAnsi="Arial"/>
        <w:b/>
        <w:color w:val="FFFFFF"/>
        <w:sz w:val="22"/>
      </w:rPr>
      <w:tcPr>
        <w:shd w:val="clear" w:color="F79646" w:themeColor="accent6" w:fill="F79646" w:themeFill="accent6"/>
      </w:tcPr>
    </w:tblStylePr>
    <w:tblStylePr w:type="lastRow">
      <w:rPr>
        <w:rFonts w:ascii="Arial" w:hAnsi="Arial"/>
        <w:b/>
        <w:color w:val="FFFFFF"/>
        <w:sz w:val="22"/>
      </w:rPr>
      <w:tcPr>
        <w:tcBorders>
          <w:top w:val="single" w:color="FFFFFF" w:themeColor="light1" w:sz="4" w:space="0"/>
        </w:tcBorders>
        <w:shd w:val="clear" w:color="F79646" w:themeColor="accent6" w:fill="F79646" w:themeFill="accent6"/>
      </w:tcPr>
    </w:tblStylePr>
    <w:tblStylePr w:type="firstCol">
      <w:rPr>
        <w:rFonts w:ascii="Arial" w:hAnsi="Arial"/>
        <w:b/>
        <w:color w:val="FFFFFF"/>
        <w:sz w:val="22"/>
      </w:rPr>
      <w:tcPr>
        <w:shd w:val="clear" w:color="F79646" w:themeColor="accent6" w:fill="F79646" w:themeFill="accent6"/>
      </w:tcPr>
    </w:tblStylePr>
    <w:tblStylePr w:type="lastCol">
      <w:rPr>
        <w:rFonts w:ascii="Arial" w:hAnsi="Arial"/>
        <w:b/>
        <w:color w:val="FFFFFF"/>
        <w:sz w:val="22"/>
      </w:rPr>
      <w:tcPr>
        <w:shd w:val="clear" w:color="F79646" w:themeColor="accent6" w:fill="F79646" w:themeFill="accent6"/>
      </w:tcPr>
    </w:tblStylePr>
    <w:tblStylePr w:type="band1Vert">
      <w:tcPr>
        <w:shd w:val="clear" w:color="FBCEAA" w:themeColor="accent6" w:themeTint="75" w:fill="FBCEAA" w:themeFill="accent6" w:themeFillTint="75"/>
      </w:tcPr>
    </w:tblStylePr>
    <w:tblStylePr w:type="band2Vert"/>
    <w:tblStylePr w:type="band1Horz">
      <w:tcPr>
        <w:shd w:val="clear" w:color="FBCEAA" w:themeColor="accent6" w:themeTint="75" w:fill="FBCEAA" w:themeFill="accent6" w:themeFillTint="75"/>
      </w:tcPr>
    </w:tblStylePr>
    <w:tblStylePr w:type="band2Horz"/>
    <w:tblStylePr w:type="neCell"/>
    <w:tblStylePr w:type="nwCell"/>
    <w:tblStylePr w:type="seCell"/>
    <w:tblStylePr w:type="swCell"/>
  </w:style>
  <w:style w:type="table" w:customStyle="1" w:styleId="94">
    <w:name w:val="Grid Table 6 Colorful"/>
    <w:qFormat/>
    <w:uiPriority w:val="99"/>
    <w:pPr>
      <w:spacing w:after="0" w:line="240" w:lineRule="auto"/>
    </w:pPr>
    <w:tblPr>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Pr>
    <w:tblStylePr w:type="firstRow">
      <w:rPr>
        <w:b/>
        <w:color w:val="7E7E7E" w:themeColor="text1" w:themeShade="95" w:themeTint="80"/>
      </w:rPr>
      <w:tcPr>
        <w:tcBorders>
          <w:bottom w:val="single" w:color="7E7E7E" w:themeColor="text1" w:themeTint="80" w:sz="12" w:space="0"/>
        </w:tcBorders>
      </w:tcPr>
    </w:tblStylePr>
    <w:tblStylePr w:type="lastRow">
      <w:rPr>
        <w:b/>
        <w:color w:val="7E7E7E" w:themeColor="text1" w:themeShade="95" w:themeTint="80"/>
      </w:rPr>
    </w:tblStylePr>
    <w:tblStylePr w:type="firstCol">
      <w:rPr>
        <w:b/>
        <w:color w:val="7E7E7E" w:themeColor="text1" w:themeShade="95" w:themeTint="80"/>
      </w:rPr>
    </w:tblStylePr>
    <w:tblStylePr w:type="lastCol">
      <w:rPr>
        <w:b/>
        <w:color w:val="7E7E7E" w:themeColor="text1" w:themeShade="95" w:themeTint="80"/>
      </w:rPr>
    </w:tblStylePr>
    <w:tblStylePr w:type="band1Vert">
      <w:tcPr>
        <w:shd w:val="clear" w:color="CACACA" w:themeColor="text1" w:themeTint="34" w:fill="CACACA" w:themeFill="text1" w:themeFillTint="34"/>
      </w:tcPr>
    </w:tblStylePr>
    <w:tblStylePr w:type="band2Vert"/>
    <w:tblStylePr w:type="band1Horz">
      <w:rPr>
        <w:rFonts w:ascii="Arial" w:hAnsi="Arial"/>
        <w:color w:val="7E7E7E" w:themeColor="text1" w:themeShade="95" w:themeTint="80"/>
        <w:sz w:val="22"/>
      </w:rPr>
      <w:tcPr>
        <w:shd w:val="clear" w:color="CACACA" w:themeColor="text1" w:themeTint="34" w:fill="CACACA" w:themeFill="text1" w:themeFillTint="34"/>
      </w:tcPr>
    </w:tblStylePr>
    <w:tblStylePr w:type="band2Horz">
      <w:rPr>
        <w:rFonts w:ascii="Arial" w:hAnsi="Arial"/>
        <w:color w:val="7E7E7E" w:themeColor="text1" w:themeShade="95" w:themeTint="80"/>
        <w:sz w:val="22"/>
      </w:rPr>
    </w:tblStylePr>
    <w:tblStylePr w:type="neCell"/>
    <w:tblStylePr w:type="nwCell"/>
    <w:tblStylePr w:type="seCell"/>
    <w:tblStylePr w:type="swCell"/>
  </w:style>
  <w:style w:type="table" w:customStyle="1" w:styleId="95">
    <w:name w:val="Grid Table 6 Colorful - Accent 1"/>
    <w:qFormat/>
    <w:uiPriority w:val="99"/>
    <w:pPr>
      <w:spacing w:after="0" w:line="240" w:lineRule="auto"/>
    </w:pPr>
    <w:tblPr>
      <w:tblBorders>
        <w:top w:val="single" w:color="A6BFDD" w:themeColor="accent1" w:themeTint="80" w:sz="4" w:space="0"/>
        <w:left w:val="single" w:color="A6BFDD" w:themeColor="accent1" w:themeTint="80" w:sz="4" w:space="0"/>
        <w:bottom w:val="single" w:color="A6BFDD" w:themeColor="accent1" w:themeTint="80" w:sz="4" w:space="0"/>
        <w:right w:val="single" w:color="A6BFDD" w:themeColor="accent1" w:themeTint="80" w:sz="4" w:space="0"/>
        <w:insideH w:val="single" w:color="A6BFDD" w:themeColor="accent1" w:themeTint="80" w:sz="4" w:space="0"/>
        <w:insideV w:val="single" w:color="A6BFDD" w:themeColor="accent1" w:themeTint="80" w:sz="4" w:space="0"/>
      </w:tblBorders>
    </w:tblPr>
    <w:tblStylePr w:type="firstRow">
      <w:rPr>
        <w:b/>
        <w:color w:val="A6BFDD" w:themeColor="accent1" w:themeShade="95" w:themeTint="80"/>
      </w:rPr>
      <w:tcPr>
        <w:tcBorders>
          <w:bottom w:val="single" w:color="A6BFDD" w:themeColor="accent1" w:themeTint="80" w:sz="12" w:space="0"/>
        </w:tcBorders>
      </w:tcPr>
    </w:tblStylePr>
    <w:tblStylePr w:type="lastRow">
      <w:rPr>
        <w:b/>
        <w:color w:val="A6BFDD" w:themeColor="accent1" w:themeShade="95" w:themeTint="80"/>
      </w:rPr>
    </w:tblStylePr>
    <w:tblStylePr w:type="firstCol">
      <w:rPr>
        <w:b/>
        <w:color w:val="A6BFDD" w:themeColor="accent1" w:themeShade="95" w:themeTint="80"/>
      </w:rPr>
    </w:tblStylePr>
    <w:tblStylePr w:type="lastCol">
      <w:rPr>
        <w:b/>
        <w:color w:val="A6BFDD" w:themeColor="accent1" w:themeShade="95" w:themeTint="80"/>
      </w:rPr>
    </w:tblStylePr>
    <w:tblStylePr w:type="band1Vert">
      <w:tcPr>
        <w:shd w:val="clear" w:color="DBE5F1" w:themeColor="accent1" w:themeTint="34" w:fill="DBE5F1" w:themeFill="accent1" w:themeFillTint="34"/>
      </w:tcPr>
    </w:tblStylePr>
    <w:tblStylePr w:type="band2Vert"/>
    <w:tblStylePr w:type="band1Horz">
      <w:rPr>
        <w:rFonts w:ascii="Arial" w:hAnsi="Arial"/>
        <w:color w:val="A6BFDD" w:themeColor="accent1" w:themeShade="95" w:themeTint="80"/>
        <w:sz w:val="22"/>
      </w:rPr>
      <w:tcPr>
        <w:shd w:val="clear" w:color="DBE5F1" w:themeColor="accent1" w:themeTint="34" w:fill="DBE5F1" w:themeFill="accent1" w:themeFillTint="34"/>
      </w:tcPr>
    </w:tblStylePr>
    <w:tblStylePr w:type="band2Horz">
      <w:rPr>
        <w:rFonts w:ascii="Arial" w:hAnsi="Arial"/>
        <w:color w:val="A6BFDD" w:themeColor="accent1" w:themeShade="95" w:themeTint="80"/>
        <w:sz w:val="22"/>
      </w:rPr>
    </w:tblStylePr>
    <w:tblStylePr w:type="neCell"/>
    <w:tblStylePr w:type="nwCell"/>
    <w:tblStylePr w:type="seCell"/>
    <w:tblStylePr w:type="swCell"/>
  </w:style>
  <w:style w:type="table" w:customStyle="1" w:styleId="96">
    <w:name w:val="Grid Table 6 Colorful - Accent 2"/>
    <w:uiPriority w:val="99"/>
    <w:pPr>
      <w:spacing w:after="0" w:line="240" w:lineRule="auto"/>
    </w:pPr>
    <w:tblPr>
      <w:tblBorders>
        <w:top w:val="single" w:color="D99795" w:themeColor="accent2" w:themeTint="97" w:sz="4" w:space="0"/>
        <w:left w:val="single" w:color="D99795" w:themeColor="accent2" w:themeTint="97" w:sz="4" w:space="0"/>
        <w:bottom w:val="single" w:color="D99795" w:themeColor="accent2" w:themeTint="97" w:sz="4" w:space="0"/>
        <w:right w:val="single" w:color="D99795" w:themeColor="accent2" w:themeTint="97" w:sz="4" w:space="0"/>
        <w:insideH w:val="single" w:color="D99795" w:themeColor="accent2" w:themeTint="97" w:sz="4" w:space="0"/>
        <w:insideV w:val="single" w:color="D99795" w:themeColor="accent2" w:themeTint="97" w:sz="4" w:space="0"/>
      </w:tblBorders>
    </w:tblPr>
    <w:tblStylePr w:type="firstRow">
      <w:rPr>
        <w:b/>
        <w:color w:val="D99795" w:themeColor="accent2" w:themeShade="95" w:themeTint="97"/>
      </w:rPr>
      <w:tcPr>
        <w:tcBorders>
          <w:bottom w:val="single" w:color="D99795" w:themeColor="accent2" w:themeTint="97" w:sz="12" w:space="0"/>
        </w:tcBorders>
      </w:tcPr>
    </w:tblStylePr>
    <w:tblStylePr w:type="lastRow">
      <w:rPr>
        <w:b/>
        <w:color w:val="D99795" w:themeColor="accent2" w:themeShade="95" w:themeTint="97"/>
      </w:rPr>
    </w:tblStylePr>
    <w:tblStylePr w:type="firstCol">
      <w:rPr>
        <w:b/>
        <w:color w:val="D99795" w:themeColor="accent2" w:themeShade="95" w:themeTint="97"/>
      </w:rPr>
    </w:tblStylePr>
    <w:tblStylePr w:type="lastCol">
      <w:rPr>
        <w:b/>
        <w:color w:val="D99795" w:themeColor="accent2" w:themeShade="95" w:themeTint="97"/>
      </w:rPr>
    </w:tblStylePr>
    <w:tblStylePr w:type="band1Vert">
      <w:tcPr>
        <w:shd w:val="clear" w:color="F2DCDC" w:themeColor="accent2" w:themeTint="32" w:fill="F2DCDC" w:themeFill="accent2" w:themeFillTint="32"/>
      </w:tcPr>
    </w:tblStylePr>
    <w:tblStylePr w:type="band2Vert"/>
    <w:tblStylePr w:type="band1Horz">
      <w:rPr>
        <w:rFonts w:ascii="Arial" w:hAnsi="Arial"/>
        <w:color w:val="D99795" w:themeColor="accent2" w:themeShade="95" w:themeTint="97"/>
        <w:sz w:val="22"/>
      </w:rPr>
      <w:tcPr>
        <w:shd w:val="clear" w:color="F2DCDC" w:themeColor="accent2" w:themeTint="32" w:fill="F2DCDC" w:themeFill="accent2" w:themeFillTint="32"/>
      </w:tcPr>
    </w:tblStylePr>
    <w:tblStylePr w:type="band2Horz">
      <w:rPr>
        <w:rFonts w:ascii="Arial" w:hAnsi="Arial"/>
        <w:color w:val="D99795" w:themeColor="accent2" w:themeShade="95" w:themeTint="97"/>
        <w:sz w:val="22"/>
      </w:rPr>
    </w:tblStylePr>
    <w:tblStylePr w:type="neCell"/>
    <w:tblStylePr w:type="nwCell"/>
    <w:tblStylePr w:type="seCell"/>
    <w:tblStylePr w:type="swCell"/>
  </w:style>
  <w:style w:type="table" w:customStyle="1" w:styleId="97">
    <w:name w:val="Grid Table 6 Colorful - Accent 3"/>
    <w:qFormat/>
    <w:uiPriority w:val="99"/>
    <w:pPr>
      <w:spacing w:after="0" w:line="240" w:lineRule="auto"/>
    </w:pPr>
    <w:tblPr>
      <w:tblBorders>
        <w:top w:val="single" w:color="9BBB59" w:themeColor="accent3" w:themeTint="FE" w:sz="4" w:space="0"/>
        <w:left w:val="single" w:color="9BBB59" w:themeColor="accent3" w:themeTint="FE" w:sz="4" w:space="0"/>
        <w:bottom w:val="single" w:color="9BBB59" w:themeColor="accent3" w:themeTint="FE" w:sz="4" w:space="0"/>
        <w:right w:val="single" w:color="9BBB59" w:themeColor="accent3" w:themeTint="FE" w:sz="4" w:space="0"/>
        <w:insideH w:val="single" w:color="9BBB59" w:themeColor="accent3" w:themeTint="FE" w:sz="4" w:space="0"/>
        <w:insideV w:val="single" w:color="9BBB59" w:themeColor="accent3" w:themeTint="FE" w:sz="4" w:space="0"/>
      </w:tblBorders>
    </w:tblPr>
    <w:tblStylePr w:type="firstRow">
      <w:rPr>
        <w:b/>
        <w:color w:val="9BBB59" w:themeColor="accent3" w:themeShade="95" w:themeTint="FE"/>
      </w:rPr>
      <w:tcPr>
        <w:tcBorders>
          <w:bottom w:val="single" w:color="9BBB59" w:themeColor="accent3" w:themeTint="FE" w:sz="12" w:space="0"/>
        </w:tcBorders>
      </w:tcPr>
    </w:tblStylePr>
    <w:tblStylePr w:type="lastRow">
      <w:rPr>
        <w:b/>
        <w:color w:val="9BBB59" w:themeColor="accent3" w:themeShade="95" w:themeTint="FE"/>
      </w:rPr>
    </w:tblStylePr>
    <w:tblStylePr w:type="firstCol">
      <w:rPr>
        <w:b/>
        <w:color w:val="9BBB59" w:themeColor="accent3" w:themeShade="95" w:themeTint="FE"/>
      </w:rPr>
    </w:tblStylePr>
    <w:tblStylePr w:type="lastCol">
      <w:rPr>
        <w:b/>
        <w:color w:val="9BBB59" w:themeColor="accent3" w:themeShade="95" w:themeTint="FE"/>
      </w:rPr>
    </w:tblStylePr>
    <w:tblStylePr w:type="band1Vert">
      <w:tcPr>
        <w:shd w:val="clear" w:color="EAF1DD" w:themeColor="accent3" w:themeTint="34" w:fill="EAF1DD" w:themeFill="accent3" w:themeFillTint="34"/>
      </w:tcPr>
    </w:tblStylePr>
    <w:tblStylePr w:type="band2Vert"/>
    <w:tblStylePr w:type="band1Horz">
      <w:rPr>
        <w:rFonts w:ascii="Arial" w:hAnsi="Arial"/>
        <w:color w:val="9BBB59" w:themeColor="accent3" w:themeShade="95" w:themeTint="FE"/>
        <w:sz w:val="22"/>
      </w:rPr>
      <w:tcPr>
        <w:shd w:val="clear" w:color="EAF1DD" w:themeColor="accent3" w:themeTint="34" w:fill="EAF1DD" w:themeFill="accent3" w:themeFillTint="34"/>
      </w:tcPr>
    </w:tblStylePr>
    <w:tblStylePr w:type="band2Horz">
      <w:rPr>
        <w:rFonts w:ascii="Arial" w:hAnsi="Arial"/>
        <w:color w:val="9BBB59" w:themeColor="accent3" w:themeShade="95" w:themeTint="FE"/>
        <w:sz w:val="22"/>
      </w:rPr>
    </w:tblStylePr>
    <w:tblStylePr w:type="neCell"/>
    <w:tblStylePr w:type="nwCell"/>
    <w:tblStylePr w:type="seCell"/>
    <w:tblStylePr w:type="swCell"/>
  </w:style>
  <w:style w:type="table" w:customStyle="1" w:styleId="98">
    <w:name w:val="Grid Table 6 Colorful - Accent 4"/>
    <w:qFormat/>
    <w:uiPriority w:val="99"/>
    <w:pPr>
      <w:spacing w:after="0" w:line="240" w:lineRule="auto"/>
    </w:pPr>
    <w:tblPr>
      <w:tblBorders>
        <w:top w:val="single" w:color="B2A1C6" w:themeColor="accent4" w:themeTint="9A" w:sz="4" w:space="0"/>
        <w:left w:val="single" w:color="B2A1C6" w:themeColor="accent4" w:themeTint="9A" w:sz="4" w:space="0"/>
        <w:bottom w:val="single" w:color="B2A1C6" w:themeColor="accent4" w:themeTint="9A" w:sz="4" w:space="0"/>
        <w:right w:val="single" w:color="B2A1C6" w:themeColor="accent4" w:themeTint="9A" w:sz="4" w:space="0"/>
        <w:insideH w:val="single" w:color="B2A1C6" w:themeColor="accent4" w:themeTint="9A" w:sz="4" w:space="0"/>
        <w:insideV w:val="single" w:color="B2A1C6" w:themeColor="accent4" w:themeTint="9A" w:sz="4" w:space="0"/>
      </w:tblBorders>
    </w:tblPr>
    <w:tblStylePr w:type="firstRow">
      <w:rPr>
        <w:b/>
        <w:color w:val="B2A1C6" w:themeColor="accent4" w:themeShade="95" w:themeTint="9A"/>
      </w:rPr>
      <w:tcPr>
        <w:tcBorders>
          <w:bottom w:val="single" w:color="B2A1C6" w:themeColor="accent4" w:themeTint="9A" w:sz="12" w:space="0"/>
        </w:tcBorders>
      </w:tcPr>
    </w:tblStylePr>
    <w:tblStylePr w:type="lastRow">
      <w:rPr>
        <w:b/>
        <w:color w:val="B2A1C6" w:themeColor="accent4" w:themeShade="95" w:themeTint="9A"/>
      </w:rPr>
    </w:tblStylePr>
    <w:tblStylePr w:type="firstCol">
      <w:rPr>
        <w:b/>
        <w:color w:val="B2A1C6" w:themeColor="accent4" w:themeShade="95" w:themeTint="9A"/>
      </w:rPr>
    </w:tblStylePr>
    <w:tblStylePr w:type="lastCol">
      <w:rPr>
        <w:b/>
        <w:color w:val="B2A1C6" w:themeColor="accent4" w:themeShade="95" w:themeTint="9A"/>
      </w:rPr>
    </w:tblStylePr>
    <w:tblStylePr w:type="band1Vert">
      <w:tcPr>
        <w:shd w:val="clear" w:color="E5DFEC" w:themeColor="accent4" w:themeTint="34" w:fill="E5DFEC" w:themeFill="accent4" w:themeFillTint="34"/>
      </w:tcPr>
    </w:tblStylePr>
    <w:tblStylePr w:type="band2Vert"/>
    <w:tblStylePr w:type="band1Horz">
      <w:rPr>
        <w:rFonts w:ascii="Arial" w:hAnsi="Arial"/>
        <w:color w:val="B2A1C6" w:themeColor="accent4" w:themeShade="95" w:themeTint="9A"/>
        <w:sz w:val="22"/>
      </w:rPr>
      <w:tcPr>
        <w:shd w:val="clear" w:color="E5DFEC" w:themeColor="accent4" w:themeTint="34" w:fill="E5DFEC" w:themeFill="accent4" w:themeFillTint="34"/>
      </w:tcPr>
    </w:tblStylePr>
    <w:tblStylePr w:type="band2Horz">
      <w:rPr>
        <w:rFonts w:ascii="Arial" w:hAnsi="Arial"/>
        <w:color w:val="B2A1C6" w:themeColor="accent4" w:themeShade="95" w:themeTint="9A"/>
        <w:sz w:val="22"/>
      </w:rPr>
    </w:tblStylePr>
    <w:tblStylePr w:type="neCell"/>
    <w:tblStylePr w:type="nwCell"/>
    <w:tblStylePr w:type="seCell"/>
    <w:tblStylePr w:type="swCell"/>
  </w:style>
  <w:style w:type="table" w:customStyle="1" w:styleId="99">
    <w:name w:val="Grid Table 6 Colorful - Accent 5"/>
    <w:qFormat/>
    <w:uiPriority w:val="99"/>
    <w:pPr>
      <w:spacing w:after="0" w:line="240" w:lineRule="auto"/>
    </w:pPr>
    <w:tblPr>
      <w:tblBorders>
        <w:top w:val="single" w:color="4BACC6" w:themeColor="accent5" w:sz="4" w:space="0"/>
        <w:left w:val="single" w:color="4BACC6" w:themeColor="accent5" w:sz="4" w:space="0"/>
        <w:bottom w:val="single" w:color="4BACC6" w:themeColor="accent5" w:sz="4" w:space="0"/>
        <w:right w:val="single" w:color="4BACC6" w:themeColor="accent5" w:sz="4" w:space="0"/>
        <w:insideH w:val="single" w:color="4BACC6" w:themeColor="accent5" w:sz="4" w:space="0"/>
        <w:insideV w:val="single" w:color="4BACC6" w:themeColor="accent5" w:sz="4" w:space="0"/>
      </w:tblBorders>
    </w:tblPr>
    <w:tblStylePr w:type="firstRow">
      <w:rPr>
        <w:b/>
        <w:color w:val="266779" w:themeColor="accent5" w:themeShade="95"/>
      </w:rPr>
      <w:tcPr>
        <w:tcBorders>
          <w:bottom w:val="single" w:color="4BACC6" w:themeColor="accent5" w:sz="12" w:space="0"/>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cPr>
        <w:shd w:val="clear" w:color="DAEEF3" w:themeColor="accent5" w:themeTint="34" w:fill="DAEEF3" w:themeFill="accent5" w:themeFillTint="34"/>
      </w:tcPr>
    </w:tblStylePr>
    <w:tblStylePr w:type="band2Vert"/>
    <w:tblStylePr w:type="band1Horz">
      <w:rPr>
        <w:rFonts w:ascii="Arial" w:hAnsi="Arial"/>
        <w:color w:val="266779" w:themeColor="accent5" w:themeShade="95"/>
        <w:sz w:val="22"/>
      </w:rPr>
      <w:tcPr>
        <w:shd w:val="clear" w:color="DAEEF3" w:themeColor="accent5" w:themeTint="34" w:fill="DAEEF3" w:themeFill="accent5" w:themeFillTint="34"/>
      </w:tcPr>
    </w:tblStylePr>
    <w:tblStylePr w:type="band2Horz">
      <w:rPr>
        <w:rFonts w:ascii="Arial" w:hAnsi="Arial"/>
        <w:color w:val="266779" w:themeColor="accent5" w:themeShade="95"/>
        <w:sz w:val="22"/>
      </w:rPr>
    </w:tblStylePr>
    <w:tblStylePr w:type="neCell"/>
    <w:tblStylePr w:type="nwCell"/>
    <w:tblStylePr w:type="seCell"/>
    <w:tblStylePr w:type="swCell"/>
  </w:style>
  <w:style w:type="table" w:customStyle="1" w:styleId="100">
    <w:name w:val="Grid Table 6 Colorful - Accent 6"/>
    <w:uiPriority w:val="99"/>
    <w:pPr>
      <w:spacing w:after="0" w:line="240" w:lineRule="auto"/>
    </w:pPr>
    <w:tblPr>
      <w:tblBorders>
        <w:top w:val="single" w:color="F79646" w:themeColor="accent6" w:sz="4" w:space="0"/>
        <w:left w:val="single" w:color="F79646" w:themeColor="accent6" w:sz="4" w:space="0"/>
        <w:bottom w:val="single" w:color="F79646" w:themeColor="accent6" w:sz="4" w:space="0"/>
        <w:right w:val="single" w:color="F79646" w:themeColor="accent6" w:sz="4" w:space="0"/>
        <w:insideH w:val="single" w:color="F79646" w:themeColor="accent6" w:sz="4" w:space="0"/>
        <w:insideV w:val="single" w:color="F79646" w:themeColor="accent6" w:sz="4" w:space="0"/>
      </w:tblBorders>
    </w:tblPr>
    <w:tblStylePr w:type="firstRow">
      <w:rPr>
        <w:b/>
        <w:color w:val="266779" w:themeColor="accent5" w:themeShade="95"/>
      </w:rPr>
      <w:tcPr>
        <w:tcBorders>
          <w:bottom w:val="single" w:color="F79646" w:themeColor="accent6" w:sz="12" w:space="0"/>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cPr>
        <w:shd w:val="clear" w:color="FDE9D9" w:themeColor="accent6" w:themeTint="34" w:fill="FDE9D9" w:themeFill="accent6" w:themeFillTint="34"/>
      </w:tcPr>
    </w:tblStylePr>
    <w:tblStylePr w:type="band2Vert"/>
    <w:tblStylePr w:type="band1Horz">
      <w:rPr>
        <w:rFonts w:ascii="Arial" w:hAnsi="Arial"/>
        <w:color w:val="266779" w:themeColor="accent5" w:themeShade="95"/>
        <w:sz w:val="22"/>
      </w:rPr>
      <w:tcPr>
        <w:shd w:val="clear" w:color="FDE9D9" w:themeColor="accent6" w:themeTint="34" w:fill="FDE9D9" w:themeFill="accent6" w:themeFillTint="34"/>
      </w:tcPr>
    </w:tblStylePr>
    <w:tblStylePr w:type="band2Horz">
      <w:rPr>
        <w:rFonts w:ascii="Arial" w:hAnsi="Arial"/>
        <w:color w:val="266779" w:themeColor="accent5" w:themeShade="95"/>
        <w:sz w:val="22"/>
      </w:rPr>
    </w:tblStylePr>
    <w:tblStylePr w:type="neCell"/>
    <w:tblStylePr w:type="nwCell"/>
    <w:tblStylePr w:type="seCell"/>
    <w:tblStylePr w:type="swCell"/>
  </w:style>
  <w:style w:type="table" w:customStyle="1" w:styleId="101">
    <w:name w:val="Grid Table 7 Colorful"/>
    <w:qFormat/>
    <w:uiPriority w:val="99"/>
    <w:pPr>
      <w:spacing w:after="0" w:line="240" w:lineRule="auto"/>
    </w:pPr>
    <w:tblPr>
      <w:tblBorders>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Pr>
    <w:tblStylePr w:type="firstRow">
      <w:rPr>
        <w:rFonts w:ascii="Arial" w:hAnsi="Arial"/>
        <w:b/>
        <w:color w:val="7E7E7E" w:themeColor="text1" w:themeShade="95" w:themeTint="80"/>
        <w:sz w:val="22"/>
      </w:rPr>
      <w:tcPr>
        <w:tcBorders>
          <w:top w:val="nil"/>
          <w:left w:val="nil"/>
          <w:bottom w:val="single" w:color="7E7E7E" w:themeColor="text1" w:themeTint="80" w:sz="4" w:space="0"/>
          <w:right w:val="nil"/>
        </w:tcBorders>
        <w:shd w:val="clear" w:color="FFFFFF" w:themeColor="light1" w:fill="FFFFFF" w:themeFill="light1"/>
      </w:tcPr>
    </w:tblStylePr>
    <w:tblStylePr w:type="lastRow">
      <w:rPr>
        <w:rFonts w:ascii="Arial" w:hAnsi="Arial"/>
        <w:b/>
        <w:color w:val="7E7E7E" w:themeColor="text1" w:themeShade="95" w:themeTint="80"/>
        <w:sz w:val="22"/>
      </w:rPr>
      <w:tcPr>
        <w:tcBorders>
          <w:top w:val="single" w:color="7E7E7E" w:themeColor="text1" w:themeTint="80" w:sz="4" w:space="0"/>
          <w:left w:val="nil"/>
          <w:bottom w:val="nil"/>
          <w:right w:val="nil"/>
        </w:tcBorders>
        <w:shd w:val="clear" w:color="FFFFFF" w:themeColor="light1" w:fill="FFFFFF" w:themeFill="light1"/>
      </w:tcPr>
    </w:tblStylePr>
    <w:tblStylePr w:type="firstCol">
      <w:pPr>
        <w:jc w:val="right"/>
      </w:pPr>
      <w:rPr>
        <w:rFonts w:ascii="Arial" w:hAnsi="Arial"/>
        <w:i/>
        <w:color w:val="7E7E7E" w:themeColor="text1" w:themeShade="95" w:themeTint="80"/>
        <w:sz w:val="22"/>
      </w:rPr>
      <w:tcPr>
        <w:tcBorders>
          <w:top w:val="nil"/>
          <w:left w:val="nil"/>
          <w:bottom w:val="nil"/>
          <w:right w:val="single" w:color="7E7E7E" w:themeColor="text1" w:themeTint="80" w:sz="4" w:space="0"/>
        </w:tcBorders>
        <w:shd w:val="clear" w:color="FFFFFF" w:fill="auto"/>
      </w:tcPr>
    </w:tblStylePr>
    <w:tblStylePr w:type="lastCol">
      <w:rPr>
        <w:rFonts w:ascii="Arial" w:hAnsi="Arial"/>
        <w:i/>
        <w:color w:val="7E7E7E" w:themeColor="text1" w:themeShade="95" w:themeTint="80"/>
        <w:sz w:val="22"/>
      </w:rPr>
      <w:tcPr>
        <w:tcBorders>
          <w:top w:val="nil"/>
          <w:left w:val="single" w:color="7E7E7E" w:themeColor="text1" w:themeTint="80" w:sz="4" w:space="0"/>
          <w:bottom w:val="nil"/>
          <w:right w:val="nil"/>
        </w:tcBorders>
        <w:shd w:val="clear" w:color="FFFFFF" w:fill="auto"/>
      </w:tcPr>
    </w:tblStylePr>
    <w:tblStylePr w:type="band1Vert">
      <w:tcPr>
        <w:shd w:val="clear" w:color="F1F1F1" w:themeColor="text1" w:themeTint="0D" w:fill="F1F1F1" w:themeFill="text1" w:themeFillTint="0D"/>
      </w:tcPr>
    </w:tblStylePr>
    <w:tblStylePr w:type="band2Vert"/>
    <w:tblStylePr w:type="band1Horz">
      <w:rPr>
        <w:rFonts w:ascii="Arial" w:hAnsi="Arial"/>
        <w:color w:val="7E7E7E" w:themeColor="text1" w:themeShade="95" w:themeTint="80"/>
        <w:sz w:val="22"/>
      </w:rPr>
      <w:tcPr>
        <w:shd w:val="clear" w:color="F1F1F1" w:themeColor="text1" w:themeTint="0D" w:fill="F1F1F1" w:themeFill="text1" w:themeFillTint="0D"/>
      </w:tcPr>
    </w:tblStylePr>
    <w:tblStylePr w:type="band2Horz">
      <w:rPr>
        <w:rFonts w:ascii="Arial" w:hAnsi="Arial"/>
        <w:color w:val="7E7E7E" w:themeColor="text1" w:themeShade="95" w:themeTint="80"/>
        <w:sz w:val="22"/>
      </w:rPr>
    </w:tblStylePr>
    <w:tblStylePr w:type="neCell"/>
    <w:tblStylePr w:type="nwCell"/>
    <w:tblStylePr w:type="seCell"/>
    <w:tblStylePr w:type="swCell"/>
  </w:style>
  <w:style w:type="table" w:customStyle="1" w:styleId="102">
    <w:name w:val="Grid Table 7 Colorful - Accent 1"/>
    <w:qFormat/>
    <w:uiPriority w:val="99"/>
    <w:pPr>
      <w:spacing w:after="0" w:line="240" w:lineRule="auto"/>
    </w:pPr>
    <w:tblPr>
      <w:tblBorders>
        <w:bottom w:val="single" w:color="A6BFDD" w:themeColor="accent1" w:themeTint="80" w:sz="4" w:space="0"/>
        <w:right w:val="single" w:color="A6BFDD" w:themeColor="accent1" w:themeTint="80" w:sz="4" w:space="0"/>
        <w:insideH w:val="single" w:color="A6BFDD" w:themeColor="accent1" w:themeTint="80" w:sz="4" w:space="0"/>
        <w:insideV w:val="single" w:color="A6BFDD" w:themeColor="accent1" w:themeTint="80" w:sz="4" w:space="0"/>
      </w:tblBorders>
    </w:tblPr>
    <w:tblStylePr w:type="firstRow">
      <w:rPr>
        <w:rFonts w:ascii="Arial" w:hAnsi="Arial"/>
        <w:b/>
        <w:color w:val="A6BFDD" w:themeColor="accent1" w:themeShade="95" w:themeTint="80"/>
        <w:sz w:val="22"/>
      </w:rPr>
      <w:tcPr>
        <w:tcBorders>
          <w:top w:val="nil"/>
          <w:left w:val="nil"/>
          <w:bottom w:val="single" w:color="A6BFDD" w:themeColor="accent1" w:themeTint="80" w:sz="4" w:space="0"/>
          <w:right w:val="nil"/>
        </w:tcBorders>
        <w:shd w:val="clear" w:color="FFFFFF" w:themeColor="light1" w:fill="FFFFFF" w:themeFill="light1"/>
      </w:tcPr>
    </w:tblStylePr>
    <w:tblStylePr w:type="lastRow">
      <w:rPr>
        <w:rFonts w:ascii="Arial" w:hAnsi="Arial"/>
        <w:b/>
        <w:color w:val="A6BFDD" w:themeColor="accent1" w:themeShade="95" w:themeTint="80"/>
        <w:sz w:val="22"/>
      </w:rPr>
      <w:tcPr>
        <w:tcBorders>
          <w:top w:val="single" w:color="A6BFDD" w:themeColor="accent1" w:themeTint="80" w:sz="4" w:space="0"/>
          <w:left w:val="nil"/>
          <w:bottom w:val="nil"/>
          <w:right w:val="nil"/>
        </w:tcBorders>
        <w:shd w:val="clear" w:color="FFFFFF" w:themeColor="light1" w:fill="FFFFFF" w:themeFill="light1"/>
      </w:tcPr>
    </w:tblStylePr>
    <w:tblStylePr w:type="firstCol">
      <w:pPr>
        <w:jc w:val="right"/>
      </w:pPr>
      <w:rPr>
        <w:rFonts w:ascii="Arial" w:hAnsi="Arial"/>
        <w:i/>
        <w:color w:val="A6BFDD" w:themeColor="accent1" w:themeShade="95" w:themeTint="80"/>
        <w:sz w:val="22"/>
      </w:rPr>
      <w:tcPr>
        <w:tcBorders>
          <w:top w:val="nil"/>
          <w:left w:val="nil"/>
          <w:bottom w:val="nil"/>
          <w:right w:val="single" w:color="A6BFDD" w:themeColor="accent1" w:themeTint="80" w:sz="4" w:space="0"/>
        </w:tcBorders>
        <w:shd w:val="clear" w:color="FFFFFF" w:fill="auto"/>
      </w:tcPr>
    </w:tblStylePr>
    <w:tblStylePr w:type="lastCol">
      <w:rPr>
        <w:rFonts w:ascii="Arial" w:hAnsi="Arial"/>
        <w:i/>
        <w:color w:val="A6BFDD" w:themeColor="accent1" w:themeShade="95" w:themeTint="80"/>
        <w:sz w:val="22"/>
      </w:rPr>
      <w:tcPr>
        <w:tcBorders>
          <w:top w:val="nil"/>
          <w:left w:val="single" w:color="A6BFDD" w:themeColor="accent1" w:themeTint="80" w:sz="4" w:space="0"/>
          <w:bottom w:val="nil"/>
          <w:right w:val="nil"/>
        </w:tcBorders>
        <w:shd w:val="clear" w:color="FFFFFF" w:fill="auto"/>
      </w:tcPr>
    </w:tblStylePr>
    <w:tblStylePr w:type="band1Vert">
      <w:tcPr>
        <w:shd w:val="clear" w:color="DBE5F1" w:themeColor="accent1" w:themeTint="34" w:fill="DBE5F1" w:themeFill="accent1" w:themeFillTint="34"/>
      </w:tcPr>
    </w:tblStylePr>
    <w:tblStylePr w:type="band2Vert"/>
    <w:tblStylePr w:type="band1Horz">
      <w:rPr>
        <w:rFonts w:ascii="Arial" w:hAnsi="Arial"/>
        <w:color w:val="A6BFDD" w:themeColor="accent1" w:themeShade="95" w:themeTint="80"/>
        <w:sz w:val="22"/>
      </w:rPr>
      <w:tcPr>
        <w:shd w:val="clear" w:color="DBE5F1" w:themeColor="accent1" w:themeTint="34" w:fill="DBE5F1" w:themeFill="accent1" w:themeFillTint="34"/>
      </w:tcPr>
    </w:tblStylePr>
    <w:tblStylePr w:type="band2Horz">
      <w:rPr>
        <w:rFonts w:ascii="Arial" w:hAnsi="Arial"/>
        <w:color w:val="A6BFDD" w:themeColor="accent1" w:themeShade="95" w:themeTint="80"/>
        <w:sz w:val="22"/>
      </w:rPr>
    </w:tblStylePr>
    <w:tblStylePr w:type="neCell"/>
    <w:tblStylePr w:type="nwCell"/>
    <w:tblStylePr w:type="seCell"/>
    <w:tblStylePr w:type="swCell"/>
  </w:style>
  <w:style w:type="table" w:customStyle="1" w:styleId="103">
    <w:name w:val="Grid Table 7 Colorful - Accent 2"/>
    <w:uiPriority w:val="99"/>
    <w:pPr>
      <w:spacing w:after="0" w:line="240" w:lineRule="auto"/>
    </w:pPr>
    <w:tblPr>
      <w:tblBorders>
        <w:bottom w:val="single" w:color="D99795" w:themeColor="accent2" w:themeTint="97" w:sz="4" w:space="0"/>
        <w:right w:val="single" w:color="D99795" w:themeColor="accent2" w:themeTint="97" w:sz="4" w:space="0"/>
        <w:insideH w:val="single" w:color="D99795" w:themeColor="accent2" w:themeTint="97" w:sz="4" w:space="0"/>
        <w:insideV w:val="single" w:color="D99795" w:themeColor="accent2" w:themeTint="97" w:sz="4" w:space="0"/>
      </w:tblBorders>
    </w:tblPr>
    <w:tblStylePr w:type="firstRow">
      <w:rPr>
        <w:rFonts w:ascii="Arial" w:hAnsi="Arial"/>
        <w:b/>
        <w:color w:val="D99795" w:themeColor="accent2" w:themeShade="95" w:themeTint="97"/>
        <w:sz w:val="22"/>
      </w:rPr>
      <w:tcPr>
        <w:tcBorders>
          <w:top w:val="nil"/>
          <w:left w:val="nil"/>
          <w:bottom w:val="single" w:color="D99795" w:themeColor="accent2" w:themeTint="97" w:sz="4" w:space="0"/>
          <w:right w:val="nil"/>
        </w:tcBorders>
        <w:shd w:val="clear" w:color="FFFFFF" w:themeColor="light1" w:fill="FFFFFF" w:themeFill="light1"/>
      </w:tcPr>
    </w:tblStylePr>
    <w:tblStylePr w:type="lastRow">
      <w:rPr>
        <w:rFonts w:ascii="Arial" w:hAnsi="Arial"/>
        <w:b/>
        <w:color w:val="D99795" w:themeColor="accent2" w:themeShade="95" w:themeTint="97"/>
        <w:sz w:val="22"/>
      </w:rPr>
      <w:tcPr>
        <w:tcBorders>
          <w:top w:val="single" w:color="D99795" w:themeColor="accent2" w:themeTint="97" w:sz="4" w:space="0"/>
          <w:left w:val="nil"/>
          <w:bottom w:val="nil"/>
          <w:right w:val="nil"/>
        </w:tcBorders>
        <w:shd w:val="clear" w:color="FFFFFF" w:themeColor="light1" w:fill="FFFFFF" w:themeFill="light1"/>
      </w:tcPr>
    </w:tblStylePr>
    <w:tblStylePr w:type="firstCol">
      <w:pPr>
        <w:jc w:val="right"/>
      </w:pPr>
      <w:rPr>
        <w:rFonts w:ascii="Arial" w:hAnsi="Arial"/>
        <w:i/>
        <w:color w:val="D99795" w:themeColor="accent2" w:themeShade="95" w:themeTint="97"/>
        <w:sz w:val="22"/>
      </w:rPr>
      <w:tcPr>
        <w:tcBorders>
          <w:top w:val="nil"/>
          <w:left w:val="nil"/>
          <w:bottom w:val="nil"/>
          <w:right w:val="single" w:color="D99795" w:themeColor="accent2" w:themeTint="97" w:sz="4" w:space="0"/>
        </w:tcBorders>
        <w:shd w:val="clear" w:color="FFFFFF" w:fill="auto"/>
      </w:tcPr>
    </w:tblStylePr>
    <w:tblStylePr w:type="lastCol">
      <w:rPr>
        <w:rFonts w:ascii="Arial" w:hAnsi="Arial"/>
        <w:i/>
        <w:color w:val="D99795" w:themeColor="accent2" w:themeShade="95" w:themeTint="97"/>
        <w:sz w:val="22"/>
      </w:rPr>
      <w:tcPr>
        <w:tcBorders>
          <w:top w:val="nil"/>
          <w:left w:val="single" w:color="D99795" w:themeColor="accent2" w:themeTint="97" w:sz="4" w:space="0"/>
          <w:bottom w:val="nil"/>
          <w:right w:val="nil"/>
        </w:tcBorders>
        <w:shd w:val="clear" w:color="FFFFFF" w:fill="auto"/>
      </w:tcPr>
    </w:tblStylePr>
    <w:tblStylePr w:type="band1Vert">
      <w:tcPr>
        <w:shd w:val="clear" w:color="F2DCDC" w:themeColor="accent2" w:themeTint="32" w:fill="F2DCDC" w:themeFill="accent2" w:themeFillTint="32"/>
      </w:tcPr>
    </w:tblStylePr>
    <w:tblStylePr w:type="band2Vert"/>
    <w:tblStylePr w:type="band1Horz">
      <w:rPr>
        <w:rFonts w:ascii="Arial" w:hAnsi="Arial"/>
        <w:color w:val="D99795" w:themeColor="accent2" w:themeShade="95" w:themeTint="97"/>
        <w:sz w:val="22"/>
      </w:rPr>
      <w:tcPr>
        <w:shd w:val="clear" w:color="F2DCDC" w:themeColor="accent2" w:themeTint="32" w:fill="F2DCDC" w:themeFill="accent2" w:themeFillTint="32"/>
      </w:tcPr>
    </w:tblStylePr>
    <w:tblStylePr w:type="band2Horz">
      <w:rPr>
        <w:rFonts w:ascii="Arial" w:hAnsi="Arial"/>
        <w:color w:val="D99795" w:themeColor="accent2" w:themeShade="95" w:themeTint="97"/>
        <w:sz w:val="22"/>
      </w:rPr>
    </w:tblStylePr>
    <w:tblStylePr w:type="neCell"/>
    <w:tblStylePr w:type="nwCell"/>
    <w:tblStylePr w:type="seCell"/>
    <w:tblStylePr w:type="swCell"/>
  </w:style>
  <w:style w:type="table" w:customStyle="1" w:styleId="104">
    <w:name w:val="Grid Table 7 Colorful - Accent 3"/>
    <w:uiPriority w:val="99"/>
    <w:pPr>
      <w:spacing w:after="0" w:line="240" w:lineRule="auto"/>
    </w:pPr>
    <w:tblPr>
      <w:tblBorders>
        <w:bottom w:val="single" w:color="9BBB59" w:themeColor="accent3" w:themeTint="FE" w:sz="4" w:space="0"/>
        <w:right w:val="single" w:color="9BBB59" w:themeColor="accent3" w:themeTint="FE" w:sz="4" w:space="0"/>
        <w:insideH w:val="single" w:color="9BBB59" w:themeColor="accent3" w:themeTint="FE" w:sz="4" w:space="0"/>
        <w:insideV w:val="single" w:color="9BBB59" w:themeColor="accent3" w:themeTint="FE" w:sz="4" w:space="0"/>
      </w:tblBorders>
    </w:tblPr>
    <w:tblStylePr w:type="firstRow">
      <w:rPr>
        <w:rFonts w:ascii="Arial" w:hAnsi="Arial"/>
        <w:b/>
        <w:color w:val="9BBB59" w:themeColor="accent3" w:themeShade="95" w:themeTint="FE"/>
        <w:sz w:val="22"/>
      </w:rPr>
      <w:tcPr>
        <w:tcBorders>
          <w:top w:val="nil"/>
          <w:left w:val="nil"/>
          <w:bottom w:val="single" w:color="9BBB59" w:themeColor="accent3" w:themeTint="FE" w:sz="4" w:space="0"/>
          <w:right w:val="nil"/>
        </w:tcBorders>
        <w:shd w:val="clear" w:color="FFFFFF" w:themeColor="light1" w:fill="FFFFFF" w:themeFill="light1"/>
      </w:tcPr>
    </w:tblStylePr>
    <w:tblStylePr w:type="lastRow">
      <w:rPr>
        <w:rFonts w:ascii="Arial" w:hAnsi="Arial"/>
        <w:b/>
        <w:color w:val="9BBB59" w:themeColor="accent3" w:themeShade="95" w:themeTint="FE"/>
        <w:sz w:val="22"/>
      </w:rPr>
      <w:tcPr>
        <w:tcBorders>
          <w:top w:val="single" w:color="9BBB59" w:themeColor="accent3" w:themeTint="FE" w:sz="4" w:space="0"/>
          <w:left w:val="nil"/>
          <w:bottom w:val="nil"/>
          <w:right w:val="nil"/>
        </w:tcBorders>
        <w:shd w:val="clear" w:color="FFFFFF" w:themeColor="light1" w:fill="FFFFFF" w:themeFill="light1"/>
      </w:tcPr>
    </w:tblStylePr>
    <w:tblStylePr w:type="firstCol">
      <w:pPr>
        <w:jc w:val="right"/>
      </w:pPr>
      <w:rPr>
        <w:rFonts w:ascii="Arial" w:hAnsi="Arial"/>
        <w:i/>
        <w:color w:val="9BBB59" w:themeColor="accent3" w:themeShade="95" w:themeTint="FE"/>
        <w:sz w:val="22"/>
      </w:rPr>
      <w:tcPr>
        <w:tcBorders>
          <w:top w:val="nil"/>
          <w:left w:val="nil"/>
          <w:bottom w:val="nil"/>
          <w:right w:val="single" w:color="9BBB59" w:themeColor="accent3" w:themeTint="FE" w:sz="4" w:space="0"/>
        </w:tcBorders>
        <w:shd w:val="clear" w:color="FFFFFF" w:fill="auto"/>
      </w:tcPr>
    </w:tblStylePr>
    <w:tblStylePr w:type="lastCol">
      <w:rPr>
        <w:rFonts w:ascii="Arial" w:hAnsi="Arial"/>
        <w:i/>
        <w:color w:val="9BBB59" w:themeColor="accent3" w:themeShade="95" w:themeTint="FE"/>
        <w:sz w:val="22"/>
      </w:rPr>
      <w:tcPr>
        <w:tcBorders>
          <w:top w:val="nil"/>
          <w:left w:val="single" w:color="9BBB59" w:themeColor="accent3" w:themeTint="FE" w:sz="4" w:space="0"/>
          <w:bottom w:val="nil"/>
          <w:right w:val="nil"/>
        </w:tcBorders>
        <w:shd w:val="clear" w:color="FFFFFF" w:fill="auto"/>
      </w:tcPr>
    </w:tblStylePr>
    <w:tblStylePr w:type="band1Vert">
      <w:tcPr>
        <w:shd w:val="clear" w:color="EAF1DD" w:themeColor="accent3" w:themeTint="34" w:fill="EAF1DD" w:themeFill="accent3" w:themeFillTint="34"/>
      </w:tcPr>
    </w:tblStylePr>
    <w:tblStylePr w:type="band2Vert"/>
    <w:tblStylePr w:type="band1Horz">
      <w:rPr>
        <w:rFonts w:ascii="Arial" w:hAnsi="Arial"/>
        <w:color w:val="9BBB59" w:themeColor="accent3" w:themeShade="95" w:themeTint="FE"/>
        <w:sz w:val="22"/>
      </w:rPr>
      <w:tcPr>
        <w:shd w:val="clear" w:color="EAF1DD" w:themeColor="accent3" w:themeTint="34" w:fill="EAF1DD" w:themeFill="accent3" w:themeFillTint="34"/>
      </w:tcPr>
    </w:tblStylePr>
    <w:tblStylePr w:type="band2Horz">
      <w:rPr>
        <w:rFonts w:ascii="Arial" w:hAnsi="Arial"/>
        <w:color w:val="9BBB59" w:themeColor="accent3" w:themeShade="95" w:themeTint="FE"/>
        <w:sz w:val="22"/>
      </w:rPr>
    </w:tblStylePr>
    <w:tblStylePr w:type="neCell"/>
    <w:tblStylePr w:type="nwCell"/>
    <w:tblStylePr w:type="seCell"/>
    <w:tblStylePr w:type="swCell"/>
  </w:style>
  <w:style w:type="table" w:customStyle="1" w:styleId="105">
    <w:name w:val="Grid Table 7 Colorful - Accent 4"/>
    <w:qFormat/>
    <w:uiPriority w:val="99"/>
    <w:pPr>
      <w:spacing w:after="0" w:line="240" w:lineRule="auto"/>
    </w:pPr>
    <w:tblPr>
      <w:tblBorders>
        <w:bottom w:val="single" w:color="B2A1C6" w:themeColor="accent4" w:themeTint="9A" w:sz="4" w:space="0"/>
        <w:right w:val="single" w:color="B2A1C6" w:themeColor="accent4" w:themeTint="9A" w:sz="4" w:space="0"/>
        <w:insideH w:val="single" w:color="B2A1C6" w:themeColor="accent4" w:themeTint="9A" w:sz="4" w:space="0"/>
        <w:insideV w:val="single" w:color="B2A1C6" w:themeColor="accent4" w:themeTint="9A" w:sz="4" w:space="0"/>
      </w:tblBorders>
    </w:tblPr>
    <w:tblStylePr w:type="firstRow">
      <w:rPr>
        <w:rFonts w:ascii="Arial" w:hAnsi="Arial"/>
        <w:b/>
        <w:color w:val="B2A1C6" w:themeColor="accent4" w:themeShade="95" w:themeTint="9A"/>
        <w:sz w:val="22"/>
      </w:rPr>
      <w:tcPr>
        <w:tcBorders>
          <w:top w:val="nil"/>
          <w:left w:val="nil"/>
          <w:bottom w:val="single" w:color="B2A1C6" w:themeColor="accent4" w:themeTint="9A" w:sz="4" w:space="0"/>
          <w:right w:val="nil"/>
        </w:tcBorders>
        <w:shd w:val="clear" w:color="FFFFFF" w:themeColor="light1" w:fill="FFFFFF" w:themeFill="light1"/>
      </w:tcPr>
    </w:tblStylePr>
    <w:tblStylePr w:type="lastRow">
      <w:rPr>
        <w:rFonts w:ascii="Arial" w:hAnsi="Arial"/>
        <w:b/>
        <w:color w:val="B2A1C6" w:themeColor="accent4" w:themeShade="95" w:themeTint="9A"/>
        <w:sz w:val="22"/>
      </w:rPr>
      <w:tcPr>
        <w:tcBorders>
          <w:top w:val="single" w:color="B2A1C6" w:themeColor="accent4" w:themeTint="9A" w:sz="4" w:space="0"/>
          <w:left w:val="nil"/>
          <w:bottom w:val="nil"/>
          <w:right w:val="nil"/>
        </w:tcBorders>
        <w:shd w:val="clear" w:color="FFFFFF" w:themeColor="light1" w:fill="FFFFFF" w:themeFill="light1"/>
      </w:tcPr>
    </w:tblStylePr>
    <w:tblStylePr w:type="firstCol">
      <w:pPr>
        <w:jc w:val="right"/>
      </w:pPr>
      <w:rPr>
        <w:rFonts w:ascii="Arial" w:hAnsi="Arial"/>
        <w:i/>
        <w:color w:val="B2A1C6" w:themeColor="accent4" w:themeShade="95" w:themeTint="9A"/>
        <w:sz w:val="22"/>
      </w:rPr>
      <w:tcPr>
        <w:tcBorders>
          <w:top w:val="nil"/>
          <w:left w:val="nil"/>
          <w:bottom w:val="nil"/>
          <w:right w:val="single" w:color="B2A1C6" w:themeColor="accent4" w:themeTint="9A" w:sz="4" w:space="0"/>
        </w:tcBorders>
        <w:shd w:val="clear" w:color="FFFFFF" w:fill="auto"/>
      </w:tcPr>
    </w:tblStylePr>
    <w:tblStylePr w:type="lastCol">
      <w:rPr>
        <w:rFonts w:ascii="Arial" w:hAnsi="Arial"/>
        <w:i/>
        <w:color w:val="B2A1C6" w:themeColor="accent4" w:themeShade="95" w:themeTint="9A"/>
        <w:sz w:val="22"/>
      </w:rPr>
      <w:tcPr>
        <w:tcBorders>
          <w:top w:val="nil"/>
          <w:left w:val="single" w:color="B2A1C6" w:themeColor="accent4" w:themeTint="9A" w:sz="4" w:space="0"/>
          <w:bottom w:val="nil"/>
          <w:right w:val="nil"/>
        </w:tcBorders>
        <w:shd w:val="clear" w:color="FFFFFF" w:fill="auto"/>
      </w:tcPr>
    </w:tblStylePr>
    <w:tblStylePr w:type="band1Vert">
      <w:tcPr>
        <w:shd w:val="clear" w:color="E5DFEC" w:themeColor="accent4" w:themeTint="34" w:fill="E5DFEC" w:themeFill="accent4" w:themeFillTint="34"/>
      </w:tcPr>
    </w:tblStylePr>
    <w:tblStylePr w:type="band2Vert"/>
    <w:tblStylePr w:type="band1Horz">
      <w:rPr>
        <w:rFonts w:ascii="Arial" w:hAnsi="Arial"/>
        <w:color w:val="B2A1C6" w:themeColor="accent4" w:themeShade="95" w:themeTint="9A"/>
        <w:sz w:val="22"/>
      </w:rPr>
      <w:tcPr>
        <w:shd w:val="clear" w:color="E5DFEC" w:themeColor="accent4" w:themeTint="34" w:fill="E5DFEC" w:themeFill="accent4" w:themeFillTint="34"/>
      </w:tcPr>
    </w:tblStylePr>
    <w:tblStylePr w:type="band2Horz">
      <w:rPr>
        <w:rFonts w:ascii="Arial" w:hAnsi="Arial"/>
        <w:color w:val="B2A1C6" w:themeColor="accent4" w:themeShade="95" w:themeTint="9A"/>
        <w:sz w:val="22"/>
      </w:rPr>
    </w:tblStylePr>
    <w:tblStylePr w:type="neCell"/>
    <w:tblStylePr w:type="nwCell"/>
    <w:tblStylePr w:type="seCell"/>
    <w:tblStylePr w:type="swCell"/>
  </w:style>
  <w:style w:type="table" w:customStyle="1" w:styleId="106">
    <w:name w:val="Grid Table 7 Colorful - Accent 5"/>
    <w:uiPriority w:val="99"/>
    <w:pPr>
      <w:spacing w:after="0" w:line="240" w:lineRule="auto"/>
    </w:pPr>
    <w:tblPr>
      <w:tblBorders>
        <w:bottom w:val="single" w:color="99D0DE" w:themeColor="accent5" w:themeTint="90" w:sz="4" w:space="0"/>
        <w:right w:val="single" w:color="99D0DE" w:themeColor="accent5" w:themeTint="90" w:sz="4" w:space="0"/>
        <w:insideH w:val="single" w:color="99D0DE" w:themeColor="accent5" w:themeTint="90" w:sz="4" w:space="0"/>
        <w:insideV w:val="single" w:color="99D0DE" w:themeColor="accent5" w:themeTint="90" w:sz="4" w:space="0"/>
      </w:tblBorders>
    </w:tblPr>
    <w:tblStylePr w:type="firstRow">
      <w:rPr>
        <w:rFonts w:ascii="Arial" w:hAnsi="Arial"/>
        <w:b/>
        <w:color w:val="266779" w:themeColor="accent5" w:themeShade="95"/>
        <w:sz w:val="22"/>
      </w:rPr>
      <w:tcPr>
        <w:tcBorders>
          <w:top w:val="nil"/>
          <w:left w:val="nil"/>
          <w:bottom w:val="single" w:color="99D0DE" w:themeColor="accent5" w:themeTint="90" w:sz="4" w:space="0"/>
          <w:right w:val="nil"/>
        </w:tcBorders>
        <w:shd w:val="clear" w:color="FFFFFF" w:themeColor="light1" w:fill="FFFFFF" w:themeFill="light1"/>
      </w:tcPr>
    </w:tblStylePr>
    <w:tblStylePr w:type="lastRow">
      <w:rPr>
        <w:rFonts w:ascii="Arial" w:hAnsi="Arial"/>
        <w:b/>
        <w:color w:val="266779" w:themeColor="accent5" w:themeShade="95"/>
        <w:sz w:val="22"/>
      </w:rPr>
      <w:tcPr>
        <w:tcBorders>
          <w:top w:val="single" w:color="99D0DE" w:themeColor="accent5" w:themeTint="90" w:sz="4" w:space="0"/>
          <w:left w:val="nil"/>
          <w:bottom w:val="nil"/>
          <w:right w:val="nil"/>
        </w:tcBorders>
        <w:shd w:val="clear" w:color="FFFFFF" w:themeColor="light1" w:fill="FFFFFF" w:themeFill="light1"/>
      </w:tcPr>
    </w:tblStylePr>
    <w:tblStylePr w:type="firstCol">
      <w:pPr>
        <w:jc w:val="right"/>
      </w:pPr>
      <w:rPr>
        <w:rFonts w:ascii="Arial" w:hAnsi="Arial"/>
        <w:i/>
        <w:color w:val="266779" w:themeColor="accent5" w:themeShade="95"/>
        <w:sz w:val="22"/>
      </w:rPr>
      <w:tcPr>
        <w:tcBorders>
          <w:top w:val="nil"/>
          <w:left w:val="nil"/>
          <w:bottom w:val="nil"/>
          <w:right w:val="single" w:color="99D0DE" w:themeColor="accent5" w:themeTint="90" w:sz="4" w:space="0"/>
        </w:tcBorders>
        <w:shd w:val="clear" w:color="FFFFFF" w:fill="auto"/>
      </w:tcPr>
    </w:tblStylePr>
    <w:tblStylePr w:type="lastCol">
      <w:rPr>
        <w:rFonts w:ascii="Arial" w:hAnsi="Arial"/>
        <w:i/>
        <w:color w:val="266779" w:themeColor="accent5" w:themeShade="95"/>
        <w:sz w:val="22"/>
      </w:rPr>
      <w:tcPr>
        <w:tcBorders>
          <w:top w:val="nil"/>
          <w:left w:val="single" w:color="99D0DE" w:themeColor="accent5" w:themeTint="90" w:sz="4" w:space="0"/>
          <w:bottom w:val="nil"/>
          <w:right w:val="nil"/>
        </w:tcBorders>
        <w:shd w:val="clear" w:color="FFFFFF" w:fill="auto"/>
      </w:tcPr>
    </w:tblStylePr>
    <w:tblStylePr w:type="band1Vert">
      <w:tcPr>
        <w:shd w:val="clear" w:color="DAEEF3" w:themeColor="accent5" w:themeTint="34" w:fill="DAEEF3" w:themeFill="accent5" w:themeFillTint="34"/>
      </w:tcPr>
    </w:tblStylePr>
    <w:tblStylePr w:type="band2Vert"/>
    <w:tblStylePr w:type="band1Horz">
      <w:rPr>
        <w:rFonts w:ascii="Arial" w:hAnsi="Arial"/>
        <w:color w:val="266779" w:themeColor="accent5" w:themeShade="95"/>
        <w:sz w:val="22"/>
      </w:rPr>
      <w:tcPr>
        <w:shd w:val="clear" w:color="DAEEF3" w:themeColor="accent5" w:themeTint="34" w:fill="DAEEF3" w:themeFill="accent5" w:themeFillTint="34"/>
      </w:tcPr>
    </w:tblStylePr>
    <w:tblStylePr w:type="band2Horz">
      <w:rPr>
        <w:rFonts w:ascii="Arial" w:hAnsi="Arial"/>
        <w:color w:val="266779" w:themeColor="accent5" w:themeShade="95"/>
        <w:sz w:val="22"/>
      </w:rPr>
    </w:tblStylePr>
    <w:tblStylePr w:type="neCell"/>
    <w:tblStylePr w:type="nwCell"/>
    <w:tblStylePr w:type="seCell"/>
    <w:tblStylePr w:type="swCell"/>
  </w:style>
  <w:style w:type="table" w:customStyle="1" w:styleId="107">
    <w:name w:val="Grid Table 7 Colorful - Accent 6"/>
    <w:uiPriority w:val="99"/>
    <w:pPr>
      <w:spacing w:after="0" w:line="240" w:lineRule="auto"/>
    </w:pPr>
    <w:tblPr>
      <w:tblBorders>
        <w:bottom w:val="single" w:color="FAC396" w:themeColor="accent6" w:themeTint="90" w:sz="4" w:space="0"/>
        <w:right w:val="single" w:color="FAC396" w:themeColor="accent6" w:themeTint="90" w:sz="4" w:space="0"/>
        <w:insideH w:val="single" w:color="FAC396" w:themeColor="accent6" w:themeTint="90" w:sz="4" w:space="0"/>
        <w:insideV w:val="single" w:color="FAC396" w:themeColor="accent6" w:themeTint="90" w:sz="4" w:space="0"/>
      </w:tblBorders>
    </w:tblPr>
    <w:tblStylePr w:type="firstRow">
      <w:rPr>
        <w:rFonts w:ascii="Arial" w:hAnsi="Arial"/>
        <w:b/>
        <w:color w:val="B15407" w:themeColor="accent6" w:themeShade="95"/>
        <w:sz w:val="22"/>
      </w:rPr>
      <w:tcPr>
        <w:tcBorders>
          <w:top w:val="nil"/>
          <w:left w:val="nil"/>
          <w:bottom w:val="single" w:color="FAC396" w:themeColor="accent6" w:themeTint="90" w:sz="4" w:space="0"/>
          <w:right w:val="nil"/>
        </w:tcBorders>
        <w:shd w:val="clear" w:color="FFFFFF" w:themeColor="light1" w:fill="FFFFFF" w:themeFill="light1"/>
      </w:tcPr>
    </w:tblStylePr>
    <w:tblStylePr w:type="lastRow">
      <w:rPr>
        <w:rFonts w:ascii="Arial" w:hAnsi="Arial"/>
        <w:b/>
        <w:color w:val="B15407" w:themeColor="accent6" w:themeShade="95"/>
        <w:sz w:val="22"/>
      </w:rPr>
      <w:tcPr>
        <w:tcBorders>
          <w:top w:val="single" w:color="FAC396" w:themeColor="accent6" w:themeTint="90" w:sz="4" w:space="0"/>
          <w:left w:val="nil"/>
          <w:bottom w:val="nil"/>
          <w:right w:val="nil"/>
        </w:tcBorders>
        <w:shd w:val="clear" w:color="FFFFFF" w:themeColor="light1" w:fill="FFFFFF" w:themeFill="light1"/>
      </w:tcPr>
    </w:tblStylePr>
    <w:tblStylePr w:type="firstCol">
      <w:pPr>
        <w:jc w:val="right"/>
      </w:pPr>
      <w:rPr>
        <w:rFonts w:ascii="Arial" w:hAnsi="Arial"/>
        <w:i/>
        <w:color w:val="B15407" w:themeColor="accent6" w:themeShade="95"/>
        <w:sz w:val="22"/>
      </w:rPr>
      <w:tcPr>
        <w:tcBorders>
          <w:top w:val="nil"/>
          <w:left w:val="nil"/>
          <w:bottom w:val="nil"/>
          <w:right w:val="single" w:color="FAC396" w:themeColor="accent6" w:themeTint="90" w:sz="4" w:space="0"/>
        </w:tcBorders>
        <w:shd w:val="clear" w:color="FFFFFF" w:fill="auto"/>
      </w:tcPr>
    </w:tblStylePr>
    <w:tblStylePr w:type="lastCol">
      <w:rPr>
        <w:rFonts w:ascii="Arial" w:hAnsi="Arial"/>
        <w:i/>
        <w:color w:val="B15407" w:themeColor="accent6" w:themeShade="95"/>
        <w:sz w:val="22"/>
      </w:rPr>
      <w:tcPr>
        <w:tcBorders>
          <w:top w:val="nil"/>
          <w:left w:val="single" w:color="FAC396" w:themeColor="accent6" w:themeTint="90" w:sz="4" w:space="0"/>
          <w:bottom w:val="nil"/>
          <w:right w:val="nil"/>
        </w:tcBorders>
        <w:shd w:val="clear" w:color="FFFFFF" w:fill="auto"/>
      </w:tcPr>
    </w:tblStylePr>
    <w:tblStylePr w:type="band1Vert">
      <w:tcPr>
        <w:shd w:val="clear" w:color="FDE9D9" w:themeColor="accent6" w:themeTint="34" w:fill="FDE9D9" w:themeFill="accent6" w:themeFillTint="34"/>
      </w:tcPr>
    </w:tblStylePr>
    <w:tblStylePr w:type="band2Vert"/>
    <w:tblStylePr w:type="band1Horz">
      <w:rPr>
        <w:rFonts w:ascii="Arial" w:hAnsi="Arial"/>
        <w:color w:val="B15407" w:themeColor="accent6" w:themeShade="95"/>
        <w:sz w:val="22"/>
      </w:rPr>
      <w:tcPr>
        <w:shd w:val="clear" w:color="FDE9D9" w:themeColor="accent6" w:themeTint="34" w:fill="FDE9D9" w:themeFill="accent6" w:themeFillTint="34"/>
      </w:tcPr>
    </w:tblStylePr>
    <w:tblStylePr w:type="band2Horz">
      <w:rPr>
        <w:rFonts w:ascii="Arial" w:hAnsi="Arial"/>
        <w:color w:val="B15407" w:themeColor="accent6" w:themeShade="95"/>
        <w:sz w:val="22"/>
      </w:rPr>
    </w:tblStylePr>
    <w:tblStylePr w:type="neCell"/>
    <w:tblStylePr w:type="nwCell"/>
    <w:tblStylePr w:type="seCell"/>
    <w:tblStylePr w:type="swCell"/>
  </w:style>
  <w:style w:type="table" w:customStyle="1" w:styleId="108">
    <w:name w:val="List Table 1 Light"/>
    <w:uiPriority w:val="99"/>
    <w:pPr>
      <w:spacing w:after="0" w:line="240" w:lineRule="auto"/>
    </w:pPr>
    <w:tblStylePr w:type="firstRow">
      <w:rPr>
        <w:b/>
        <w:color w:val="404040"/>
      </w:rPr>
      <w:tcPr>
        <w:tcBorders>
          <w:top w:val="nil"/>
          <w:left w:val="nil"/>
          <w:bottom w:val="single" w:color="000000" w:themeColor="text1" w:sz="4" w:space="0"/>
          <w:right w:val="nil"/>
        </w:tcBorders>
      </w:tcPr>
    </w:tblStylePr>
    <w:tblStylePr w:type="lastRow">
      <w:rPr>
        <w:b/>
        <w:color w:val="404040"/>
      </w:rPr>
      <w:tcPr>
        <w:tcBorders>
          <w:top w:val="single" w:color="000000" w:themeColor="text1" w:sz="4" w:space="0"/>
          <w:left w:val="nil"/>
          <w:bottom w:val="nil"/>
          <w:right w:val="nil"/>
        </w:tcBorders>
      </w:tcPr>
    </w:tblStylePr>
    <w:tblStylePr w:type="firstCol">
      <w:rPr>
        <w:b/>
        <w:color w:val="404040"/>
      </w:rPr>
    </w:tblStylePr>
    <w:tblStylePr w:type="lastCol">
      <w:rPr>
        <w:b/>
        <w:color w:val="404040"/>
      </w:rPr>
    </w:tblStylePr>
    <w:tblStylePr w:type="band1Vert">
      <w:tcPr>
        <w:shd w:val="clear" w:color="BEBEBE" w:themeColor="text1" w:themeTint="40" w:fill="BEBEBE" w:themeFill="text1" w:themeFillTint="40"/>
      </w:tcPr>
    </w:tblStylePr>
    <w:tblStylePr w:type="band2Vert"/>
    <w:tblStylePr w:type="band1Horz">
      <w:tcPr>
        <w:shd w:val="clear" w:color="BEBEBE" w:themeColor="text1" w:themeTint="40" w:fill="BEBEBE" w:themeFill="text1" w:themeFillTint="40"/>
      </w:tcPr>
    </w:tblStylePr>
    <w:tblStylePr w:type="band2Horz"/>
    <w:tblStylePr w:type="neCell"/>
    <w:tblStylePr w:type="nwCell"/>
    <w:tblStylePr w:type="seCell"/>
    <w:tblStylePr w:type="swCell"/>
  </w:style>
  <w:style w:type="table" w:customStyle="1" w:styleId="109">
    <w:name w:val="List Table 1 Light - Accent 1"/>
    <w:uiPriority w:val="99"/>
    <w:pPr>
      <w:spacing w:after="0" w:line="240" w:lineRule="auto"/>
    </w:pPr>
    <w:tblStylePr w:type="firstRow">
      <w:rPr>
        <w:b/>
        <w:color w:val="404040"/>
      </w:rPr>
      <w:tcPr>
        <w:tcBorders>
          <w:top w:val="nil"/>
          <w:left w:val="nil"/>
          <w:bottom w:val="single" w:color="4F81BD" w:themeColor="accent1" w:sz="4" w:space="0"/>
          <w:right w:val="nil"/>
        </w:tcBorders>
      </w:tcPr>
    </w:tblStylePr>
    <w:tblStylePr w:type="lastRow">
      <w:rPr>
        <w:b/>
        <w:color w:val="404040"/>
      </w:rPr>
      <w:tcPr>
        <w:tcBorders>
          <w:top w:val="single" w:color="4F81BD" w:themeColor="accent1" w:sz="4" w:space="0"/>
          <w:left w:val="nil"/>
          <w:bottom w:val="nil"/>
          <w:right w:val="nil"/>
        </w:tcBorders>
      </w:tcPr>
    </w:tblStylePr>
    <w:tblStylePr w:type="firstCol">
      <w:rPr>
        <w:b/>
        <w:color w:val="404040"/>
      </w:rPr>
    </w:tblStylePr>
    <w:tblStylePr w:type="lastCol">
      <w:rPr>
        <w:b/>
        <w:color w:val="404040"/>
      </w:rPr>
    </w:tblStylePr>
    <w:tblStylePr w:type="band1Vert">
      <w:tcPr>
        <w:shd w:val="clear" w:color="D2DFEE" w:themeColor="accent1" w:themeTint="40" w:fill="D2DFEE" w:themeFill="accent1" w:themeFillTint="40"/>
      </w:tcPr>
    </w:tblStylePr>
    <w:tblStylePr w:type="band2Vert"/>
    <w:tblStylePr w:type="band1Horz">
      <w:tcPr>
        <w:shd w:val="clear" w:color="D2DFEE" w:themeColor="accent1" w:themeTint="40" w:fill="D2DFEE" w:themeFill="accent1" w:themeFillTint="40"/>
      </w:tcPr>
    </w:tblStylePr>
    <w:tblStylePr w:type="band2Horz"/>
    <w:tblStylePr w:type="neCell"/>
    <w:tblStylePr w:type="nwCell"/>
    <w:tblStylePr w:type="seCell"/>
    <w:tblStylePr w:type="swCell"/>
  </w:style>
  <w:style w:type="table" w:customStyle="1" w:styleId="110">
    <w:name w:val="List Table 1 Light - Accent 2"/>
    <w:uiPriority w:val="99"/>
    <w:pPr>
      <w:spacing w:after="0" w:line="240" w:lineRule="auto"/>
    </w:pPr>
    <w:tblStylePr w:type="firstRow">
      <w:rPr>
        <w:b/>
        <w:color w:val="404040"/>
      </w:rPr>
      <w:tcPr>
        <w:tcBorders>
          <w:top w:val="nil"/>
          <w:left w:val="nil"/>
          <w:bottom w:val="single" w:color="C0504D" w:themeColor="accent2" w:sz="4" w:space="0"/>
          <w:right w:val="nil"/>
        </w:tcBorders>
      </w:tcPr>
    </w:tblStylePr>
    <w:tblStylePr w:type="lastRow">
      <w:rPr>
        <w:b/>
        <w:color w:val="404040"/>
      </w:rPr>
      <w:tcPr>
        <w:tcBorders>
          <w:top w:val="single" w:color="C0504D" w:themeColor="accent2" w:sz="4" w:space="0"/>
          <w:left w:val="nil"/>
          <w:bottom w:val="nil"/>
          <w:right w:val="nil"/>
        </w:tcBorders>
      </w:tcPr>
    </w:tblStylePr>
    <w:tblStylePr w:type="firstCol">
      <w:rPr>
        <w:b/>
        <w:color w:val="404040"/>
      </w:rPr>
    </w:tblStylePr>
    <w:tblStylePr w:type="lastCol">
      <w:rPr>
        <w:b/>
        <w:color w:val="404040"/>
      </w:rPr>
    </w:tblStylePr>
    <w:tblStylePr w:type="band1Vert">
      <w:tcPr>
        <w:shd w:val="clear" w:color="EFD3D2" w:themeColor="accent2" w:themeTint="40" w:fill="EFD3D2" w:themeFill="accent2" w:themeFillTint="40"/>
      </w:tcPr>
    </w:tblStylePr>
    <w:tblStylePr w:type="band2Vert"/>
    <w:tblStylePr w:type="band1Horz">
      <w:tcPr>
        <w:shd w:val="clear" w:color="EFD3D2" w:themeColor="accent2" w:themeTint="40" w:fill="EFD3D2" w:themeFill="accent2" w:themeFillTint="40"/>
      </w:tcPr>
    </w:tblStylePr>
    <w:tblStylePr w:type="band2Horz"/>
    <w:tblStylePr w:type="neCell"/>
    <w:tblStylePr w:type="nwCell"/>
    <w:tblStylePr w:type="seCell"/>
    <w:tblStylePr w:type="swCell"/>
  </w:style>
  <w:style w:type="table" w:customStyle="1" w:styleId="111">
    <w:name w:val="List Table 1 Light - Accent 3"/>
    <w:uiPriority w:val="99"/>
    <w:pPr>
      <w:spacing w:after="0" w:line="240" w:lineRule="auto"/>
    </w:pPr>
    <w:tblStylePr w:type="firstRow">
      <w:rPr>
        <w:b/>
        <w:color w:val="404040"/>
      </w:rPr>
      <w:tcPr>
        <w:tcBorders>
          <w:top w:val="nil"/>
          <w:left w:val="nil"/>
          <w:bottom w:val="single" w:color="9BBB59" w:themeColor="accent3" w:sz="4" w:space="0"/>
          <w:right w:val="nil"/>
        </w:tcBorders>
      </w:tcPr>
    </w:tblStylePr>
    <w:tblStylePr w:type="lastRow">
      <w:rPr>
        <w:b/>
        <w:color w:val="404040"/>
      </w:rPr>
      <w:tcPr>
        <w:tcBorders>
          <w:top w:val="single" w:color="9BBB59" w:themeColor="accent3" w:sz="4" w:space="0"/>
          <w:left w:val="nil"/>
          <w:bottom w:val="nil"/>
          <w:right w:val="nil"/>
        </w:tcBorders>
      </w:tcPr>
    </w:tblStylePr>
    <w:tblStylePr w:type="firstCol">
      <w:rPr>
        <w:b/>
        <w:color w:val="404040"/>
      </w:rPr>
    </w:tblStylePr>
    <w:tblStylePr w:type="lastCol">
      <w:rPr>
        <w:b/>
        <w:color w:val="404040"/>
      </w:rPr>
    </w:tblStylePr>
    <w:tblStylePr w:type="band1Vert">
      <w:tcPr>
        <w:shd w:val="clear" w:color="E5EDD5" w:themeColor="accent3" w:themeTint="40" w:fill="E5EDD5" w:themeFill="accent3" w:themeFillTint="40"/>
      </w:tcPr>
    </w:tblStylePr>
    <w:tblStylePr w:type="band2Vert"/>
    <w:tblStylePr w:type="band1Horz">
      <w:tcPr>
        <w:shd w:val="clear" w:color="E5EDD5" w:themeColor="accent3" w:themeTint="40" w:fill="E5EDD5" w:themeFill="accent3" w:themeFillTint="40"/>
      </w:tcPr>
    </w:tblStylePr>
    <w:tblStylePr w:type="band2Horz"/>
    <w:tblStylePr w:type="neCell"/>
    <w:tblStylePr w:type="nwCell"/>
    <w:tblStylePr w:type="seCell"/>
    <w:tblStylePr w:type="swCell"/>
  </w:style>
  <w:style w:type="table" w:customStyle="1" w:styleId="112">
    <w:name w:val="List Table 1 Light - Accent 4"/>
    <w:uiPriority w:val="99"/>
    <w:pPr>
      <w:spacing w:after="0" w:line="240" w:lineRule="auto"/>
    </w:pPr>
    <w:tblStylePr w:type="firstRow">
      <w:rPr>
        <w:b/>
        <w:color w:val="404040"/>
      </w:rPr>
      <w:tcPr>
        <w:tcBorders>
          <w:top w:val="nil"/>
          <w:left w:val="nil"/>
          <w:bottom w:val="single" w:color="8064A2" w:themeColor="accent4" w:sz="4" w:space="0"/>
          <w:right w:val="nil"/>
        </w:tcBorders>
      </w:tcPr>
    </w:tblStylePr>
    <w:tblStylePr w:type="lastRow">
      <w:rPr>
        <w:b/>
        <w:color w:val="404040"/>
      </w:rPr>
      <w:tcPr>
        <w:tcBorders>
          <w:top w:val="single" w:color="8064A2" w:themeColor="accent4" w:sz="4" w:space="0"/>
          <w:left w:val="nil"/>
          <w:bottom w:val="nil"/>
          <w:right w:val="nil"/>
        </w:tcBorders>
      </w:tcPr>
    </w:tblStylePr>
    <w:tblStylePr w:type="firstCol">
      <w:rPr>
        <w:b/>
        <w:color w:val="404040"/>
      </w:rPr>
    </w:tblStylePr>
    <w:tblStylePr w:type="lastCol">
      <w:rPr>
        <w:b/>
        <w:color w:val="404040"/>
      </w:rPr>
    </w:tblStylePr>
    <w:tblStylePr w:type="band1Vert">
      <w:tcPr>
        <w:shd w:val="clear" w:color="DFD8E7" w:themeColor="accent4" w:themeTint="40" w:fill="DFD8E7" w:themeFill="accent4" w:themeFillTint="40"/>
      </w:tcPr>
    </w:tblStylePr>
    <w:tblStylePr w:type="band2Vert"/>
    <w:tblStylePr w:type="band1Horz">
      <w:tcPr>
        <w:shd w:val="clear" w:color="DFD8E7" w:themeColor="accent4" w:themeTint="40" w:fill="DFD8E7" w:themeFill="accent4" w:themeFillTint="40"/>
      </w:tcPr>
    </w:tblStylePr>
    <w:tblStylePr w:type="band2Horz"/>
    <w:tblStylePr w:type="neCell"/>
    <w:tblStylePr w:type="nwCell"/>
    <w:tblStylePr w:type="seCell"/>
    <w:tblStylePr w:type="swCell"/>
  </w:style>
  <w:style w:type="table" w:customStyle="1" w:styleId="113">
    <w:name w:val="List Table 1 Light - Accent 5"/>
    <w:uiPriority w:val="99"/>
    <w:pPr>
      <w:spacing w:after="0" w:line="240" w:lineRule="auto"/>
    </w:pPr>
    <w:tblStylePr w:type="firstRow">
      <w:rPr>
        <w:b/>
        <w:color w:val="404040"/>
      </w:rPr>
      <w:tcPr>
        <w:tcBorders>
          <w:top w:val="nil"/>
          <w:left w:val="nil"/>
          <w:bottom w:val="single" w:color="4BACC6" w:themeColor="accent5" w:sz="4" w:space="0"/>
          <w:right w:val="nil"/>
        </w:tcBorders>
      </w:tcPr>
    </w:tblStylePr>
    <w:tblStylePr w:type="lastRow">
      <w:rPr>
        <w:b/>
        <w:color w:val="404040"/>
      </w:rPr>
      <w:tcPr>
        <w:tcBorders>
          <w:top w:val="single" w:color="4BACC6" w:themeColor="accent5" w:sz="4" w:space="0"/>
          <w:left w:val="nil"/>
          <w:bottom w:val="nil"/>
          <w:right w:val="nil"/>
        </w:tcBorders>
      </w:tcPr>
    </w:tblStylePr>
    <w:tblStylePr w:type="firstCol">
      <w:rPr>
        <w:b/>
        <w:color w:val="404040"/>
      </w:rPr>
    </w:tblStylePr>
    <w:tblStylePr w:type="lastCol">
      <w:rPr>
        <w:b/>
        <w:color w:val="404040"/>
      </w:rPr>
    </w:tblStylePr>
    <w:tblStylePr w:type="band1Vert">
      <w:tcPr>
        <w:shd w:val="clear" w:color="D1EAF0" w:themeColor="accent5" w:themeTint="40" w:fill="D1EAF0" w:themeFill="accent5" w:themeFillTint="40"/>
      </w:tcPr>
    </w:tblStylePr>
    <w:tblStylePr w:type="band2Vert"/>
    <w:tblStylePr w:type="band1Horz">
      <w:tcPr>
        <w:shd w:val="clear" w:color="D1EAF0" w:themeColor="accent5" w:themeTint="40" w:fill="D1EAF0" w:themeFill="accent5" w:themeFillTint="40"/>
      </w:tcPr>
    </w:tblStylePr>
    <w:tblStylePr w:type="band2Horz"/>
    <w:tblStylePr w:type="neCell"/>
    <w:tblStylePr w:type="nwCell"/>
    <w:tblStylePr w:type="seCell"/>
    <w:tblStylePr w:type="swCell"/>
  </w:style>
  <w:style w:type="table" w:customStyle="1" w:styleId="114">
    <w:name w:val="List Table 1 Light - Accent 6"/>
    <w:uiPriority w:val="99"/>
    <w:pPr>
      <w:spacing w:after="0" w:line="240" w:lineRule="auto"/>
    </w:pPr>
    <w:tblStylePr w:type="firstRow">
      <w:rPr>
        <w:b/>
        <w:color w:val="404040"/>
      </w:rPr>
      <w:tcPr>
        <w:tcBorders>
          <w:top w:val="nil"/>
          <w:left w:val="nil"/>
          <w:bottom w:val="single" w:color="F79646" w:themeColor="accent6" w:sz="4" w:space="0"/>
          <w:right w:val="nil"/>
        </w:tcBorders>
      </w:tcPr>
    </w:tblStylePr>
    <w:tblStylePr w:type="lastRow">
      <w:rPr>
        <w:b/>
        <w:color w:val="404040"/>
      </w:rPr>
      <w:tcPr>
        <w:tcBorders>
          <w:top w:val="single" w:color="F79646" w:themeColor="accent6" w:sz="4" w:space="0"/>
          <w:left w:val="nil"/>
          <w:bottom w:val="nil"/>
          <w:right w:val="nil"/>
        </w:tcBorders>
      </w:tcPr>
    </w:tblStylePr>
    <w:tblStylePr w:type="firstCol">
      <w:rPr>
        <w:b/>
        <w:color w:val="404040"/>
      </w:rPr>
    </w:tblStylePr>
    <w:tblStylePr w:type="lastCol">
      <w:rPr>
        <w:b/>
        <w:color w:val="404040"/>
      </w:rPr>
    </w:tblStylePr>
    <w:tblStylePr w:type="band1Vert">
      <w:tcPr>
        <w:shd w:val="clear" w:color="FCE4D0" w:themeColor="accent6" w:themeTint="40" w:fill="FCE4D0" w:themeFill="accent6" w:themeFillTint="40"/>
      </w:tcPr>
    </w:tblStylePr>
    <w:tblStylePr w:type="band2Vert"/>
    <w:tblStylePr w:type="band1Horz">
      <w:tcPr>
        <w:shd w:val="clear" w:color="FCE4D0" w:themeColor="accent6" w:themeTint="40" w:fill="FCE4D0" w:themeFill="accent6" w:themeFillTint="40"/>
      </w:tcPr>
    </w:tblStylePr>
    <w:tblStylePr w:type="band2Horz"/>
    <w:tblStylePr w:type="neCell"/>
    <w:tblStylePr w:type="nwCell"/>
    <w:tblStylePr w:type="seCell"/>
    <w:tblStylePr w:type="swCell"/>
  </w:style>
  <w:style w:type="table" w:customStyle="1" w:styleId="115">
    <w:name w:val="List Table 2"/>
    <w:uiPriority w:val="99"/>
    <w:pPr>
      <w:spacing w:after="0" w:line="240" w:lineRule="auto"/>
    </w:pPr>
    <w:tblPr>
      <w:tblBorders>
        <w:top w:val="single" w:color="6E6E6E" w:themeColor="text1" w:themeTint="90" w:sz="4" w:space="0"/>
        <w:bottom w:val="single" w:color="6E6E6E" w:themeColor="text1" w:themeTint="90" w:sz="4" w:space="0"/>
        <w:insideH w:val="single" w:color="6E6E6E" w:themeColor="text1" w:themeTint="90" w:sz="4" w:space="0"/>
      </w:tblBorders>
    </w:tblPr>
    <w:tblStylePr w:type="firstRow">
      <w:rPr>
        <w:rFonts w:ascii="Arial" w:hAnsi="Arial"/>
        <w:b/>
        <w:color w:val="404040"/>
        <w:sz w:val="22"/>
      </w:rPr>
      <w:tcPr>
        <w:tcBorders>
          <w:top w:val="single" w:color="6E6E6E" w:themeColor="text1" w:themeTint="90" w:sz="4" w:space="0"/>
          <w:left w:val="nil"/>
          <w:bottom w:val="single" w:color="6E6E6E" w:themeColor="text1" w:themeTint="90" w:sz="4" w:space="0"/>
          <w:right w:val="nil"/>
        </w:tcBorders>
      </w:tcPr>
    </w:tblStylePr>
    <w:tblStylePr w:type="lastRow">
      <w:rPr>
        <w:rFonts w:ascii="Arial" w:hAnsi="Arial"/>
        <w:b/>
        <w:color w:val="404040"/>
        <w:sz w:val="22"/>
      </w:rPr>
      <w:tcPr>
        <w:tcBorders>
          <w:top w:val="single" w:color="6E6E6E" w:themeColor="text1" w:themeTint="90" w:sz="4" w:space="0"/>
          <w:left w:val="nil"/>
          <w:bottom w:val="single" w:color="6E6E6E" w:themeColor="text1" w:themeTint="90" w:sz="4" w:space="0"/>
          <w:right w:val="nil"/>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cPr>
        <w:shd w:val="clear" w:color="BEBEBE" w:themeColor="text1" w:themeTint="40" w:fill="BEBEBE" w:themeFill="text1" w:themeFillTint="40"/>
      </w:tcPr>
    </w:tblStylePr>
    <w:tblStylePr w:type="band2Vert"/>
    <w:tblStylePr w:type="band1Horz">
      <w:rPr>
        <w:rFonts w:ascii="Arial" w:hAnsi="Arial"/>
        <w:color w:val="404040"/>
        <w:sz w:val="22"/>
      </w:rPr>
      <w:tcPr>
        <w:shd w:val="clear" w:color="BEBEBE" w:themeColor="text1" w:themeTint="40" w:fill="BEBEBE" w:themeFill="text1" w:themeFillTint="40"/>
      </w:tcPr>
    </w:tblStylePr>
    <w:tblStylePr w:type="band2Horz"/>
    <w:tblStylePr w:type="neCell"/>
    <w:tblStylePr w:type="nwCell"/>
    <w:tblStylePr w:type="seCell"/>
    <w:tblStylePr w:type="swCell"/>
  </w:style>
  <w:style w:type="table" w:customStyle="1" w:styleId="116">
    <w:name w:val="List Table 2 - Accent 1"/>
    <w:uiPriority w:val="99"/>
    <w:pPr>
      <w:spacing w:after="0" w:line="240" w:lineRule="auto"/>
    </w:pPr>
    <w:tblPr>
      <w:tblBorders>
        <w:top w:val="single" w:color="9BB7D9" w:themeColor="accent1" w:themeTint="90" w:sz="4" w:space="0"/>
        <w:bottom w:val="single" w:color="9BB7D9" w:themeColor="accent1" w:themeTint="90" w:sz="4" w:space="0"/>
        <w:insideH w:val="single" w:color="9BB7D9" w:themeColor="accent1" w:themeTint="90" w:sz="4" w:space="0"/>
      </w:tblBorders>
    </w:tblPr>
    <w:tblStylePr w:type="firstRow">
      <w:rPr>
        <w:rFonts w:ascii="Arial" w:hAnsi="Arial"/>
        <w:b/>
        <w:color w:val="404040"/>
        <w:sz w:val="22"/>
      </w:rPr>
      <w:tcPr>
        <w:tcBorders>
          <w:top w:val="single" w:color="9BB7D9" w:themeColor="accent1" w:themeTint="90" w:sz="4" w:space="0"/>
          <w:left w:val="nil"/>
          <w:bottom w:val="single" w:color="9BB7D9" w:themeColor="accent1" w:themeTint="90" w:sz="4" w:space="0"/>
          <w:right w:val="nil"/>
        </w:tcBorders>
      </w:tcPr>
    </w:tblStylePr>
    <w:tblStylePr w:type="lastRow">
      <w:rPr>
        <w:rFonts w:ascii="Arial" w:hAnsi="Arial"/>
        <w:b/>
        <w:color w:val="404040"/>
        <w:sz w:val="22"/>
      </w:rPr>
      <w:tcPr>
        <w:tcBorders>
          <w:top w:val="single" w:color="9BB7D9" w:themeColor="accent1" w:themeTint="90" w:sz="4" w:space="0"/>
          <w:left w:val="nil"/>
          <w:bottom w:val="single" w:color="9BB7D9" w:themeColor="accent1" w:themeTint="90" w:sz="4" w:space="0"/>
          <w:right w:val="nil"/>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cPr>
        <w:shd w:val="clear" w:color="D2DFEE" w:themeColor="accent1" w:themeTint="40" w:fill="D2DFEE" w:themeFill="accent1" w:themeFillTint="40"/>
      </w:tcPr>
    </w:tblStylePr>
    <w:tblStylePr w:type="band2Vert"/>
    <w:tblStylePr w:type="band1Horz">
      <w:rPr>
        <w:rFonts w:ascii="Arial" w:hAnsi="Arial"/>
        <w:color w:val="404040"/>
        <w:sz w:val="22"/>
      </w:rPr>
      <w:tcPr>
        <w:shd w:val="clear" w:color="D2DFEE" w:themeColor="accent1" w:themeTint="40" w:fill="D2DFEE" w:themeFill="accent1" w:themeFillTint="40"/>
      </w:tcPr>
    </w:tblStylePr>
    <w:tblStylePr w:type="band2Horz"/>
    <w:tblStylePr w:type="neCell"/>
    <w:tblStylePr w:type="nwCell"/>
    <w:tblStylePr w:type="seCell"/>
    <w:tblStylePr w:type="swCell"/>
  </w:style>
  <w:style w:type="table" w:customStyle="1" w:styleId="117">
    <w:name w:val="List Table 2 - Accent 2"/>
    <w:uiPriority w:val="99"/>
    <w:pPr>
      <w:spacing w:after="0" w:line="240" w:lineRule="auto"/>
    </w:pPr>
    <w:tblPr>
      <w:tblBorders>
        <w:top w:val="single" w:color="DB9C9A" w:themeColor="accent2" w:themeTint="90" w:sz="4" w:space="0"/>
        <w:bottom w:val="single" w:color="DB9C9A" w:themeColor="accent2" w:themeTint="90" w:sz="4" w:space="0"/>
        <w:insideH w:val="single" w:color="DB9C9A" w:themeColor="accent2" w:themeTint="90" w:sz="4" w:space="0"/>
      </w:tblBorders>
    </w:tblPr>
    <w:tblStylePr w:type="firstRow">
      <w:rPr>
        <w:rFonts w:ascii="Arial" w:hAnsi="Arial"/>
        <w:b/>
        <w:color w:val="404040"/>
        <w:sz w:val="22"/>
      </w:rPr>
      <w:tcPr>
        <w:tcBorders>
          <w:top w:val="single" w:color="DB9C9A" w:themeColor="accent2" w:themeTint="90" w:sz="4" w:space="0"/>
          <w:left w:val="nil"/>
          <w:bottom w:val="single" w:color="DB9C9A" w:themeColor="accent2" w:themeTint="90" w:sz="4" w:space="0"/>
          <w:right w:val="nil"/>
        </w:tcBorders>
      </w:tcPr>
    </w:tblStylePr>
    <w:tblStylePr w:type="lastRow">
      <w:rPr>
        <w:rFonts w:ascii="Arial" w:hAnsi="Arial"/>
        <w:b/>
        <w:color w:val="404040"/>
        <w:sz w:val="22"/>
      </w:rPr>
      <w:tcPr>
        <w:tcBorders>
          <w:top w:val="single" w:color="DB9C9A" w:themeColor="accent2" w:themeTint="90" w:sz="4" w:space="0"/>
          <w:left w:val="nil"/>
          <w:bottom w:val="single" w:color="DB9C9A" w:themeColor="accent2" w:themeTint="90" w:sz="4" w:space="0"/>
          <w:right w:val="nil"/>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cPr>
        <w:shd w:val="clear" w:color="EFD3D2" w:themeColor="accent2" w:themeTint="40" w:fill="EFD3D2" w:themeFill="accent2" w:themeFillTint="40"/>
      </w:tcPr>
    </w:tblStylePr>
    <w:tblStylePr w:type="band2Vert"/>
    <w:tblStylePr w:type="band1Horz">
      <w:rPr>
        <w:rFonts w:ascii="Arial" w:hAnsi="Arial"/>
        <w:color w:val="404040"/>
        <w:sz w:val="22"/>
      </w:rPr>
      <w:tcPr>
        <w:shd w:val="clear" w:color="EFD3D2" w:themeColor="accent2" w:themeTint="40" w:fill="EFD3D2" w:themeFill="accent2" w:themeFillTint="40"/>
      </w:tcPr>
    </w:tblStylePr>
    <w:tblStylePr w:type="band2Horz"/>
    <w:tblStylePr w:type="neCell"/>
    <w:tblStylePr w:type="nwCell"/>
    <w:tblStylePr w:type="seCell"/>
    <w:tblStylePr w:type="swCell"/>
  </w:style>
  <w:style w:type="table" w:customStyle="1" w:styleId="118">
    <w:name w:val="List Table 2 - Accent 3"/>
    <w:uiPriority w:val="99"/>
    <w:pPr>
      <w:spacing w:after="0" w:line="240" w:lineRule="auto"/>
    </w:pPr>
    <w:tblPr>
      <w:tblBorders>
        <w:top w:val="single" w:color="C6D8A1" w:themeColor="accent3" w:themeTint="90" w:sz="4" w:space="0"/>
        <w:bottom w:val="single" w:color="C6D8A1" w:themeColor="accent3" w:themeTint="90" w:sz="4" w:space="0"/>
        <w:insideH w:val="single" w:color="C6D8A1" w:themeColor="accent3" w:themeTint="90" w:sz="4" w:space="0"/>
      </w:tblBorders>
    </w:tblPr>
    <w:tblStylePr w:type="firstRow">
      <w:rPr>
        <w:rFonts w:ascii="Arial" w:hAnsi="Arial"/>
        <w:b/>
        <w:color w:val="404040"/>
        <w:sz w:val="22"/>
      </w:rPr>
      <w:tcPr>
        <w:tcBorders>
          <w:top w:val="single" w:color="C6D8A1" w:themeColor="accent3" w:themeTint="90" w:sz="4" w:space="0"/>
          <w:left w:val="nil"/>
          <w:bottom w:val="single" w:color="C6D8A1" w:themeColor="accent3" w:themeTint="90" w:sz="4" w:space="0"/>
          <w:right w:val="nil"/>
        </w:tcBorders>
      </w:tcPr>
    </w:tblStylePr>
    <w:tblStylePr w:type="lastRow">
      <w:rPr>
        <w:rFonts w:ascii="Arial" w:hAnsi="Arial"/>
        <w:b/>
        <w:color w:val="404040"/>
        <w:sz w:val="22"/>
      </w:rPr>
      <w:tcPr>
        <w:tcBorders>
          <w:top w:val="single" w:color="C6D8A1" w:themeColor="accent3" w:themeTint="90" w:sz="4" w:space="0"/>
          <w:left w:val="nil"/>
          <w:bottom w:val="single" w:color="C6D8A1" w:themeColor="accent3" w:themeTint="90" w:sz="4" w:space="0"/>
          <w:right w:val="nil"/>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cPr>
        <w:shd w:val="clear" w:color="E5EDD5" w:themeColor="accent3" w:themeTint="40" w:fill="E5EDD5" w:themeFill="accent3" w:themeFillTint="40"/>
      </w:tcPr>
    </w:tblStylePr>
    <w:tblStylePr w:type="band2Vert"/>
    <w:tblStylePr w:type="band1Horz">
      <w:rPr>
        <w:rFonts w:ascii="Arial" w:hAnsi="Arial"/>
        <w:color w:val="404040"/>
        <w:sz w:val="22"/>
      </w:rPr>
      <w:tcPr>
        <w:shd w:val="clear" w:color="E5EDD5" w:themeColor="accent3" w:themeTint="40" w:fill="E5EDD5" w:themeFill="accent3" w:themeFillTint="40"/>
      </w:tcPr>
    </w:tblStylePr>
    <w:tblStylePr w:type="band2Horz"/>
    <w:tblStylePr w:type="neCell"/>
    <w:tblStylePr w:type="nwCell"/>
    <w:tblStylePr w:type="seCell"/>
    <w:tblStylePr w:type="swCell"/>
  </w:style>
  <w:style w:type="table" w:customStyle="1" w:styleId="119">
    <w:name w:val="List Table 2 - Accent 4"/>
    <w:uiPriority w:val="99"/>
    <w:pPr>
      <w:spacing w:after="0" w:line="240" w:lineRule="auto"/>
    </w:pPr>
    <w:tblPr>
      <w:tblBorders>
        <w:top w:val="single" w:color="B7A7CA" w:themeColor="accent4" w:themeTint="90" w:sz="4" w:space="0"/>
        <w:bottom w:val="single" w:color="B7A7CA" w:themeColor="accent4" w:themeTint="90" w:sz="4" w:space="0"/>
        <w:insideH w:val="single" w:color="B7A7CA" w:themeColor="accent4" w:themeTint="90" w:sz="4" w:space="0"/>
      </w:tblBorders>
    </w:tblPr>
    <w:tblStylePr w:type="firstRow">
      <w:rPr>
        <w:rFonts w:ascii="Arial" w:hAnsi="Arial"/>
        <w:b/>
        <w:color w:val="404040"/>
        <w:sz w:val="22"/>
      </w:rPr>
      <w:tcPr>
        <w:tcBorders>
          <w:top w:val="single" w:color="B7A7CA" w:themeColor="accent4" w:themeTint="90" w:sz="4" w:space="0"/>
          <w:left w:val="nil"/>
          <w:bottom w:val="single" w:color="B7A7CA" w:themeColor="accent4" w:themeTint="90" w:sz="4" w:space="0"/>
          <w:right w:val="nil"/>
        </w:tcBorders>
      </w:tcPr>
    </w:tblStylePr>
    <w:tblStylePr w:type="lastRow">
      <w:rPr>
        <w:rFonts w:ascii="Arial" w:hAnsi="Arial"/>
        <w:b/>
        <w:color w:val="404040"/>
        <w:sz w:val="22"/>
      </w:rPr>
      <w:tcPr>
        <w:tcBorders>
          <w:top w:val="single" w:color="B7A7CA" w:themeColor="accent4" w:themeTint="90" w:sz="4" w:space="0"/>
          <w:left w:val="nil"/>
          <w:bottom w:val="single" w:color="B7A7CA" w:themeColor="accent4" w:themeTint="90" w:sz="4" w:space="0"/>
          <w:right w:val="nil"/>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cPr>
        <w:shd w:val="clear" w:color="DFD8E7" w:themeColor="accent4" w:themeTint="40" w:fill="DFD8E7" w:themeFill="accent4" w:themeFillTint="40"/>
      </w:tcPr>
    </w:tblStylePr>
    <w:tblStylePr w:type="band2Vert"/>
    <w:tblStylePr w:type="band1Horz">
      <w:rPr>
        <w:rFonts w:ascii="Arial" w:hAnsi="Arial"/>
        <w:color w:val="404040"/>
        <w:sz w:val="22"/>
      </w:rPr>
      <w:tcPr>
        <w:shd w:val="clear" w:color="DFD8E7" w:themeColor="accent4" w:themeTint="40" w:fill="DFD8E7" w:themeFill="accent4" w:themeFillTint="40"/>
      </w:tcPr>
    </w:tblStylePr>
    <w:tblStylePr w:type="band2Horz"/>
    <w:tblStylePr w:type="neCell"/>
    <w:tblStylePr w:type="nwCell"/>
    <w:tblStylePr w:type="seCell"/>
    <w:tblStylePr w:type="swCell"/>
  </w:style>
  <w:style w:type="table" w:customStyle="1" w:styleId="120">
    <w:name w:val="List Table 2 - Accent 5"/>
    <w:uiPriority w:val="99"/>
    <w:pPr>
      <w:spacing w:after="0" w:line="240" w:lineRule="auto"/>
    </w:pPr>
    <w:tblPr>
      <w:tblBorders>
        <w:top w:val="single" w:color="99D0DE" w:themeColor="accent5" w:themeTint="90" w:sz="4" w:space="0"/>
        <w:bottom w:val="single" w:color="99D0DE" w:themeColor="accent5" w:themeTint="90" w:sz="4" w:space="0"/>
        <w:insideH w:val="single" w:color="99D0DE" w:themeColor="accent5" w:themeTint="90" w:sz="4" w:space="0"/>
      </w:tblBorders>
    </w:tblPr>
    <w:tblStylePr w:type="firstRow">
      <w:rPr>
        <w:rFonts w:ascii="Arial" w:hAnsi="Arial"/>
        <w:b/>
        <w:color w:val="404040"/>
        <w:sz w:val="22"/>
      </w:rPr>
      <w:tcPr>
        <w:tcBorders>
          <w:top w:val="single" w:color="99D0DE" w:themeColor="accent5" w:themeTint="90" w:sz="4" w:space="0"/>
          <w:left w:val="nil"/>
          <w:bottom w:val="single" w:color="99D0DE" w:themeColor="accent5" w:themeTint="90" w:sz="4" w:space="0"/>
          <w:right w:val="nil"/>
        </w:tcBorders>
      </w:tcPr>
    </w:tblStylePr>
    <w:tblStylePr w:type="lastRow">
      <w:rPr>
        <w:rFonts w:ascii="Arial" w:hAnsi="Arial"/>
        <w:b/>
        <w:color w:val="404040"/>
        <w:sz w:val="22"/>
      </w:rPr>
      <w:tcPr>
        <w:tcBorders>
          <w:top w:val="single" w:color="99D0DE" w:themeColor="accent5" w:themeTint="90" w:sz="4" w:space="0"/>
          <w:left w:val="nil"/>
          <w:bottom w:val="single" w:color="99D0DE" w:themeColor="accent5" w:themeTint="90" w:sz="4" w:space="0"/>
          <w:right w:val="nil"/>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cPr>
        <w:shd w:val="clear" w:color="D1EAF0" w:themeColor="accent5" w:themeTint="40" w:fill="D1EAF0" w:themeFill="accent5" w:themeFillTint="40"/>
      </w:tcPr>
    </w:tblStylePr>
    <w:tblStylePr w:type="band2Vert"/>
    <w:tblStylePr w:type="band1Horz">
      <w:rPr>
        <w:rFonts w:ascii="Arial" w:hAnsi="Arial"/>
        <w:color w:val="404040"/>
        <w:sz w:val="22"/>
      </w:rPr>
      <w:tcPr>
        <w:shd w:val="clear" w:color="D1EAF0" w:themeColor="accent5" w:themeTint="40" w:fill="D1EAF0" w:themeFill="accent5" w:themeFillTint="40"/>
      </w:tcPr>
    </w:tblStylePr>
    <w:tblStylePr w:type="band2Horz"/>
    <w:tblStylePr w:type="neCell"/>
    <w:tblStylePr w:type="nwCell"/>
    <w:tblStylePr w:type="seCell"/>
    <w:tblStylePr w:type="swCell"/>
  </w:style>
  <w:style w:type="table" w:customStyle="1" w:styleId="121">
    <w:name w:val="List Table 2 - Accent 6"/>
    <w:uiPriority w:val="99"/>
    <w:pPr>
      <w:spacing w:after="0" w:line="240" w:lineRule="auto"/>
    </w:pPr>
    <w:tblPr>
      <w:tblBorders>
        <w:top w:val="single" w:color="FAC396" w:themeColor="accent6" w:themeTint="90" w:sz="4" w:space="0"/>
        <w:bottom w:val="single" w:color="FAC396" w:themeColor="accent6" w:themeTint="90" w:sz="4" w:space="0"/>
        <w:insideH w:val="single" w:color="FAC396" w:themeColor="accent6" w:themeTint="90" w:sz="4" w:space="0"/>
      </w:tblBorders>
    </w:tblPr>
    <w:tblStylePr w:type="firstRow">
      <w:rPr>
        <w:rFonts w:ascii="Arial" w:hAnsi="Arial"/>
        <w:b/>
        <w:color w:val="404040"/>
        <w:sz w:val="22"/>
      </w:rPr>
      <w:tcPr>
        <w:tcBorders>
          <w:top w:val="single" w:color="FAC396" w:themeColor="accent6" w:themeTint="90" w:sz="4" w:space="0"/>
          <w:left w:val="nil"/>
          <w:bottom w:val="single" w:color="FAC396" w:themeColor="accent6" w:themeTint="90" w:sz="4" w:space="0"/>
          <w:right w:val="nil"/>
        </w:tcBorders>
      </w:tcPr>
    </w:tblStylePr>
    <w:tblStylePr w:type="lastRow">
      <w:rPr>
        <w:rFonts w:ascii="Arial" w:hAnsi="Arial"/>
        <w:b/>
        <w:color w:val="404040"/>
        <w:sz w:val="22"/>
      </w:rPr>
      <w:tcPr>
        <w:tcBorders>
          <w:top w:val="single" w:color="FAC396" w:themeColor="accent6" w:themeTint="90" w:sz="4" w:space="0"/>
          <w:left w:val="nil"/>
          <w:bottom w:val="single" w:color="FAC396" w:themeColor="accent6" w:themeTint="90" w:sz="4" w:space="0"/>
          <w:right w:val="nil"/>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cPr>
        <w:shd w:val="clear" w:color="FCE4D0" w:themeColor="accent6" w:themeTint="40" w:fill="FCE4D0" w:themeFill="accent6" w:themeFillTint="40"/>
      </w:tcPr>
    </w:tblStylePr>
    <w:tblStylePr w:type="band2Vert"/>
    <w:tblStylePr w:type="band1Horz">
      <w:rPr>
        <w:rFonts w:ascii="Arial" w:hAnsi="Arial"/>
        <w:color w:val="404040"/>
        <w:sz w:val="22"/>
      </w:rPr>
      <w:tcPr>
        <w:shd w:val="clear" w:color="FCE4D0" w:themeColor="accent6" w:themeTint="40" w:fill="FCE4D0" w:themeFill="accent6" w:themeFillTint="40"/>
      </w:tcPr>
    </w:tblStylePr>
    <w:tblStylePr w:type="band2Horz"/>
    <w:tblStylePr w:type="neCell"/>
    <w:tblStylePr w:type="nwCell"/>
    <w:tblStylePr w:type="seCell"/>
    <w:tblStylePr w:type="swCell"/>
  </w:style>
  <w:style w:type="table" w:customStyle="1" w:styleId="122">
    <w:name w:val="List Table 3"/>
    <w:uiPriority w:val="99"/>
    <w:pPr>
      <w:spacing w:after="0" w:line="240" w:lineRule="auto"/>
    </w:pPr>
    <w:tblPr>
      <w:tblBorders>
        <w:top w:val="single" w:color="000000" w:themeColor="text1" w:sz="4" w:space="0"/>
        <w:left w:val="single" w:color="000000" w:themeColor="text1" w:sz="4" w:space="0"/>
        <w:bottom w:val="single" w:color="000000" w:themeColor="text1" w:sz="4" w:space="0"/>
        <w:right w:val="single" w:color="000000" w:themeColor="text1" w:sz="4" w:space="0"/>
      </w:tblBorders>
    </w:tblPr>
    <w:tblStylePr w:type="firstRow">
      <w:rPr>
        <w:rFonts w:ascii="Arial" w:hAnsi="Arial"/>
        <w:b/>
        <w:color w:val="FFFFFF"/>
        <w:sz w:val="22"/>
      </w:r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cPr>
        <w:tcBorders>
          <w:left w:val="single" w:color="000000" w:themeColor="text1" w:sz="4" w:space="0"/>
          <w:right w:val="single" w:color="000000" w:themeColor="text1" w:sz="4" w:space="0"/>
        </w:tcBorders>
      </w:tcPr>
    </w:tblStylePr>
    <w:tblStylePr w:type="band2Vert"/>
    <w:tblStylePr w:type="band1Horz">
      <w:rPr>
        <w:rFonts w:ascii="Arial" w:hAnsi="Arial"/>
        <w:color w:val="404040"/>
        <w:sz w:val="22"/>
      </w:rPr>
      <w:tcPr>
        <w:tcBorders>
          <w:top w:val="single" w:color="000000" w:themeColor="text1" w:sz="4" w:space="0"/>
          <w:bottom w:val="single" w:color="000000" w:themeColor="text1" w:sz="4" w:space="0"/>
        </w:tcBorders>
      </w:tcPr>
    </w:tblStylePr>
    <w:tblStylePr w:type="band2Horz"/>
    <w:tblStylePr w:type="neCell"/>
    <w:tblStylePr w:type="nwCell"/>
    <w:tblStylePr w:type="seCell"/>
    <w:tblStylePr w:type="swCell"/>
  </w:style>
  <w:style w:type="table" w:customStyle="1" w:styleId="123">
    <w:name w:val="List Table 3 - Accent 1"/>
    <w:uiPriority w:val="99"/>
    <w:pPr>
      <w:spacing w:after="0" w:line="240" w:lineRule="auto"/>
    </w:pPr>
    <w:tblPr>
      <w:tblBorders>
        <w:top w:val="single" w:color="4F81BD" w:themeColor="accent1" w:sz="4" w:space="0"/>
        <w:left w:val="single" w:color="4F81BD" w:themeColor="accent1" w:sz="4" w:space="0"/>
        <w:bottom w:val="single" w:color="4F81BD" w:themeColor="accent1" w:sz="4" w:space="0"/>
        <w:right w:val="single" w:color="4F81BD" w:themeColor="accent1" w:sz="4" w:space="0"/>
      </w:tblBorders>
    </w:tblPr>
    <w:tblStylePr w:type="firstRow">
      <w:rPr>
        <w:rFonts w:ascii="Arial" w:hAnsi="Arial"/>
        <w:b/>
        <w:color w:val="FFFFFF"/>
        <w:sz w:val="22"/>
      </w:rPr>
      <w:tcPr>
        <w:shd w:val="clear" w:color="4F81BD" w:themeColor="accent1"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cPr>
        <w:tcBorders>
          <w:left w:val="single" w:color="4F81BD" w:themeColor="accent1" w:sz="4" w:space="0"/>
          <w:right w:val="single" w:color="4F81BD" w:themeColor="accent1" w:sz="4" w:space="0"/>
        </w:tcBorders>
      </w:tcPr>
    </w:tblStylePr>
    <w:tblStylePr w:type="band2Vert"/>
    <w:tblStylePr w:type="band1Horz">
      <w:rPr>
        <w:rFonts w:ascii="Arial" w:hAnsi="Arial"/>
        <w:color w:val="404040"/>
        <w:sz w:val="22"/>
      </w:rPr>
      <w:tcPr>
        <w:tcBorders>
          <w:top w:val="single" w:color="4F81BD" w:themeColor="accent1" w:sz="4" w:space="0"/>
          <w:bottom w:val="single" w:color="4F81BD" w:themeColor="accent1" w:sz="4" w:space="0"/>
        </w:tcBorders>
      </w:tcPr>
    </w:tblStylePr>
    <w:tblStylePr w:type="band2Horz"/>
    <w:tblStylePr w:type="neCell"/>
    <w:tblStylePr w:type="nwCell"/>
    <w:tblStylePr w:type="seCell"/>
    <w:tblStylePr w:type="swCell"/>
  </w:style>
  <w:style w:type="table" w:customStyle="1" w:styleId="124">
    <w:name w:val="List Table 3 - Accent 2"/>
    <w:uiPriority w:val="99"/>
    <w:pPr>
      <w:spacing w:after="0" w:line="240" w:lineRule="auto"/>
    </w:pPr>
    <w:tblPr>
      <w:tblBorders>
        <w:top w:val="single" w:color="D99795" w:themeColor="accent2" w:themeTint="97" w:sz="4" w:space="0"/>
        <w:left w:val="single" w:color="D99795" w:themeColor="accent2" w:themeTint="97" w:sz="4" w:space="0"/>
        <w:bottom w:val="single" w:color="D99795" w:themeColor="accent2" w:themeTint="97" w:sz="4" w:space="0"/>
        <w:right w:val="single" w:color="D99795" w:themeColor="accent2" w:themeTint="97" w:sz="4" w:space="0"/>
      </w:tblBorders>
    </w:tblPr>
    <w:tblStylePr w:type="firstRow">
      <w:rPr>
        <w:rFonts w:ascii="Arial" w:hAnsi="Arial"/>
        <w:b/>
        <w:color w:val="FFFFFF"/>
        <w:sz w:val="22"/>
      </w:rPr>
      <w:tcPr>
        <w:shd w:val="clear" w:color="D99795" w:themeColor="accent2" w:themeTint="97" w:fill="D99795"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cPr>
        <w:tcBorders>
          <w:left w:val="single" w:color="D99795" w:themeColor="accent2" w:themeTint="97" w:sz="4" w:space="0"/>
          <w:right w:val="single" w:color="D99795" w:themeColor="accent2" w:themeTint="97" w:sz="4" w:space="0"/>
        </w:tcBorders>
      </w:tcPr>
    </w:tblStylePr>
    <w:tblStylePr w:type="band2Vert"/>
    <w:tblStylePr w:type="band1Horz">
      <w:rPr>
        <w:rFonts w:ascii="Arial" w:hAnsi="Arial"/>
        <w:color w:val="404040"/>
        <w:sz w:val="22"/>
      </w:rPr>
      <w:tcPr>
        <w:tcBorders>
          <w:top w:val="single" w:color="D99795" w:themeColor="accent2" w:themeTint="97" w:sz="4" w:space="0"/>
          <w:bottom w:val="single" w:color="D99795" w:themeColor="accent2" w:themeTint="97" w:sz="4" w:space="0"/>
        </w:tcBorders>
      </w:tcPr>
    </w:tblStylePr>
    <w:tblStylePr w:type="band2Horz"/>
    <w:tblStylePr w:type="neCell"/>
    <w:tblStylePr w:type="nwCell"/>
    <w:tblStylePr w:type="seCell"/>
    <w:tblStylePr w:type="swCell"/>
  </w:style>
  <w:style w:type="table" w:customStyle="1" w:styleId="125">
    <w:name w:val="List Table 3 - Accent 3"/>
    <w:uiPriority w:val="99"/>
    <w:pPr>
      <w:spacing w:after="0" w:line="240" w:lineRule="auto"/>
    </w:pPr>
    <w:tblPr>
      <w:tblBorders>
        <w:top w:val="single" w:color="C3D69C" w:themeColor="accent3" w:themeTint="98" w:sz="4" w:space="0"/>
        <w:left w:val="single" w:color="C3D69C" w:themeColor="accent3" w:themeTint="98" w:sz="4" w:space="0"/>
        <w:bottom w:val="single" w:color="C3D69C" w:themeColor="accent3" w:themeTint="98" w:sz="4" w:space="0"/>
        <w:right w:val="single" w:color="C3D69C" w:themeColor="accent3" w:themeTint="98" w:sz="4" w:space="0"/>
      </w:tblBorders>
    </w:tblPr>
    <w:tblStylePr w:type="firstRow">
      <w:rPr>
        <w:rFonts w:ascii="Arial" w:hAnsi="Arial"/>
        <w:b/>
        <w:color w:val="FFFFFF"/>
        <w:sz w:val="22"/>
      </w:rPr>
      <w:tcPr>
        <w:shd w:val="clear" w:color="C3D69C" w:themeColor="accent3" w:themeTint="98" w:fill="C3D69C"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cPr>
        <w:tcBorders>
          <w:left w:val="single" w:color="C3D69C" w:themeColor="accent3" w:themeTint="98" w:sz="4" w:space="0"/>
          <w:right w:val="single" w:color="C3D69C" w:themeColor="accent3" w:themeTint="98" w:sz="4" w:space="0"/>
        </w:tcBorders>
      </w:tcPr>
    </w:tblStylePr>
    <w:tblStylePr w:type="band2Vert"/>
    <w:tblStylePr w:type="band1Horz">
      <w:rPr>
        <w:rFonts w:ascii="Arial" w:hAnsi="Arial"/>
        <w:color w:val="404040"/>
        <w:sz w:val="22"/>
      </w:rPr>
      <w:tcPr>
        <w:tcBorders>
          <w:top w:val="single" w:color="C3D69C" w:themeColor="accent3" w:themeTint="98" w:sz="4" w:space="0"/>
          <w:bottom w:val="single" w:color="C3D69C" w:themeColor="accent3" w:themeTint="98" w:sz="4" w:space="0"/>
        </w:tcBorders>
      </w:tcPr>
    </w:tblStylePr>
    <w:tblStylePr w:type="band2Horz"/>
    <w:tblStylePr w:type="neCell"/>
    <w:tblStylePr w:type="nwCell"/>
    <w:tblStylePr w:type="seCell"/>
    <w:tblStylePr w:type="swCell"/>
  </w:style>
  <w:style w:type="table" w:customStyle="1" w:styleId="126">
    <w:name w:val="List Table 3 - Accent 4"/>
    <w:uiPriority w:val="99"/>
    <w:pPr>
      <w:spacing w:after="0" w:line="240" w:lineRule="auto"/>
    </w:pPr>
    <w:tblPr>
      <w:tblBorders>
        <w:top w:val="single" w:color="B2A1C6" w:themeColor="accent4" w:themeTint="9A" w:sz="4" w:space="0"/>
        <w:left w:val="single" w:color="B2A1C6" w:themeColor="accent4" w:themeTint="9A" w:sz="4" w:space="0"/>
        <w:bottom w:val="single" w:color="B2A1C6" w:themeColor="accent4" w:themeTint="9A" w:sz="4" w:space="0"/>
        <w:right w:val="single" w:color="B2A1C6" w:themeColor="accent4" w:themeTint="9A" w:sz="4" w:space="0"/>
      </w:tblBorders>
    </w:tblPr>
    <w:tblStylePr w:type="firstRow">
      <w:rPr>
        <w:rFonts w:ascii="Arial" w:hAnsi="Arial"/>
        <w:b/>
        <w:color w:val="FFFFFF"/>
        <w:sz w:val="22"/>
      </w:rPr>
      <w:tcPr>
        <w:shd w:val="clear" w:color="B2A1C6" w:themeColor="accent4" w:themeTint="9A" w:fill="B2A1C6"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cPr>
        <w:tcBorders>
          <w:left w:val="single" w:color="B2A1C6" w:themeColor="accent4" w:themeTint="9A" w:sz="4" w:space="0"/>
          <w:right w:val="single" w:color="B2A1C6" w:themeColor="accent4" w:themeTint="9A" w:sz="4" w:space="0"/>
        </w:tcBorders>
      </w:tcPr>
    </w:tblStylePr>
    <w:tblStylePr w:type="band2Vert"/>
    <w:tblStylePr w:type="band1Horz">
      <w:rPr>
        <w:rFonts w:ascii="Arial" w:hAnsi="Arial"/>
        <w:color w:val="404040"/>
        <w:sz w:val="22"/>
      </w:rPr>
      <w:tcPr>
        <w:tcBorders>
          <w:top w:val="single" w:color="B2A1C6" w:themeColor="accent4" w:themeTint="9A" w:sz="4" w:space="0"/>
          <w:bottom w:val="single" w:color="B2A1C6" w:themeColor="accent4" w:themeTint="9A" w:sz="4" w:space="0"/>
        </w:tcBorders>
      </w:tcPr>
    </w:tblStylePr>
    <w:tblStylePr w:type="band2Horz"/>
    <w:tblStylePr w:type="neCell"/>
    <w:tblStylePr w:type="nwCell"/>
    <w:tblStylePr w:type="seCell"/>
    <w:tblStylePr w:type="swCell"/>
  </w:style>
  <w:style w:type="table" w:customStyle="1" w:styleId="127">
    <w:name w:val="List Table 3 - Accent 5"/>
    <w:qFormat/>
    <w:uiPriority w:val="99"/>
    <w:pPr>
      <w:spacing w:after="0" w:line="240" w:lineRule="auto"/>
    </w:pPr>
    <w:tblPr>
      <w:tblBorders>
        <w:top w:val="single" w:color="92CCDC" w:themeColor="accent5" w:themeTint="9A" w:sz="4" w:space="0"/>
        <w:left w:val="single" w:color="92CCDC" w:themeColor="accent5" w:themeTint="9A" w:sz="4" w:space="0"/>
        <w:bottom w:val="single" w:color="92CCDC" w:themeColor="accent5" w:themeTint="9A" w:sz="4" w:space="0"/>
        <w:right w:val="single" w:color="92CCDC" w:themeColor="accent5" w:themeTint="9A" w:sz="4" w:space="0"/>
      </w:tblBorders>
    </w:tblPr>
    <w:tblStylePr w:type="firstRow">
      <w:rPr>
        <w:rFonts w:ascii="Arial" w:hAnsi="Arial"/>
        <w:b/>
        <w:color w:val="FFFFFF"/>
        <w:sz w:val="22"/>
      </w:rPr>
      <w:tcPr>
        <w:shd w:val="clear" w:color="92CCDC" w:themeColor="accent5" w:themeTint="9A" w:fill="92CCDC"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cPr>
        <w:tcBorders>
          <w:left w:val="single" w:color="92CCDC" w:themeColor="accent5" w:themeTint="9A" w:sz="4" w:space="0"/>
          <w:right w:val="single" w:color="92CCDC" w:themeColor="accent5" w:themeTint="9A" w:sz="4" w:space="0"/>
        </w:tcBorders>
      </w:tcPr>
    </w:tblStylePr>
    <w:tblStylePr w:type="band2Vert"/>
    <w:tblStylePr w:type="band1Horz">
      <w:rPr>
        <w:rFonts w:ascii="Arial" w:hAnsi="Arial"/>
        <w:color w:val="404040"/>
        <w:sz w:val="22"/>
      </w:rPr>
      <w:tcPr>
        <w:tcBorders>
          <w:top w:val="single" w:color="92CCDC" w:themeColor="accent5" w:themeTint="9A" w:sz="4" w:space="0"/>
          <w:bottom w:val="single" w:color="92CCDC" w:themeColor="accent5" w:themeTint="9A" w:sz="4" w:space="0"/>
        </w:tcBorders>
      </w:tcPr>
    </w:tblStylePr>
    <w:tblStylePr w:type="band2Horz"/>
    <w:tblStylePr w:type="neCell"/>
    <w:tblStylePr w:type="nwCell"/>
    <w:tblStylePr w:type="seCell"/>
    <w:tblStylePr w:type="swCell"/>
  </w:style>
  <w:style w:type="table" w:customStyle="1" w:styleId="128">
    <w:name w:val="List Table 3 - Accent 6"/>
    <w:uiPriority w:val="99"/>
    <w:pPr>
      <w:spacing w:after="0" w:line="240" w:lineRule="auto"/>
    </w:pPr>
    <w:tblPr>
      <w:tblBorders>
        <w:top w:val="single" w:color="FAC090" w:themeColor="accent6" w:themeTint="98" w:sz="4" w:space="0"/>
        <w:left w:val="single" w:color="FAC090" w:themeColor="accent6" w:themeTint="98" w:sz="4" w:space="0"/>
        <w:bottom w:val="single" w:color="FAC090" w:themeColor="accent6" w:themeTint="98" w:sz="4" w:space="0"/>
        <w:right w:val="single" w:color="FAC090" w:themeColor="accent6" w:themeTint="98" w:sz="4" w:space="0"/>
      </w:tblBorders>
    </w:tblPr>
    <w:tblStylePr w:type="firstRow">
      <w:rPr>
        <w:rFonts w:ascii="Arial" w:hAnsi="Arial"/>
        <w:b/>
        <w:color w:val="FFFFFF"/>
        <w:sz w:val="22"/>
      </w:rPr>
      <w:tcPr>
        <w:shd w:val="clear" w:color="FAC090" w:themeColor="accent6" w:themeTint="98" w:fill="FAC090"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cPr>
        <w:tcBorders>
          <w:left w:val="single" w:color="FAC090" w:themeColor="accent6" w:themeTint="98" w:sz="4" w:space="0"/>
          <w:right w:val="single" w:color="FAC090" w:themeColor="accent6" w:themeTint="98" w:sz="4" w:space="0"/>
        </w:tcBorders>
      </w:tcPr>
    </w:tblStylePr>
    <w:tblStylePr w:type="band2Vert"/>
    <w:tblStylePr w:type="band1Horz">
      <w:rPr>
        <w:rFonts w:ascii="Arial" w:hAnsi="Arial"/>
        <w:color w:val="404040"/>
        <w:sz w:val="22"/>
      </w:rPr>
      <w:tcPr>
        <w:tcBorders>
          <w:top w:val="single" w:color="FAC090" w:themeColor="accent6" w:themeTint="98" w:sz="4" w:space="0"/>
          <w:bottom w:val="single" w:color="FAC090" w:themeColor="accent6" w:themeTint="98" w:sz="4" w:space="0"/>
        </w:tcBorders>
      </w:tcPr>
    </w:tblStylePr>
    <w:tblStylePr w:type="band2Horz"/>
    <w:tblStylePr w:type="neCell"/>
    <w:tblStylePr w:type="nwCell"/>
    <w:tblStylePr w:type="seCell"/>
    <w:tblStylePr w:type="swCell"/>
  </w:style>
  <w:style w:type="table" w:customStyle="1" w:styleId="129">
    <w:name w:val="List Table 4"/>
    <w:uiPriority w:val="99"/>
    <w:pPr>
      <w:spacing w:after="0" w:line="240" w:lineRule="auto"/>
    </w:p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blStylePr w:type="firstRow">
      <w:rPr>
        <w:rFonts w:ascii="Arial" w:hAnsi="Arial"/>
        <w:b/>
        <w:color w:val="FFFFFF"/>
        <w:sz w:val="22"/>
      </w:r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cPr>
        <w:shd w:val="clear" w:color="BEBEBE" w:themeColor="text1" w:themeTint="40" w:fill="BEBEBE" w:themeFill="text1" w:themeFillTint="40"/>
      </w:tcPr>
    </w:tblStylePr>
    <w:tblStylePr w:type="band2Vert"/>
    <w:tblStylePr w:type="band1Horz">
      <w:rPr>
        <w:rFonts w:ascii="Arial" w:hAnsi="Arial"/>
        <w:color w:val="404040"/>
        <w:sz w:val="22"/>
      </w:rPr>
      <w:tcPr>
        <w:shd w:val="clear" w:color="BEBEBE" w:themeColor="text1" w:themeTint="40" w:fill="BEBEBE" w:themeFill="text1" w:themeFillTint="40"/>
      </w:tcPr>
    </w:tblStylePr>
    <w:tblStylePr w:type="band2Horz"/>
    <w:tblStylePr w:type="neCell"/>
    <w:tblStylePr w:type="nwCell"/>
    <w:tblStylePr w:type="seCell"/>
    <w:tblStylePr w:type="swCell"/>
  </w:style>
  <w:style w:type="table" w:customStyle="1" w:styleId="130">
    <w:name w:val="List Table 4 - Accent 1"/>
    <w:uiPriority w:val="99"/>
    <w:pPr>
      <w:spacing w:after="0" w:line="240" w:lineRule="auto"/>
    </w:pPr>
    <w:tblPr>
      <w:tblBorders>
        <w:top w:val="single" w:color="9BB7D9" w:themeColor="accent1" w:themeTint="90" w:sz="4" w:space="0"/>
        <w:left w:val="single" w:color="9BB7D9" w:themeColor="accent1" w:themeTint="90" w:sz="4" w:space="0"/>
        <w:bottom w:val="single" w:color="9BB7D9" w:themeColor="accent1" w:themeTint="90" w:sz="4" w:space="0"/>
        <w:right w:val="single" w:color="9BB7D9" w:themeColor="accent1" w:themeTint="90" w:sz="4" w:space="0"/>
        <w:insideH w:val="single" w:color="9BB7D9" w:themeColor="accent1" w:themeTint="90" w:sz="4" w:space="0"/>
      </w:tblBorders>
    </w:tblPr>
    <w:tblStylePr w:type="firstRow">
      <w:rPr>
        <w:rFonts w:ascii="Arial" w:hAnsi="Arial"/>
        <w:b/>
        <w:color w:val="FFFFFF"/>
        <w:sz w:val="22"/>
      </w:rPr>
      <w:tcPr>
        <w:shd w:val="clear" w:color="4F81BD" w:themeColor="accent1"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cPr>
        <w:shd w:val="clear" w:color="D2DFEE" w:themeColor="accent1" w:themeTint="40" w:fill="D2DFEE" w:themeFill="accent1" w:themeFillTint="40"/>
      </w:tcPr>
    </w:tblStylePr>
    <w:tblStylePr w:type="band2Vert"/>
    <w:tblStylePr w:type="band1Horz">
      <w:rPr>
        <w:rFonts w:ascii="Arial" w:hAnsi="Arial"/>
        <w:color w:val="404040"/>
        <w:sz w:val="22"/>
      </w:rPr>
      <w:tcPr>
        <w:shd w:val="clear" w:color="D2DFEE" w:themeColor="accent1" w:themeTint="40" w:fill="D2DFEE" w:themeFill="accent1" w:themeFillTint="40"/>
      </w:tcPr>
    </w:tblStylePr>
    <w:tblStylePr w:type="band2Horz"/>
    <w:tblStylePr w:type="neCell"/>
    <w:tblStylePr w:type="nwCell"/>
    <w:tblStylePr w:type="seCell"/>
    <w:tblStylePr w:type="swCell"/>
  </w:style>
  <w:style w:type="table" w:customStyle="1" w:styleId="131">
    <w:name w:val="List Table 4 - Accent 2"/>
    <w:qFormat/>
    <w:uiPriority w:val="99"/>
    <w:pPr>
      <w:spacing w:after="0" w:line="240" w:lineRule="auto"/>
    </w:pPr>
    <w:tblPr>
      <w:tblBorders>
        <w:top w:val="single" w:color="DB9C9A" w:themeColor="accent2" w:themeTint="90" w:sz="4" w:space="0"/>
        <w:left w:val="single" w:color="DB9C9A" w:themeColor="accent2" w:themeTint="90" w:sz="4" w:space="0"/>
        <w:bottom w:val="single" w:color="DB9C9A" w:themeColor="accent2" w:themeTint="90" w:sz="4" w:space="0"/>
        <w:right w:val="single" w:color="DB9C9A" w:themeColor="accent2" w:themeTint="90" w:sz="4" w:space="0"/>
        <w:insideH w:val="single" w:color="DB9C9A" w:themeColor="accent2" w:themeTint="90" w:sz="4" w:space="0"/>
      </w:tblBorders>
    </w:tblPr>
    <w:tblStylePr w:type="firstRow">
      <w:rPr>
        <w:rFonts w:ascii="Arial" w:hAnsi="Arial"/>
        <w:b/>
        <w:color w:val="FFFFFF"/>
        <w:sz w:val="22"/>
      </w:rPr>
      <w:tcPr>
        <w:shd w:val="clear" w:color="C0504D" w:themeColor="accent2" w:fill="C0504D"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cPr>
        <w:shd w:val="clear" w:color="EFD3D2" w:themeColor="accent2" w:themeTint="40" w:fill="EFD3D2" w:themeFill="accent2" w:themeFillTint="40"/>
      </w:tcPr>
    </w:tblStylePr>
    <w:tblStylePr w:type="band2Vert"/>
    <w:tblStylePr w:type="band1Horz">
      <w:rPr>
        <w:rFonts w:ascii="Arial" w:hAnsi="Arial"/>
        <w:color w:val="404040"/>
        <w:sz w:val="22"/>
      </w:rPr>
      <w:tcPr>
        <w:shd w:val="clear" w:color="EFD3D2" w:themeColor="accent2" w:themeTint="40" w:fill="EFD3D2" w:themeFill="accent2" w:themeFillTint="40"/>
      </w:tcPr>
    </w:tblStylePr>
    <w:tblStylePr w:type="band2Horz"/>
    <w:tblStylePr w:type="neCell"/>
    <w:tblStylePr w:type="nwCell"/>
    <w:tblStylePr w:type="seCell"/>
    <w:tblStylePr w:type="swCell"/>
  </w:style>
  <w:style w:type="table" w:customStyle="1" w:styleId="132">
    <w:name w:val="List Table 4 - Accent 3"/>
    <w:uiPriority w:val="99"/>
    <w:pPr>
      <w:spacing w:after="0" w:line="240" w:lineRule="auto"/>
    </w:pPr>
    <w:tblPr>
      <w:tblBorders>
        <w:top w:val="single" w:color="C6D8A1" w:themeColor="accent3" w:themeTint="90" w:sz="4" w:space="0"/>
        <w:left w:val="single" w:color="C6D8A1" w:themeColor="accent3" w:themeTint="90" w:sz="4" w:space="0"/>
        <w:bottom w:val="single" w:color="C6D8A1" w:themeColor="accent3" w:themeTint="90" w:sz="4" w:space="0"/>
        <w:right w:val="single" w:color="C6D8A1" w:themeColor="accent3" w:themeTint="90" w:sz="4" w:space="0"/>
        <w:insideH w:val="single" w:color="C6D8A1" w:themeColor="accent3" w:themeTint="90" w:sz="4" w:space="0"/>
      </w:tblBorders>
    </w:tblPr>
    <w:tblStylePr w:type="firstRow">
      <w:rPr>
        <w:rFonts w:ascii="Arial" w:hAnsi="Arial"/>
        <w:b/>
        <w:color w:val="FFFFFF"/>
        <w:sz w:val="22"/>
      </w:rPr>
      <w:tcPr>
        <w:shd w:val="clear" w:color="9BBB59" w:themeColor="accent3" w:fill="9BBB59"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cPr>
        <w:shd w:val="clear" w:color="E5EDD5" w:themeColor="accent3" w:themeTint="40" w:fill="E5EDD5" w:themeFill="accent3" w:themeFillTint="40"/>
      </w:tcPr>
    </w:tblStylePr>
    <w:tblStylePr w:type="band2Vert"/>
    <w:tblStylePr w:type="band1Horz">
      <w:rPr>
        <w:rFonts w:ascii="Arial" w:hAnsi="Arial"/>
        <w:color w:val="404040"/>
        <w:sz w:val="22"/>
      </w:rPr>
      <w:tcPr>
        <w:shd w:val="clear" w:color="E5EDD5" w:themeColor="accent3" w:themeTint="40" w:fill="E5EDD5" w:themeFill="accent3" w:themeFillTint="40"/>
      </w:tcPr>
    </w:tblStylePr>
    <w:tblStylePr w:type="band2Horz"/>
    <w:tblStylePr w:type="neCell"/>
    <w:tblStylePr w:type="nwCell"/>
    <w:tblStylePr w:type="seCell"/>
    <w:tblStylePr w:type="swCell"/>
  </w:style>
  <w:style w:type="table" w:customStyle="1" w:styleId="133">
    <w:name w:val="List Table 4 - Accent 4"/>
    <w:qFormat/>
    <w:uiPriority w:val="99"/>
    <w:pPr>
      <w:spacing w:after="0" w:line="240" w:lineRule="auto"/>
    </w:pPr>
    <w:tblPr>
      <w:tblBorders>
        <w:top w:val="single" w:color="B7A7CA" w:themeColor="accent4" w:themeTint="90" w:sz="4" w:space="0"/>
        <w:left w:val="single" w:color="B7A7CA" w:themeColor="accent4" w:themeTint="90" w:sz="4" w:space="0"/>
        <w:bottom w:val="single" w:color="B7A7CA" w:themeColor="accent4" w:themeTint="90" w:sz="4" w:space="0"/>
        <w:right w:val="single" w:color="B7A7CA" w:themeColor="accent4" w:themeTint="90" w:sz="4" w:space="0"/>
        <w:insideH w:val="single" w:color="B7A7CA" w:themeColor="accent4" w:themeTint="90" w:sz="4" w:space="0"/>
      </w:tblBorders>
    </w:tblPr>
    <w:tblStylePr w:type="firstRow">
      <w:rPr>
        <w:rFonts w:ascii="Arial" w:hAnsi="Arial"/>
        <w:b/>
        <w:color w:val="FFFFFF"/>
        <w:sz w:val="22"/>
      </w:rPr>
      <w:tcPr>
        <w:shd w:val="clear" w:color="8064A2" w:themeColor="accent4" w:fill="8064A2"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cPr>
        <w:shd w:val="clear" w:color="DFD8E7" w:themeColor="accent4" w:themeTint="40" w:fill="DFD8E7" w:themeFill="accent4" w:themeFillTint="40"/>
      </w:tcPr>
    </w:tblStylePr>
    <w:tblStylePr w:type="band2Vert"/>
    <w:tblStylePr w:type="band1Horz">
      <w:rPr>
        <w:rFonts w:ascii="Arial" w:hAnsi="Arial"/>
        <w:color w:val="404040"/>
        <w:sz w:val="22"/>
      </w:rPr>
      <w:tcPr>
        <w:shd w:val="clear" w:color="DFD8E7" w:themeColor="accent4" w:themeTint="40" w:fill="DFD8E7" w:themeFill="accent4" w:themeFillTint="40"/>
      </w:tcPr>
    </w:tblStylePr>
    <w:tblStylePr w:type="band2Horz"/>
    <w:tblStylePr w:type="neCell"/>
    <w:tblStylePr w:type="nwCell"/>
    <w:tblStylePr w:type="seCell"/>
    <w:tblStylePr w:type="swCell"/>
  </w:style>
  <w:style w:type="table" w:customStyle="1" w:styleId="134">
    <w:name w:val="List Table 4 - Accent 5"/>
    <w:uiPriority w:val="99"/>
    <w:pPr>
      <w:spacing w:after="0" w:line="240" w:lineRule="auto"/>
    </w:pPr>
    <w:tblPr>
      <w:tblBorders>
        <w:top w:val="single" w:color="99D0DE" w:themeColor="accent5" w:themeTint="90" w:sz="4" w:space="0"/>
        <w:left w:val="single" w:color="99D0DE" w:themeColor="accent5" w:themeTint="90" w:sz="4" w:space="0"/>
        <w:bottom w:val="single" w:color="99D0DE" w:themeColor="accent5" w:themeTint="90" w:sz="4" w:space="0"/>
        <w:right w:val="single" w:color="99D0DE" w:themeColor="accent5" w:themeTint="90" w:sz="4" w:space="0"/>
        <w:insideH w:val="single" w:color="99D0DE" w:themeColor="accent5" w:themeTint="90" w:sz="4" w:space="0"/>
      </w:tblBorders>
    </w:tblPr>
    <w:tblStylePr w:type="firstRow">
      <w:rPr>
        <w:rFonts w:ascii="Arial" w:hAnsi="Arial"/>
        <w:b/>
        <w:color w:val="FFFFFF"/>
        <w:sz w:val="22"/>
      </w:rPr>
      <w:tcPr>
        <w:shd w:val="clear" w:color="4BACC6" w:themeColor="accent5" w:fill="4BACC6"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cPr>
        <w:shd w:val="clear" w:color="D1EAF0" w:themeColor="accent5" w:themeTint="40" w:fill="D1EAF0" w:themeFill="accent5" w:themeFillTint="40"/>
      </w:tcPr>
    </w:tblStylePr>
    <w:tblStylePr w:type="band2Vert"/>
    <w:tblStylePr w:type="band1Horz">
      <w:rPr>
        <w:rFonts w:ascii="Arial" w:hAnsi="Arial"/>
        <w:color w:val="404040"/>
        <w:sz w:val="22"/>
      </w:rPr>
      <w:tcPr>
        <w:shd w:val="clear" w:color="D1EAF0" w:themeColor="accent5" w:themeTint="40" w:fill="D1EAF0" w:themeFill="accent5" w:themeFillTint="40"/>
      </w:tcPr>
    </w:tblStylePr>
    <w:tblStylePr w:type="band2Horz"/>
    <w:tblStylePr w:type="neCell"/>
    <w:tblStylePr w:type="nwCell"/>
    <w:tblStylePr w:type="seCell"/>
    <w:tblStylePr w:type="swCell"/>
  </w:style>
  <w:style w:type="table" w:customStyle="1" w:styleId="135">
    <w:name w:val="List Table 4 - Accent 6"/>
    <w:uiPriority w:val="99"/>
    <w:pPr>
      <w:spacing w:after="0" w:line="240" w:lineRule="auto"/>
    </w:pPr>
    <w:tblPr>
      <w:tblBorders>
        <w:top w:val="single" w:color="FAC396" w:themeColor="accent6" w:themeTint="90" w:sz="4" w:space="0"/>
        <w:left w:val="single" w:color="FAC396" w:themeColor="accent6" w:themeTint="90" w:sz="4" w:space="0"/>
        <w:bottom w:val="single" w:color="FAC396" w:themeColor="accent6" w:themeTint="90" w:sz="4" w:space="0"/>
        <w:right w:val="single" w:color="FAC396" w:themeColor="accent6" w:themeTint="90" w:sz="4" w:space="0"/>
        <w:insideH w:val="single" w:color="FAC396" w:themeColor="accent6" w:themeTint="90" w:sz="4" w:space="0"/>
      </w:tblBorders>
    </w:tblPr>
    <w:tblStylePr w:type="firstRow">
      <w:rPr>
        <w:rFonts w:ascii="Arial" w:hAnsi="Arial"/>
        <w:b/>
        <w:color w:val="FFFFFF"/>
        <w:sz w:val="22"/>
      </w:rPr>
      <w:tcPr>
        <w:shd w:val="clear" w:color="F79646" w:themeColor="accent6" w:fill="F79646"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cPr>
        <w:shd w:val="clear" w:color="FCE4D0" w:themeColor="accent6" w:themeTint="40" w:fill="FCE4D0" w:themeFill="accent6" w:themeFillTint="40"/>
      </w:tcPr>
    </w:tblStylePr>
    <w:tblStylePr w:type="band2Vert"/>
    <w:tblStylePr w:type="band1Horz">
      <w:rPr>
        <w:rFonts w:ascii="Arial" w:hAnsi="Arial"/>
        <w:color w:val="404040"/>
        <w:sz w:val="22"/>
      </w:rPr>
      <w:tcPr>
        <w:shd w:val="clear" w:color="FCE4D0" w:themeColor="accent6" w:themeTint="40" w:fill="FCE4D0" w:themeFill="accent6" w:themeFillTint="40"/>
      </w:tcPr>
    </w:tblStylePr>
    <w:tblStylePr w:type="band2Horz"/>
    <w:tblStylePr w:type="neCell"/>
    <w:tblStylePr w:type="nwCell"/>
    <w:tblStylePr w:type="seCell"/>
    <w:tblStylePr w:type="swCell"/>
  </w:style>
  <w:style w:type="table" w:customStyle="1" w:styleId="136">
    <w:name w:val="List Table 5 Dark"/>
    <w:uiPriority w:val="99"/>
    <w:pPr>
      <w:spacing w:after="0" w:line="240" w:lineRule="auto"/>
    </w:pPr>
    <w:tblPr>
      <w:tblBorders>
        <w:top w:val="single" w:color="7E7E7E" w:themeColor="text1" w:themeTint="80" w:sz="32" w:space="0"/>
        <w:left w:val="single" w:color="7E7E7E" w:themeColor="text1" w:themeTint="80" w:sz="32" w:space="0"/>
        <w:bottom w:val="single" w:color="7E7E7E" w:themeColor="text1" w:themeTint="80" w:sz="32" w:space="0"/>
        <w:right w:val="single" w:color="7E7E7E" w:themeColor="text1" w:themeTint="80" w:sz="32" w:space="0"/>
      </w:tblBorders>
    </w:tblPr>
    <w:tblStylePr w:type="firstRow">
      <w:rPr>
        <w:rFonts w:ascii="Arial" w:hAnsi="Arial"/>
        <w:b/>
        <w:color w:val="FFFFFF" w:themeColor="light1"/>
        <w:sz w:val="22"/>
      </w:rPr>
      <w:tcPr>
        <w:tcBorders>
          <w:top w:val="single" w:color="7E7E7E" w:themeColor="text1" w:themeTint="80" w:sz="32" w:space="0"/>
          <w:bottom w:val="single" w:color="FFFFFF" w:themeColor="light1" w:sz="12" w:space="0"/>
        </w:tcBorders>
        <w:shd w:val="clear" w:color="7E7E7E" w:themeColor="text1" w:themeTint="80" w:fill="7E7E7E"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cPr>
        <w:tcBorders>
          <w:left w:val="single" w:color="7E7E7E" w:themeColor="text1" w:themeTint="80" w:sz="32" w:space="0"/>
          <w:right w:val="single" w:color="FFFFFF" w:themeColor="light1" w:sz="4" w:space="0"/>
        </w:tcBorders>
      </w:tcPr>
    </w:tblStylePr>
    <w:tblStylePr w:type="lastCol">
      <w:tcPr>
        <w:tcBorders>
          <w:left w:val="single" w:color="FFFFFF" w:themeColor="light1" w:sz="4" w:space="0"/>
          <w:right w:val="single" w:color="7E7E7E" w:themeColor="text1" w:themeTint="80" w:sz="32" w:space="0"/>
        </w:tcBorders>
      </w:tcPr>
    </w:tblStylePr>
    <w:tblStylePr w:type="band1Vert">
      <w:tcPr>
        <w:tcBorders>
          <w:left w:val="single" w:color="FFFFFF" w:themeColor="light1" w:sz="4" w:space="0"/>
          <w:right w:val="single" w:color="FFFFFF" w:themeColor="light1" w:sz="4" w:space="0"/>
        </w:tcBorders>
        <w:shd w:val="clear" w:color="7E7E7E" w:themeColor="text1" w:themeTint="80" w:fill="7E7E7E" w:themeFill="text1" w:themeFillTint="80"/>
      </w:tcPr>
    </w:tblStylePr>
    <w:tblStylePr w:type="band2Vert">
      <w:tcPr>
        <w:tcBorders>
          <w:left w:val="single" w:color="FFFFFF" w:themeColor="light1" w:sz="4" w:space="0"/>
          <w:right w:val="single" w:color="FFFFFF" w:themeColor="light1" w:sz="4" w:space="0"/>
        </w:tcBorders>
      </w:tcPr>
    </w:tblStylePr>
    <w:tblStylePr w:type="band1Horz">
      <w:tcPr>
        <w:tcBorders>
          <w:top w:val="single" w:color="FFFFFF" w:themeColor="light1" w:sz="4" w:space="0"/>
          <w:bottom w:val="single" w:color="FFFFFF" w:themeColor="light1" w:sz="4" w:space="0"/>
        </w:tcBorders>
        <w:shd w:val="clear" w:color="7E7E7E" w:themeColor="text1" w:themeTint="80" w:fill="7E7E7E" w:themeFill="text1" w:themeFillTint="80"/>
      </w:tcPr>
    </w:tblStylePr>
    <w:tblStylePr w:type="band2Horz">
      <w:tcPr>
        <w:tcBorders>
          <w:top w:val="single" w:color="FFFFFF" w:themeColor="light1" w:sz="4" w:space="0"/>
          <w:bottom w:val="single" w:color="FFFFFF" w:themeColor="light1" w:sz="4" w:space="0"/>
        </w:tcBorders>
        <w:shd w:val="clear" w:color="7E7E7E" w:themeColor="text1" w:themeTint="80" w:fill="7E7E7E" w:themeFill="text1" w:themeFillTint="80"/>
      </w:tcPr>
    </w:tblStylePr>
    <w:tblStylePr w:type="neCell"/>
    <w:tblStylePr w:type="nwCell"/>
    <w:tblStylePr w:type="seCell"/>
    <w:tblStylePr w:type="swCell"/>
  </w:style>
  <w:style w:type="table" w:customStyle="1" w:styleId="137">
    <w:name w:val="List Table 5 Dark - Accent 1"/>
    <w:uiPriority w:val="99"/>
    <w:pPr>
      <w:spacing w:after="0" w:line="240" w:lineRule="auto"/>
    </w:pPr>
    <w:tblPr>
      <w:tblBorders>
        <w:top w:val="single" w:color="4F81BD" w:themeColor="accent1" w:sz="32" w:space="0"/>
        <w:left w:val="single" w:color="4F81BD" w:themeColor="accent1" w:sz="32" w:space="0"/>
        <w:bottom w:val="single" w:color="4F81BD" w:themeColor="accent1" w:sz="32" w:space="0"/>
        <w:right w:val="single" w:color="4F81BD" w:themeColor="accent1" w:sz="32" w:space="0"/>
      </w:tblBorders>
    </w:tblPr>
    <w:tblStylePr w:type="firstRow">
      <w:rPr>
        <w:rFonts w:ascii="Arial" w:hAnsi="Arial"/>
        <w:b/>
        <w:color w:val="FFFFFF" w:themeColor="light1"/>
        <w:sz w:val="22"/>
      </w:rPr>
      <w:tcPr>
        <w:tcBorders>
          <w:top w:val="single" w:color="4F81BD" w:themeColor="accent1" w:sz="32" w:space="0"/>
          <w:bottom w:val="single" w:color="FFFFFF" w:themeColor="light1" w:sz="12" w:space="0"/>
        </w:tcBorders>
        <w:shd w:val="clear" w:color="4F81BD" w:themeColor="accent1" w:fill="4F81BD"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cPr>
        <w:tcBorders>
          <w:left w:val="single" w:color="4F81BD" w:themeColor="accent1" w:sz="32" w:space="0"/>
          <w:right w:val="single" w:color="FFFFFF" w:themeColor="light1" w:sz="4" w:space="0"/>
        </w:tcBorders>
      </w:tcPr>
    </w:tblStylePr>
    <w:tblStylePr w:type="lastCol">
      <w:tcPr>
        <w:tcBorders>
          <w:left w:val="single" w:color="FFFFFF" w:themeColor="light1" w:sz="4" w:space="0"/>
          <w:right w:val="single" w:color="4F81BD" w:themeColor="accent1" w:sz="32" w:space="0"/>
        </w:tcBorders>
      </w:tcPr>
    </w:tblStylePr>
    <w:tblStylePr w:type="band1Vert">
      <w:tcPr>
        <w:tcBorders>
          <w:left w:val="single" w:color="FFFFFF" w:themeColor="light1" w:sz="4" w:space="0"/>
          <w:right w:val="single" w:color="FFFFFF" w:themeColor="light1" w:sz="4" w:space="0"/>
        </w:tcBorders>
        <w:shd w:val="clear" w:color="4F81BD" w:themeColor="accent1" w:fill="4F81BD" w:themeFill="accent1"/>
      </w:tcPr>
    </w:tblStylePr>
    <w:tblStylePr w:type="band2Vert">
      <w:tcPr>
        <w:tcBorders>
          <w:left w:val="single" w:color="FFFFFF" w:themeColor="light1" w:sz="4" w:space="0"/>
          <w:right w:val="single" w:color="FFFFFF" w:themeColor="light1" w:sz="4" w:space="0"/>
        </w:tcBorders>
      </w:tcPr>
    </w:tblStylePr>
    <w:tblStylePr w:type="band1Horz">
      <w:tcPr>
        <w:tcBorders>
          <w:top w:val="single" w:color="FFFFFF" w:themeColor="light1" w:sz="4" w:space="0"/>
          <w:bottom w:val="single" w:color="FFFFFF" w:themeColor="light1" w:sz="4" w:space="0"/>
        </w:tcBorders>
        <w:shd w:val="clear" w:color="4F81BD" w:themeColor="accent1" w:fill="4F81BD" w:themeFill="accent1"/>
      </w:tcPr>
    </w:tblStylePr>
    <w:tblStylePr w:type="band2Horz">
      <w:tcPr>
        <w:tcBorders>
          <w:top w:val="single" w:color="FFFFFF" w:themeColor="light1" w:sz="4" w:space="0"/>
          <w:bottom w:val="single" w:color="FFFFFF" w:themeColor="light1" w:sz="4" w:space="0"/>
        </w:tcBorders>
        <w:shd w:val="clear" w:color="4F81BD" w:themeColor="accent1" w:fill="4F81BD" w:themeFill="accent1"/>
      </w:tcPr>
    </w:tblStylePr>
    <w:tblStylePr w:type="neCell"/>
    <w:tblStylePr w:type="nwCell"/>
    <w:tblStylePr w:type="seCell"/>
    <w:tblStylePr w:type="swCell"/>
  </w:style>
  <w:style w:type="table" w:customStyle="1" w:styleId="138">
    <w:name w:val="List Table 5 Dark - Accent 2"/>
    <w:uiPriority w:val="99"/>
    <w:pPr>
      <w:spacing w:after="0" w:line="240" w:lineRule="auto"/>
    </w:pPr>
    <w:tblPr>
      <w:tblBorders>
        <w:top w:val="single" w:color="D99795" w:themeColor="accent2" w:themeTint="97" w:sz="32" w:space="0"/>
        <w:left w:val="single" w:color="D99795" w:themeColor="accent2" w:themeTint="97" w:sz="32" w:space="0"/>
        <w:bottom w:val="single" w:color="D99795" w:themeColor="accent2" w:themeTint="97" w:sz="32" w:space="0"/>
        <w:right w:val="single" w:color="D99795" w:themeColor="accent2" w:themeTint="97" w:sz="32" w:space="0"/>
      </w:tblBorders>
    </w:tblPr>
    <w:tblStylePr w:type="firstRow">
      <w:rPr>
        <w:rFonts w:ascii="Arial" w:hAnsi="Arial"/>
        <w:b/>
        <w:color w:val="FFFFFF" w:themeColor="light1"/>
        <w:sz w:val="22"/>
      </w:rPr>
      <w:tcPr>
        <w:tcBorders>
          <w:top w:val="single" w:color="D99795" w:themeColor="accent2" w:themeTint="97" w:sz="32" w:space="0"/>
          <w:bottom w:val="single" w:color="FFFFFF" w:themeColor="light1" w:sz="12" w:space="0"/>
        </w:tcBorders>
        <w:shd w:val="clear" w:color="D99795" w:themeColor="accent2" w:themeTint="97" w:fill="D99795"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cPr>
        <w:tcBorders>
          <w:left w:val="single" w:color="D99795" w:themeColor="accent2" w:themeTint="97" w:sz="32" w:space="0"/>
          <w:right w:val="single" w:color="FFFFFF" w:themeColor="light1" w:sz="4" w:space="0"/>
        </w:tcBorders>
      </w:tcPr>
    </w:tblStylePr>
    <w:tblStylePr w:type="lastCol">
      <w:tcPr>
        <w:tcBorders>
          <w:left w:val="single" w:color="FFFFFF" w:themeColor="light1" w:sz="4" w:space="0"/>
          <w:right w:val="single" w:color="D99795" w:themeColor="accent2" w:themeTint="97" w:sz="32" w:space="0"/>
        </w:tcBorders>
      </w:tcPr>
    </w:tblStylePr>
    <w:tblStylePr w:type="band1Vert">
      <w:tcPr>
        <w:tcBorders>
          <w:left w:val="single" w:color="FFFFFF" w:themeColor="light1" w:sz="4" w:space="0"/>
          <w:right w:val="single" w:color="FFFFFF" w:themeColor="light1" w:sz="4" w:space="0"/>
        </w:tcBorders>
        <w:shd w:val="clear" w:color="D99795" w:themeColor="accent2" w:themeTint="97" w:fill="D99795" w:themeFill="accent2" w:themeFillTint="97"/>
      </w:tcPr>
    </w:tblStylePr>
    <w:tblStylePr w:type="band2Vert">
      <w:tcPr>
        <w:tcBorders>
          <w:left w:val="single" w:color="FFFFFF" w:themeColor="light1" w:sz="4" w:space="0"/>
          <w:right w:val="single" w:color="FFFFFF" w:themeColor="light1" w:sz="4" w:space="0"/>
        </w:tcBorders>
      </w:tcPr>
    </w:tblStylePr>
    <w:tblStylePr w:type="band1Horz">
      <w:tcPr>
        <w:tcBorders>
          <w:top w:val="single" w:color="FFFFFF" w:themeColor="light1" w:sz="4" w:space="0"/>
          <w:bottom w:val="single" w:color="FFFFFF" w:themeColor="light1" w:sz="4" w:space="0"/>
        </w:tcBorders>
        <w:shd w:val="clear" w:color="D99795" w:themeColor="accent2" w:themeTint="97" w:fill="D99795" w:themeFill="accent2" w:themeFillTint="97"/>
      </w:tcPr>
    </w:tblStylePr>
    <w:tblStylePr w:type="band2Horz">
      <w:tcPr>
        <w:tcBorders>
          <w:top w:val="single" w:color="FFFFFF" w:themeColor="light1" w:sz="4" w:space="0"/>
          <w:bottom w:val="single" w:color="FFFFFF" w:themeColor="light1" w:sz="4" w:space="0"/>
        </w:tcBorders>
        <w:shd w:val="clear" w:color="D99795" w:themeColor="accent2" w:themeTint="97" w:fill="D99795" w:themeFill="accent2" w:themeFillTint="97"/>
      </w:tcPr>
    </w:tblStylePr>
    <w:tblStylePr w:type="neCell"/>
    <w:tblStylePr w:type="nwCell"/>
    <w:tblStylePr w:type="seCell"/>
    <w:tblStylePr w:type="swCell"/>
  </w:style>
  <w:style w:type="table" w:customStyle="1" w:styleId="139">
    <w:name w:val="List Table 5 Dark - Accent 3"/>
    <w:uiPriority w:val="99"/>
    <w:pPr>
      <w:spacing w:after="0" w:line="240" w:lineRule="auto"/>
    </w:pPr>
    <w:tblPr>
      <w:tblBorders>
        <w:top w:val="single" w:color="C3D69C" w:themeColor="accent3" w:themeTint="98" w:sz="32" w:space="0"/>
        <w:left w:val="single" w:color="C3D69C" w:themeColor="accent3" w:themeTint="98" w:sz="32" w:space="0"/>
        <w:bottom w:val="single" w:color="C3D69C" w:themeColor="accent3" w:themeTint="98" w:sz="32" w:space="0"/>
        <w:right w:val="single" w:color="C3D69C" w:themeColor="accent3" w:themeTint="98" w:sz="32" w:space="0"/>
      </w:tblBorders>
    </w:tblPr>
    <w:tblStylePr w:type="firstRow">
      <w:rPr>
        <w:rFonts w:ascii="Arial" w:hAnsi="Arial"/>
        <w:b/>
        <w:color w:val="FFFFFF" w:themeColor="light1"/>
        <w:sz w:val="22"/>
      </w:rPr>
      <w:tcPr>
        <w:tcBorders>
          <w:top w:val="single" w:color="C3D69C" w:themeColor="accent3" w:themeTint="98" w:sz="32" w:space="0"/>
          <w:bottom w:val="single" w:color="FFFFFF" w:themeColor="light1" w:sz="12" w:space="0"/>
        </w:tcBorders>
        <w:shd w:val="clear" w:color="C3D69C" w:themeColor="accent3" w:themeTint="98" w:fill="C3D69C"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cPr>
        <w:tcBorders>
          <w:left w:val="single" w:color="C3D69C" w:themeColor="accent3" w:themeTint="98" w:sz="32" w:space="0"/>
          <w:right w:val="single" w:color="FFFFFF" w:themeColor="light1" w:sz="4" w:space="0"/>
        </w:tcBorders>
      </w:tcPr>
    </w:tblStylePr>
    <w:tblStylePr w:type="lastCol">
      <w:tcPr>
        <w:tcBorders>
          <w:left w:val="single" w:color="FFFFFF" w:themeColor="light1" w:sz="4" w:space="0"/>
          <w:right w:val="single" w:color="C3D69C" w:themeColor="accent3" w:themeTint="98" w:sz="32" w:space="0"/>
        </w:tcBorders>
      </w:tcPr>
    </w:tblStylePr>
    <w:tblStylePr w:type="band1Vert">
      <w:tcPr>
        <w:tcBorders>
          <w:left w:val="single" w:color="FFFFFF" w:themeColor="light1" w:sz="4" w:space="0"/>
          <w:right w:val="single" w:color="FFFFFF" w:themeColor="light1" w:sz="4" w:space="0"/>
        </w:tcBorders>
        <w:shd w:val="clear" w:color="C3D69C" w:themeColor="accent3" w:themeTint="98" w:fill="C3D69C" w:themeFill="accent3" w:themeFillTint="98"/>
      </w:tcPr>
    </w:tblStylePr>
    <w:tblStylePr w:type="band2Vert">
      <w:tcPr>
        <w:tcBorders>
          <w:left w:val="single" w:color="FFFFFF" w:themeColor="light1" w:sz="4" w:space="0"/>
          <w:right w:val="single" w:color="FFFFFF" w:themeColor="light1" w:sz="4" w:space="0"/>
        </w:tcBorders>
      </w:tcPr>
    </w:tblStylePr>
    <w:tblStylePr w:type="band1Horz">
      <w:tcPr>
        <w:tcBorders>
          <w:top w:val="single" w:color="FFFFFF" w:themeColor="light1" w:sz="4" w:space="0"/>
          <w:bottom w:val="single" w:color="FFFFFF" w:themeColor="light1" w:sz="4" w:space="0"/>
        </w:tcBorders>
        <w:shd w:val="clear" w:color="C3D69C" w:themeColor="accent3" w:themeTint="98" w:fill="C3D69C" w:themeFill="accent3" w:themeFillTint="98"/>
      </w:tcPr>
    </w:tblStylePr>
    <w:tblStylePr w:type="band2Horz">
      <w:tcPr>
        <w:tcBorders>
          <w:top w:val="single" w:color="FFFFFF" w:themeColor="light1" w:sz="4" w:space="0"/>
          <w:bottom w:val="single" w:color="FFFFFF" w:themeColor="light1" w:sz="4" w:space="0"/>
        </w:tcBorders>
        <w:shd w:val="clear" w:color="C3D69C" w:themeColor="accent3" w:themeTint="98" w:fill="C3D69C" w:themeFill="accent3" w:themeFillTint="98"/>
      </w:tcPr>
    </w:tblStylePr>
    <w:tblStylePr w:type="neCell"/>
    <w:tblStylePr w:type="nwCell"/>
    <w:tblStylePr w:type="seCell"/>
    <w:tblStylePr w:type="swCell"/>
  </w:style>
  <w:style w:type="table" w:customStyle="1" w:styleId="140">
    <w:name w:val="List Table 5 Dark - Accent 4"/>
    <w:qFormat/>
    <w:uiPriority w:val="99"/>
    <w:pPr>
      <w:spacing w:after="0" w:line="240" w:lineRule="auto"/>
    </w:pPr>
    <w:tblPr>
      <w:tblBorders>
        <w:top w:val="single" w:color="B2A1C6" w:themeColor="accent4" w:themeTint="9A" w:sz="32" w:space="0"/>
        <w:left w:val="single" w:color="B2A1C6" w:themeColor="accent4" w:themeTint="9A" w:sz="32" w:space="0"/>
        <w:bottom w:val="single" w:color="B2A1C6" w:themeColor="accent4" w:themeTint="9A" w:sz="32" w:space="0"/>
        <w:right w:val="single" w:color="B2A1C6" w:themeColor="accent4" w:themeTint="9A" w:sz="32" w:space="0"/>
      </w:tblBorders>
    </w:tblPr>
    <w:tblStylePr w:type="firstRow">
      <w:rPr>
        <w:rFonts w:ascii="Arial" w:hAnsi="Arial"/>
        <w:b/>
        <w:color w:val="FFFFFF" w:themeColor="light1"/>
        <w:sz w:val="22"/>
      </w:rPr>
      <w:tcPr>
        <w:tcBorders>
          <w:top w:val="single" w:color="B2A1C6" w:themeColor="accent4" w:themeTint="9A" w:sz="32" w:space="0"/>
          <w:bottom w:val="single" w:color="FFFFFF" w:themeColor="light1" w:sz="12" w:space="0"/>
        </w:tcBorders>
        <w:shd w:val="clear" w:color="B2A1C6" w:themeColor="accent4" w:themeTint="9A" w:fill="B2A1C6"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cPr>
        <w:tcBorders>
          <w:left w:val="single" w:color="B2A1C6" w:themeColor="accent4" w:themeTint="9A" w:sz="32" w:space="0"/>
          <w:right w:val="single" w:color="FFFFFF" w:themeColor="light1" w:sz="4" w:space="0"/>
        </w:tcBorders>
      </w:tcPr>
    </w:tblStylePr>
    <w:tblStylePr w:type="lastCol">
      <w:tcPr>
        <w:tcBorders>
          <w:left w:val="single" w:color="FFFFFF" w:themeColor="light1" w:sz="4" w:space="0"/>
          <w:right w:val="single" w:color="B2A1C6" w:themeColor="accent4" w:themeTint="9A" w:sz="32" w:space="0"/>
        </w:tcBorders>
      </w:tcPr>
    </w:tblStylePr>
    <w:tblStylePr w:type="band1Vert">
      <w:tcPr>
        <w:tcBorders>
          <w:left w:val="single" w:color="FFFFFF" w:themeColor="light1" w:sz="4" w:space="0"/>
          <w:right w:val="single" w:color="FFFFFF" w:themeColor="light1" w:sz="4" w:space="0"/>
        </w:tcBorders>
        <w:shd w:val="clear" w:color="B2A1C6" w:themeColor="accent4" w:themeTint="9A" w:fill="B2A1C6" w:themeFill="accent4" w:themeFillTint="9A"/>
      </w:tcPr>
    </w:tblStylePr>
    <w:tblStylePr w:type="band2Vert">
      <w:tcPr>
        <w:tcBorders>
          <w:left w:val="single" w:color="FFFFFF" w:themeColor="light1" w:sz="4" w:space="0"/>
          <w:right w:val="single" w:color="FFFFFF" w:themeColor="light1" w:sz="4" w:space="0"/>
        </w:tcBorders>
      </w:tcPr>
    </w:tblStylePr>
    <w:tblStylePr w:type="band1Horz">
      <w:tcPr>
        <w:tcBorders>
          <w:top w:val="single" w:color="FFFFFF" w:themeColor="light1" w:sz="4" w:space="0"/>
          <w:bottom w:val="single" w:color="FFFFFF" w:themeColor="light1" w:sz="4" w:space="0"/>
        </w:tcBorders>
        <w:shd w:val="clear" w:color="B2A1C6" w:themeColor="accent4" w:themeTint="9A" w:fill="B2A1C6" w:themeFill="accent4" w:themeFillTint="9A"/>
      </w:tcPr>
    </w:tblStylePr>
    <w:tblStylePr w:type="band2Horz">
      <w:tcPr>
        <w:tcBorders>
          <w:top w:val="single" w:color="FFFFFF" w:themeColor="light1" w:sz="4" w:space="0"/>
          <w:bottom w:val="single" w:color="FFFFFF" w:themeColor="light1" w:sz="4" w:space="0"/>
        </w:tcBorders>
        <w:shd w:val="clear" w:color="B2A1C6" w:themeColor="accent4" w:themeTint="9A" w:fill="B2A1C6" w:themeFill="accent4" w:themeFillTint="9A"/>
      </w:tcPr>
    </w:tblStylePr>
    <w:tblStylePr w:type="neCell"/>
    <w:tblStylePr w:type="nwCell"/>
    <w:tblStylePr w:type="seCell"/>
    <w:tblStylePr w:type="swCell"/>
  </w:style>
  <w:style w:type="table" w:customStyle="1" w:styleId="141">
    <w:name w:val="List Table 5 Dark - Accent 5"/>
    <w:uiPriority w:val="99"/>
    <w:pPr>
      <w:spacing w:after="0" w:line="240" w:lineRule="auto"/>
    </w:pPr>
    <w:tblPr>
      <w:tblBorders>
        <w:top w:val="single" w:color="92CCDC" w:themeColor="accent5" w:themeTint="9A" w:sz="32" w:space="0"/>
        <w:left w:val="single" w:color="92CCDC" w:themeColor="accent5" w:themeTint="9A" w:sz="32" w:space="0"/>
        <w:bottom w:val="single" w:color="92CCDC" w:themeColor="accent5" w:themeTint="9A" w:sz="32" w:space="0"/>
        <w:right w:val="single" w:color="92CCDC" w:themeColor="accent5" w:themeTint="9A" w:sz="32" w:space="0"/>
      </w:tblBorders>
    </w:tblPr>
    <w:tblStylePr w:type="firstRow">
      <w:rPr>
        <w:rFonts w:ascii="Arial" w:hAnsi="Arial"/>
        <w:b/>
        <w:color w:val="FFFFFF" w:themeColor="light1"/>
        <w:sz w:val="22"/>
      </w:rPr>
      <w:tcPr>
        <w:tcBorders>
          <w:top w:val="single" w:color="92CCDC" w:themeColor="accent5" w:themeTint="9A" w:sz="32" w:space="0"/>
          <w:bottom w:val="single" w:color="FFFFFF" w:themeColor="light1" w:sz="12" w:space="0"/>
        </w:tcBorders>
        <w:shd w:val="clear" w:color="92CCDC" w:themeColor="accent5" w:themeTint="9A" w:fill="92CCDC"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cPr>
        <w:tcBorders>
          <w:left w:val="single" w:color="92CCDC" w:themeColor="accent5" w:themeTint="9A" w:sz="32" w:space="0"/>
          <w:right w:val="single" w:color="FFFFFF" w:themeColor="light1" w:sz="4" w:space="0"/>
        </w:tcBorders>
      </w:tcPr>
    </w:tblStylePr>
    <w:tblStylePr w:type="lastCol">
      <w:tcPr>
        <w:tcBorders>
          <w:left w:val="single" w:color="FFFFFF" w:themeColor="light1" w:sz="4" w:space="0"/>
          <w:right w:val="single" w:color="92CCDC" w:themeColor="accent5" w:themeTint="9A" w:sz="32" w:space="0"/>
        </w:tcBorders>
      </w:tcPr>
    </w:tblStylePr>
    <w:tblStylePr w:type="band1Vert">
      <w:tcPr>
        <w:tcBorders>
          <w:left w:val="single" w:color="FFFFFF" w:themeColor="light1" w:sz="4" w:space="0"/>
          <w:right w:val="single" w:color="FFFFFF" w:themeColor="light1" w:sz="4" w:space="0"/>
        </w:tcBorders>
        <w:shd w:val="clear" w:color="92CCDC" w:themeColor="accent5" w:themeTint="9A" w:fill="92CCDC" w:themeFill="accent5" w:themeFillTint="9A"/>
      </w:tcPr>
    </w:tblStylePr>
    <w:tblStylePr w:type="band2Vert">
      <w:tcPr>
        <w:tcBorders>
          <w:left w:val="single" w:color="FFFFFF" w:themeColor="light1" w:sz="4" w:space="0"/>
          <w:right w:val="single" w:color="FFFFFF" w:themeColor="light1" w:sz="4" w:space="0"/>
        </w:tcBorders>
      </w:tcPr>
    </w:tblStylePr>
    <w:tblStylePr w:type="band1Horz">
      <w:tcPr>
        <w:tcBorders>
          <w:top w:val="single" w:color="FFFFFF" w:themeColor="light1" w:sz="4" w:space="0"/>
          <w:bottom w:val="single" w:color="FFFFFF" w:themeColor="light1" w:sz="4" w:space="0"/>
        </w:tcBorders>
        <w:shd w:val="clear" w:color="92CCDC" w:themeColor="accent5" w:themeTint="9A" w:fill="92CCDC" w:themeFill="accent5" w:themeFillTint="9A"/>
      </w:tcPr>
    </w:tblStylePr>
    <w:tblStylePr w:type="band2Horz">
      <w:tcPr>
        <w:tcBorders>
          <w:top w:val="single" w:color="FFFFFF" w:themeColor="light1" w:sz="4" w:space="0"/>
          <w:bottom w:val="single" w:color="FFFFFF" w:themeColor="light1" w:sz="4" w:space="0"/>
        </w:tcBorders>
        <w:shd w:val="clear" w:color="92CCDC" w:themeColor="accent5" w:themeTint="9A" w:fill="92CCDC" w:themeFill="accent5" w:themeFillTint="9A"/>
      </w:tcPr>
    </w:tblStylePr>
    <w:tblStylePr w:type="neCell"/>
    <w:tblStylePr w:type="nwCell"/>
    <w:tblStylePr w:type="seCell"/>
    <w:tblStylePr w:type="swCell"/>
  </w:style>
  <w:style w:type="table" w:customStyle="1" w:styleId="142">
    <w:name w:val="List Table 5 Dark - Accent 6"/>
    <w:uiPriority w:val="99"/>
    <w:pPr>
      <w:spacing w:after="0" w:line="240" w:lineRule="auto"/>
    </w:pPr>
    <w:tblPr>
      <w:tblBorders>
        <w:top w:val="single" w:color="FAC090" w:themeColor="accent6" w:themeTint="98" w:sz="32" w:space="0"/>
        <w:left w:val="single" w:color="FAC090" w:themeColor="accent6" w:themeTint="98" w:sz="32" w:space="0"/>
        <w:bottom w:val="single" w:color="FAC090" w:themeColor="accent6" w:themeTint="98" w:sz="32" w:space="0"/>
        <w:right w:val="single" w:color="FAC090" w:themeColor="accent6" w:themeTint="98" w:sz="32" w:space="0"/>
      </w:tblBorders>
    </w:tblPr>
    <w:tblStylePr w:type="firstRow">
      <w:rPr>
        <w:rFonts w:ascii="Arial" w:hAnsi="Arial"/>
        <w:b/>
        <w:color w:val="FFFFFF" w:themeColor="light1"/>
        <w:sz w:val="22"/>
      </w:rPr>
      <w:tcPr>
        <w:tcBorders>
          <w:top w:val="single" w:color="FAC090" w:themeColor="accent6" w:themeTint="98" w:sz="32" w:space="0"/>
          <w:bottom w:val="single" w:color="FFFFFF" w:themeColor="light1" w:sz="12" w:space="0"/>
        </w:tcBorders>
        <w:shd w:val="clear" w:color="FAC090" w:themeColor="accent6" w:themeTint="98" w:fill="FAC090"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cPr>
        <w:tcBorders>
          <w:left w:val="single" w:color="FAC090" w:themeColor="accent6" w:themeTint="98" w:sz="32" w:space="0"/>
          <w:right w:val="single" w:color="FFFFFF" w:themeColor="light1" w:sz="4" w:space="0"/>
        </w:tcBorders>
      </w:tcPr>
    </w:tblStylePr>
    <w:tblStylePr w:type="lastCol">
      <w:tcPr>
        <w:tcBorders>
          <w:left w:val="single" w:color="FFFFFF" w:themeColor="light1" w:sz="4" w:space="0"/>
          <w:right w:val="single" w:color="FAC090" w:themeColor="accent6" w:themeTint="98" w:sz="32" w:space="0"/>
        </w:tcBorders>
      </w:tcPr>
    </w:tblStylePr>
    <w:tblStylePr w:type="band1Vert">
      <w:tcPr>
        <w:tcBorders>
          <w:left w:val="single" w:color="FFFFFF" w:themeColor="light1" w:sz="4" w:space="0"/>
          <w:right w:val="single" w:color="FFFFFF" w:themeColor="light1" w:sz="4" w:space="0"/>
        </w:tcBorders>
        <w:shd w:val="clear" w:color="FAC090" w:themeColor="accent6" w:themeTint="98" w:fill="FAC090" w:themeFill="accent6" w:themeFillTint="98"/>
      </w:tcPr>
    </w:tblStylePr>
    <w:tblStylePr w:type="band2Vert">
      <w:tcPr>
        <w:tcBorders>
          <w:left w:val="single" w:color="FFFFFF" w:themeColor="light1" w:sz="4" w:space="0"/>
          <w:right w:val="single" w:color="FFFFFF" w:themeColor="light1" w:sz="4" w:space="0"/>
        </w:tcBorders>
      </w:tcPr>
    </w:tblStylePr>
    <w:tblStylePr w:type="band1Horz">
      <w:tcPr>
        <w:tcBorders>
          <w:top w:val="single" w:color="FFFFFF" w:themeColor="light1" w:sz="4" w:space="0"/>
          <w:bottom w:val="single" w:color="FFFFFF" w:themeColor="light1" w:sz="4" w:space="0"/>
        </w:tcBorders>
        <w:shd w:val="clear" w:color="FAC090" w:themeColor="accent6" w:themeTint="98" w:fill="FAC090" w:themeFill="accent6" w:themeFillTint="98"/>
      </w:tcPr>
    </w:tblStylePr>
    <w:tblStylePr w:type="band2Horz">
      <w:tcPr>
        <w:tcBorders>
          <w:top w:val="single" w:color="FFFFFF" w:themeColor="light1" w:sz="4" w:space="0"/>
          <w:bottom w:val="single" w:color="FFFFFF" w:themeColor="light1" w:sz="4" w:space="0"/>
        </w:tcBorders>
        <w:shd w:val="clear" w:color="FAC090" w:themeColor="accent6" w:themeTint="98" w:fill="FAC090" w:themeFill="accent6" w:themeFillTint="98"/>
      </w:tcPr>
    </w:tblStylePr>
    <w:tblStylePr w:type="neCell"/>
    <w:tblStylePr w:type="nwCell"/>
    <w:tblStylePr w:type="seCell"/>
    <w:tblStylePr w:type="swCell"/>
  </w:style>
  <w:style w:type="table" w:customStyle="1" w:styleId="143">
    <w:name w:val="List Table 6 Colorful"/>
    <w:uiPriority w:val="99"/>
    <w:pPr>
      <w:spacing w:after="0" w:line="240" w:lineRule="auto"/>
    </w:pPr>
    <w:tblPr>
      <w:tblBorders>
        <w:top w:val="single" w:color="7E7E7E" w:themeColor="text1" w:themeTint="80" w:sz="4" w:space="0"/>
        <w:bottom w:val="single" w:color="7E7E7E" w:themeColor="text1" w:themeTint="80" w:sz="4" w:space="0"/>
      </w:tblBorders>
    </w:tblPr>
    <w:tblStylePr w:type="firstRow">
      <w:rPr>
        <w:b/>
        <w:color w:val="000000" w:themeColor="text1"/>
      </w:rPr>
      <w:tcPr>
        <w:tcBorders>
          <w:bottom w:val="single" w:color="7E7E7E" w:themeColor="text1" w:themeTint="80" w:sz="4" w:space="0"/>
        </w:tcBorders>
      </w:tcPr>
    </w:tblStylePr>
    <w:tblStylePr w:type="lastRow">
      <w:rPr>
        <w:b/>
        <w:color w:val="000000" w:themeColor="text1"/>
      </w:rPr>
      <w:tcPr>
        <w:tcBorders>
          <w:top w:val="single" w:color="7E7E7E" w:themeColor="text1" w:themeTint="80" w:sz="4" w:space="0"/>
        </w:tcBorders>
      </w:tcPr>
    </w:tblStylePr>
    <w:tblStylePr w:type="firstCol">
      <w:rPr>
        <w:b/>
        <w:color w:val="000000" w:themeColor="text1"/>
      </w:rPr>
    </w:tblStylePr>
    <w:tblStylePr w:type="lastCol">
      <w:rPr>
        <w:b/>
        <w:color w:val="000000" w:themeColor="text1"/>
      </w:rPr>
    </w:tblStylePr>
    <w:tblStylePr w:type="band1Vert">
      <w:tcPr>
        <w:shd w:val="clear" w:color="BEBEBE" w:themeColor="text1" w:themeTint="40" w:fill="BEBEBE" w:themeFill="text1" w:themeFillTint="40"/>
      </w:tcPr>
    </w:tblStylePr>
    <w:tblStylePr w:type="band2Vert"/>
    <w:tblStylePr w:type="band1Horz">
      <w:rPr>
        <w:rFonts w:ascii="Arial" w:hAnsi="Arial"/>
        <w:color w:val="000000" w:themeColor="text1"/>
        <w:sz w:val="22"/>
      </w:rPr>
      <w:tcPr>
        <w:shd w:val="clear" w:color="BEBEBE" w:themeColor="text1" w:themeTint="40" w:fill="BEBEBE" w:themeFill="text1" w:themeFillTint="40"/>
      </w:tcPr>
    </w:tblStylePr>
    <w:tblStylePr w:type="band2Horz">
      <w:rPr>
        <w:rFonts w:ascii="Arial" w:hAnsi="Arial"/>
        <w:color w:val="000000" w:themeColor="text1"/>
        <w:sz w:val="22"/>
      </w:rPr>
    </w:tblStylePr>
    <w:tblStylePr w:type="neCell"/>
    <w:tblStylePr w:type="nwCell"/>
    <w:tblStylePr w:type="seCell"/>
    <w:tblStylePr w:type="swCell"/>
  </w:style>
  <w:style w:type="table" w:customStyle="1" w:styleId="144">
    <w:name w:val="List Table 6 Colorful - Accent 1"/>
    <w:uiPriority w:val="99"/>
    <w:pPr>
      <w:spacing w:after="0" w:line="240" w:lineRule="auto"/>
    </w:pPr>
    <w:tblPr>
      <w:tblBorders>
        <w:top w:val="single" w:color="4F81BD" w:themeColor="accent1" w:sz="4" w:space="0"/>
        <w:bottom w:val="single" w:color="4F81BD" w:themeColor="accent1" w:sz="4" w:space="0"/>
      </w:tblBorders>
    </w:tblPr>
    <w:tblStylePr w:type="firstRow">
      <w:rPr>
        <w:b/>
        <w:color w:val="2A4B71" w:themeColor="accent1" w:themeShade="95"/>
      </w:rPr>
      <w:tcPr>
        <w:tcBorders>
          <w:bottom w:val="single" w:color="4F81BD" w:themeColor="accent1" w:sz="4" w:space="0"/>
        </w:tcBorders>
      </w:tcPr>
    </w:tblStylePr>
    <w:tblStylePr w:type="lastRow">
      <w:rPr>
        <w:b/>
        <w:color w:val="2A4B71" w:themeColor="accent1" w:themeShade="95"/>
      </w:rPr>
      <w:tcPr>
        <w:tcBorders>
          <w:top w:val="single" w:color="4F81BD" w:themeColor="accent1" w:sz="4" w:space="0"/>
        </w:tcBorders>
      </w:tcPr>
    </w:tblStylePr>
    <w:tblStylePr w:type="firstCol">
      <w:rPr>
        <w:b/>
        <w:color w:val="2A4B71" w:themeColor="accent1" w:themeShade="95"/>
      </w:rPr>
    </w:tblStylePr>
    <w:tblStylePr w:type="lastCol">
      <w:rPr>
        <w:b/>
        <w:color w:val="2A4B71" w:themeColor="accent1" w:themeShade="95"/>
      </w:rPr>
    </w:tblStylePr>
    <w:tblStylePr w:type="band1Vert">
      <w:tcPr>
        <w:shd w:val="clear" w:color="D2DFEE" w:themeColor="accent1" w:themeTint="40" w:fill="D2DFEE" w:themeFill="accent1" w:themeFillTint="40"/>
      </w:tcPr>
    </w:tblStylePr>
    <w:tblStylePr w:type="band2Vert"/>
    <w:tblStylePr w:type="band1Horz">
      <w:rPr>
        <w:rFonts w:ascii="Arial" w:hAnsi="Arial"/>
        <w:color w:val="2A4B71" w:themeColor="accent1" w:themeShade="95"/>
        <w:sz w:val="22"/>
      </w:rPr>
      <w:tcPr>
        <w:shd w:val="clear" w:color="D2DFEE" w:themeColor="accent1" w:themeTint="40" w:fill="D2DFEE" w:themeFill="accent1" w:themeFillTint="40"/>
      </w:tcPr>
    </w:tblStylePr>
    <w:tblStylePr w:type="band2Horz">
      <w:rPr>
        <w:rFonts w:ascii="Arial" w:hAnsi="Arial"/>
        <w:color w:val="2A4B71" w:themeColor="accent1" w:themeShade="95"/>
        <w:sz w:val="22"/>
      </w:rPr>
    </w:tblStylePr>
    <w:tblStylePr w:type="neCell"/>
    <w:tblStylePr w:type="nwCell"/>
    <w:tblStylePr w:type="seCell"/>
    <w:tblStylePr w:type="swCell"/>
  </w:style>
  <w:style w:type="table" w:customStyle="1" w:styleId="145">
    <w:name w:val="List Table 6 Colorful - Accent 2"/>
    <w:qFormat/>
    <w:uiPriority w:val="99"/>
    <w:pPr>
      <w:spacing w:after="0" w:line="240" w:lineRule="auto"/>
    </w:pPr>
    <w:tblPr>
      <w:tblBorders>
        <w:top w:val="single" w:color="D99795" w:themeColor="accent2" w:themeTint="97" w:sz="4" w:space="0"/>
        <w:bottom w:val="single" w:color="D99795" w:themeColor="accent2" w:themeTint="97" w:sz="4" w:space="0"/>
      </w:tblBorders>
    </w:tblPr>
    <w:tblStylePr w:type="firstRow">
      <w:rPr>
        <w:b/>
        <w:color w:val="D99795" w:themeColor="accent2" w:themeShade="95" w:themeTint="97"/>
      </w:rPr>
      <w:tcPr>
        <w:tcBorders>
          <w:bottom w:val="single" w:color="D99795" w:themeColor="accent2" w:themeTint="97" w:sz="4" w:space="0"/>
        </w:tcBorders>
      </w:tcPr>
    </w:tblStylePr>
    <w:tblStylePr w:type="lastRow">
      <w:rPr>
        <w:b/>
        <w:color w:val="D99795" w:themeColor="accent2" w:themeShade="95" w:themeTint="97"/>
      </w:rPr>
      <w:tcPr>
        <w:tcBorders>
          <w:top w:val="single" w:color="D99795" w:themeColor="accent2" w:themeTint="97" w:sz="4" w:space="0"/>
        </w:tcBorders>
      </w:tcPr>
    </w:tblStylePr>
    <w:tblStylePr w:type="firstCol">
      <w:rPr>
        <w:b/>
        <w:color w:val="D99795" w:themeColor="accent2" w:themeShade="95" w:themeTint="97"/>
      </w:rPr>
    </w:tblStylePr>
    <w:tblStylePr w:type="lastCol">
      <w:rPr>
        <w:b/>
        <w:color w:val="D99795" w:themeColor="accent2" w:themeShade="95" w:themeTint="97"/>
      </w:rPr>
    </w:tblStylePr>
    <w:tblStylePr w:type="band1Vert">
      <w:tcPr>
        <w:shd w:val="clear" w:color="EFD3D2" w:themeColor="accent2" w:themeTint="40" w:fill="EFD3D2" w:themeFill="accent2" w:themeFillTint="40"/>
      </w:tcPr>
    </w:tblStylePr>
    <w:tblStylePr w:type="band2Vert"/>
    <w:tblStylePr w:type="band1Horz">
      <w:rPr>
        <w:rFonts w:ascii="Arial" w:hAnsi="Arial"/>
        <w:color w:val="D99795" w:themeColor="accent2" w:themeShade="95" w:themeTint="97"/>
        <w:sz w:val="22"/>
      </w:rPr>
      <w:tcPr>
        <w:shd w:val="clear" w:color="EFD3D2" w:themeColor="accent2" w:themeTint="40" w:fill="EFD3D2" w:themeFill="accent2" w:themeFillTint="40"/>
      </w:tcPr>
    </w:tblStylePr>
    <w:tblStylePr w:type="band2Horz">
      <w:rPr>
        <w:rFonts w:ascii="Arial" w:hAnsi="Arial"/>
        <w:color w:val="D99795" w:themeColor="accent2" w:themeShade="95" w:themeTint="97"/>
        <w:sz w:val="22"/>
      </w:rPr>
    </w:tblStylePr>
    <w:tblStylePr w:type="neCell"/>
    <w:tblStylePr w:type="nwCell"/>
    <w:tblStylePr w:type="seCell"/>
    <w:tblStylePr w:type="swCell"/>
  </w:style>
  <w:style w:type="table" w:customStyle="1" w:styleId="146">
    <w:name w:val="List Table 6 Colorful - Accent 3"/>
    <w:uiPriority w:val="99"/>
    <w:pPr>
      <w:spacing w:after="0" w:line="240" w:lineRule="auto"/>
    </w:pPr>
    <w:tblPr>
      <w:tblBorders>
        <w:top w:val="single" w:color="C3D69C" w:themeColor="accent3" w:themeTint="98" w:sz="4" w:space="0"/>
        <w:bottom w:val="single" w:color="C3D69C" w:themeColor="accent3" w:themeTint="98" w:sz="4" w:space="0"/>
      </w:tblBorders>
    </w:tblPr>
    <w:tblStylePr w:type="firstRow">
      <w:rPr>
        <w:b/>
        <w:color w:val="C3D69C" w:themeColor="accent3" w:themeShade="95" w:themeTint="98"/>
      </w:rPr>
      <w:tcPr>
        <w:tcBorders>
          <w:bottom w:val="single" w:color="C3D69C" w:themeColor="accent3" w:themeTint="98" w:sz="4" w:space="0"/>
        </w:tcBorders>
      </w:tcPr>
    </w:tblStylePr>
    <w:tblStylePr w:type="lastRow">
      <w:rPr>
        <w:b/>
        <w:color w:val="C3D69C" w:themeColor="accent3" w:themeShade="95" w:themeTint="98"/>
      </w:rPr>
      <w:tcPr>
        <w:tcBorders>
          <w:top w:val="single" w:color="C3D69C" w:themeColor="accent3" w:themeTint="98" w:sz="4" w:space="0"/>
        </w:tcBorders>
      </w:tcPr>
    </w:tblStylePr>
    <w:tblStylePr w:type="firstCol">
      <w:rPr>
        <w:b/>
        <w:color w:val="C3D69C" w:themeColor="accent3" w:themeShade="95" w:themeTint="98"/>
      </w:rPr>
    </w:tblStylePr>
    <w:tblStylePr w:type="lastCol">
      <w:rPr>
        <w:b/>
        <w:color w:val="C3D69C" w:themeColor="accent3" w:themeShade="95" w:themeTint="98"/>
      </w:rPr>
    </w:tblStylePr>
    <w:tblStylePr w:type="band1Vert">
      <w:tcPr>
        <w:shd w:val="clear" w:color="E5EDD5" w:themeColor="accent3" w:themeTint="40" w:fill="E5EDD5" w:themeFill="accent3" w:themeFillTint="40"/>
      </w:tcPr>
    </w:tblStylePr>
    <w:tblStylePr w:type="band2Vert"/>
    <w:tblStylePr w:type="band1Horz">
      <w:rPr>
        <w:rFonts w:ascii="Arial" w:hAnsi="Arial"/>
        <w:color w:val="C3D69C" w:themeColor="accent3" w:themeShade="95" w:themeTint="98"/>
        <w:sz w:val="22"/>
      </w:rPr>
      <w:tcPr>
        <w:shd w:val="clear" w:color="E5EDD5" w:themeColor="accent3" w:themeTint="40" w:fill="E5EDD5" w:themeFill="accent3" w:themeFillTint="40"/>
      </w:tcPr>
    </w:tblStylePr>
    <w:tblStylePr w:type="band2Horz">
      <w:rPr>
        <w:rFonts w:ascii="Arial" w:hAnsi="Arial"/>
        <w:color w:val="C3D69C" w:themeColor="accent3" w:themeShade="95" w:themeTint="98"/>
        <w:sz w:val="22"/>
      </w:rPr>
    </w:tblStylePr>
    <w:tblStylePr w:type="neCell"/>
    <w:tblStylePr w:type="nwCell"/>
    <w:tblStylePr w:type="seCell"/>
    <w:tblStylePr w:type="swCell"/>
  </w:style>
  <w:style w:type="table" w:customStyle="1" w:styleId="147">
    <w:name w:val="List Table 6 Colorful - Accent 4"/>
    <w:uiPriority w:val="99"/>
    <w:pPr>
      <w:spacing w:after="0" w:line="240" w:lineRule="auto"/>
    </w:pPr>
    <w:tblPr>
      <w:tblBorders>
        <w:top w:val="single" w:color="B2A1C6" w:themeColor="accent4" w:themeTint="9A" w:sz="4" w:space="0"/>
        <w:bottom w:val="single" w:color="B2A1C6" w:themeColor="accent4" w:themeTint="9A" w:sz="4" w:space="0"/>
      </w:tblBorders>
    </w:tblPr>
    <w:tblStylePr w:type="firstRow">
      <w:rPr>
        <w:b/>
        <w:color w:val="B2A1C6" w:themeColor="accent4" w:themeShade="95" w:themeTint="9A"/>
      </w:rPr>
      <w:tcPr>
        <w:tcBorders>
          <w:bottom w:val="single" w:color="B2A1C6" w:themeColor="accent4" w:themeTint="9A" w:sz="4" w:space="0"/>
        </w:tcBorders>
      </w:tcPr>
    </w:tblStylePr>
    <w:tblStylePr w:type="lastRow">
      <w:rPr>
        <w:b/>
        <w:color w:val="B2A1C6" w:themeColor="accent4" w:themeShade="95" w:themeTint="9A"/>
      </w:rPr>
      <w:tcPr>
        <w:tcBorders>
          <w:top w:val="single" w:color="B2A1C6" w:themeColor="accent4" w:themeTint="9A" w:sz="4" w:space="0"/>
        </w:tcBorders>
      </w:tcPr>
    </w:tblStylePr>
    <w:tblStylePr w:type="firstCol">
      <w:rPr>
        <w:b/>
        <w:color w:val="B2A1C6" w:themeColor="accent4" w:themeShade="95" w:themeTint="9A"/>
      </w:rPr>
    </w:tblStylePr>
    <w:tblStylePr w:type="lastCol">
      <w:rPr>
        <w:b/>
        <w:color w:val="B2A1C6" w:themeColor="accent4" w:themeShade="95" w:themeTint="9A"/>
      </w:rPr>
    </w:tblStylePr>
    <w:tblStylePr w:type="band1Vert">
      <w:tcPr>
        <w:shd w:val="clear" w:color="DFD8E7" w:themeColor="accent4" w:themeTint="40" w:fill="DFD8E7" w:themeFill="accent4" w:themeFillTint="40"/>
      </w:tcPr>
    </w:tblStylePr>
    <w:tblStylePr w:type="band2Vert"/>
    <w:tblStylePr w:type="band1Horz">
      <w:rPr>
        <w:rFonts w:ascii="Arial" w:hAnsi="Arial"/>
        <w:color w:val="B2A1C6" w:themeColor="accent4" w:themeShade="95" w:themeTint="9A"/>
        <w:sz w:val="22"/>
      </w:rPr>
      <w:tcPr>
        <w:shd w:val="clear" w:color="DFD8E7" w:themeColor="accent4" w:themeTint="40" w:fill="DFD8E7" w:themeFill="accent4" w:themeFillTint="40"/>
      </w:tcPr>
    </w:tblStylePr>
    <w:tblStylePr w:type="band2Horz">
      <w:rPr>
        <w:rFonts w:ascii="Arial" w:hAnsi="Arial"/>
        <w:color w:val="B2A1C6" w:themeColor="accent4" w:themeShade="95" w:themeTint="9A"/>
        <w:sz w:val="22"/>
      </w:rPr>
    </w:tblStylePr>
    <w:tblStylePr w:type="neCell"/>
    <w:tblStylePr w:type="nwCell"/>
    <w:tblStylePr w:type="seCell"/>
    <w:tblStylePr w:type="swCell"/>
  </w:style>
  <w:style w:type="table" w:customStyle="1" w:styleId="148">
    <w:name w:val="List Table 6 Colorful - Accent 5"/>
    <w:uiPriority w:val="99"/>
    <w:pPr>
      <w:spacing w:after="0" w:line="240" w:lineRule="auto"/>
    </w:pPr>
    <w:tblPr>
      <w:tblBorders>
        <w:top w:val="single" w:color="92CCDC" w:themeColor="accent5" w:themeTint="9A" w:sz="4" w:space="0"/>
        <w:bottom w:val="single" w:color="92CCDC" w:themeColor="accent5" w:themeTint="9A" w:sz="4" w:space="0"/>
      </w:tblBorders>
    </w:tblPr>
    <w:tblStylePr w:type="firstRow">
      <w:rPr>
        <w:b/>
        <w:color w:val="92CCDC" w:themeColor="accent5" w:themeShade="95" w:themeTint="9A"/>
      </w:rPr>
      <w:tcPr>
        <w:tcBorders>
          <w:bottom w:val="single" w:color="92CCDC" w:themeColor="accent5" w:themeTint="9A" w:sz="4" w:space="0"/>
        </w:tcBorders>
      </w:tcPr>
    </w:tblStylePr>
    <w:tblStylePr w:type="lastRow">
      <w:rPr>
        <w:b/>
        <w:color w:val="92CCDC" w:themeColor="accent5" w:themeShade="95" w:themeTint="9A"/>
      </w:rPr>
      <w:tcPr>
        <w:tcBorders>
          <w:top w:val="single" w:color="92CCDC" w:themeColor="accent5" w:themeTint="9A" w:sz="4" w:space="0"/>
        </w:tcBorders>
      </w:tcPr>
    </w:tblStylePr>
    <w:tblStylePr w:type="firstCol">
      <w:rPr>
        <w:b/>
        <w:color w:val="92CCDC" w:themeColor="accent5" w:themeShade="95" w:themeTint="9A"/>
      </w:rPr>
    </w:tblStylePr>
    <w:tblStylePr w:type="lastCol">
      <w:rPr>
        <w:b/>
        <w:color w:val="92CCDC" w:themeColor="accent5" w:themeShade="95" w:themeTint="9A"/>
      </w:rPr>
    </w:tblStylePr>
    <w:tblStylePr w:type="band1Vert">
      <w:tcPr>
        <w:shd w:val="clear" w:color="D1EAF0" w:themeColor="accent5" w:themeTint="40" w:fill="D1EAF0" w:themeFill="accent5" w:themeFillTint="40"/>
      </w:tcPr>
    </w:tblStylePr>
    <w:tblStylePr w:type="band2Vert"/>
    <w:tblStylePr w:type="band1Horz">
      <w:rPr>
        <w:rFonts w:ascii="Arial" w:hAnsi="Arial"/>
        <w:color w:val="92CCDC" w:themeColor="accent5" w:themeShade="95" w:themeTint="9A"/>
        <w:sz w:val="22"/>
      </w:rPr>
      <w:tcPr>
        <w:shd w:val="clear" w:color="D1EAF0" w:themeColor="accent5" w:themeTint="40" w:fill="D1EAF0" w:themeFill="accent5" w:themeFillTint="40"/>
      </w:tcPr>
    </w:tblStylePr>
    <w:tblStylePr w:type="band2Horz">
      <w:rPr>
        <w:rFonts w:ascii="Arial" w:hAnsi="Arial"/>
        <w:color w:val="92CCDC" w:themeColor="accent5" w:themeShade="95" w:themeTint="9A"/>
        <w:sz w:val="22"/>
      </w:rPr>
    </w:tblStylePr>
    <w:tblStylePr w:type="neCell"/>
    <w:tblStylePr w:type="nwCell"/>
    <w:tblStylePr w:type="seCell"/>
    <w:tblStylePr w:type="swCell"/>
  </w:style>
  <w:style w:type="table" w:customStyle="1" w:styleId="149">
    <w:name w:val="List Table 6 Colorful - Accent 6"/>
    <w:uiPriority w:val="99"/>
    <w:pPr>
      <w:spacing w:after="0" w:line="240" w:lineRule="auto"/>
    </w:pPr>
    <w:tblPr>
      <w:tblBorders>
        <w:top w:val="single" w:color="FAC090" w:themeColor="accent6" w:themeTint="98" w:sz="4" w:space="0"/>
        <w:bottom w:val="single" w:color="FAC090" w:themeColor="accent6" w:themeTint="98" w:sz="4" w:space="0"/>
      </w:tblBorders>
    </w:tblPr>
    <w:tblStylePr w:type="firstRow">
      <w:rPr>
        <w:b/>
        <w:color w:val="FAC090" w:themeColor="accent6" w:themeShade="95" w:themeTint="98"/>
      </w:rPr>
      <w:tcPr>
        <w:tcBorders>
          <w:bottom w:val="single" w:color="FAC090" w:themeColor="accent6" w:themeTint="98" w:sz="4" w:space="0"/>
        </w:tcBorders>
      </w:tcPr>
    </w:tblStylePr>
    <w:tblStylePr w:type="lastRow">
      <w:rPr>
        <w:b/>
        <w:color w:val="FAC090" w:themeColor="accent6" w:themeShade="95" w:themeTint="98"/>
      </w:rPr>
      <w:tcPr>
        <w:tcBorders>
          <w:top w:val="single" w:color="FAC090" w:themeColor="accent6" w:themeTint="98" w:sz="4" w:space="0"/>
        </w:tcBorders>
      </w:tcPr>
    </w:tblStylePr>
    <w:tblStylePr w:type="firstCol">
      <w:rPr>
        <w:b/>
        <w:color w:val="FAC090" w:themeColor="accent6" w:themeShade="95" w:themeTint="98"/>
      </w:rPr>
    </w:tblStylePr>
    <w:tblStylePr w:type="lastCol">
      <w:rPr>
        <w:b/>
        <w:color w:val="FAC090" w:themeColor="accent6" w:themeShade="95" w:themeTint="98"/>
      </w:rPr>
    </w:tblStylePr>
    <w:tblStylePr w:type="band1Vert">
      <w:tcPr>
        <w:shd w:val="clear" w:color="FCE4D0" w:themeColor="accent6" w:themeTint="40" w:fill="FCE4D0" w:themeFill="accent6" w:themeFillTint="40"/>
      </w:tcPr>
    </w:tblStylePr>
    <w:tblStylePr w:type="band2Vert"/>
    <w:tblStylePr w:type="band1Horz">
      <w:rPr>
        <w:rFonts w:ascii="Arial" w:hAnsi="Arial"/>
        <w:color w:val="FAC090" w:themeColor="accent6" w:themeShade="95" w:themeTint="98"/>
        <w:sz w:val="22"/>
      </w:rPr>
      <w:tcPr>
        <w:shd w:val="clear" w:color="FCE4D0" w:themeColor="accent6" w:themeTint="40" w:fill="FCE4D0" w:themeFill="accent6" w:themeFillTint="40"/>
      </w:tcPr>
    </w:tblStylePr>
    <w:tblStylePr w:type="band2Horz">
      <w:rPr>
        <w:rFonts w:ascii="Arial" w:hAnsi="Arial"/>
        <w:color w:val="FAC090" w:themeColor="accent6" w:themeShade="95" w:themeTint="98"/>
        <w:sz w:val="22"/>
      </w:rPr>
    </w:tblStylePr>
    <w:tblStylePr w:type="neCell"/>
    <w:tblStylePr w:type="nwCell"/>
    <w:tblStylePr w:type="seCell"/>
    <w:tblStylePr w:type="swCell"/>
  </w:style>
  <w:style w:type="table" w:customStyle="1" w:styleId="150">
    <w:name w:val="List Table 7 Colorful"/>
    <w:uiPriority w:val="99"/>
    <w:pPr>
      <w:spacing w:after="0" w:line="240" w:lineRule="auto"/>
    </w:pPr>
    <w:tblPr>
      <w:tblBorders>
        <w:right w:val="single" w:color="7E7E7E" w:themeColor="text1" w:themeTint="80" w:sz="4" w:space="0"/>
      </w:tblBorders>
    </w:tblPr>
    <w:tblStylePr w:type="firstRow">
      <w:rPr>
        <w:rFonts w:ascii="Arial" w:hAnsi="Arial"/>
        <w:i/>
        <w:color w:val="7E7E7E" w:themeColor="text1" w:themeShade="95" w:themeTint="80"/>
        <w:sz w:val="22"/>
      </w:rPr>
      <w:tcPr>
        <w:tcBorders>
          <w:top w:val="nil"/>
          <w:left w:val="nil"/>
          <w:bottom w:val="single" w:color="7E7E7E" w:themeColor="text1" w:themeTint="80" w:sz="4" w:space="0"/>
          <w:right w:val="nil"/>
        </w:tcBorders>
        <w:shd w:val="clear" w:color="FFFFFF" w:themeColor="light1" w:fill="FFFFFF" w:themeFill="light1"/>
      </w:tcPr>
    </w:tblStylePr>
    <w:tblStylePr w:type="lastRow">
      <w:rPr>
        <w:rFonts w:ascii="Arial" w:hAnsi="Arial"/>
        <w:i/>
        <w:color w:val="7E7E7E" w:themeColor="text1" w:themeShade="95" w:themeTint="80"/>
        <w:sz w:val="22"/>
      </w:rPr>
      <w:tcPr>
        <w:tcBorders>
          <w:top w:val="single" w:color="7E7E7E" w:themeColor="text1" w:themeTint="80" w:sz="4" w:space="0"/>
          <w:left w:val="nil"/>
          <w:bottom w:val="nil"/>
          <w:right w:val="nil"/>
        </w:tcBorders>
        <w:shd w:val="clear" w:color="FFFFFF" w:themeColor="light1" w:fill="FFFFFF" w:themeFill="light1"/>
      </w:tcPr>
    </w:tblStylePr>
    <w:tblStylePr w:type="firstCol">
      <w:pPr>
        <w:jc w:val="right"/>
      </w:pPr>
      <w:rPr>
        <w:rFonts w:ascii="Arial" w:hAnsi="Arial"/>
        <w:i/>
        <w:color w:val="7E7E7E" w:themeColor="text1" w:themeShade="95" w:themeTint="80"/>
        <w:sz w:val="22"/>
      </w:rPr>
      <w:tcPr>
        <w:tcBorders>
          <w:top w:val="nil"/>
          <w:left w:val="nil"/>
          <w:bottom w:val="nil"/>
          <w:right w:val="single" w:color="7E7E7E" w:themeColor="text1" w:themeTint="80" w:sz="4" w:space="0"/>
        </w:tcBorders>
        <w:shd w:val="clear" w:color="FFFFFF" w:fill="auto"/>
      </w:tcPr>
    </w:tblStylePr>
    <w:tblStylePr w:type="lastCol">
      <w:rPr>
        <w:rFonts w:ascii="Arial" w:hAnsi="Arial"/>
        <w:i/>
        <w:color w:val="7E7E7E" w:themeColor="text1" w:themeShade="95" w:themeTint="80"/>
        <w:sz w:val="22"/>
      </w:rPr>
      <w:tcPr>
        <w:tcBorders>
          <w:top w:val="nil"/>
          <w:left w:val="single" w:color="7E7E7E" w:themeColor="text1" w:themeTint="80" w:sz="4" w:space="0"/>
          <w:bottom w:val="nil"/>
          <w:right w:val="nil"/>
        </w:tcBorders>
        <w:shd w:val="clear" w:color="FFFFFF" w:fill="auto"/>
      </w:tcPr>
    </w:tblStylePr>
    <w:tblStylePr w:type="band1Vert">
      <w:tcPr>
        <w:shd w:val="clear" w:color="BEBEBE" w:themeColor="text1" w:themeTint="40" w:fill="BEBEBE" w:themeFill="text1" w:themeFillTint="40"/>
      </w:tcPr>
    </w:tblStylePr>
    <w:tblStylePr w:type="band2Vert"/>
    <w:tblStylePr w:type="band1Horz">
      <w:rPr>
        <w:rFonts w:ascii="Arial" w:hAnsi="Arial"/>
        <w:color w:val="7E7E7E" w:themeColor="text1" w:themeShade="95" w:themeTint="80"/>
        <w:sz w:val="22"/>
      </w:rPr>
      <w:tcPr>
        <w:shd w:val="clear" w:color="BEBEBE" w:themeColor="text1" w:themeTint="40" w:fill="BEBEBE" w:themeFill="text1" w:themeFillTint="40"/>
      </w:tcPr>
    </w:tblStylePr>
    <w:tblStylePr w:type="band2Horz">
      <w:rPr>
        <w:rFonts w:ascii="Arial" w:hAnsi="Arial"/>
        <w:color w:val="7E7E7E" w:themeColor="text1" w:themeShade="95" w:themeTint="80"/>
        <w:sz w:val="22"/>
      </w:rPr>
    </w:tblStylePr>
    <w:tblStylePr w:type="neCell"/>
    <w:tblStylePr w:type="nwCell"/>
    <w:tblStylePr w:type="seCell"/>
    <w:tblStylePr w:type="swCell"/>
  </w:style>
  <w:style w:type="table" w:customStyle="1" w:styleId="151">
    <w:name w:val="List Table 7 Colorful - Accent 1"/>
    <w:uiPriority w:val="99"/>
    <w:pPr>
      <w:spacing w:after="0" w:line="240" w:lineRule="auto"/>
    </w:pPr>
    <w:tblPr>
      <w:tblBorders>
        <w:right w:val="single" w:color="4F81BD" w:themeColor="accent1" w:sz="4" w:space="0"/>
      </w:tblBorders>
    </w:tblPr>
    <w:tblStylePr w:type="firstRow">
      <w:rPr>
        <w:rFonts w:ascii="Arial" w:hAnsi="Arial"/>
        <w:i/>
        <w:color w:val="2A4B71" w:themeColor="accent1" w:themeShade="95"/>
        <w:sz w:val="22"/>
      </w:rPr>
      <w:tcPr>
        <w:tcBorders>
          <w:top w:val="nil"/>
          <w:left w:val="nil"/>
          <w:bottom w:val="single" w:color="4F81BD" w:themeColor="accent1" w:sz="4" w:space="0"/>
          <w:right w:val="nil"/>
        </w:tcBorders>
        <w:shd w:val="clear" w:color="FFFFFF" w:themeColor="light1" w:fill="FFFFFF" w:themeFill="light1"/>
      </w:tcPr>
    </w:tblStylePr>
    <w:tblStylePr w:type="lastRow">
      <w:rPr>
        <w:rFonts w:ascii="Arial" w:hAnsi="Arial"/>
        <w:i/>
        <w:color w:val="2A4B71" w:themeColor="accent1" w:themeShade="95"/>
        <w:sz w:val="22"/>
      </w:rPr>
      <w:tcPr>
        <w:tcBorders>
          <w:top w:val="single" w:color="4F81BD" w:themeColor="accent1" w:sz="4" w:space="0"/>
          <w:left w:val="nil"/>
          <w:bottom w:val="nil"/>
          <w:right w:val="nil"/>
        </w:tcBorders>
        <w:shd w:val="clear" w:color="FFFFFF" w:themeColor="light1" w:fill="FFFFFF" w:themeFill="light1"/>
      </w:tcPr>
    </w:tblStylePr>
    <w:tblStylePr w:type="firstCol">
      <w:pPr>
        <w:jc w:val="right"/>
      </w:pPr>
      <w:rPr>
        <w:rFonts w:ascii="Arial" w:hAnsi="Arial"/>
        <w:i/>
        <w:color w:val="2A4B71" w:themeColor="accent1" w:themeShade="95"/>
        <w:sz w:val="22"/>
      </w:rPr>
      <w:tcPr>
        <w:tcBorders>
          <w:top w:val="nil"/>
          <w:left w:val="nil"/>
          <w:bottom w:val="nil"/>
          <w:right w:val="single" w:color="4F81BD" w:themeColor="accent1" w:sz="4" w:space="0"/>
        </w:tcBorders>
        <w:shd w:val="clear" w:color="FFFFFF" w:fill="auto"/>
      </w:tcPr>
    </w:tblStylePr>
    <w:tblStylePr w:type="lastCol">
      <w:rPr>
        <w:rFonts w:ascii="Arial" w:hAnsi="Arial"/>
        <w:i/>
        <w:color w:val="2A4B71" w:themeColor="accent1" w:themeShade="95"/>
        <w:sz w:val="22"/>
      </w:rPr>
      <w:tcPr>
        <w:tcBorders>
          <w:top w:val="nil"/>
          <w:left w:val="single" w:color="4F81BD" w:themeColor="accent1" w:sz="4" w:space="0"/>
          <w:bottom w:val="nil"/>
          <w:right w:val="nil"/>
        </w:tcBorders>
        <w:shd w:val="clear" w:color="FFFFFF" w:fill="auto"/>
      </w:tcPr>
    </w:tblStylePr>
    <w:tblStylePr w:type="band1Vert">
      <w:tcPr>
        <w:shd w:val="clear" w:color="D2DFEE" w:themeColor="accent1" w:themeTint="40" w:fill="D2DFEE" w:themeFill="accent1" w:themeFillTint="40"/>
      </w:tcPr>
    </w:tblStylePr>
    <w:tblStylePr w:type="band2Vert"/>
    <w:tblStylePr w:type="band1Horz">
      <w:rPr>
        <w:rFonts w:ascii="Arial" w:hAnsi="Arial"/>
        <w:color w:val="2A4B71" w:themeColor="accent1" w:themeShade="95"/>
        <w:sz w:val="22"/>
      </w:rPr>
      <w:tcPr>
        <w:shd w:val="clear" w:color="D2DFEE" w:themeColor="accent1" w:themeTint="40" w:fill="D2DFEE" w:themeFill="accent1" w:themeFillTint="40"/>
      </w:tcPr>
    </w:tblStylePr>
    <w:tblStylePr w:type="band2Horz">
      <w:rPr>
        <w:rFonts w:ascii="Arial" w:hAnsi="Arial"/>
        <w:color w:val="2A4B71" w:themeColor="accent1" w:themeShade="95"/>
        <w:sz w:val="22"/>
      </w:rPr>
    </w:tblStylePr>
    <w:tblStylePr w:type="neCell"/>
    <w:tblStylePr w:type="nwCell"/>
    <w:tblStylePr w:type="seCell"/>
    <w:tblStylePr w:type="swCell"/>
  </w:style>
  <w:style w:type="table" w:customStyle="1" w:styleId="152">
    <w:name w:val="List Table 7 Colorful - Accent 2"/>
    <w:uiPriority w:val="99"/>
    <w:pPr>
      <w:spacing w:after="0" w:line="240" w:lineRule="auto"/>
    </w:pPr>
    <w:tblPr>
      <w:tblBorders>
        <w:right w:val="single" w:color="D99795" w:themeColor="accent2" w:themeTint="97" w:sz="4" w:space="0"/>
      </w:tblBorders>
    </w:tblPr>
    <w:tblStylePr w:type="firstRow">
      <w:rPr>
        <w:rFonts w:ascii="Arial" w:hAnsi="Arial"/>
        <w:i/>
        <w:color w:val="D99795" w:themeColor="accent2" w:themeShade="95" w:themeTint="97"/>
        <w:sz w:val="22"/>
      </w:rPr>
      <w:tcPr>
        <w:tcBorders>
          <w:top w:val="nil"/>
          <w:left w:val="nil"/>
          <w:bottom w:val="single" w:color="D99795" w:themeColor="accent2" w:themeTint="97" w:sz="4" w:space="0"/>
          <w:right w:val="nil"/>
        </w:tcBorders>
        <w:shd w:val="clear" w:color="FFFFFF" w:themeColor="light1" w:fill="FFFFFF" w:themeFill="light1"/>
      </w:tcPr>
    </w:tblStylePr>
    <w:tblStylePr w:type="lastRow">
      <w:rPr>
        <w:rFonts w:ascii="Arial" w:hAnsi="Arial"/>
        <w:i/>
        <w:color w:val="D99795" w:themeColor="accent2" w:themeShade="95" w:themeTint="97"/>
        <w:sz w:val="22"/>
      </w:rPr>
      <w:tcPr>
        <w:tcBorders>
          <w:top w:val="single" w:color="D99795" w:themeColor="accent2" w:themeTint="97" w:sz="4" w:space="0"/>
          <w:left w:val="nil"/>
          <w:bottom w:val="nil"/>
          <w:right w:val="nil"/>
        </w:tcBorders>
        <w:shd w:val="clear" w:color="FFFFFF" w:themeColor="light1" w:fill="FFFFFF" w:themeFill="light1"/>
      </w:tcPr>
    </w:tblStylePr>
    <w:tblStylePr w:type="firstCol">
      <w:pPr>
        <w:jc w:val="right"/>
      </w:pPr>
      <w:rPr>
        <w:rFonts w:ascii="Arial" w:hAnsi="Arial"/>
        <w:i/>
        <w:color w:val="D99795" w:themeColor="accent2" w:themeShade="95" w:themeTint="97"/>
        <w:sz w:val="22"/>
      </w:rPr>
      <w:tcPr>
        <w:tcBorders>
          <w:top w:val="nil"/>
          <w:left w:val="nil"/>
          <w:bottom w:val="nil"/>
          <w:right w:val="single" w:color="D99795" w:themeColor="accent2" w:themeTint="97" w:sz="4" w:space="0"/>
        </w:tcBorders>
        <w:shd w:val="clear" w:color="FFFFFF" w:fill="auto"/>
      </w:tcPr>
    </w:tblStylePr>
    <w:tblStylePr w:type="lastCol">
      <w:rPr>
        <w:rFonts w:ascii="Arial" w:hAnsi="Arial"/>
        <w:i/>
        <w:color w:val="D99795" w:themeColor="accent2" w:themeShade="95" w:themeTint="97"/>
        <w:sz w:val="22"/>
      </w:rPr>
      <w:tcPr>
        <w:tcBorders>
          <w:top w:val="nil"/>
          <w:left w:val="single" w:color="D99795" w:themeColor="accent2" w:themeTint="97" w:sz="4" w:space="0"/>
          <w:bottom w:val="nil"/>
          <w:right w:val="nil"/>
        </w:tcBorders>
        <w:shd w:val="clear" w:color="FFFFFF" w:fill="auto"/>
      </w:tcPr>
    </w:tblStylePr>
    <w:tblStylePr w:type="band1Vert">
      <w:tcPr>
        <w:shd w:val="clear" w:color="EFD3D2" w:themeColor="accent2" w:themeTint="40" w:fill="EFD3D2" w:themeFill="accent2" w:themeFillTint="40"/>
      </w:tcPr>
    </w:tblStylePr>
    <w:tblStylePr w:type="band2Vert"/>
    <w:tblStylePr w:type="band1Horz">
      <w:rPr>
        <w:rFonts w:ascii="Arial" w:hAnsi="Arial"/>
        <w:color w:val="D99795" w:themeColor="accent2" w:themeShade="95" w:themeTint="97"/>
        <w:sz w:val="22"/>
      </w:rPr>
      <w:tcPr>
        <w:shd w:val="clear" w:color="EFD3D2" w:themeColor="accent2" w:themeTint="40" w:fill="EFD3D2" w:themeFill="accent2" w:themeFillTint="40"/>
      </w:tcPr>
    </w:tblStylePr>
    <w:tblStylePr w:type="band2Horz">
      <w:rPr>
        <w:rFonts w:ascii="Arial" w:hAnsi="Arial"/>
        <w:color w:val="D99795" w:themeColor="accent2" w:themeShade="95" w:themeTint="97"/>
        <w:sz w:val="22"/>
      </w:rPr>
    </w:tblStylePr>
    <w:tblStylePr w:type="neCell"/>
    <w:tblStylePr w:type="nwCell"/>
    <w:tblStylePr w:type="seCell"/>
    <w:tblStylePr w:type="swCell"/>
  </w:style>
  <w:style w:type="table" w:customStyle="1" w:styleId="153">
    <w:name w:val="List Table 7 Colorful - Accent 3"/>
    <w:uiPriority w:val="99"/>
    <w:pPr>
      <w:spacing w:after="0" w:line="240" w:lineRule="auto"/>
    </w:pPr>
    <w:tblPr>
      <w:tblBorders>
        <w:right w:val="single" w:color="C3D69C" w:themeColor="accent3" w:themeTint="98" w:sz="4" w:space="0"/>
      </w:tblBorders>
    </w:tblPr>
    <w:tblStylePr w:type="firstRow">
      <w:rPr>
        <w:rFonts w:ascii="Arial" w:hAnsi="Arial"/>
        <w:i/>
        <w:color w:val="C3D69C" w:themeColor="accent3" w:themeShade="95" w:themeTint="98"/>
        <w:sz w:val="22"/>
      </w:rPr>
      <w:tcPr>
        <w:tcBorders>
          <w:top w:val="nil"/>
          <w:left w:val="nil"/>
          <w:bottom w:val="single" w:color="C3D69C" w:themeColor="accent3" w:themeTint="98" w:sz="4" w:space="0"/>
          <w:right w:val="nil"/>
        </w:tcBorders>
        <w:shd w:val="clear" w:color="FFFFFF" w:themeColor="light1" w:fill="FFFFFF" w:themeFill="light1"/>
      </w:tcPr>
    </w:tblStylePr>
    <w:tblStylePr w:type="lastRow">
      <w:rPr>
        <w:rFonts w:ascii="Arial" w:hAnsi="Arial"/>
        <w:i/>
        <w:color w:val="C3D69C" w:themeColor="accent3" w:themeShade="95" w:themeTint="98"/>
        <w:sz w:val="22"/>
      </w:rPr>
      <w:tcPr>
        <w:tcBorders>
          <w:top w:val="single" w:color="C3D69C" w:themeColor="accent3" w:themeTint="98" w:sz="4" w:space="0"/>
          <w:left w:val="nil"/>
          <w:bottom w:val="nil"/>
          <w:right w:val="nil"/>
        </w:tcBorders>
        <w:shd w:val="clear" w:color="FFFFFF" w:themeColor="light1" w:fill="FFFFFF" w:themeFill="light1"/>
      </w:tcPr>
    </w:tblStylePr>
    <w:tblStylePr w:type="firstCol">
      <w:pPr>
        <w:jc w:val="right"/>
      </w:pPr>
      <w:rPr>
        <w:rFonts w:ascii="Arial" w:hAnsi="Arial"/>
        <w:i/>
        <w:color w:val="C3D69C" w:themeColor="accent3" w:themeShade="95" w:themeTint="98"/>
        <w:sz w:val="22"/>
      </w:rPr>
      <w:tcPr>
        <w:tcBorders>
          <w:top w:val="nil"/>
          <w:left w:val="nil"/>
          <w:bottom w:val="nil"/>
          <w:right w:val="single" w:color="C3D69C" w:themeColor="accent3" w:themeTint="98" w:sz="4" w:space="0"/>
        </w:tcBorders>
        <w:shd w:val="clear" w:color="FFFFFF" w:fill="auto"/>
      </w:tcPr>
    </w:tblStylePr>
    <w:tblStylePr w:type="lastCol">
      <w:rPr>
        <w:rFonts w:ascii="Arial" w:hAnsi="Arial"/>
        <w:i/>
        <w:color w:val="C3D69C" w:themeColor="accent3" w:themeShade="95" w:themeTint="98"/>
        <w:sz w:val="22"/>
      </w:rPr>
      <w:tcPr>
        <w:tcBorders>
          <w:top w:val="nil"/>
          <w:left w:val="single" w:color="C3D69C" w:themeColor="accent3" w:themeTint="98" w:sz="4" w:space="0"/>
          <w:bottom w:val="nil"/>
          <w:right w:val="nil"/>
        </w:tcBorders>
        <w:shd w:val="clear" w:color="FFFFFF" w:fill="auto"/>
      </w:tcPr>
    </w:tblStylePr>
    <w:tblStylePr w:type="band1Vert">
      <w:tcPr>
        <w:shd w:val="clear" w:color="E5EDD5" w:themeColor="accent3" w:themeTint="40" w:fill="E5EDD5" w:themeFill="accent3" w:themeFillTint="40"/>
      </w:tcPr>
    </w:tblStylePr>
    <w:tblStylePr w:type="band2Vert"/>
    <w:tblStylePr w:type="band1Horz">
      <w:rPr>
        <w:rFonts w:ascii="Arial" w:hAnsi="Arial"/>
        <w:color w:val="C3D69C" w:themeColor="accent3" w:themeShade="95" w:themeTint="98"/>
        <w:sz w:val="22"/>
      </w:rPr>
      <w:tcPr>
        <w:shd w:val="clear" w:color="E5EDD5" w:themeColor="accent3" w:themeTint="40" w:fill="E5EDD5" w:themeFill="accent3" w:themeFillTint="40"/>
      </w:tcPr>
    </w:tblStylePr>
    <w:tblStylePr w:type="band2Horz">
      <w:rPr>
        <w:rFonts w:ascii="Arial" w:hAnsi="Arial"/>
        <w:color w:val="C3D69C" w:themeColor="accent3" w:themeShade="95" w:themeTint="98"/>
        <w:sz w:val="22"/>
      </w:rPr>
    </w:tblStylePr>
    <w:tblStylePr w:type="neCell"/>
    <w:tblStylePr w:type="nwCell"/>
    <w:tblStylePr w:type="seCell"/>
    <w:tblStylePr w:type="swCell"/>
  </w:style>
  <w:style w:type="table" w:customStyle="1" w:styleId="154">
    <w:name w:val="List Table 7 Colorful - Accent 4"/>
    <w:qFormat/>
    <w:uiPriority w:val="99"/>
    <w:pPr>
      <w:spacing w:after="0" w:line="240" w:lineRule="auto"/>
    </w:pPr>
    <w:tblPr>
      <w:tblBorders>
        <w:right w:val="single" w:color="B2A1C6" w:themeColor="accent4" w:themeTint="9A" w:sz="4" w:space="0"/>
      </w:tblBorders>
    </w:tblPr>
    <w:tblStylePr w:type="firstRow">
      <w:rPr>
        <w:rFonts w:ascii="Arial" w:hAnsi="Arial"/>
        <w:i/>
        <w:color w:val="B2A1C6" w:themeColor="accent4" w:themeShade="95" w:themeTint="9A"/>
        <w:sz w:val="22"/>
      </w:rPr>
      <w:tcPr>
        <w:tcBorders>
          <w:top w:val="nil"/>
          <w:left w:val="nil"/>
          <w:bottom w:val="single" w:color="B2A1C6" w:themeColor="accent4" w:themeTint="9A" w:sz="4" w:space="0"/>
          <w:right w:val="nil"/>
        </w:tcBorders>
        <w:shd w:val="clear" w:color="FFFFFF" w:themeColor="light1" w:fill="FFFFFF" w:themeFill="light1"/>
      </w:tcPr>
    </w:tblStylePr>
    <w:tblStylePr w:type="lastRow">
      <w:rPr>
        <w:rFonts w:ascii="Arial" w:hAnsi="Arial"/>
        <w:i/>
        <w:color w:val="B2A1C6" w:themeColor="accent4" w:themeShade="95" w:themeTint="9A"/>
        <w:sz w:val="22"/>
      </w:rPr>
      <w:tcPr>
        <w:tcBorders>
          <w:top w:val="single" w:color="B2A1C6" w:themeColor="accent4" w:themeTint="9A" w:sz="4" w:space="0"/>
          <w:left w:val="nil"/>
          <w:bottom w:val="nil"/>
          <w:right w:val="nil"/>
        </w:tcBorders>
        <w:shd w:val="clear" w:color="FFFFFF" w:themeColor="light1" w:fill="FFFFFF" w:themeFill="light1"/>
      </w:tcPr>
    </w:tblStylePr>
    <w:tblStylePr w:type="firstCol">
      <w:pPr>
        <w:jc w:val="right"/>
      </w:pPr>
      <w:rPr>
        <w:rFonts w:ascii="Arial" w:hAnsi="Arial"/>
        <w:i/>
        <w:color w:val="B2A1C6" w:themeColor="accent4" w:themeShade="95" w:themeTint="9A"/>
        <w:sz w:val="22"/>
      </w:rPr>
      <w:tcPr>
        <w:tcBorders>
          <w:top w:val="nil"/>
          <w:left w:val="nil"/>
          <w:bottom w:val="nil"/>
          <w:right w:val="single" w:color="B2A1C6" w:themeColor="accent4" w:themeTint="9A" w:sz="4" w:space="0"/>
        </w:tcBorders>
        <w:shd w:val="clear" w:color="FFFFFF" w:fill="auto"/>
      </w:tcPr>
    </w:tblStylePr>
    <w:tblStylePr w:type="lastCol">
      <w:rPr>
        <w:rFonts w:ascii="Arial" w:hAnsi="Arial"/>
        <w:i/>
        <w:color w:val="B2A1C6" w:themeColor="accent4" w:themeShade="95" w:themeTint="9A"/>
        <w:sz w:val="22"/>
      </w:rPr>
      <w:tcPr>
        <w:tcBorders>
          <w:top w:val="nil"/>
          <w:left w:val="single" w:color="B2A1C6" w:themeColor="accent4" w:themeTint="9A" w:sz="4" w:space="0"/>
          <w:bottom w:val="nil"/>
          <w:right w:val="nil"/>
        </w:tcBorders>
        <w:shd w:val="clear" w:color="FFFFFF" w:fill="auto"/>
      </w:tcPr>
    </w:tblStylePr>
    <w:tblStylePr w:type="band1Vert">
      <w:tcPr>
        <w:shd w:val="clear" w:color="DFD8E7" w:themeColor="accent4" w:themeTint="40" w:fill="DFD8E7" w:themeFill="accent4" w:themeFillTint="40"/>
      </w:tcPr>
    </w:tblStylePr>
    <w:tblStylePr w:type="band2Vert"/>
    <w:tblStylePr w:type="band1Horz">
      <w:rPr>
        <w:rFonts w:ascii="Arial" w:hAnsi="Arial"/>
        <w:color w:val="B2A1C6" w:themeColor="accent4" w:themeShade="95" w:themeTint="9A"/>
        <w:sz w:val="22"/>
      </w:rPr>
      <w:tcPr>
        <w:shd w:val="clear" w:color="DFD8E7" w:themeColor="accent4" w:themeTint="40" w:fill="DFD8E7" w:themeFill="accent4" w:themeFillTint="40"/>
      </w:tcPr>
    </w:tblStylePr>
    <w:tblStylePr w:type="band2Horz">
      <w:rPr>
        <w:rFonts w:ascii="Arial" w:hAnsi="Arial"/>
        <w:color w:val="B2A1C6" w:themeColor="accent4" w:themeShade="95" w:themeTint="9A"/>
        <w:sz w:val="22"/>
      </w:rPr>
    </w:tblStylePr>
    <w:tblStylePr w:type="neCell"/>
    <w:tblStylePr w:type="nwCell"/>
    <w:tblStylePr w:type="seCell"/>
    <w:tblStylePr w:type="swCell"/>
  </w:style>
  <w:style w:type="table" w:customStyle="1" w:styleId="155">
    <w:name w:val="List Table 7 Colorful - Accent 5"/>
    <w:uiPriority w:val="99"/>
    <w:pPr>
      <w:spacing w:after="0" w:line="240" w:lineRule="auto"/>
    </w:pPr>
    <w:tblPr>
      <w:tblBorders>
        <w:right w:val="single" w:color="92CCDC" w:themeColor="accent5" w:themeTint="9A" w:sz="4" w:space="0"/>
      </w:tblBorders>
    </w:tblPr>
    <w:tblStylePr w:type="firstRow">
      <w:rPr>
        <w:rFonts w:ascii="Arial" w:hAnsi="Arial"/>
        <w:i/>
        <w:color w:val="92CCDC" w:themeColor="accent5" w:themeShade="95" w:themeTint="9A"/>
        <w:sz w:val="22"/>
      </w:rPr>
      <w:tcPr>
        <w:tcBorders>
          <w:top w:val="nil"/>
          <w:left w:val="nil"/>
          <w:bottom w:val="single" w:color="92CCDC" w:themeColor="accent5" w:themeTint="9A" w:sz="4" w:space="0"/>
          <w:right w:val="nil"/>
        </w:tcBorders>
        <w:shd w:val="clear" w:color="FFFFFF" w:themeColor="light1" w:fill="FFFFFF" w:themeFill="light1"/>
      </w:tcPr>
    </w:tblStylePr>
    <w:tblStylePr w:type="lastRow">
      <w:rPr>
        <w:rFonts w:ascii="Arial" w:hAnsi="Arial"/>
        <w:i/>
        <w:color w:val="92CCDC" w:themeColor="accent5" w:themeShade="95" w:themeTint="9A"/>
        <w:sz w:val="22"/>
      </w:rPr>
      <w:tcPr>
        <w:tcBorders>
          <w:top w:val="single" w:color="92CCDC" w:themeColor="accent5" w:themeTint="9A" w:sz="4" w:space="0"/>
          <w:left w:val="nil"/>
          <w:bottom w:val="nil"/>
          <w:right w:val="nil"/>
        </w:tcBorders>
        <w:shd w:val="clear" w:color="FFFFFF" w:themeColor="light1" w:fill="FFFFFF" w:themeFill="light1"/>
      </w:tcPr>
    </w:tblStylePr>
    <w:tblStylePr w:type="firstCol">
      <w:pPr>
        <w:jc w:val="right"/>
      </w:pPr>
      <w:rPr>
        <w:rFonts w:ascii="Arial" w:hAnsi="Arial"/>
        <w:i/>
        <w:color w:val="92CCDC" w:themeColor="accent5" w:themeShade="95" w:themeTint="9A"/>
        <w:sz w:val="22"/>
      </w:rPr>
      <w:tcPr>
        <w:tcBorders>
          <w:top w:val="nil"/>
          <w:left w:val="nil"/>
          <w:bottom w:val="nil"/>
          <w:right w:val="single" w:color="92CCDC" w:themeColor="accent5" w:themeTint="9A" w:sz="4" w:space="0"/>
        </w:tcBorders>
        <w:shd w:val="clear" w:color="FFFFFF" w:fill="auto"/>
      </w:tcPr>
    </w:tblStylePr>
    <w:tblStylePr w:type="lastCol">
      <w:rPr>
        <w:rFonts w:ascii="Arial" w:hAnsi="Arial"/>
        <w:i/>
        <w:color w:val="92CCDC" w:themeColor="accent5" w:themeShade="95" w:themeTint="9A"/>
        <w:sz w:val="22"/>
      </w:rPr>
      <w:tcPr>
        <w:tcBorders>
          <w:top w:val="nil"/>
          <w:left w:val="single" w:color="92CCDC" w:themeColor="accent5" w:themeTint="9A" w:sz="4" w:space="0"/>
          <w:bottom w:val="nil"/>
          <w:right w:val="nil"/>
        </w:tcBorders>
        <w:shd w:val="clear" w:color="FFFFFF" w:fill="auto"/>
      </w:tcPr>
    </w:tblStylePr>
    <w:tblStylePr w:type="band1Vert">
      <w:tcPr>
        <w:shd w:val="clear" w:color="D1EAF0" w:themeColor="accent5" w:themeTint="40" w:fill="D1EAF0" w:themeFill="accent5" w:themeFillTint="40"/>
      </w:tcPr>
    </w:tblStylePr>
    <w:tblStylePr w:type="band2Vert"/>
    <w:tblStylePr w:type="band1Horz">
      <w:rPr>
        <w:rFonts w:ascii="Arial" w:hAnsi="Arial"/>
        <w:color w:val="92CCDC" w:themeColor="accent5" w:themeShade="95" w:themeTint="9A"/>
        <w:sz w:val="22"/>
      </w:rPr>
      <w:tcPr>
        <w:shd w:val="clear" w:color="D1EAF0" w:themeColor="accent5" w:themeTint="40" w:fill="D1EAF0" w:themeFill="accent5" w:themeFillTint="40"/>
      </w:tcPr>
    </w:tblStylePr>
    <w:tblStylePr w:type="band2Horz">
      <w:rPr>
        <w:rFonts w:ascii="Arial" w:hAnsi="Arial"/>
        <w:color w:val="92CCDC" w:themeColor="accent5" w:themeShade="95" w:themeTint="9A"/>
        <w:sz w:val="22"/>
      </w:rPr>
    </w:tblStylePr>
    <w:tblStylePr w:type="neCell"/>
    <w:tblStylePr w:type="nwCell"/>
    <w:tblStylePr w:type="seCell"/>
    <w:tblStylePr w:type="swCell"/>
  </w:style>
  <w:style w:type="table" w:customStyle="1" w:styleId="156">
    <w:name w:val="List Table 7 Colorful - Accent 6"/>
    <w:uiPriority w:val="99"/>
    <w:pPr>
      <w:spacing w:after="0" w:line="240" w:lineRule="auto"/>
    </w:pPr>
    <w:tblPr>
      <w:tblBorders>
        <w:right w:val="single" w:color="FAC090" w:themeColor="accent6" w:themeTint="98" w:sz="4" w:space="0"/>
      </w:tblBorders>
    </w:tblPr>
    <w:tblStylePr w:type="firstRow">
      <w:rPr>
        <w:rFonts w:ascii="Arial" w:hAnsi="Arial"/>
        <w:i/>
        <w:color w:val="FAC090" w:themeColor="accent6" w:themeShade="95" w:themeTint="98"/>
        <w:sz w:val="22"/>
      </w:rPr>
      <w:tcPr>
        <w:tcBorders>
          <w:top w:val="nil"/>
          <w:left w:val="nil"/>
          <w:bottom w:val="single" w:color="FAC090" w:themeColor="accent6" w:themeTint="98" w:sz="4" w:space="0"/>
          <w:right w:val="nil"/>
        </w:tcBorders>
        <w:shd w:val="clear" w:color="FFFFFF" w:themeColor="light1" w:fill="FFFFFF" w:themeFill="light1"/>
      </w:tcPr>
    </w:tblStylePr>
    <w:tblStylePr w:type="lastRow">
      <w:rPr>
        <w:rFonts w:ascii="Arial" w:hAnsi="Arial"/>
        <w:i/>
        <w:color w:val="FAC090" w:themeColor="accent6" w:themeShade="95" w:themeTint="98"/>
        <w:sz w:val="22"/>
      </w:rPr>
      <w:tcPr>
        <w:tcBorders>
          <w:top w:val="single" w:color="FAC090" w:themeColor="accent6" w:themeTint="98" w:sz="4" w:space="0"/>
          <w:left w:val="nil"/>
          <w:bottom w:val="nil"/>
          <w:right w:val="nil"/>
        </w:tcBorders>
        <w:shd w:val="clear" w:color="FFFFFF" w:themeColor="light1" w:fill="FFFFFF" w:themeFill="light1"/>
      </w:tcPr>
    </w:tblStylePr>
    <w:tblStylePr w:type="firstCol">
      <w:pPr>
        <w:jc w:val="right"/>
      </w:pPr>
      <w:rPr>
        <w:rFonts w:ascii="Arial" w:hAnsi="Arial"/>
        <w:i/>
        <w:color w:val="FAC090" w:themeColor="accent6" w:themeShade="95" w:themeTint="98"/>
        <w:sz w:val="22"/>
      </w:rPr>
      <w:tcPr>
        <w:tcBorders>
          <w:top w:val="nil"/>
          <w:left w:val="nil"/>
          <w:bottom w:val="nil"/>
          <w:right w:val="single" w:color="FAC090" w:themeColor="accent6" w:themeTint="98" w:sz="4" w:space="0"/>
        </w:tcBorders>
        <w:shd w:val="clear" w:color="FFFFFF" w:fill="auto"/>
      </w:tcPr>
    </w:tblStylePr>
    <w:tblStylePr w:type="lastCol">
      <w:rPr>
        <w:rFonts w:ascii="Arial" w:hAnsi="Arial"/>
        <w:i/>
        <w:color w:val="FAC090" w:themeColor="accent6" w:themeShade="95" w:themeTint="98"/>
        <w:sz w:val="22"/>
      </w:rPr>
      <w:tcPr>
        <w:tcBorders>
          <w:top w:val="nil"/>
          <w:left w:val="single" w:color="FAC090" w:themeColor="accent6" w:themeTint="98" w:sz="4" w:space="0"/>
          <w:bottom w:val="nil"/>
          <w:right w:val="nil"/>
        </w:tcBorders>
        <w:shd w:val="clear" w:color="FFFFFF" w:fill="auto"/>
      </w:tcPr>
    </w:tblStylePr>
    <w:tblStylePr w:type="band1Vert">
      <w:tcPr>
        <w:shd w:val="clear" w:color="FCE4D0" w:themeColor="accent6" w:themeTint="40" w:fill="FCE4D0" w:themeFill="accent6" w:themeFillTint="40"/>
      </w:tcPr>
    </w:tblStylePr>
    <w:tblStylePr w:type="band2Vert"/>
    <w:tblStylePr w:type="band1Horz">
      <w:rPr>
        <w:rFonts w:ascii="Arial" w:hAnsi="Arial"/>
        <w:color w:val="FAC090" w:themeColor="accent6" w:themeShade="95" w:themeTint="98"/>
        <w:sz w:val="22"/>
      </w:rPr>
      <w:tcPr>
        <w:shd w:val="clear" w:color="FCE4D0" w:themeColor="accent6" w:themeTint="40" w:fill="FCE4D0" w:themeFill="accent6" w:themeFillTint="40"/>
      </w:tcPr>
    </w:tblStylePr>
    <w:tblStylePr w:type="band2Horz">
      <w:rPr>
        <w:rFonts w:ascii="Arial" w:hAnsi="Arial"/>
        <w:color w:val="FAC090" w:themeColor="accent6" w:themeShade="95" w:themeTint="98"/>
        <w:sz w:val="22"/>
      </w:rPr>
    </w:tblStylePr>
    <w:tblStylePr w:type="neCell"/>
    <w:tblStylePr w:type="nwCell"/>
    <w:tblStylePr w:type="seCell"/>
    <w:tblStylePr w:type="swCell"/>
  </w:style>
  <w:style w:type="table" w:customStyle="1" w:styleId="157">
    <w:name w:val="Lined - Accent"/>
    <w:uiPriority w:val="99"/>
    <w:pPr>
      <w:spacing w:after="0" w:line="240" w:lineRule="auto"/>
    </w:pPr>
    <w:rPr>
      <w:color w:val="404040"/>
    </w:rPr>
    <w:tblStylePr w:type="firstRow">
      <w:rPr>
        <w:rFonts w:ascii="Arial" w:hAnsi="Arial"/>
        <w:color w:val="F2F2F2"/>
        <w:sz w:val="22"/>
      </w:rPr>
      <w:tcPr>
        <w:shd w:val="clear" w:color="7E7E7E" w:themeColor="text1" w:themeTint="80" w:fill="7E7E7E" w:themeFill="text1" w:themeFillTint="80"/>
      </w:tcPr>
    </w:tblStylePr>
    <w:tblStylePr w:type="lastRow">
      <w:rPr>
        <w:rFonts w:ascii="Arial" w:hAnsi="Arial"/>
        <w:color w:val="F2F2F2"/>
        <w:sz w:val="22"/>
      </w:rPr>
      <w:tcPr>
        <w:shd w:val="clear" w:color="7E7E7E" w:themeColor="text1" w:themeTint="80" w:fill="7E7E7E" w:themeFill="text1" w:themeFillTint="80"/>
      </w:tcPr>
    </w:tblStylePr>
    <w:tblStylePr w:type="firstCol">
      <w:rPr>
        <w:rFonts w:ascii="Arial" w:hAnsi="Arial"/>
        <w:color w:val="F2F2F2"/>
        <w:sz w:val="22"/>
      </w:rPr>
      <w:tcPr>
        <w:shd w:val="clear" w:color="7E7E7E" w:themeColor="text1" w:themeTint="80" w:fill="7E7E7E" w:themeFill="text1" w:themeFillTint="80"/>
      </w:tcPr>
    </w:tblStylePr>
    <w:tblStylePr w:type="lastCol">
      <w:rPr>
        <w:rFonts w:ascii="Arial" w:hAnsi="Arial"/>
        <w:color w:val="F2F2F2"/>
        <w:sz w:val="22"/>
      </w:rPr>
      <w:tcPr>
        <w:shd w:val="clear" w:color="7E7E7E" w:themeColor="text1" w:themeTint="80" w:fill="7E7E7E" w:themeFill="text1" w:themeFillTint="80"/>
      </w:tcPr>
    </w:tblStylePr>
    <w:tblStylePr w:type="band1Vert">
      <w:rPr>
        <w:rFonts w:ascii="Arial" w:hAnsi="Arial"/>
        <w:color w:val="404040"/>
        <w:sz w:val="22"/>
      </w:rPr>
    </w:tblStylePr>
    <w:tblStylePr w:type="band2Vert">
      <w:rPr>
        <w:rFonts w:ascii="Arial" w:hAnsi="Arial"/>
        <w:color w:val="404040"/>
        <w:sz w:val="22"/>
      </w:rPr>
      <w:tcPr>
        <w:shd w:val="clear" w:color="F1F1F1" w:themeColor="text1" w:themeTint="0D" w:fill="F1F1F1" w:themeFill="text1" w:themeFillTint="0D"/>
      </w:tcPr>
    </w:tblStylePr>
    <w:tblStylePr w:type="band1Horz">
      <w:rPr>
        <w:rFonts w:ascii="Arial" w:hAnsi="Arial"/>
        <w:color w:val="404040"/>
        <w:sz w:val="22"/>
      </w:rPr>
    </w:tblStylePr>
    <w:tblStylePr w:type="band2Horz">
      <w:rPr>
        <w:rFonts w:ascii="Arial" w:hAnsi="Arial"/>
        <w:color w:val="404040"/>
        <w:sz w:val="22"/>
      </w:rPr>
      <w:tcPr>
        <w:shd w:val="clear" w:color="F1F1F1" w:themeColor="text1" w:themeTint="0D" w:fill="F1F1F1" w:themeFill="text1" w:themeFillTint="0D"/>
      </w:tcPr>
    </w:tblStylePr>
    <w:tblStylePr w:type="neCell"/>
    <w:tblStylePr w:type="nwCell"/>
    <w:tblStylePr w:type="seCell"/>
    <w:tblStylePr w:type="swCell"/>
  </w:style>
  <w:style w:type="table" w:customStyle="1" w:styleId="158">
    <w:name w:val="Lined - Accent 1"/>
    <w:uiPriority w:val="99"/>
    <w:pPr>
      <w:spacing w:after="0" w:line="240" w:lineRule="auto"/>
    </w:pPr>
    <w:rPr>
      <w:color w:val="404040"/>
    </w:rPr>
    <w:tblStylePr w:type="firstRow">
      <w:rPr>
        <w:rFonts w:ascii="Arial" w:hAnsi="Arial"/>
        <w:color w:val="F2F2F2"/>
        <w:sz w:val="22"/>
      </w:rPr>
      <w:tcPr>
        <w:shd w:val="clear" w:color="5D8BC2" w:themeColor="accent1" w:themeTint="EA" w:fill="5D8BC2" w:themeFill="accent1" w:themeFillTint="EA"/>
      </w:tcPr>
    </w:tblStylePr>
    <w:tblStylePr w:type="lastRow">
      <w:rPr>
        <w:rFonts w:ascii="Arial" w:hAnsi="Arial"/>
        <w:color w:val="F2F2F2"/>
        <w:sz w:val="22"/>
      </w:rPr>
      <w:tcPr>
        <w:shd w:val="clear" w:color="5D8BC2" w:themeColor="accent1" w:themeTint="EA" w:fill="5D8BC2" w:themeFill="accent1" w:themeFillTint="EA"/>
      </w:tcPr>
    </w:tblStylePr>
    <w:tblStylePr w:type="firstCol">
      <w:rPr>
        <w:rFonts w:ascii="Arial" w:hAnsi="Arial"/>
        <w:color w:val="F2F2F2"/>
        <w:sz w:val="22"/>
      </w:rPr>
      <w:tcPr>
        <w:shd w:val="clear" w:color="5D8BC2" w:themeColor="accent1" w:themeTint="EA" w:fill="5D8BC2" w:themeFill="accent1" w:themeFillTint="EA"/>
      </w:tcPr>
    </w:tblStylePr>
    <w:tblStylePr w:type="lastCol">
      <w:rPr>
        <w:rFonts w:ascii="Arial" w:hAnsi="Arial"/>
        <w:color w:val="F2F2F2"/>
        <w:sz w:val="22"/>
      </w:rPr>
      <w:tcPr>
        <w:shd w:val="clear" w:color="5D8BC2" w:themeColor="accent1" w:themeTint="EA" w:fill="5D8BC2" w:themeFill="accent1" w:themeFillTint="EA"/>
      </w:tcPr>
    </w:tblStylePr>
    <w:tblStylePr w:type="band1Vert">
      <w:rPr>
        <w:rFonts w:ascii="Arial" w:hAnsi="Arial"/>
        <w:color w:val="404040"/>
        <w:sz w:val="22"/>
      </w:rPr>
    </w:tblStylePr>
    <w:tblStylePr w:type="band2Vert">
      <w:rPr>
        <w:rFonts w:ascii="Arial" w:hAnsi="Arial"/>
        <w:color w:val="404040"/>
        <w:sz w:val="22"/>
      </w:rPr>
      <w:tcPr>
        <w:shd w:val="clear" w:color="C7D7EA" w:themeColor="accent1" w:themeTint="50" w:fill="C7D7EA" w:themeFill="accent1" w:themeFillTint="50"/>
      </w:tcPr>
    </w:tblStylePr>
    <w:tblStylePr w:type="band1Horz">
      <w:rPr>
        <w:rFonts w:ascii="Arial" w:hAnsi="Arial"/>
        <w:color w:val="404040"/>
        <w:sz w:val="22"/>
      </w:rPr>
    </w:tblStylePr>
    <w:tblStylePr w:type="band2Horz">
      <w:rPr>
        <w:rFonts w:ascii="Arial" w:hAnsi="Arial"/>
        <w:color w:val="404040"/>
        <w:sz w:val="22"/>
      </w:rPr>
      <w:tcPr>
        <w:shd w:val="clear" w:color="C7D7EA" w:themeColor="accent1" w:themeTint="50" w:fill="C7D7EA" w:themeFill="accent1" w:themeFillTint="50"/>
      </w:tcPr>
    </w:tblStylePr>
    <w:tblStylePr w:type="neCell"/>
    <w:tblStylePr w:type="nwCell"/>
    <w:tblStylePr w:type="seCell"/>
    <w:tblStylePr w:type="swCell"/>
  </w:style>
  <w:style w:type="table" w:customStyle="1" w:styleId="159">
    <w:name w:val="Lined - Accent 2"/>
    <w:uiPriority w:val="99"/>
    <w:pPr>
      <w:spacing w:after="0" w:line="240" w:lineRule="auto"/>
    </w:pPr>
    <w:rPr>
      <w:color w:val="404040"/>
    </w:rPr>
    <w:tblStylePr w:type="firstRow">
      <w:rPr>
        <w:rFonts w:ascii="Arial" w:hAnsi="Arial"/>
        <w:color w:val="F2F2F2"/>
        <w:sz w:val="22"/>
      </w:rPr>
      <w:tcPr>
        <w:shd w:val="clear" w:color="D99795" w:themeColor="accent2" w:themeTint="97" w:fill="D99795" w:themeFill="accent2" w:themeFillTint="97"/>
      </w:tcPr>
    </w:tblStylePr>
    <w:tblStylePr w:type="lastRow">
      <w:rPr>
        <w:rFonts w:ascii="Arial" w:hAnsi="Arial"/>
        <w:color w:val="F2F2F2"/>
        <w:sz w:val="22"/>
      </w:rPr>
      <w:tcPr>
        <w:shd w:val="clear" w:color="D99795" w:themeColor="accent2" w:themeTint="97" w:fill="D99795" w:themeFill="accent2" w:themeFillTint="97"/>
      </w:tcPr>
    </w:tblStylePr>
    <w:tblStylePr w:type="firstCol">
      <w:rPr>
        <w:rFonts w:ascii="Arial" w:hAnsi="Arial"/>
        <w:color w:val="F2F2F2"/>
        <w:sz w:val="22"/>
      </w:rPr>
      <w:tcPr>
        <w:shd w:val="clear" w:color="D99795" w:themeColor="accent2" w:themeTint="97" w:fill="D99795" w:themeFill="accent2" w:themeFillTint="97"/>
      </w:tcPr>
    </w:tblStylePr>
    <w:tblStylePr w:type="lastCol">
      <w:rPr>
        <w:rFonts w:ascii="Arial" w:hAnsi="Arial"/>
        <w:color w:val="F2F2F2"/>
        <w:sz w:val="22"/>
      </w:rPr>
      <w:tcPr>
        <w:shd w:val="clear" w:color="D99795" w:themeColor="accent2" w:themeTint="97" w:fill="D99795" w:themeFill="accent2" w:themeFillTint="97"/>
      </w:tcPr>
    </w:tblStylePr>
    <w:tblStylePr w:type="band1Vert">
      <w:rPr>
        <w:rFonts w:ascii="Arial" w:hAnsi="Arial"/>
        <w:color w:val="404040"/>
        <w:sz w:val="22"/>
      </w:rPr>
    </w:tblStylePr>
    <w:tblStylePr w:type="band2Vert">
      <w:rPr>
        <w:rFonts w:ascii="Arial" w:hAnsi="Arial"/>
        <w:color w:val="404040"/>
        <w:sz w:val="22"/>
      </w:rPr>
      <w:tcPr>
        <w:shd w:val="clear" w:color="F2DCDC" w:themeColor="accent2" w:themeTint="32" w:fill="F2DCDC" w:themeFill="accent2" w:themeFillTint="32"/>
      </w:tcPr>
    </w:tblStylePr>
    <w:tblStylePr w:type="band1Horz">
      <w:rPr>
        <w:rFonts w:ascii="Arial" w:hAnsi="Arial"/>
        <w:color w:val="404040"/>
        <w:sz w:val="22"/>
      </w:rPr>
    </w:tblStylePr>
    <w:tblStylePr w:type="band2Horz">
      <w:rPr>
        <w:rFonts w:ascii="Arial" w:hAnsi="Arial"/>
        <w:color w:val="404040"/>
        <w:sz w:val="22"/>
      </w:rPr>
      <w:tcPr>
        <w:shd w:val="clear" w:color="F2DCDC" w:themeColor="accent2" w:themeTint="32" w:fill="F2DCDC" w:themeFill="accent2" w:themeFillTint="32"/>
      </w:tcPr>
    </w:tblStylePr>
    <w:tblStylePr w:type="neCell"/>
    <w:tblStylePr w:type="nwCell"/>
    <w:tblStylePr w:type="seCell"/>
    <w:tblStylePr w:type="swCell"/>
  </w:style>
  <w:style w:type="table" w:customStyle="1" w:styleId="160">
    <w:name w:val="Lined - Accent 3"/>
    <w:qFormat/>
    <w:uiPriority w:val="99"/>
    <w:pPr>
      <w:spacing w:after="0" w:line="240" w:lineRule="auto"/>
    </w:pPr>
    <w:rPr>
      <w:color w:val="404040"/>
    </w:rPr>
    <w:tblStylePr w:type="firstRow">
      <w:rPr>
        <w:rFonts w:ascii="Arial" w:hAnsi="Arial"/>
        <w:color w:val="F2F2F2"/>
        <w:sz w:val="22"/>
      </w:rPr>
      <w:tcPr>
        <w:shd w:val="clear" w:color="9BBB59" w:themeColor="accent3" w:themeTint="FE" w:fill="9BBB59" w:themeFill="accent3" w:themeFillTint="FE"/>
      </w:tcPr>
    </w:tblStylePr>
    <w:tblStylePr w:type="lastRow">
      <w:rPr>
        <w:rFonts w:ascii="Arial" w:hAnsi="Arial"/>
        <w:color w:val="F2F2F2"/>
        <w:sz w:val="22"/>
      </w:rPr>
      <w:tcPr>
        <w:shd w:val="clear" w:color="9BBB59" w:themeColor="accent3" w:themeTint="FE" w:fill="9BBB59" w:themeFill="accent3" w:themeFillTint="FE"/>
      </w:tcPr>
    </w:tblStylePr>
    <w:tblStylePr w:type="firstCol">
      <w:rPr>
        <w:rFonts w:ascii="Arial" w:hAnsi="Arial"/>
        <w:color w:val="F2F2F2"/>
        <w:sz w:val="22"/>
      </w:rPr>
      <w:tcPr>
        <w:shd w:val="clear" w:color="9BBB59" w:themeColor="accent3" w:themeTint="FE" w:fill="9BBB59" w:themeFill="accent3" w:themeFillTint="FE"/>
      </w:tcPr>
    </w:tblStylePr>
    <w:tblStylePr w:type="lastCol">
      <w:rPr>
        <w:rFonts w:ascii="Arial" w:hAnsi="Arial"/>
        <w:color w:val="F2F2F2"/>
        <w:sz w:val="22"/>
      </w:rPr>
      <w:tcPr>
        <w:shd w:val="clear" w:color="9BBB59" w:themeColor="accent3" w:themeTint="FE" w:fill="9BBB59" w:themeFill="accent3" w:themeFillTint="FE"/>
      </w:tcPr>
    </w:tblStylePr>
    <w:tblStylePr w:type="band1Vert">
      <w:rPr>
        <w:rFonts w:ascii="Arial" w:hAnsi="Arial"/>
        <w:color w:val="404040"/>
        <w:sz w:val="22"/>
      </w:rPr>
    </w:tblStylePr>
    <w:tblStylePr w:type="band2Vert">
      <w:rPr>
        <w:rFonts w:ascii="Arial" w:hAnsi="Arial"/>
        <w:color w:val="404040"/>
        <w:sz w:val="22"/>
      </w:rPr>
      <w:tcPr>
        <w:shd w:val="clear" w:color="EAF1DD" w:themeColor="accent3" w:themeTint="34" w:fill="EAF1DD" w:themeFill="accent3" w:themeFillTint="34"/>
      </w:tcPr>
    </w:tblStylePr>
    <w:tblStylePr w:type="band1Horz">
      <w:rPr>
        <w:rFonts w:ascii="Arial" w:hAnsi="Arial"/>
        <w:color w:val="404040"/>
        <w:sz w:val="22"/>
      </w:rPr>
    </w:tblStylePr>
    <w:tblStylePr w:type="band2Horz">
      <w:rPr>
        <w:rFonts w:ascii="Arial" w:hAnsi="Arial"/>
        <w:color w:val="404040"/>
        <w:sz w:val="22"/>
      </w:rPr>
      <w:tcPr>
        <w:shd w:val="clear" w:color="EAF1DD" w:themeColor="accent3" w:themeTint="34" w:fill="EAF1DD" w:themeFill="accent3" w:themeFillTint="34"/>
      </w:tcPr>
    </w:tblStylePr>
    <w:tblStylePr w:type="neCell"/>
    <w:tblStylePr w:type="nwCell"/>
    <w:tblStylePr w:type="seCell"/>
    <w:tblStylePr w:type="swCell"/>
  </w:style>
  <w:style w:type="table" w:customStyle="1" w:styleId="161">
    <w:name w:val="Lined - Accent 4"/>
    <w:qFormat/>
    <w:uiPriority w:val="99"/>
    <w:pPr>
      <w:spacing w:after="0" w:line="240" w:lineRule="auto"/>
    </w:pPr>
    <w:rPr>
      <w:color w:val="404040"/>
    </w:rPr>
    <w:tblStylePr w:type="firstRow">
      <w:rPr>
        <w:rFonts w:ascii="Arial" w:hAnsi="Arial"/>
        <w:color w:val="F2F2F2"/>
        <w:sz w:val="22"/>
      </w:rPr>
      <w:tcPr>
        <w:shd w:val="clear" w:color="B2A1C6" w:themeColor="accent4" w:themeTint="9A" w:fill="B2A1C6" w:themeFill="accent4" w:themeFillTint="9A"/>
      </w:tcPr>
    </w:tblStylePr>
    <w:tblStylePr w:type="lastRow">
      <w:rPr>
        <w:rFonts w:ascii="Arial" w:hAnsi="Arial"/>
        <w:color w:val="F2F2F2"/>
        <w:sz w:val="22"/>
      </w:rPr>
      <w:tcPr>
        <w:shd w:val="clear" w:color="B2A1C6" w:themeColor="accent4" w:themeTint="9A" w:fill="B2A1C6" w:themeFill="accent4" w:themeFillTint="9A"/>
      </w:tcPr>
    </w:tblStylePr>
    <w:tblStylePr w:type="firstCol">
      <w:rPr>
        <w:rFonts w:ascii="Arial" w:hAnsi="Arial"/>
        <w:color w:val="F2F2F2"/>
        <w:sz w:val="22"/>
      </w:rPr>
      <w:tcPr>
        <w:shd w:val="clear" w:color="B2A1C6" w:themeColor="accent4" w:themeTint="9A" w:fill="B2A1C6" w:themeFill="accent4" w:themeFillTint="9A"/>
      </w:tcPr>
    </w:tblStylePr>
    <w:tblStylePr w:type="lastCol">
      <w:rPr>
        <w:rFonts w:ascii="Arial" w:hAnsi="Arial"/>
        <w:color w:val="F2F2F2"/>
        <w:sz w:val="22"/>
      </w:rPr>
      <w:tcPr>
        <w:shd w:val="clear" w:color="B2A1C6" w:themeColor="accent4" w:themeTint="9A" w:fill="B2A1C6" w:themeFill="accent4" w:themeFillTint="9A"/>
      </w:tcPr>
    </w:tblStylePr>
    <w:tblStylePr w:type="band1Vert">
      <w:rPr>
        <w:rFonts w:ascii="Arial" w:hAnsi="Arial"/>
        <w:color w:val="404040"/>
        <w:sz w:val="22"/>
      </w:rPr>
    </w:tblStylePr>
    <w:tblStylePr w:type="band2Vert">
      <w:rPr>
        <w:rFonts w:ascii="Arial" w:hAnsi="Arial"/>
        <w:color w:val="404040"/>
        <w:sz w:val="22"/>
      </w:rPr>
      <w:tcPr>
        <w:shd w:val="clear" w:color="E5DFEC" w:themeColor="accent4" w:themeTint="34" w:fill="E5DFEC" w:themeFill="accent4" w:themeFillTint="34"/>
      </w:tcPr>
    </w:tblStylePr>
    <w:tblStylePr w:type="band1Horz">
      <w:rPr>
        <w:rFonts w:ascii="Arial" w:hAnsi="Arial"/>
        <w:color w:val="404040"/>
        <w:sz w:val="22"/>
      </w:rPr>
    </w:tblStylePr>
    <w:tblStylePr w:type="band2Horz">
      <w:rPr>
        <w:rFonts w:ascii="Arial" w:hAnsi="Arial"/>
        <w:color w:val="404040"/>
        <w:sz w:val="22"/>
      </w:rPr>
      <w:tcPr>
        <w:shd w:val="clear" w:color="E5DFEC" w:themeColor="accent4" w:themeTint="34" w:fill="E5DFEC" w:themeFill="accent4" w:themeFillTint="34"/>
      </w:tcPr>
    </w:tblStylePr>
    <w:tblStylePr w:type="neCell"/>
    <w:tblStylePr w:type="nwCell"/>
    <w:tblStylePr w:type="seCell"/>
    <w:tblStylePr w:type="swCell"/>
  </w:style>
  <w:style w:type="table" w:customStyle="1" w:styleId="162">
    <w:name w:val="Lined - Accent 5"/>
    <w:uiPriority w:val="99"/>
    <w:pPr>
      <w:spacing w:after="0" w:line="240" w:lineRule="auto"/>
    </w:pPr>
    <w:rPr>
      <w:color w:val="404040"/>
    </w:rPr>
    <w:tblStylePr w:type="firstRow">
      <w:rPr>
        <w:rFonts w:ascii="Arial" w:hAnsi="Arial"/>
        <w:color w:val="F2F2F2"/>
        <w:sz w:val="22"/>
      </w:rPr>
      <w:tcPr>
        <w:shd w:val="clear" w:color="4BACC6" w:themeColor="accent5" w:fill="4BACC6" w:themeFill="accent5"/>
      </w:tcPr>
    </w:tblStylePr>
    <w:tblStylePr w:type="lastRow">
      <w:rPr>
        <w:rFonts w:ascii="Arial" w:hAnsi="Arial"/>
        <w:color w:val="F2F2F2"/>
        <w:sz w:val="22"/>
      </w:rPr>
      <w:tcPr>
        <w:shd w:val="clear" w:color="4BACC6" w:themeColor="accent5" w:fill="4BACC6" w:themeFill="accent5"/>
      </w:tcPr>
    </w:tblStylePr>
    <w:tblStylePr w:type="firstCol">
      <w:rPr>
        <w:rFonts w:ascii="Arial" w:hAnsi="Arial"/>
        <w:color w:val="F2F2F2"/>
        <w:sz w:val="22"/>
      </w:rPr>
      <w:tcPr>
        <w:shd w:val="clear" w:color="4BACC6" w:themeColor="accent5" w:fill="4BACC6" w:themeFill="accent5"/>
      </w:tcPr>
    </w:tblStylePr>
    <w:tblStylePr w:type="lastCol">
      <w:rPr>
        <w:rFonts w:ascii="Arial" w:hAnsi="Arial"/>
        <w:color w:val="F2F2F2"/>
        <w:sz w:val="22"/>
      </w:rPr>
      <w:tcPr>
        <w:shd w:val="clear" w:color="4BACC6" w:themeColor="accent5" w:fill="4BACC6" w:themeFill="accent5"/>
      </w:tcPr>
    </w:tblStylePr>
    <w:tblStylePr w:type="band1Vert">
      <w:rPr>
        <w:rFonts w:ascii="Arial" w:hAnsi="Arial"/>
        <w:color w:val="404040"/>
        <w:sz w:val="22"/>
      </w:rPr>
    </w:tblStylePr>
    <w:tblStylePr w:type="band2Vert">
      <w:rPr>
        <w:rFonts w:ascii="Arial" w:hAnsi="Arial"/>
        <w:color w:val="404040"/>
        <w:sz w:val="22"/>
      </w:rPr>
      <w:tcPr>
        <w:shd w:val="clear" w:color="DAEEF3" w:themeColor="accent5" w:themeTint="34" w:fill="DAEEF3" w:themeFill="accent5" w:themeFillTint="34"/>
      </w:tcPr>
    </w:tblStylePr>
    <w:tblStylePr w:type="band1Horz">
      <w:rPr>
        <w:rFonts w:ascii="Arial" w:hAnsi="Arial"/>
        <w:color w:val="404040"/>
        <w:sz w:val="22"/>
      </w:rPr>
    </w:tblStylePr>
    <w:tblStylePr w:type="band2Horz">
      <w:rPr>
        <w:rFonts w:ascii="Arial" w:hAnsi="Arial"/>
        <w:color w:val="404040"/>
        <w:sz w:val="22"/>
      </w:rPr>
      <w:tcPr>
        <w:shd w:val="clear" w:color="DAEEF3" w:themeColor="accent5" w:themeTint="34" w:fill="DAEEF3" w:themeFill="accent5" w:themeFillTint="34"/>
      </w:tcPr>
    </w:tblStylePr>
    <w:tblStylePr w:type="neCell"/>
    <w:tblStylePr w:type="nwCell"/>
    <w:tblStylePr w:type="seCell"/>
    <w:tblStylePr w:type="swCell"/>
  </w:style>
  <w:style w:type="table" w:customStyle="1" w:styleId="163">
    <w:name w:val="Lined - Accent 6"/>
    <w:uiPriority w:val="99"/>
    <w:pPr>
      <w:spacing w:after="0" w:line="240" w:lineRule="auto"/>
    </w:pPr>
    <w:rPr>
      <w:color w:val="404040"/>
    </w:rPr>
    <w:tblStylePr w:type="firstRow">
      <w:rPr>
        <w:rFonts w:ascii="Arial" w:hAnsi="Arial"/>
        <w:color w:val="F2F2F2"/>
        <w:sz w:val="22"/>
      </w:rPr>
      <w:tcPr>
        <w:shd w:val="clear" w:color="F79646" w:themeColor="accent6" w:fill="F79646" w:themeFill="accent6"/>
      </w:tcPr>
    </w:tblStylePr>
    <w:tblStylePr w:type="lastRow">
      <w:rPr>
        <w:rFonts w:ascii="Arial" w:hAnsi="Arial"/>
        <w:color w:val="F2F2F2"/>
        <w:sz w:val="22"/>
      </w:rPr>
      <w:tcPr>
        <w:shd w:val="clear" w:color="F79646" w:themeColor="accent6" w:fill="F79646" w:themeFill="accent6"/>
      </w:tcPr>
    </w:tblStylePr>
    <w:tblStylePr w:type="firstCol">
      <w:rPr>
        <w:rFonts w:ascii="Arial" w:hAnsi="Arial"/>
        <w:color w:val="F2F2F2"/>
        <w:sz w:val="22"/>
      </w:rPr>
      <w:tcPr>
        <w:shd w:val="clear" w:color="F79646" w:themeColor="accent6" w:fill="F79646" w:themeFill="accent6"/>
      </w:tcPr>
    </w:tblStylePr>
    <w:tblStylePr w:type="lastCol">
      <w:rPr>
        <w:rFonts w:ascii="Arial" w:hAnsi="Arial"/>
        <w:color w:val="F2F2F2"/>
        <w:sz w:val="22"/>
      </w:rPr>
      <w:tcPr>
        <w:shd w:val="clear" w:color="F79646" w:themeColor="accent6" w:fill="F79646" w:themeFill="accent6"/>
      </w:tcPr>
    </w:tblStylePr>
    <w:tblStylePr w:type="band1Vert">
      <w:rPr>
        <w:rFonts w:ascii="Arial" w:hAnsi="Arial"/>
        <w:color w:val="404040"/>
        <w:sz w:val="22"/>
      </w:rPr>
    </w:tblStylePr>
    <w:tblStylePr w:type="band2Vert">
      <w:rPr>
        <w:rFonts w:ascii="Arial" w:hAnsi="Arial"/>
        <w:color w:val="404040"/>
        <w:sz w:val="22"/>
      </w:rPr>
      <w:tcPr>
        <w:shd w:val="clear" w:color="FDE9D9" w:themeColor="accent6" w:themeTint="34" w:fill="FDE9D9" w:themeFill="accent6" w:themeFillTint="34"/>
      </w:tcPr>
    </w:tblStylePr>
    <w:tblStylePr w:type="band1Horz">
      <w:rPr>
        <w:rFonts w:ascii="Arial" w:hAnsi="Arial"/>
        <w:color w:val="404040"/>
        <w:sz w:val="22"/>
      </w:rPr>
    </w:tblStylePr>
    <w:tblStylePr w:type="band2Horz">
      <w:rPr>
        <w:rFonts w:ascii="Arial" w:hAnsi="Arial"/>
        <w:color w:val="404040"/>
        <w:sz w:val="22"/>
      </w:rPr>
      <w:tcPr>
        <w:shd w:val="clear" w:color="FDE9D9" w:themeColor="accent6" w:themeTint="34" w:fill="FDE9D9" w:themeFill="accent6" w:themeFillTint="34"/>
      </w:tcPr>
    </w:tblStylePr>
    <w:tblStylePr w:type="neCell"/>
    <w:tblStylePr w:type="nwCell"/>
    <w:tblStylePr w:type="seCell"/>
    <w:tblStylePr w:type="swCell"/>
  </w:style>
  <w:style w:type="table" w:customStyle="1" w:styleId="164">
    <w:name w:val="Bordered &amp; Lined - Accent"/>
    <w:uiPriority w:val="99"/>
    <w:pPr>
      <w:spacing w:after="0" w:line="240" w:lineRule="auto"/>
    </w:pPr>
    <w:rPr>
      <w:color w:val="404040"/>
    </w:rPr>
    <w:tblPr>
      <w:tblBorders>
        <w:top w:val="single" w:color="585858" w:themeColor="text1" w:themeTint="A6" w:sz="4" w:space="0"/>
        <w:left w:val="single" w:color="585858" w:themeColor="text1" w:themeTint="A6" w:sz="4" w:space="0"/>
        <w:bottom w:val="single" w:color="585858" w:themeColor="text1" w:themeTint="A6" w:sz="4" w:space="0"/>
        <w:right w:val="single" w:color="585858" w:themeColor="text1" w:themeTint="A6" w:sz="4" w:space="0"/>
        <w:insideH w:val="single" w:color="585858" w:themeColor="text1" w:themeTint="A6" w:sz="4" w:space="0"/>
        <w:insideV w:val="single" w:color="585858" w:themeColor="text1" w:themeTint="A6" w:sz="4" w:space="0"/>
      </w:tblBorders>
    </w:tblPr>
    <w:tblStylePr w:type="firstRow">
      <w:rPr>
        <w:rFonts w:ascii="Arial" w:hAnsi="Arial"/>
        <w:color w:val="F2F2F2"/>
        <w:sz w:val="22"/>
      </w:rPr>
      <w:tcPr>
        <w:shd w:val="clear" w:color="7E7E7E" w:themeColor="text1" w:themeTint="80" w:fill="7E7E7E" w:themeFill="text1" w:themeFillTint="80"/>
      </w:tcPr>
    </w:tblStylePr>
    <w:tblStylePr w:type="lastRow">
      <w:rPr>
        <w:rFonts w:ascii="Arial" w:hAnsi="Arial"/>
        <w:color w:val="F2F2F2"/>
        <w:sz w:val="22"/>
      </w:rPr>
      <w:tcPr>
        <w:shd w:val="clear" w:color="7E7E7E" w:themeColor="text1" w:themeTint="80" w:fill="7E7E7E" w:themeFill="text1" w:themeFillTint="80"/>
      </w:tcPr>
    </w:tblStylePr>
    <w:tblStylePr w:type="firstCol">
      <w:rPr>
        <w:rFonts w:ascii="Arial" w:hAnsi="Arial"/>
        <w:color w:val="F2F2F2"/>
        <w:sz w:val="22"/>
      </w:rPr>
      <w:tcPr>
        <w:shd w:val="clear" w:color="7E7E7E" w:themeColor="text1" w:themeTint="80" w:fill="7E7E7E" w:themeFill="text1" w:themeFillTint="80"/>
      </w:tcPr>
    </w:tblStylePr>
    <w:tblStylePr w:type="lastCol">
      <w:rPr>
        <w:rFonts w:ascii="Arial" w:hAnsi="Arial"/>
        <w:color w:val="F2F2F2"/>
        <w:sz w:val="22"/>
      </w:rPr>
      <w:tcPr>
        <w:shd w:val="clear" w:color="7E7E7E" w:themeColor="text1" w:themeTint="80" w:fill="7E7E7E" w:themeFill="text1" w:themeFillTint="80"/>
      </w:tcPr>
    </w:tblStylePr>
    <w:tblStylePr w:type="band1Vert">
      <w:rPr>
        <w:rFonts w:ascii="Arial" w:hAnsi="Arial"/>
        <w:color w:val="404040"/>
        <w:sz w:val="22"/>
      </w:rPr>
    </w:tblStylePr>
    <w:tblStylePr w:type="band2Vert">
      <w:rPr>
        <w:rFonts w:ascii="Arial" w:hAnsi="Arial"/>
        <w:color w:val="404040"/>
        <w:sz w:val="22"/>
      </w:rPr>
      <w:tcPr>
        <w:shd w:val="clear" w:color="F1F1F1" w:themeColor="text1" w:themeTint="0D" w:fill="F1F1F1" w:themeFill="text1" w:themeFillTint="0D"/>
      </w:tcPr>
    </w:tblStylePr>
    <w:tblStylePr w:type="band1Horz">
      <w:rPr>
        <w:rFonts w:ascii="Arial" w:hAnsi="Arial"/>
        <w:color w:val="404040"/>
        <w:sz w:val="22"/>
      </w:rPr>
    </w:tblStylePr>
    <w:tblStylePr w:type="band2Horz">
      <w:rPr>
        <w:rFonts w:ascii="Arial" w:hAnsi="Arial"/>
        <w:color w:val="404040"/>
        <w:sz w:val="22"/>
      </w:rPr>
      <w:tcPr>
        <w:shd w:val="clear" w:color="F1F1F1" w:themeColor="text1" w:themeTint="0D" w:fill="F1F1F1" w:themeFill="text1" w:themeFillTint="0D"/>
      </w:tcPr>
    </w:tblStylePr>
    <w:tblStylePr w:type="neCell"/>
    <w:tblStylePr w:type="nwCell"/>
    <w:tblStylePr w:type="seCell"/>
    <w:tblStylePr w:type="swCell"/>
  </w:style>
  <w:style w:type="table" w:customStyle="1" w:styleId="165">
    <w:name w:val="Bordered &amp; Lined - Accent 1"/>
    <w:qFormat/>
    <w:uiPriority w:val="99"/>
    <w:pPr>
      <w:spacing w:after="0" w:line="240" w:lineRule="auto"/>
    </w:pPr>
    <w:rPr>
      <w:color w:val="404040"/>
    </w:rPr>
    <w:tblPr>
      <w:tblBorders>
        <w:top w:val="single" w:color="2A4B71" w:themeColor="accent1" w:themeShade="95" w:sz="4" w:space="0"/>
        <w:left w:val="single" w:color="2A4B71" w:themeColor="accent1" w:themeShade="95" w:sz="4" w:space="0"/>
        <w:bottom w:val="single" w:color="2A4B71" w:themeColor="accent1" w:themeShade="95" w:sz="4" w:space="0"/>
        <w:right w:val="single" w:color="2A4B71" w:themeColor="accent1" w:themeShade="95" w:sz="4" w:space="0"/>
        <w:insideH w:val="single" w:color="2A4B71" w:themeColor="accent1" w:themeShade="95" w:sz="4" w:space="0"/>
        <w:insideV w:val="single" w:color="2A4B71" w:themeColor="accent1" w:themeShade="95" w:sz="4" w:space="0"/>
      </w:tblBorders>
    </w:tblPr>
    <w:tblStylePr w:type="firstRow">
      <w:rPr>
        <w:rFonts w:ascii="Arial" w:hAnsi="Arial"/>
        <w:color w:val="F2F2F2"/>
        <w:sz w:val="22"/>
      </w:rPr>
      <w:tcPr>
        <w:shd w:val="clear" w:color="5D8BC2" w:themeColor="accent1" w:themeTint="EA" w:fill="5D8BC2" w:themeFill="accent1" w:themeFillTint="EA"/>
      </w:tcPr>
    </w:tblStylePr>
    <w:tblStylePr w:type="lastRow">
      <w:rPr>
        <w:rFonts w:ascii="Arial" w:hAnsi="Arial"/>
        <w:color w:val="F2F2F2"/>
        <w:sz w:val="22"/>
      </w:rPr>
      <w:tcPr>
        <w:shd w:val="clear" w:color="5D8BC2" w:themeColor="accent1" w:themeTint="EA" w:fill="5D8BC2" w:themeFill="accent1" w:themeFillTint="EA"/>
      </w:tcPr>
    </w:tblStylePr>
    <w:tblStylePr w:type="firstCol">
      <w:rPr>
        <w:rFonts w:ascii="Arial" w:hAnsi="Arial"/>
        <w:color w:val="F2F2F2"/>
        <w:sz w:val="22"/>
      </w:rPr>
      <w:tcPr>
        <w:shd w:val="clear" w:color="5D8BC2" w:themeColor="accent1" w:themeTint="EA" w:fill="5D8BC2" w:themeFill="accent1" w:themeFillTint="EA"/>
      </w:tcPr>
    </w:tblStylePr>
    <w:tblStylePr w:type="lastCol">
      <w:rPr>
        <w:rFonts w:ascii="Arial" w:hAnsi="Arial"/>
        <w:color w:val="F2F2F2"/>
        <w:sz w:val="22"/>
      </w:rPr>
      <w:tcPr>
        <w:shd w:val="clear" w:color="5D8BC2" w:themeColor="accent1" w:themeTint="EA" w:fill="5D8BC2" w:themeFill="accent1" w:themeFillTint="EA"/>
      </w:tcPr>
    </w:tblStylePr>
    <w:tblStylePr w:type="band1Vert">
      <w:rPr>
        <w:rFonts w:ascii="Arial" w:hAnsi="Arial"/>
        <w:color w:val="404040"/>
        <w:sz w:val="22"/>
      </w:rPr>
    </w:tblStylePr>
    <w:tblStylePr w:type="band2Vert">
      <w:rPr>
        <w:rFonts w:ascii="Arial" w:hAnsi="Arial"/>
        <w:color w:val="404040"/>
        <w:sz w:val="22"/>
      </w:rPr>
      <w:tcPr>
        <w:shd w:val="clear" w:color="C7D7EA" w:themeColor="accent1" w:themeTint="50" w:fill="C7D7EA" w:themeFill="accent1" w:themeFillTint="50"/>
      </w:tcPr>
    </w:tblStylePr>
    <w:tblStylePr w:type="band1Horz">
      <w:rPr>
        <w:rFonts w:ascii="Arial" w:hAnsi="Arial"/>
        <w:color w:val="404040"/>
        <w:sz w:val="22"/>
      </w:rPr>
    </w:tblStylePr>
    <w:tblStylePr w:type="band2Horz">
      <w:rPr>
        <w:rFonts w:ascii="Arial" w:hAnsi="Arial"/>
        <w:color w:val="404040"/>
        <w:sz w:val="22"/>
      </w:rPr>
      <w:tcPr>
        <w:shd w:val="clear" w:color="C7D7EA" w:themeColor="accent1" w:themeTint="50" w:fill="C7D7EA" w:themeFill="accent1" w:themeFillTint="50"/>
      </w:tcPr>
    </w:tblStylePr>
    <w:tblStylePr w:type="neCell"/>
    <w:tblStylePr w:type="nwCell"/>
    <w:tblStylePr w:type="seCell"/>
    <w:tblStylePr w:type="swCell"/>
  </w:style>
  <w:style w:type="table" w:customStyle="1" w:styleId="166">
    <w:name w:val="Bordered &amp; Lined - Accent 2"/>
    <w:uiPriority w:val="99"/>
    <w:pPr>
      <w:spacing w:after="0" w:line="240" w:lineRule="auto"/>
    </w:pPr>
    <w:rPr>
      <w:color w:val="404040"/>
    </w:rPr>
    <w:tblPr>
      <w:tblBorders>
        <w:top w:val="single" w:color="742B29" w:themeColor="accent2" w:themeShade="95" w:sz="4" w:space="0"/>
        <w:left w:val="single" w:color="742B29" w:themeColor="accent2" w:themeShade="95" w:sz="4" w:space="0"/>
        <w:bottom w:val="single" w:color="742B29" w:themeColor="accent2" w:themeShade="95" w:sz="4" w:space="0"/>
        <w:right w:val="single" w:color="742B29" w:themeColor="accent2" w:themeShade="95" w:sz="4" w:space="0"/>
        <w:insideH w:val="single" w:color="742B29" w:themeColor="accent2" w:themeShade="95" w:sz="4" w:space="0"/>
        <w:insideV w:val="single" w:color="742B29" w:themeColor="accent2" w:themeShade="95" w:sz="4" w:space="0"/>
      </w:tblBorders>
    </w:tblPr>
    <w:tblStylePr w:type="firstRow">
      <w:rPr>
        <w:rFonts w:ascii="Arial" w:hAnsi="Arial"/>
        <w:color w:val="F2F2F2"/>
        <w:sz w:val="22"/>
      </w:rPr>
      <w:tcPr>
        <w:shd w:val="clear" w:color="D99795" w:themeColor="accent2" w:themeTint="97" w:fill="D99795" w:themeFill="accent2" w:themeFillTint="97"/>
      </w:tcPr>
    </w:tblStylePr>
    <w:tblStylePr w:type="lastRow">
      <w:rPr>
        <w:rFonts w:ascii="Arial" w:hAnsi="Arial"/>
        <w:color w:val="F2F2F2"/>
        <w:sz w:val="22"/>
      </w:rPr>
      <w:tcPr>
        <w:shd w:val="clear" w:color="D99795" w:themeColor="accent2" w:themeTint="97" w:fill="D99795" w:themeFill="accent2" w:themeFillTint="97"/>
      </w:tcPr>
    </w:tblStylePr>
    <w:tblStylePr w:type="firstCol">
      <w:rPr>
        <w:rFonts w:ascii="Arial" w:hAnsi="Arial"/>
        <w:color w:val="F2F2F2"/>
        <w:sz w:val="22"/>
      </w:rPr>
      <w:tcPr>
        <w:shd w:val="clear" w:color="D99795" w:themeColor="accent2" w:themeTint="97" w:fill="D99795" w:themeFill="accent2" w:themeFillTint="97"/>
      </w:tcPr>
    </w:tblStylePr>
    <w:tblStylePr w:type="lastCol">
      <w:rPr>
        <w:rFonts w:ascii="Arial" w:hAnsi="Arial"/>
        <w:color w:val="F2F2F2"/>
        <w:sz w:val="22"/>
      </w:rPr>
      <w:tcPr>
        <w:shd w:val="clear" w:color="D99795" w:themeColor="accent2" w:themeTint="97" w:fill="D99795" w:themeFill="accent2" w:themeFillTint="97"/>
      </w:tcPr>
    </w:tblStylePr>
    <w:tblStylePr w:type="band1Vert">
      <w:rPr>
        <w:rFonts w:ascii="Arial" w:hAnsi="Arial"/>
        <w:color w:val="404040"/>
        <w:sz w:val="22"/>
      </w:rPr>
    </w:tblStylePr>
    <w:tblStylePr w:type="band2Vert">
      <w:rPr>
        <w:rFonts w:ascii="Arial" w:hAnsi="Arial"/>
        <w:color w:val="404040"/>
        <w:sz w:val="22"/>
      </w:rPr>
      <w:tcPr>
        <w:shd w:val="clear" w:color="F2DCDC" w:themeColor="accent2" w:themeTint="32" w:fill="F2DCDC" w:themeFill="accent2" w:themeFillTint="32"/>
      </w:tcPr>
    </w:tblStylePr>
    <w:tblStylePr w:type="band1Horz">
      <w:rPr>
        <w:rFonts w:ascii="Arial" w:hAnsi="Arial"/>
        <w:color w:val="404040"/>
        <w:sz w:val="22"/>
      </w:rPr>
    </w:tblStylePr>
    <w:tblStylePr w:type="band2Horz">
      <w:rPr>
        <w:rFonts w:ascii="Arial" w:hAnsi="Arial"/>
        <w:color w:val="404040"/>
        <w:sz w:val="22"/>
      </w:rPr>
      <w:tcPr>
        <w:shd w:val="clear" w:color="F2DCDC" w:themeColor="accent2" w:themeTint="32" w:fill="F2DCDC" w:themeFill="accent2" w:themeFillTint="32"/>
      </w:tcPr>
    </w:tblStylePr>
    <w:tblStylePr w:type="neCell"/>
    <w:tblStylePr w:type="nwCell"/>
    <w:tblStylePr w:type="seCell"/>
    <w:tblStylePr w:type="swCell"/>
  </w:style>
  <w:style w:type="table" w:customStyle="1" w:styleId="167">
    <w:name w:val="Bordered &amp; Lined - Accent 3"/>
    <w:uiPriority w:val="99"/>
    <w:pPr>
      <w:spacing w:after="0" w:line="240" w:lineRule="auto"/>
    </w:pPr>
    <w:rPr>
      <w:color w:val="404040"/>
    </w:rPr>
    <w:tblPr>
      <w:tblBorders>
        <w:top w:val="single" w:color="5C722E" w:themeColor="accent3" w:themeShade="95" w:sz="4" w:space="0"/>
        <w:left w:val="single" w:color="5C722E" w:themeColor="accent3" w:themeShade="95" w:sz="4" w:space="0"/>
        <w:bottom w:val="single" w:color="5C722E" w:themeColor="accent3" w:themeShade="95" w:sz="4" w:space="0"/>
        <w:right w:val="single" w:color="5C722E" w:themeColor="accent3" w:themeShade="95" w:sz="4" w:space="0"/>
        <w:insideH w:val="single" w:color="5C722E" w:themeColor="accent3" w:themeShade="95" w:sz="4" w:space="0"/>
        <w:insideV w:val="single" w:color="5C722E" w:themeColor="accent3" w:themeShade="95" w:sz="4" w:space="0"/>
      </w:tblBorders>
    </w:tblPr>
    <w:tblStylePr w:type="firstRow">
      <w:rPr>
        <w:rFonts w:ascii="Arial" w:hAnsi="Arial"/>
        <w:color w:val="F2F2F2"/>
        <w:sz w:val="22"/>
      </w:rPr>
      <w:tcPr>
        <w:shd w:val="clear" w:color="9BBB59" w:themeColor="accent3" w:themeTint="FE" w:fill="9BBB59" w:themeFill="accent3" w:themeFillTint="FE"/>
      </w:tcPr>
    </w:tblStylePr>
    <w:tblStylePr w:type="lastRow">
      <w:rPr>
        <w:rFonts w:ascii="Arial" w:hAnsi="Arial"/>
        <w:color w:val="F2F2F2"/>
        <w:sz w:val="22"/>
      </w:rPr>
      <w:tcPr>
        <w:shd w:val="clear" w:color="9BBB59" w:themeColor="accent3" w:themeTint="FE" w:fill="9BBB59" w:themeFill="accent3" w:themeFillTint="FE"/>
      </w:tcPr>
    </w:tblStylePr>
    <w:tblStylePr w:type="firstCol">
      <w:rPr>
        <w:rFonts w:ascii="Arial" w:hAnsi="Arial"/>
        <w:color w:val="F2F2F2"/>
        <w:sz w:val="22"/>
      </w:rPr>
      <w:tcPr>
        <w:shd w:val="clear" w:color="9BBB59" w:themeColor="accent3" w:themeTint="FE" w:fill="9BBB59" w:themeFill="accent3" w:themeFillTint="FE"/>
      </w:tcPr>
    </w:tblStylePr>
    <w:tblStylePr w:type="lastCol">
      <w:rPr>
        <w:rFonts w:ascii="Arial" w:hAnsi="Arial"/>
        <w:color w:val="F2F2F2"/>
        <w:sz w:val="22"/>
      </w:rPr>
      <w:tcPr>
        <w:shd w:val="clear" w:color="9BBB59" w:themeColor="accent3" w:themeTint="FE" w:fill="9BBB59" w:themeFill="accent3" w:themeFillTint="FE"/>
      </w:tcPr>
    </w:tblStylePr>
    <w:tblStylePr w:type="band1Vert">
      <w:rPr>
        <w:rFonts w:ascii="Arial" w:hAnsi="Arial"/>
        <w:color w:val="404040"/>
        <w:sz w:val="22"/>
      </w:rPr>
    </w:tblStylePr>
    <w:tblStylePr w:type="band2Vert">
      <w:rPr>
        <w:rFonts w:ascii="Arial" w:hAnsi="Arial"/>
        <w:color w:val="404040"/>
        <w:sz w:val="22"/>
      </w:rPr>
      <w:tcPr>
        <w:shd w:val="clear" w:color="EAF1DD" w:themeColor="accent3" w:themeTint="34" w:fill="EAF1DD" w:themeFill="accent3" w:themeFillTint="34"/>
      </w:tcPr>
    </w:tblStylePr>
    <w:tblStylePr w:type="band1Horz">
      <w:rPr>
        <w:rFonts w:ascii="Arial" w:hAnsi="Arial"/>
        <w:color w:val="404040"/>
        <w:sz w:val="22"/>
      </w:rPr>
    </w:tblStylePr>
    <w:tblStylePr w:type="band2Horz">
      <w:rPr>
        <w:rFonts w:ascii="Arial" w:hAnsi="Arial"/>
        <w:color w:val="404040"/>
        <w:sz w:val="22"/>
      </w:rPr>
      <w:tcPr>
        <w:shd w:val="clear" w:color="EAF1DD" w:themeColor="accent3" w:themeTint="34" w:fill="EAF1DD" w:themeFill="accent3" w:themeFillTint="34"/>
      </w:tcPr>
    </w:tblStylePr>
    <w:tblStylePr w:type="neCell"/>
    <w:tblStylePr w:type="nwCell"/>
    <w:tblStylePr w:type="seCell"/>
    <w:tblStylePr w:type="swCell"/>
  </w:style>
  <w:style w:type="table" w:customStyle="1" w:styleId="168">
    <w:name w:val="Bordered &amp; Lined - Accent 4"/>
    <w:qFormat/>
    <w:uiPriority w:val="99"/>
    <w:pPr>
      <w:spacing w:after="0" w:line="240" w:lineRule="auto"/>
    </w:pPr>
    <w:rPr>
      <w:color w:val="404040"/>
    </w:rPr>
    <w:tblPr>
      <w:tblBorders>
        <w:top w:val="single" w:color="4A395F" w:themeColor="accent4" w:themeShade="95" w:sz="4" w:space="0"/>
        <w:left w:val="single" w:color="4A395F" w:themeColor="accent4" w:themeShade="95" w:sz="4" w:space="0"/>
        <w:bottom w:val="single" w:color="4A395F" w:themeColor="accent4" w:themeShade="95" w:sz="4" w:space="0"/>
        <w:right w:val="single" w:color="4A395F" w:themeColor="accent4" w:themeShade="95" w:sz="4" w:space="0"/>
        <w:insideH w:val="single" w:color="4A395F" w:themeColor="accent4" w:themeShade="95" w:sz="4" w:space="0"/>
        <w:insideV w:val="single" w:color="4A395F" w:themeColor="accent4" w:themeShade="95" w:sz="4" w:space="0"/>
      </w:tblBorders>
    </w:tblPr>
    <w:tblStylePr w:type="firstRow">
      <w:rPr>
        <w:rFonts w:ascii="Arial" w:hAnsi="Arial"/>
        <w:color w:val="F2F2F2"/>
        <w:sz w:val="22"/>
      </w:rPr>
      <w:tcPr>
        <w:shd w:val="clear" w:color="B2A1C6" w:themeColor="accent4" w:themeTint="9A" w:fill="B2A1C6" w:themeFill="accent4" w:themeFillTint="9A"/>
      </w:tcPr>
    </w:tblStylePr>
    <w:tblStylePr w:type="lastRow">
      <w:rPr>
        <w:rFonts w:ascii="Arial" w:hAnsi="Arial"/>
        <w:color w:val="F2F2F2"/>
        <w:sz w:val="22"/>
      </w:rPr>
      <w:tcPr>
        <w:shd w:val="clear" w:color="B2A1C6" w:themeColor="accent4" w:themeTint="9A" w:fill="B2A1C6" w:themeFill="accent4" w:themeFillTint="9A"/>
      </w:tcPr>
    </w:tblStylePr>
    <w:tblStylePr w:type="firstCol">
      <w:rPr>
        <w:rFonts w:ascii="Arial" w:hAnsi="Arial"/>
        <w:color w:val="F2F2F2"/>
        <w:sz w:val="22"/>
      </w:rPr>
      <w:tcPr>
        <w:shd w:val="clear" w:color="B2A1C6" w:themeColor="accent4" w:themeTint="9A" w:fill="B2A1C6" w:themeFill="accent4" w:themeFillTint="9A"/>
      </w:tcPr>
    </w:tblStylePr>
    <w:tblStylePr w:type="lastCol">
      <w:rPr>
        <w:rFonts w:ascii="Arial" w:hAnsi="Arial"/>
        <w:color w:val="F2F2F2"/>
        <w:sz w:val="22"/>
      </w:rPr>
      <w:tcPr>
        <w:shd w:val="clear" w:color="B2A1C6" w:themeColor="accent4" w:themeTint="9A" w:fill="B2A1C6" w:themeFill="accent4" w:themeFillTint="9A"/>
      </w:tcPr>
    </w:tblStylePr>
    <w:tblStylePr w:type="band1Vert">
      <w:rPr>
        <w:rFonts w:ascii="Arial" w:hAnsi="Arial"/>
        <w:color w:val="404040"/>
        <w:sz w:val="22"/>
      </w:rPr>
    </w:tblStylePr>
    <w:tblStylePr w:type="band2Vert">
      <w:rPr>
        <w:rFonts w:ascii="Arial" w:hAnsi="Arial"/>
        <w:color w:val="404040"/>
        <w:sz w:val="22"/>
      </w:rPr>
      <w:tcPr>
        <w:shd w:val="clear" w:color="E5DFEC" w:themeColor="accent4" w:themeTint="34" w:fill="E5DFEC" w:themeFill="accent4" w:themeFillTint="34"/>
      </w:tcPr>
    </w:tblStylePr>
    <w:tblStylePr w:type="band1Horz">
      <w:rPr>
        <w:rFonts w:ascii="Arial" w:hAnsi="Arial"/>
        <w:color w:val="404040"/>
        <w:sz w:val="22"/>
      </w:rPr>
    </w:tblStylePr>
    <w:tblStylePr w:type="band2Horz">
      <w:rPr>
        <w:rFonts w:ascii="Arial" w:hAnsi="Arial"/>
        <w:color w:val="404040"/>
        <w:sz w:val="22"/>
      </w:rPr>
      <w:tcPr>
        <w:shd w:val="clear" w:color="E5DFEC" w:themeColor="accent4" w:themeTint="34" w:fill="E5DFEC" w:themeFill="accent4" w:themeFillTint="34"/>
      </w:tcPr>
    </w:tblStylePr>
    <w:tblStylePr w:type="neCell"/>
    <w:tblStylePr w:type="nwCell"/>
    <w:tblStylePr w:type="seCell"/>
    <w:tblStylePr w:type="swCell"/>
  </w:style>
  <w:style w:type="table" w:customStyle="1" w:styleId="169">
    <w:name w:val="Bordered &amp; Lined - Accent 5"/>
    <w:qFormat/>
    <w:uiPriority w:val="99"/>
    <w:pPr>
      <w:spacing w:after="0" w:line="240" w:lineRule="auto"/>
    </w:pPr>
    <w:rPr>
      <w:color w:val="404040"/>
    </w:rPr>
    <w:tblPr>
      <w:tblBorders>
        <w:top w:val="single" w:color="266779" w:themeColor="accent5" w:themeShade="95" w:sz="4" w:space="0"/>
        <w:left w:val="single" w:color="266779" w:themeColor="accent5" w:themeShade="95" w:sz="4" w:space="0"/>
        <w:bottom w:val="single" w:color="266779" w:themeColor="accent5" w:themeShade="95" w:sz="4" w:space="0"/>
        <w:right w:val="single" w:color="266779" w:themeColor="accent5" w:themeShade="95" w:sz="4" w:space="0"/>
        <w:insideH w:val="single" w:color="266779" w:themeColor="accent5" w:themeShade="95" w:sz="4" w:space="0"/>
        <w:insideV w:val="single" w:color="266779" w:themeColor="accent5" w:themeShade="95" w:sz="4" w:space="0"/>
      </w:tblBorders>
    </w:tblPr>
    <w:tblStylePr w:type="firstRow">
      <w:rPr>
        <w:rFonts w:ascii="Arial" w:hAnsi="Arial"/>
        <w:color w:val="F2F2F2"/>
        <w:sz w:val="22"/>
      </w:rPr>
      <w:tcPr>
        <w:shd w:val="clear" w:color="4BACC6" w:themeColor="accent5" w:fill="4BACC6" w:themeFill="accent5"/>
      </w:tcPr>
    </w:tblStylePr>
    <w:tblStylePr w:type="lastRow">
      <w:rPr>
        <w:rFonts w:ascii="Arial" w:hAnsi="Arial"/>
        <w:color w:val="F2F2F2"/>
        <w:sz w:val="22"/>
      </w:rPr>
      <w:tcPr>
        <w:shd w:val="clear" w:color="4BACC6" w:themeColor="accent5" w:fill="4BACC6" w:themeFill="accent5"/>
      </w:tcPr>
    </w:tblStylePr>
    <w:tblStylePr w:type="firstCol">
      <w:rPr>
        <w:rFonts w:ascii="Arial" w:hAnsi="Arial"/>
        <w:color w:val="F2F2F2"/>
        <w:sz w:val="22"/>
      </w:rPr>
      <w:tcPr>
        <w:shd w:val="clear" w:color="4BACC6" w:themeColor="accent5" w:fill="4BACC6" w:themeFill="accent5"/>
      </w:tcPr>
    </w:tblStylePr>
    <w:tblStylePr w:type="lastCol">
      <w:rPr>
        <w:rFonts w:ascii="Arial" w:hAnsi="Arial"/>
        <w:color w:val="F2F2F2"/>
        <w:sz w:val="22"/>
      </w:rPr>
      <w:tcPr>
        <w:shd w:val="clear" w:color="4BACC6" w:themeColor="accent5" w:fill="4BACC6" w:themeFill="accent5"/>
      </w:tcPr>
    </w:tblStylePr>
    <w:tblStylePr w:type="band1Vert">
      <w:rPr>
        <w:rFonts w:ascii="Arial" w:hAnsi="Arial"/>
        <w:color w:val="404040"/>
        <w:sz w:val="22"/>
      </w:rPr>
    </w:tblStylePr>
    <w:tblStylePr w:type="band2Vert">
      <w:rPr>
        <w:rFonts w:ascii="Arial" w:hAnsi="Arial"/>
        <w:color w:val="404040"/>
        <w:sz w:val="22"/>
      </w:rPr>
      <w:tcPr>
        <w:shd w:val="clear" w:color="DAEEF3" w:themeColor="accent5" w:themeTint="34" w:fill="DAEEF3" w:themeFill="accent5" w:themeFillTint="34"/>
      </w:tcPr>
    </w:tblStylePr>
    <w:tblStylePr w:type="band1Horz">
      <w:rPr>
        <w:rFonts w:ascii="Arial" w:hAnsi="Arial"/>
        <w:color w:val="404040"/>
        <w:sz w:val="22"/>
      </w:rPr>
    </w:tblStylePr>
    <w:tblStylePr w:type="band2Horz">
      <w:rPr>
        <w:rFonts w:ascii="Arial" w:hAnsi="Arial"/>
        <w:color w:val="404040"/>
        <w:sz w:val="22"/>
      </w:rPr>
      <w:tcPr>
        <w:shd w:val="clear" w:color="DAEEF3" w:themeColor="accent5" w:themeTint="34" w:fill="DAEEF3" w:themeFill="accent5" w:themeFillTint="34"/>
      </w:tcPr>
    </w:tblStylePr>
    <w:tblStylePr w:type="neCell"/>
    <w:tblStylePr w:type="nwCell"/>
    <w:tblStylePr w:type="seCell"/>
    <w:tblStylePr w:type="swCell"/>
  </w:style>
  <w:style w:type="table" w:customStyle="1" w:styleId="170">
    <w:name w:val="Bordered &amp; Lined - Accent 6"/>
    <w:uiPriority w:val="99"/>
    <w:pPr>
      <w:spacing w:after="0" w:line="240" w:lineRule="auto"/>
    </w:pPr>
    <w:rPr>
      <w:color w:val="404040"/>
    </w:rPr>
    <w:tblPr>
      <w:tblBorders>
        <w:top w:val="single" w:color="B15407" w:themeColor="accent6" w:themeShade="95" w:sz="4" w:space="0"/>
        <w:left w:val="single" w:color="B15407" w:themeColor="accent6" w:themeShade="95" w:sz="4" w:space="0"/>
        <w:bottom w:val="single" w:color="B15407" w:themeColor="accent6" w:themeShade="95" w:sz="4" w:space="0"/>
        <w:right w:val="single" w:color="B15407" w:themeColor="accent6" w:themeShade="95" w:sz="4" w:space="0"/>
        <w:insideH w:val="single" w:color="B15407" w:themeColor="accent6" w:themeShade="95" w:sz="4" w:space="0"/>
        <w:insideV w:val="single" w:color="B15407" w:themeColor="accent6" w:themeShade="95" w:sz="4" w:space="0"/>
      </w:tblBorders>
    </w:tblPr>
    <w:tblStylePr w:type="firstRow">
      <w:rPr>
        <w:rFonts w:ascii="Arial" w:hAnsi="Arial"/>
        <w:color w:val="F2F2F2"/>
        <w:sz w:val="22"/>
      </w:rPr>
      <w:tcPr>
        <w:shd w:val="clear" w:color="F79646" w:themeColor="accent6" w:fill="F79646" w:themeFill="accent6"/>
      </w:tcPr>
    </w:tblStylePr>
    <w:tblStylePr w:type="lastRow">
      <w:rPr>
        <w:rFonts w:ascii="Arial" w:hAnsi="Arial"/>
        <w:color w:val="F2F2F2"/>
        <w:sz w:val="22"/>
      </w:rPr>
      <w:tcPr>
        <w:shd w:val="clear" w:color="F79646" w:themeColor="accent6" w:fill="F79646" w:themeFill="accent6"/>
      </w:tcPr>
    </w:tblStylePr>
    <w:tblStylePr w:type="firstCol">
      <w:rPr>
        <w:rFonts w:ascii="Arial" w:hAnsi="Arial"/>
        <w:color w:val="F2F2F2"/>
        <w:sz w:val="22"/>
      </w:rPr>
      <w:tcPr>
        <w:shd w:val="clear" w:color="F79646" w:themeColor="accent6" w:fill="F79646" w:themeFill="accent6"/>
      </w:tcPr>
    </w:tblStylePr>
    <w:tblStylePr w:type="lastCol">
      <w:rPr>
        <w:rFonts w:ascii="Arial" w:hAnsi="Arial"/>
        <w:color w:val="F2F2F2"/>
        <w:sz w:val="22"/>
      </w:rPr>
      <w:tcPr>
        <w:shd w:val="clear" w:color="F79646" w:themeColor="accent6" w:fill="F79646" w:themeFill="accent6"/>
      </w:tcPr>
    </w:tblStylePr>
    <w:tblStylePr w:type="band1Vert">
      <w:rPr>
        <w:rFonts w:ascii="Arial" w:hAnsi="Arial"/>
        <w:color w:val="404040"/>
        <w:sz w:val="22"/>
      </w:rPr>
    </w:tblStylePr>
    <w:tblStylePr w:type="band2Vert">
      <w:rPr>
        <w:rFonts w:ascii="Arial" w:hAnsi="Arial"/>
        <w:color w:val="404040"/>
        <w:sz w:val="22"/>
      </w:rPr>
      <w:tcPr>
        <w:shd w:val="clear" w:color="FDE9D9" w:themeColor="accent6" w:themeTint="34" w:fill="FDE9D9" w:themeFill="accent6" w:themeFillTint="34"/>
      </w:tcPr>
    </w:tblStylePr>
    <w:tblStylePr w:type="band1Horz">
      <w:rPr>
        <w:rFonts w:ascii="Arial" w:hAnsi="Arial"/>
        <w:color w:val="404040"/>
        <w:sz w:val="22"/>
      </w:rPr>
    </w:tblStylePr>
    <w:tblStylePr w:type="band2Horz">
      <w:rPr>
        <w:rFonts w:ascii="Arial" w:hAnsi="Arial"/>
        <w:color w:val="404040"/>
        <w:sz w:val="22"/>
      </w:rPr>
      <w:tcPr>
        <w:shd w:val="clear" w:color="FDE9D9" w:themeColor="accent6" w:themeTint="34" w:fill="FDE9D9" w:themeFill="accent6" w:themeFillTint="34"/>
      </w:tcPr>
    </w:tblStylePr>
    <w:tblStylePr w:type="neCell"/>
    <w:tblStylePr w:type="nwCell"/>
    <w:tblStylePr w:type="seCell"/>
    <w:tblStylePr w:type="swCell"/>
  </w:style>
  <w:style w:type="table" w:customStyle="1" w:styleId="171">
    <w:name w:val="Bordered"/>
    <w:uiPriority w:val="99"/>
    <w:pPr>
      <w:spacing w:after="0" w:line="240" w:lineRule="auto"/>
    </w:pPr>
    <w:tblPr>
      <w:tblBorders>
        <w:top w:val="single" w:color="D8D8D8" w:themeColor="text1" w:themeTint="26" w:sz="4" w:space="0"/>
        <w:left w:val="single" w:color="D8D8D8" w:themeColor="text1" w:themeTint="26" w:sz="4" w:space="0"/>
        <w:bottom w:val="single" w:color="D8D8D8" w:themeColor="text1" w:themeTint="26" w:sz="4" w:space="0"/>
        <w:right w:val="single" w:color="D8D8D8" w:themeColor="text1" w:themeTint="26" w:sz="4" w:space="0"/>
        <w:insideH w:val="single" w:color="D8D8D8" w:themeColor="text1" w:themeTint="26" w:sz="4" w:space="0"/>
        <w:insideV w:val="single" w:color="D8D8D8" w:themeColor="text1" w:themeTint="26" w:sz="4" w:space="0"/>
      </w:tblBorders>
    </w:tblPr>
    <w:tblStylePr w:type="firstRow">
      <w:rPr>
        <w:rFonts w:ascii="Arial" w:hAnsi="Arial"/>
        <w:color w:val="404040"/>
        <w:sz w:val="22"/>
      </w:rPr>
      <w:tcPr>
        <w:tcBorders>
          <w:bottom w:val="single" w:color="7E7E7E" w:themeColor="text1" w:themeTint="80" w:sz="12" w:space="0"/>
        </w:tcBorders>
      </w:tcPr>
    </w:tblStylePr>
    <w:tblStylePr w:type="lastRow">
      <w:rPr>
        <w:rFonts w:ascii="Arial" w:hAnsi="Arial"/>
        <w:color w:val="404040"/>
        <w:sz w:val="22"/>
      </w:rPr>
      <w:tcPr>
        <w:tcBorders>
          <w:top w:val="single" w:color="7E7E7E" w:themeColor="text1" w:themeTint="80" w:sz="12" w:space="0"/>
        </w:tcBorders>
      </w:tcPr>
    </w:tblStylePr>
    <w:tblStylePr w:type="firstCol">
      <w:rPr>
        <w:rFonts w:ascii="Arial" w:hAnsi="Arial"/>
        <w:color w:val="404040"/>
        <w:sz w:val="22"/>
      </w:rPr>
    </w:tblStylePr>
    <w:tblStylePr w:type="lastCol">
      <w:rPr>
        <w:rFonts w:ascii="Arial" w:hAnsi="Arial"/>
        <w:color w:val="404040"/>
        <w:sz w:val="22"/>
      </w:rPr>
      <w:tcPr>
        <w:tcBorders>
          <w:left w:val="single" w:color="7E7E7E" w:themeColor="text1" w:themeTint="80" w:sz="12" w:space="0"/>
        </w:tcBorders>
      </w:tcPr>
    </w:tblStylePr>
    <w:tblStylePr w:type="band1Vert"/>
    <w:tblStylePr w:type="band2Vert"/>
    <w:tblStylePr w:type="band1Horz">
      <w:rPr>
        <w:rFonts w:ascii="Arial" w:hAnsi="Arial"/>
        <w:color w:val="404040"/>
        <w:sz w:val="22"/>
      </w:rPr>
      <w:tcPr>
        <w:tcBorders>
          <w:top w:val="single" w:color="D8D8D8" w:themeColor="text1" w:themeTint="26" w:sz="4" w:space="0"/>
          <w:left w:val="single" w:color="D8D8D8" w:themeColor="text1" w:themeTint="26" w:sz="4" w:space="0"/>
          <w:bottom w:val="single" w:color="D8D8D8" w:themeColor="text1" w:themeTint="26" w:sz="4" w:space="0"/>
          <w:right w:val="single" w:color="D8D8D8" w:themeColor="text1" w:themeTint="26" w:sz="4" w:space="0"/>
        </w:tcBorders>
      </w:tcPr>
    </w:tblStylePr>
    <w:tblStylePr w:type="band2Horz"/>
    <w:tblStylePr w:type="neCell"/>
    <w:tblStylePr w:type="nwCell"/>
    <w:tblStylePr w:type="seCell"/>
    <w:tblStylePr w:type="swCell"/>
  </w:style>
  <w:style w:type="table" w:customStyle="1" w:styleId="172">
    <w:name w:val="Bordered - Accent 1"/>
    <w:uiPriority w:val="99"/>
    <w:pPr>
      <w:spacing w:after="0" w:line="240" w:lineRule="auto"/>
    </w:pPr>
    <w:tblPr>
      <w:tblBorders>
        <w:top w:val="single" w:color="B7CCE4" w:themeColor="accent1" w:themeTint="67" w:sz="4" w:space="0"/>
        <w:left w:val="single" w:color="B7CCE4" w:themeColor="accent1" w:themeTint="67" w:sz="4" w:space="0"/>
        <w:bottom w:val="single" w:color="B7CCE4" w:themeColor="accent1" w:themeTint="67" w:sz="4" w:space="0"/>
        <w:right w:val="single" w:color="B7CCE4" w:themeColor="accent1" w:themeTint="67" w:sz="4" w:space="0"/>
        <w:insideH w:val="single" w:color="B7CCE4" w:themeColor="accent1" w:themeTint="67" w:sz="4" w:space="0"/>
        <w:insideV w:val="single" w:color="B7CCE4" w:themeColor="accent1" w:themeTint="67" w:sz="4" w:space="0"/>
      </w:tblBorders>
    </w:tblPr>
    <w:tblStylePr w:type="firstRow">
      <w:rPr>
        <w:rFonts w:ascii="Arial" w:hAnsi="Arial"/>
        <w:color w:val="404040"/>
        <w:sz w:val="22"/>
      </w:rPr>
      <w:tcPr>
        <w:tcBorders>
          <w:bottom w:val="single" w:color="4F81BD" w:themeColor="accent1" w:sz="12" w:space="0"/>
        </w:tcBorders>
      </w:tcPr>
    </w:tblStylePr>
    <w:tblStylePr w:type="lastRow">
      <w:rPr>
        <w:rFonts w:ascii="Arial" w:hAnsi="Arial"/>
        <w:color w:val="404040"/>
        <w:sz w:val="22"/>
      </w:rPr>
      <w:tcPr>
        <w:tcBorders>
          <w:top w:val="single" w:color="4F81BD" w:themeColor="accent1" w:sz="12" w:space="0"/>
        </w:tcBorders>
      </w:tcPr>
    </w:tblStylePr>
    <w:tblStylePr w:type="firstCol">
      <w:rPr>
        <w:rFonts w:ascii="Arial" w:hAnsi="Arial"/>
        <w:color w:val="404040"/>
        <w:sz w:val="22"/>
      </w:rPr>
    </w:tblStylePr>
    <w:tblStylePr w:type="lastCol">
      <w:rPr>
        <w:rFonts w:ascii="Arial" w:hAnsi="Arial"/>
        <w:color w:val="404040"/>
        <w:sz w:val="22"/>
      </w:rPr>
      <w:tcPr>
        <w:tcBorders>
          <w:left w:val="single" w:color="4F81BD" w:themeColor="accent1" w:sz="12" w:space="0"/>
        </w:tcBorders>
      </w:tcPr>
    </w:tblStylePr>
    <w:tblStylePr w:type="band1Vert"/>
    <w:tblStylePr w:type="band2Vert"/>
    <w:tblStylePr w:type="band1Horz">
      <w:rPr>
        <w:rFonts w:ascii="Arial" w:hAnsi="Arial"/>
        <w:color w:val="404040"/>
        <w:sz w:val="22"/>
      </w:rPr>
      <w:tcPr>
        <w:tcBorders>
          <w:top w:val="single" w:color="B7CCE4" w:themeColor="accent1" w:themeTint="67" w:sz="4" w:space="0"/>
          <w:left w:val="single" w:color="B7CCE4" w:themeColor="accent1" w:themeTint="67" w:sz="4" w:space="0"/>
          <w:bottom w:val="single" w:color="B7CCE4" w:themeColor="accent1" w:themeTint="67" w:sz="4" w:space="0"/>
          <w:right w:val="single" w:color="B7CCE4" w:themeColor="accent1" w:themeTint="67" w:sz="4" w:space="0"/>
        </w:tcBorders>
      </w:tcPr>
    </w:tblStylePr>
    <w:tblStylePr w:type="band2Horz"/>
    <w:tblStylePr w:type="neCell"/>
    <w:tblStylePr w:type="nwCell"/>
    <w:tblStylePr w:type="seCell"/>
    <w:tblStylePr w:type="swCell"/>
  </w:style>
  <w:style w:type="table" w:customStyle="1" w:styleId="173">
    <w:name w:val="Bordered - Accent 2"/>
    <w:uiPriority w:val="99"/>
    <w:pPr>
      <w:spacing w:after="0" w:line="240" w:lineRule="auto"/>
    </w:pPr>
    <w:tblPr>
      <w:tblBorders>
        <w:top w:val="single" w:color="E5B8B7" w:themeColor="accent2" w:themeTint="67" w:sz="4" w:space="0"/>
        <w:left w:val="single" w:color="E5B8B7" w:themeColor="accent2" w:themeTint="67" w:sz="4" w:space="0"/>
        <w:bottom w:val="single" w:color="E5B8B7" w:themeColor="accent2" w:themeTint="67" w:sz="4" w:space="0"/>
        <w:right w:val="single" w:color="E5B8B7" w:themeColor="accent2" w:themeTint="67" w:sz="4" w:space="0"/>
        <w:insideH w:val="single" w:color="E5B8B7" w:themeColor="accent2" w:themeTint="67" w:sz="4" w:space="0"/>
        <w:insideV w:val="single" w:color="E5B8B7" w:themeColor="accent2" w:themeTint="67" w:sz="4" w:space="0"/>
      </w:tblBorders>
    </w:tblPr>
    <w:tblStylePr w:type="firstRow">
      <w:rPr>
        <w:rFonts w:ascii="Arial" w:hAnsi="Arial"/>
        <w:color w:val="404040"/>
        <w:sz w:val="22"/>
      </w:rPr>
      <w:tcPr>
        <w:tcBorders>
          <w:bottom w:val="single" w:color="D99795" w:themeColor="accent2" w:themeTint="97" w:sz="12" w:space="0"/>
        </w:tcBorders>
      </w:tcPr>
    </w:tblStylePr>
    <w:tblStylePr w:type="lastRow">
      <w:rPr>
        <w:rFonts w:ascii="Arial" w:hAnsi="Arial"/>
        <w:color w:val="404040"/>
        <w:sz w:val="22"/>
      </w:rPr>
      <w:tcPr>
        <w:tcBorders>
          <w:top w:val="single" w:color="D99795" w:themeColor="accent2" w:themeTint="97" w:sz="12" w:space="0"/>
        </w:tcBorders>
      </w:tcPr>
    </w:tblStylePr>
    <w:tblStylePr w:type="firstCol">
      <w:rPr>
        <w:rFonts w:ascii="Arial" w:hAnsi="Arial"/>
        <w:color w:val="404040"/>
        <w:sz w:val="22"/>
      </w:rPr>
    </w:tblStylePr>
    <w:tblStylePr w:type="lastCol">
      <w:rPr>
        <w:rFonts w:ascii="Arial" w:hAnsi="Arial"/>
        <w:color w:val="404040"/>
        <w:sz w:val="22"/>
      </w:rPr>
      <w:tcPr>
        <w:tcBorders>
          <w:left w:val="single" w:color="D99795" w:themeColor="accent2" w:themeTint="97" w:sz="12" w:space="0"/>
        </w:tcBorders>
      </w:tcPr>
    </w:tblStylePr>
    <w:tblStylePr w:type="band1Vert"/>
    <w:tblStylePr w:type="band2Vert"/>
    <w:tblStylePr w:type="band1Horz">
      <w:rPr>
        <w:rFonts w:ascii="Arial" w:hAnsi="Arial"/>
        <w:color w:val="404040"/>
        <w:sz w:val="22"/>
      </w:rPr>
      <w:tcPr>
        <w:tcBorders>
          <w:top w:val="single" w:color="E5B8B7" w:themeColor="accent2" w:themeTint="67" w:sz="4" w:space="0"/>
          <w:left w:val="single" w:color="E5B8B7" w:themeColor="accent2" w:themeTint="67" w:sz="4" w:space="0"/>
          <w:bottom w:val="single" w:color="E5B8B7" w:themeColor="accent2" w:themeTint="67" w:sz="4" w:space="0"/>
          <w:right w:val="single" w:color="E5B8B7" w:themeColor="accent2" w:themeTint="67" w:sz="4" w:space="0"/>
        </w:tcBorders>
      </w:tcPr>
    </w:tblStylePr>
    <w:tblStylePr w:type="band2Horz"/>
    <w:tblStylePr w:type="neCell"/>
    <w:tblStylePr w:type="nwCell"/>
    <w:tblStylePr w:type="seCell"/>
    <w:tblStylePr w:type="swCell"/>
  </w:style>
  <w:style w:type="table" w:customStyle="1" w:styleId="174">
    <w:name w:val="Bordered - Accent 3"/>
    <w:uiPriority w:val="99"/>
    <w:pPr>
      <w:spacing w:after="0" w:line="240" w:lineRule="auto"/>
    </w:pPr>
    <w:tblPr>
      <w:tblBorders>
        <w:top w:val="single" w:color="D6E3BB" w:themeColor="accent3" w:themeTint="67" w:sz="4" w:space="0"/>
        <w:left w:val="single" w:color="D6E3BB" w:themeColor="accent3" w:themeTint="67" w:sz="4" w:space="0"/>
        <w:bottom w:val="single" w:color="D6E3BB" w:themeColor="accent3" w:themeTint="67" w:sz="4" w:space="0"/>
        <w:right w:val="single" w:color="D6E3BB" w:themeColor="accent3" w:themeTint="67" w:sz="4" w:space="0"/>
        <w:insideH w:val="single" w:color="D6E3BB" w:themeColor="accent3" w:themeTint="67" w:sz="4" w:space="0"/>
        <w:insideV w:val="single" w:color="D6E3BB" w:themeColor="accent3" w:themeTint="67" w:sz="4" w:space="0"/>
      </w:tblBorders>
    </w:tblPr>
    <w:tblStylePr w:type="firstRow">
      <w:rPr>
        <w:rFonts w:ascii="Arial" w:hAnsi="Arial"/>
        <w:color w:val="404040"/>
        <w:sz w:val="22"/>
      </w:rPr>
      <w:tcPr>
        <w:tcBorders>
          <w:bottom w:val="single" w:color="C3D69C" w:themeColor="accent3" w:themeTint="98" w:sz="12" w:space="0"/>
        </w:tcBorders>
      </w:tcPr>
    </w:tblStylePr>
    <w:tblStylePr w:type="lastRow">
      <w:rPr>
        <w:rFonts w:ascii="Arial" w:hAnsi="Arial"/>
        <w:color w:val="404040"/>
        <w:sz w:val="22"/>
      </w:rPr>
      <w:tcPr>
        <w:tcBorders>
          <w:top w:val="single" w:color="C3D69C" w:themeColor="accent3" w:themeTint="98" w:sz="12" w:space="0"/>
        </w:tcBorders>
      </w:tcPr>
    </w:tblStylePr>
    <w:tblStylePr w:type="firstCol">
      <w:rPr>
        <w:rFonts w:ascii="Arial" w:hAnsi="Arial"/>
        <w:color w:val="404040"/>
        <w:sz w:val="22"/>
      </w:rPr>
    </w:tblStylePr>
    <w:tblStylePr w:type="lastCol">
      <w:rPr>
        <w:rFonts w:ascii="Arial" w:hAnsi="Arial"/>
        <w:color w:val="404040"/>
        <w:sz w:val="22"/>
      </w:rPr>
      <w:tcPr>
        <w:tcBorders>
          <w:left w:val="single" w:color="C3D69C" w:themeColor="accent3" w:themeTint="98" w:sz="12" w:space="0"/>
        </w:tcBorders>
      </w:tcPr>
    </w:tblStylePr>
    <w:tblStylePr w:type="band1Vert"/>
    <w:tblStylePr w:type="band2Vert"/>
    <w:tblStylePr w:type="band1Horz">
      <w:rPr>
        <w:rFonts w:ascii="Arial" w:hAnsi="Arial"/>
        <w:color w:val="404040"/>
        <w:sz w:val="22"/>
      </w:rPr>
      <w:tcPr>
        <w:tcBorders>
          <w:top w:val="single" w:color="D6E3BB" w:themeColor="accent3" w:themeTint="67" w:sz="4" w:space="0"/>
          <w:left w:val="single" w:color="D6E3BB" w:themeColor="accent3" w:themeTint="67" w:sz="4" w:space="0"/>
          <w:bottom w:val="single" w:color="D6E3BB" w:themeColor="accent3" w:themeTint="67" w:sz="4" w:space="0"/>
          <w:right w:val="single" w:color="D6E3BB" w:themeColor="accent3" w:themeTint="67" w:sz="4" w:space="0"/>
        </w:tcBorders>
      </w:tcPr>
    </w:tblStylePr>
    <w:tblStylePr w:type="band2Horz"/>
    <w:tblStylePr w:type="neCell"/>
    <w:tblStylePr w:type="nwCell"/>
    <w:tblStylePr w:type="seCell"/>
    <w:tblStylePr w:type="swCell"/>
  </w:style>
  <w:style w:type="table" w:customStyle="1" w:styleId="175">
    <w:name w:val="Bordered - Accent 4"/>
    <w:uiPriority w:val="99"/>
    <w:pPr>
      <w:spacing w:after="0" w:line="240" w:lineRule="auto"/>
    </w:pPr>
    <w:tblPr>
      <w:tblBorders>
        <w:top w:val="single" w:color="CBC0D9" w:themeColor="accent4" w:themeTint="67" w:sz="4" w:space="0"/>
        <w:left w:val="single" w:color="CBC0D9" w:themeColor="accent4" w:themeTint="67" w:sz="4" w:space="0"/>
        <w:bottom w:val="single" w:color="CBC0D9" w:themeColor="accent4" w:themeTint="67" w:sz="4" w:space="0"/>
        <w:right w:val="single" w:color="CBC0D9" w:themeColor="accent4" w:themeTint="67" w:sz="4" w:space="0"/>
        <w:insideH w:val="single" w:color="CBC0D9" w:themeColor="accent4" w:themeTint="67" w:sz="4" w:space="0"/>
        <w:insideV w:val="single" w:color="CBC0D9" w:themeColor="accent4" w:themeTint="67" w:sz="4" w:space="0"/>
      </w:tblBorders>
    </w:tblPr>
    <w:tblStylePr w:type="firstRow">
      <w:rPr>
        <w:rFonts w:ascii="Arial" w:hAnsi="Arial"/>
        <w:color w:val="404040"/>
        <w:sz w:val="22"/>
      </w:rPr>
      <w:tcPr>
        <w:tcBorders>
          <w:bottom w:val="single" w:color="B2A1C6" w:themeColor="accent4" w:themeTint="9A" w:sz="12" w:space="0"/>
        </w:tcBorders>
      </w:tcPr>
    </w:tblStylePr>
    <w:tblStylePr w:type="lastRow">
      <w:rPr>
        <w:rFonts w:ascii="Arial" w:hAnsi="Arial"/>
        <w:color w:val="404040"/>
        <w:sz w:val="22"/>
      </w:rPr>
      <w:tcPr>
        <w:tcBorders>
          <w:top w:val="single" w:color="B2A1C6" w:themeColor="accent4" w:themeTint="9A" w:sz="12" w:space="0"/>
        </w:tcBorders>
      </w:tcPr>
    </w:tblStylePr>
    <w:tblStylePr w:type="firstCol">
      <w:rPr>
        <w:rFonts w:ascii="Arial" w:hAnsi="Arial"/>
        <w:color w:val="404040"/>
        <w:sz w:val="22"/>
      </w:rPr>
    </w:tblStylePr>
    <w:tblStylePr w:type="lastCol">
      <w:rPr>
        <w:rFonts w:ascii="Arial" w:hAnsi="Arial"/>
        <w:color w:val="404040"/>
        <w:sz w:val="22"/>
      </w:rPr>
      <w:tcPr>
        <w:tcBorders>
          <w:left w:val="single" w:color="B2A1C6" w:themeColor="accent4" w:themeTint="9A" w:sz="12" w:space="0"/>
        </w:tcBorders>
      </w:tcPr>
    </w:tblStylePr>
    <w:tblStylePr w:type="band1Vert"/>
    <w:tblStylePr w:type="band2Vert"/>
    <w:tblStylePr w:type="band1Horz">
      <w:rPr>
        <w:rFonts w:ascii="Arial" w:hAnsi="Arial"/>
        <w:color w:val="404040"/>
        <w:sz w:val="22"/>
      </w:rPr>
      <w:tcPr>
        <w:tcBorders>
          <w:top w:val="single" w:color="CBC0D9" w:themeColor="accent4" w:themeTint="67" w:sz="4" w:space="0"/>
          <w:left w:val="single" w:color="CBC0D9" w:themeColor="accent4" w:themeTint="67" w:sz="4" w:space="0"/>
          <w:bottom w:val="single" w:color="CBC0D9" w:themeColor="accent4" w:themeTint="67" w:sz="4" w:space="0"/>
          <w:right w:val="single" w:color="CBC0D9" w:themeColor="accent4" w:themeTint="67" w:sz="4" w:space="0"/>
        </w:tcBorders>
      </w:tcPr>
    </w:tblStylePr>
    <w:tblStylePr w:type="band2Horz"/>
    <w:tblStylePr w:type="neCell"/>
    <w:tblStylePr w:type="nwCell"/>
    <w:tblStylePr w:type="seCell"/>
    <w:tblStylePr w:type="swCell"/>
  </w:style>
  <w:style w:type="table" w:customStyle="1" w:styleId="176">
    <w:name w:val="Bordered - Accent 5"/>
    <w:uiPriority w:val="99"/>
    <w:pPr>
      <w:spacing w:after="0" w:line="240" w:lineRule="auto"/>
    </w:pPr>
    <w:tblPr>
      <w:tblBorders>
        <w:top w:val="single" w:color="B6DDE7" w:themeColor="accent5" w:themeTint="67" w:sz="4" w:space="0"/>
        <w:left w:val="single" w:color="B6DDE7" w:themeColor="accent5" w:themeTint="67" w:sz="4" w:space="0"/>
        <w:bottom w:val="single" w:color="B6DDE7" w:themeColor="accent5" w:themeTint="67" w:sz="4" w:space="0"/>
        <w:right w:val="single" w:color="B6DDE7" w:themeColor="accent5" w:themeTint="67" w:sz="4" w:space="0"/>
        <w:insideH w:val="single" w:color="B6DDE7" w:themeColor="accent5" w:themeTint="67" w:sz="4" w:space="0"/>
        <w:insideV w:val="single" w:color="B6DDE7" w:themeColor="accent5" w:themeTint="67" w:sz="4" w:space="0"/>
      </w:tblBorders>
    </w:tblPr>
    <w:tblStylePr w:type="firstRow">
      <w:rPr>
        <w:rFonts w:ascii="Arial" w:hAnsi="Arial"/>
        <w:color w:val="404040"/>
        <w:sz w:val="22"/>
      </w:rPr>
      <w:tcPr>
        <w:tcBorders>
          <w:bottom w:val="single" w:color="92CCDC" w:themeColor="accent5" w:themeTint="9A" w:sz="12" w:space="0"/>
        </w:tcBorders>
      </w:tcPr>
    </w:tblStylePr>
    <w:tblStylePr w:type="lastRow">
      <w:rPr>
        <w:rFonts w:ascii="Arial" w:hAnsi="Arial"/>
        <w:color w:val="404040"/>
        <w:sz w:val="22"/>
      </w:rPr>
      <w:tcPr>
        <w:tcBorders>
          <w:top w:val="single" w:color="92CCDC" w:themeColor="accent5" w:themeTint="9A" w:sz="12" w:space="0"/>
        </w:tcBorders>
      </w:tcPr>
    </w:tblStylePr>
    <w:tblStylePr w:type="firstCol">
      <w:rPr>
        <w:rFonts w:ascii="Arial" w:hAnsi="Arial"/>
        <w:color w:val="404040"/>
        <w:sz w:val="22"/>
      </w:rPr>
    </w:tblStylePr>
    <w:tblStylePr w:type="lastCol">
      <w:rPr>
        <w:rFonts w:ascii="Arial" w:hAnsi="Arial"/>
        <w:color w:val="404040"/>
        <w:sz w:val="22"/>
      </w:rPr>
      <w:tcPr>
        <w:tcBorders>
          <w:left w:val="single" w:color="92CCDC" w:themeColor="accent5" w:themeTint="9A" w:sz="12" w:space="0"/>
        </w:tcBorders>
      </w:tcPr>
    </w:tblStylePr>
    <w:tblStylePr w:type="band1Vert"/>
    <w:tblStylePr w:type="band2Vert"/>
    <w:tblStylePr w:type="band1Horz">
      <w:rPr>
        <w:rFonts w:ascii="Arial" w:hAnsi="Arial"/>
        <w:color w:val="404040"/>
        <w:sz w:val="22"/>
      </w:rPr>
      <w:tcPr>
        <w:tcBorders>
          <w:top w:val="single" w:color="B6DDE7" w:themeColor="accent5" w:themeTint="67" w:sz="4" w:space="0"/>
          <w:left w:val="single" w:color="B6DDE7" w:themeColor="accent5" w:themeTint="67" w:sz="4" w:space="0"/>
          <w:bottom w:val="single" w:color="B6DDE7" w:themeColor="accent5" w:themeTint="67" w:sz="4" w:space="0"/>
          <w:right w:val="single" w:color="B6DDE7" w:themeColor="accent5" w:themeTint="67" w:sz="4" w:space="0"/>
        </w:tcBorders>
      </w:tcPr>
    </w:tblStylePr>
    <w:tblStylePr w:type="band2Horz"/>
    <w:tblStylePr w:type="neCell"/>
    <w:tblStylePr w:type="nwCell"/>
    <w:tblStylePr w:type="seCell"/>
    <w:tblStylePr w:type="swCell"/>
  </w:style>
  <w:style w:type="table" w:customStyle="1" w:styleId="177">
    <w:name w:val="Bordered - Accent 6"/>
    <w:uiPriority w:val="99"/>
    <w:pPr>
      <w:spacing w:after="0" w:line="240" w:lineRule="auto"/>
    </w:pPr>
    <w:tblPr>
      <w:tblBorders>
        <w:top w:val="single" w:color="FBD4B4" w:themeColor="accent6" w:themeTint="67" w:sz="4" w:space="0"/>
        <w:left w:val="single" w:color="FBD4B4" w:themeColor="accent6" w:themeTint="67" w:sz="4" w:space="0"/>
        <w:bottom w:val="single" w:color="FBD4B4" w:themeColor="accent6" w:themeTint="67" w:sz="4" w:space="0"/>
        <w:right w:val="single" w:color="FBD4B4" w:themeColor="accent6" w:themeTint="67" w:sz="4" w:space="0"/>
        <w:insideH w:val="single" w:color="FBD4B4" w:themeColor="accent6" w:themeTint="67" w:sz="4" w:space="0"/>
        <w:insideV w:val="single" w:color="FBD4B4" w:themeColor="accent6" w:themeTint="67" w:sz="4" w:space="0"/>
      </w:tblBorders>
    </w:tblPr>
    <w:tblStylePr w:type="firstRow">
      <w:rPr>
        <w:rFonts w:ascii="Arial" w:hAnsi="Arial"/>
        <w:color w:val="404040"/>
        <w:sz w:val="22"/>
      </w:rPr>
      <w:tcPr>
        <w:tcBorders>
          <w:bottom w:val="single" w:color="FAC090" w:themeColor="accent6" w:themeTint="98" w:sz="12" w:space="0"/>
        </w:tcBorders>
      </w:tcPr>
    </w:tblStylePr>
    <w:tblStylePr w:type="lastRow">
      <w:rPr>
        <w:rFonts w:ascii="Arial" w:hAnsi="Arial"/>
        <w:color w:val="404040"/>
        <w:sz w:val="22"/>
      </w:rPr>
      <w:tcPr>
        <w:tcBorders>
          <w:top w:val="single" w:color="FAC090" w:themeColor="accent6" w:themeTint="98" w:sz="12" w:space="0"/>
        </w:tcBorders>
      </w:tcPr>
    </w:tblStylePr>
    <w:tblStylePr w:type="firstCol">
      <w:rPr>
        <w:rFonts w:ascii="Arial" w:hAnsi="Arial"/>
        <w:color w:val="404040"/>
        <w:sz w:val="22"/>
      </w:rPr>
    </w:tblStylePr>
    <w:tblStylePr w:type="lastCol">
      <w:rPr>
        <w:rFonts w:ascii="Arial" w:hAnsi="Arial"/>
        <w:color w:val="404040"/>
        <w:sz w:val="22"/>
      </w:rPr>
      <w:tcPr>
        <w:tcBorders>
          <w:left w:val="single" w:color="FAC090" w:themeColor="accent6" w:themeTint="98" w:sz="12" w:space="0"/>
        </w:tcBorders>
      </w:tcPr>
    </w:tblStylePr>
    <w:tblStylePr w:type="band1Vert"/>
    <w:tblStylePr w:type="band2Vert"/>
    <w:tblStylePr w:type="band1Horz">
      <w:rPr>
        <w:rFonts w:ascii="Arial" w:hAnsi="Arial"/>
        <w:color w:val="404040"/>
        <w:sz w:val="22"/>
      </w:rPr>
      <w:tcPr>
        <w:tcBorders>
          <w:top w:val="single" w:color="FBD4B4" w:themeColor="accent6" w:themeTint="67" w:sz="4" w:space="0"/>
          <w:left w:val="single" w:color="FBD4B4" w:themeColor="accent6" w:themeTint="67" w:sz="4" w:space="0"/>
          <w:bottom w:val="single" w:color="FBD4B4" w:themeColor="accent6" w:themeTint="67" w:sz="4" w:space="0"/>
          <w:right w:val="single" w:color="FBD4B4" w:themeColor="accent6" w:themeTint="67" w:sz="4" w:space="0"/>
        </w:tcBorders>
      </w:tcPr>
    </w:tblStylePr>
    <w:tblStylePr w:type="band2Horz"/>
    <w:tblStylePr w:type="neCell"/>
    <w:tblStylePr w:type="nwCell"/>
    <w:tblStylePr w:type="seCell"/>
    <w:tblStylePr w:type="swCell"/>
  </w:style>
  <w:style w:type="character" w:customStyle="1" w:styleId="178">
    <w:name w:val="Footnote Text Char"/>
    <w:link w:val="22"/>
    <w:uiPriority w:val="99"/>
    <w:rPr>
      <w:sz w:val="18"/>
    </w:rPr>
  </w:style>
  <w:style w:type="character" w:customStyle="1" w:styleId="179">
    <w:name w:val="Endnote Text Char"/>
    <w:link w:val="16"/>
    <w:uiPriority w:val="99"/>
    <w:rPr>
      <w:sz w:val="20"/>
    </w:rPr>
  </w:style>
  <w:style w:type="paragraph" w:customStyle="1" w:styleId="180">
    <w:name w:val="TOC Heading"/>
    <w:unhideWhenUsed/>
    <w:uiPriority w:val="39"/>
    <w:rPr>
      <w:rFonts w:hint="default" w:ascii="Times New Roman" w:hAnsi="Times New Roman" w:eastAsia="宋体" w:cs="Times New Roman"/>
    </w:rPr>
  </w:style>
  <w:style w:type="paragraph" w:customStyle="1" w:styleId="181">
    <w:name w:val="标题 11"/>
    <w:basedOn w:val="1"/>
    <w:next w:val="1"/>
    <w:link w:val="189"/>
    <w:uiPriority w:val="0"/>
    <w:pPr>
      <w:keepNext/>
      <w:keepLines/>
      <w:spacing w:before="340" w:after="330" w:line="576" w:lineRule="auto"/>
      <w:outlineLvl w:val="0"/>
    </w:pPr>
    <w:rPr>
      <w:b/>
      <w:sz w:val="44"/>
      <w:szCs w:val="44"/>
    </w:rPr>
  </w:style>
  <w:style w:type="paragraph" w:customStyle="1" w:styleId="182">
    <w:name w:val="标题 21"/>
    <w:basedOn w:val="1"/>
    <w:next w:val="1"/>
    <w:uiPriority w:val="0"/>
    <w:pPr>
      <w:keepNext/>
      <w:keepLines/>
      <w:spacing w:before="260" w:after="260" w:line="415" w:lineRule="auto"/>
      <w:outlineLvl w:val="1"/>
    </w:pPr>
    <w:rPr>
      <w:rFonts w:ascii="Arial" w:hAnsi="Arial" w:eastAsia="黑体" w:cs="Arial"/>
      <w:b/>
      <w:sz w:val="32"/>
      <w:szCs w:val="32"/>
    </w:rPr>
  </w:style>
  <w:style w:type="paragraph" w:customStyle="1" w:styleId="183">
    <w:name w:val="标题 31"/>
    <w:basedOn w:val="1"/>
    <w:next w:val="1"/>
    <w:uiPriority w:val="0"/>
    <w:pPr>
      <w:keepNext/>
      <w:keepLines/>
      <w:spacing w:before="260" w:after="260" w:line="415" w:lineRule="auto"/>
      <w:outlineLvl w:val="2"/>
    </w:pPr>
    <w:rPr>
      <w:b/>
      <w:sz w:val="32"/>
      <w:szCs w:val="32"/>
    </w:rPr>
  </w:style>
  <w:style w:type="paragraph" w:customStyle="1" w:styleId="184">
    <w:name w:val="标题 41"/>
    <w:basedOn w:val="1"/>
    <w:next w:val="1"/>
    <w:uiPriority w:val="0"/>
    <w:pPr>
      <w:keepNext/>
      <w:keepLines/>
      <w:spacing w:before="280" w:after="290" w:line="374" w:lineRule="auto"/>
      <w:outlineLvl w:val="3"/>
    </w:pPr>
    <w:rPr>
      <w:rFonts w:ascii="Arial" w:hAnsi="Arial" w:eastAsia="黑体" w:cs="Arial"/>
      <w:b/>
      <w:sz w:val="28"/>
      <w:szCs w:val="28"/>
    </w:rPr>
  </w:style>
  <w:style w:type="paragraph" w:customStyle="1" w:styleId="185">
    <w:name w:val="标题 51"/>
    <w:basedOn w:val="1"/>
    <w:next w:val="1"/>
    <w:uiPriority w:val="0"/>
    <w:pPr>
      <w:keepNext/>
      <w:keepLines/>
      <w:spacing w:before="280" w:after="290" w:line="374" w:lineRule="auto"/>
      <w:outlineLvl w:val="4"/>
    </w:pPr>
    <w:rPr>
      <w:b/>
      <w:sz w:val="28"/>
      <w:szCs w:val="28"/>
    </w:rPr>
  </w:style>
  <w:style w:type="character" w:customStyle="1" w:styleId="186">
    <w:name w:val="默认段落字体1"/>
    <w:link w:val="1"/>
    <w:uiPriority w:val="0"/>
  </w:style>
  <w:style w:type="table" w:customStyle="1" w:styleId="187">
    <w:name w:val="普通表格1"/>
    <w:semiHidden/>
    <w:uiPriority w:val="0"/>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paragraph" w:customStyle="1" w:styleId="188">
    <w:name w:val="宏文本1"/>
    <w:uiPriority w:val="0"/>
    <w:pPr>
      <w:widowControl w:val="0"/>
      <w:tabs>
        <w:tab w:val="left" w:pos="480"/>
        <w:tab w:val="left" w:pos="960"/>
        <w:tab w:val="left" w:pos="1440"/>
        <w:tab w:val="left" w:pos="1920"/>
        <w:tab w:val="left" w:pos="2400"/>
        <w:tab w:val="left" w:pos="2880"/>
        <w:tab w:val="left" w:pos="3360"/>
        <w:tab w:val="left" w:pos="3840"/>
        <w:tab w:val="left" w:pos="4320"/>
      </w:tabs>
    </w:pPr>
    <w:rPr>
      <w:rFonts w:hint="default" w:ascii="Courier New" w:hAnsi="Courier New" w:eastAsia="宋体" w:cs="Courier New"/>
      <w:color w:val="000000"/>
      <w:sz w:val="24"/>
      <w:szCs w:val="24"/>
      <w:lang w:val="en-US" w:eastAsia="zh-CN" w:bidi="ar-SA"/>
    </w:rPr>
  </w:style>
  <w:style w:type="character" w:customStyle="1" w:styleId="189">
    <w:name w:val=" Char Char4"/>
    <w:basedOn w:val="186"/>
    <w:link w:val="181"/>
    <w:uiPriority w:val="0"/>
    <w:rPr>
      <w:rFonts w:eastAsia="宋体"/>
      <w:b/>
      <w:color w:val="000000"/>
      <w:sz w:val="44"/>
      <w:szCs w:val="44"/>
      <w:lang w:val="en-US" w:eastAsia="zh-CN" w:bidi="ar-SA"/>
    </w:rPr>
  </w:style>
  <w:style w:type="paragraph" w:customStyle="1" w:styleId="190">
    <w:name w:val="目录 71"/>
    <w:basedOn w:val="1"/>
    <w:next w:val="1"/>
    <w:uiPriority w:val="0"/>
    <w:pPr>
      <w:ind w:left="1260"/>
      <w:jc w:val="left"/>
    </w:pPr>
    <w:rPr>
      <w:sz w:val="18"/>
      <w:szCs w:val="18"/>
    </w:rPr>
  </w:style>
  <w:style w:type="paragraph" w:customStyle="1" w:styleId="191">
    <w:name w:val="正文缩进1"/>
    <w:basedOn w:val="1"/>
    <w:uiPriority w:val="0"/>
    <w:pPr>
      <w:spacing w:line="360" w:lineRule="auto"/>
      <w:ind w:firstLine="420"/>
    </w:pPr>
    <w:rPr>
      <w:rFonts w:ascii="宋体" w:hAnsi="宋体" w:eastAsia="仿宋_GB2312" w:cs="Arial Black"/>
      <w:sz w:val="28"/>
      <w:szCs w:val="20"/>
    </w:rPr>
  </w:style>
  <w:style w:type="paragraph" w:customStyle="1" w:styleId="192">
    <w:name w:val="题注1"/>
    <w:basedOn w:val="1"/>
    <w:next w:val="1"/>
    <w:uiPriority w:val="0"/>
    <w:pPr>
      <w:spacing w:before="60" w:after="60" w:line="240" w:lineRule="exact"/>
      <w:ind w:firstLine="200"/>
      <w:jc w:val="center"/>
    </w:pPr>
    <w:rPr>
      <w:rFonts w:ascii="Arial" w:hAnsi="Arial" w:eastAsia="黑体" w:cs="Arial"/>
      <w:sz w:val="24"/>
      <w:szCs w:val="20"/>
    </w:rPr>
  </w:style>
  <w:style w:type="paragraph" w:customStyle="1" w:styleId="193">
    <w:name w:val="文档结构图1"/>
    <w:basedOn w:val="1"/>
    <w:uiPriority w:val="0"/>
    <w:pPr>
      <w:shd w:val="clear" w:color="000000" w:fill="00007F"/>
    </w:pPr>
  </w:style>
  <w:style w:type="paragraph" w:customStyle="1" w:styleId="194">
    <w:name w:val="批注文字1"/>
    <w:basedOn w:val="1"/>
    <w:uiPriority w:val="0"/>
    <w:pPr>
      <w:jc w:val="left"/>
    </w:pPr>
  </w:style>
  <w:style w:type="paragraph" w:customStyle="1" w:styleId="195">
    <w:name w:val="正文文本 31"/>
    <w:basedOn w:val="1"/>
    <w:uiPriority w:val="0"/>
    <w:pPr>
      <w:spacing w:after="120"/>
    </w:pPr>
    <w:rPr>
      <w:sz w:val="16"/>
      <w:szCs w:val="16"/>
    </w:rPr>
  </w:style>
  <w:style w:type="paragraph" w:customStyle="1" w:styleId="196">
    <w:name w:val="正文文本1"/>
    <w:basedOn w:val="1"/>
    <w:uiPriority w:val="0"/>
    <w:pPr>
      <w:spacing w:after="120"/>
    </w:pPr>
  </w:style>
  <w:style w:type="paragraph" w:customStyle="1" w:styleId="197">
    <w:name w:val="正文文本缩进1"/>
    <w:basedOn w:val="1"/>
    <w:uiPriority w:val="0"/>
    <w:pPr>
      <w:spacing w:after="120"/>
      <w:ind w:left="420"/>
    </w:pPr>
  </w:style>
  <w:style w:type="paragraph" w:customStyle="1" w:styleId="198">
    <w:name w:val="文本块1"/>
    <w:basedOn w:val="1"/>
    <w:uiPriority w:val="0"/>
    <w:pPr>
      <w:spacing w:before="120" w:line="440" w:lineRule="exact"/>
      <w:ind w:left="284" w:right="284" w:firstLine="567"/>
    </w:pPr>
    <w:rPr>
      <w:rFonts w:ascii="楷体_GB2312" w:hAnsi="楷体_GB2312" w:eastAsia="楷体_GB2312"/>
      <w:spacing w:val="-2"/>
      <w:sz w:val="28"/>
      <w:szCs w:val="20"/>
    </w:rPr>
  </w:style>
  <w:style w:type="paragraph" w:customStyle="1" w:styleId="199">
    <w:name w:val="目录 51"/>
    <w:basedOn w:val="1"/>
    <w:next w:val="1"/>
    <w:uiPriority w:val="0"/>
    <w:pPr>
      <w:ind w:left="840"/>
      <w:jc w:val="left"/>
    </w:pPr>
    <w:rPr>
      <w:sz w:val="18"/>
      <w:szCs w:val="18"/>
    </w:rPr>
  </w:style>
  <w:style w:type="paragraph" w:customStyle="1" w:styleId="200">
    <w:name w:val="目录 31"/>
    <w:basedOn w:val="1"/>
    <w:next w:val="1"/>
    <w:uiPriority w:val="0"/>
    <w:pPr>
      <w:ind w:left="420"/>
      <w:jc w:val="left"/>
    </w:pPr>
    <w:rPr>
      <w:i/>
      <w:sz w:val="20"/>
      <w:szCs w:val="20"/>
    </w:rPr>
  </w:style>
  <w:style w:type="paragraph" w:customStyle="1" w:styleId="201">
    <w:name w:val="纯文本1"/>
    <w:basedOn w:val="1"/>
    <w:uiPriority w:val="0"/>
    <w:rPr>
      <w:rFonts w:ascii="Courier New" w:hAnsi="Courier New" w:cs="Courier New"/>
      <w:sz w:val="28"/>
      <w:szCs w:val="20"/>
    </w:rPr>
  </w:style>
  <w:style w:type="paragraph" w:customStyle="1" w:styleId="202">
    <w:name w:val="目录 81"/>
    <w:basedOn w:val="1"/>
    <w:next w:val="1"/>
    <w:uiPriority w:val="0"/>
    <w:pPr>
      <w:ind w:left="1470"/>
      <w:jc w:val="left"/>
    </w:pPr>
    <w:rPr>
      <w:sz w:val="18"/>
      <w:szCs w:val="18"/>
    </w:rPr>
  </w:style>
  <w:style w:type="paragraph" w:customStyle="1" w:styleId="203">
    <w:name w:val="日期1"/>
    <w:basedOn w:val="1"/>
    <w:next w:val="1"/>
    <w:uiPriority w:val="0"/>
    <w:rPr>
      <w:sz w:val="24"/>
      <w:szCs w:val="20"/>
    </w:rPr>
  </w:style>
  <w:style w:type="paragraph" w:customStyle="1" w:styleId="204">
    <w:name w:val="正文文本缩进 21"/>
    <w:basedOn w:val="1"/>
    <w:uiPriority w:val="0"/>
    <w:pPr>
      <w:spacing w:after="120" w:line="480" w:lineRule="auto"/>
      <w:ind w:left="420"/>
    </w:pPr>
  </w:style>
  <w:style w:type="paragraph" w:customStyle="1" w:styleId="205">
    <w:name w:val="批注框文本1"/>
    <w:basedOn w:val="1"/>
    <w:uiPriority w:val="0"/>
    <w:rPr>
      <w:sz w:val="18"/>
      <w:szCs w:val="18"/>
    </w:rPr>
  </w:style>
  <w:style w:type="paragraph" w:customStyle="1" w:styleId="206">
    <w:name w:val="页脚1"/>
    <w:basedOn w:val="1"/>
    <w:uiPriority w:val="0"/>
    <w:pPr>
      <w:tabs>
        <w:tab w:val="center" w:pos="4153"/>
        <w:tab w:val="right" w:pos="8305"/>
      </w:tabs>
      <w:jc w:val="left"/>
    </w:pPr>
    <w:rPr>
      <w:sz w:val="18"/>
      <w:szCs w:val="18"/>
    </w:rPr>
  </w:style>
  <w:style w:type="paragraph" w:customStyle="1" w:styleId="207">
    <w:name w:val="页眉1"/>
    <w:basedOn w:val="1"/>
    <w:uiPriority w:val="0"/>
    <w:pPr>
      <w:pBdr>
        <w:bottom w:val="single" w:color="000000" w:sz="6" w:space="1"/>
      </w:pBdr>
      <w:tabs>
        <w:tab w:val="center" w:pos="4153"/>
        <w:tab w:val="right" w:pos="8305"/>
      </w:tabs>
      <w:jc w:val="center"/>
    </w:pPr>
    <w:rPr>
      <w:sz w:val="18"/>
      <w:szCs w:val="18"/>
    </w:rPr>
  </w:style>
  <w:style w:type="paragraph" w:customStyle="1" w:styleId="208">
    <w:name w:val="目录 11"/>
    <w:basedOn w:val="1"/>
    <w:next w:val="1"/>
    <w:uiPriority w:val="0"/>
    <w:pPr>
      <w:spacing w:before="120" w:after="120"/>
      <w:jc w:val="left"/>
    </w:pPr>
    <w:rPr>
      <w:b/>
      <w:caps/>
      <w:sz w:val="20"/>
      <w:szCs w:val="20"/>
    </w:rPr>
  </w:style>
  <w:style w:type="paragraph" w:customStyle="1" w:styleId="209">
    <w:name w:val="目录 41"/>
    <w:basedOn w:val="1"/>
    <w:next w:val="1"/>
    <w:uiPriority w:val="0"/>
    <w:pPr>
      <w:ind w:left="630"/>
      <w:jc w:val="left"/>
    </w:pPr>
    <w:rPr>
      <w:sz w:val="18"/>
      <w:szCs w:val="18"/>
    </w:rPr>
  </w:style>
  <w:style w:type="paragraph" w:customStyle="1" w:styleId="210">
    <w:name w:val="副标题1"/>
    <w:basedOn w:val="1"/>
    <w:next w:val="1"/>
    <w:uiPriority w:val="0"/>
    <w:pPr>
      <w:spacing w:before="100" w:beforeAutospacing="1" w:after="100" w:afterAutospacing="1" w:line="360" w:lineRule="auto"/>
      <w:jc w:val="center"/>
    </w:pPr>
    <w:rPr>
      <w:b/>
      <w:sz w:val="24"/>
      <w:szCs w:val="32"/>
    </w:rPr>
  </w:style>
  <w:style w:type="paragraph" w:customStyle="1" w:styleId="211">
    <w:name w:val="列表1"/>
    <w:basedOn w:val="1"/>
    <w:qFormat/>
    <w:uiPriority w:val="0"/>
    <w:pPr>
      <w:spacing w:line="360" w:lineRule="exact"/>
      <w:jc w:val="center"/>
    </w:pPr>
    <w:rPr>
      <w:rFonts w:ascii="仿宋_GB2312" w:hAnsi="仿宋_GB2312" w:eastAsia="仿宋_GB2312"/>
      <w:sz w:val="24"/>
      <w:szCs w:val="20"/>
    </w:rPr>
  </w:style>
  <w:style w:type="paragraph" w:customStyle="1" w:styleId="212">
    <w:name w:val="目录 61"/>
    <w:basedOn w:val="1"/>
    <w:next w:val="1"/>
    <w:qFormat/>
    <w:uiPriority w:val="0"/>
    <w:pPr>
      <w:ind w:left="1050"/>
      <w:jc w:val="left"/>
    </w:pPr>
    <w:rPr>
      <w:sz w:val="18"/>
      <w:szCs w:val="18"/>
    </w:rPr>
  </w:style>
  <w:style w:type="paragraph" w:customStyle="1" w:styleId="213">
    <w:name w:val="正文文本缩进 31"/>
    <w:basedOn w:val="1"/>
    <w:uiPriority w:val="0"/>
    <w:pPr>
      <w:spacing w:line="360" w:lineRule="auto"/>
      <w:ind w:firstLine="480"/>
    </w:pPr>
    <w:rPr>
      <w:rFonts w:eastAsia="仿宋_GB2312"/>
      <w:sz w:val="24"/>
    </w:rPr>
  </w:style>
  <w:style w:type="paragraph" w:customStyle="1" w:styleId="214">
    <w:name w:val="目录 21"/>
    <w:basedOn w:val="1"/>
    <w:next w:val="1"/>
    <w:qFormat/>
    <w:uiPriority w:val="0"/>
    <w:pPr>
      <w:ind w:left="210"/>
      <w:jc w:val="left"/>
    </w:pPr>
    <w:rPr>
      <w:smallCaps/>
      <w:sz w:val="20"/>
      <w:szCs w:val="20"/>
    </w:rPr>
  </w:style>
  <w:style w:type="paragraph" w:customStyle="1" w:styleId="215">
    <w:name w:val="目录 91"/>
    <w:basedOn w:val="1"/>
    <w:next w:val="1"/>
    <w:qFormat/>
    <w:uiPriority w:val="0"/>
    <w:pPr>
      <w:ind w:left="1680"/>
      <w:jc w:val="left"/>
    </w:pPr>
    <w:rPr>
      <w:sz w:val="18"/>
      <w:szCs w:val="18"/>
    </w:rPr>
  </w:style>
  <w:style w:type="paragraph" w:customStyle="1" w:styleId="216">
    <w:name w:val="正文文本 21"/>
    <w:basedOn w:val="1"/>
    <w:uiPriority w:val="0"/>
    <w:pPr>
      <w:spacing w:after="120" w:line="480" w:lineRule="auto"/>
    </w:pPr>
    <w:rPr>
      <w:sz w:val="24"/>
    </w:rPr>
  </w:style>
  <w:style w:type="paragraph" w:customStyle="1" w:styleId="217">
    <w:name w:val="HTML 预设格式1"/>
    <w:basedOn w:val="1"/>
    <w:uiPriority w:val="0"/>
    <w:pPr>
      <w:widowControl/>
      <w:tabs>
        <w:tab w:val="left" w:pos="916"/>
        <w:tab w:val="left" w:pos="1832"/>
        <w:tab w:val="left" w:pos="2748"/>
        <w:tab w:val="left" w:pos="3664"/>
        <w:tab w:val="left" w:pos="4580"/>
        <w:tab w:val="left" w:pos="5496"/>
        <w:tab w:val="left" w:pos="6412"/>
        <w:tab w:val="left" w:pos="7328"/>
        <w:tab w:val="left" w:pos="8244"/>
        <w:tab w:val="left" w:pos="8305"/>
        <w:tab w:val="left" w:pos="10076"/>
        <w:tab w:val="left" w:pos="10992"/>
        <w:tab w:val="left" w:pos="11908"/>
        <w:tab w:val="left" w:pos="12824"/>
        <w:tab w:val="left" w:pos="13740"/>
        <w:tab w:val="left" w:pos="14656"/>
      </w:tabs>
      <w:jc w:val="left"/>
    </w:pPr>
    <w:rPr>
      <w:rFonts w:ascii="Arial" w:hAnsi="Arial" w:cs="Arial"/>
      <w:sz w:val="24"/>
    </w:rPr>
  </w:style>
  <w:style w:type="paragraph" w:customStyle="1" w:styleId="218">
    <w:name w:val="普通(网站)1"/>
    <w:basedOn w:val="1"/>
    <w:uiPriority w:val="0"/>
    <w:pPr>
      <w:widowControl/>
      <w:spacing w:before="100" w:beforeAutospacing="1" w:after="100" w:afterAutospacing="1"/>
      <w:jc w:val="left"/>
    </w:pPr>
    <w:rPr>
      <w:rFonts w:ascii="宋体" w:hAnsi="宋体" w:cs="宋体"/>
      <w:sz w:val="24"/>
    </w:rPr>
  </w:style>
  <w:style w:type="paragraph" w:customStyle="1" w:styleId="219">
    <w:name w:val="索引 11"/>
    <w:basedOn w:val="1"/>
    <w:next w:val="1"/>
    <w:uiPriority w:val="0"/>
    <w:pPr>
      <w:tabs>
        <w:tab w:val="left" w:pos="3600"/>
        <w:tab w:val="left" w:pos="6300"/>
      </w:tabs>
      <w:spacing w:line="360" w:lineRule="atLeast"/>
      <w:jc w:val="center"/>
    </w:pPr>
    <w:rPr>
      <w:sz w:val="24"/>
      <w:szCs w:val="20"/>
    </w:rPr>
  </w:style>
  <w:style w:type="paragraph" w:customStyle="1" w:styleId="220">
    <w:name w:val="批注主题1"/>
    <w:basedOn w:val="194"/>
    <w:next w:val="194"/>
    <w:uiPriority w:val="0"/>
    <w:rPr>
      <w:b/>
    </w:rPr>
  </w:style>
  <w:style w:type="paragraph" w:customStyle="1" w:styleId="221">
    <w:name w:val="正文首行缩进 21"/>
    <w:basedOn w:val="197"/>
    <w:uiPriority w:val="0"/>
    <w:pPr>
      <w:ind w:firstLine="420"/>
    </w:pPr>
  </w:style>
  <w:style w:type="table" w:customStyle="1" w:styleId="222">
    <w:name w:val="网格型1"/>
    <w:basedOn w:val="187"/>
    <w:uiPriority w:val="0"/>
    <w:pPr>
      <w:widowControl w:val="0"/>
      <w:jc w:val="both"/>
    </w:pPr>
    <w:rPr>
      <w:sz w:val="21"/>
      <w:szCs w:val="21"/>
      <w:lang w:val="en-US" w:eastAsia="zh-CN" w:bidi="ar-SA"/>
    </w:r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character" w:customStyle="1" w:styleId="223">
    <w:name w:val="要点1"/>
    <w:basedOn w:val="186"/>
    <w:link w:val="1"/>
    <w:uiPriority w:val="0"/>
    <w:rPr>
      <w:b/>
      <w:bCs/>
    </w:rPr>
  </w:style>
  <w:style w:type="character" w:customStyle="1" w:styleId="224">
    <w:name w:val="页码1"/>
    <w:basedOn w:val="186"/>
    <w:link w:val="1"/>
    <w:uiPriority w:val="0"/>
  </w:style>
  <w:style w:type="character" w:customStyle="1" w:styleId="225">
    <w:name w:val="强调1"/>
    <w:basedOn w:val="186"/>
    <w:link w:val="1"/>
    <w:uiPriority w:val="0"/>
    <w:rPr>
      <w:i/>
    </w:rPr>
  </w:style>
  <w:style w:type="character" w:customStyle="1" w:styleId="226">
    <w:name w:val="超链接1"/>
    <w:basedOn w:val="186"/>
    <w:link w:val="1"/>
    <w:uiPriority w:val="0"/>
    <w:rPr>
      <w:color w:val="0000FF"/>
      <w:u w:val="single"/>
    </w:rPr>
  </w:style>
  <w:style w:type="character" w:customStyle="1" w:styleId="227">
    <w:name w:val="批注引用1"/>
    <w:basedOn w:val="186"/>
    <w:link w:val="1"/>
    <w:qFormat/>
    <w:uiPriority w:val="0"/>
    <w:rPr>
      <w:sz w:val="21"/>
      <w:szCs w:val="21"/>
    </w:rPr>
  </w:style>
  <w:style w:type="character" w:customStyle="1" w:styleId="228">
    <w:name w:val="正文首行缩进 2 Char Char"/>
    <w:basedOn w:val="186"/>
    <w:link w:val="1"/>
    <w:uiPriority w:val="0"/>
    <w:rPr>
      <w:rFonts w:eastAsia="宋体"/>
      <w:sz w:val="21"/>
      <w:szCs w:val="24"/>
      <w:lang w:val="en-US" w:eastAsia="zh-CN" w:bidi="ar-SA"/>
    </w:rPr>
  </w:style>
  <w:style w:type="character" w:customStyle="1" w:styleId="229">
    <w:name w:val="表格 Char Char"/>
    <w:basedOn w:val="186"/>
    <w:link w:val="1"/>
    <w:uiPriority w:val="0"/>
    <w:rPr>
      <w:rFonts w:eastAsia="宋体"/>
      <w:sz w:val="24"/>
      <w:lang w:val="zh-CN" w:eastAsia="zh-CN" w:bidi="ar-SA"/>
    </w:rPr>
  </w:style>
  <w:style w:type="character" w:customStyle="1" w:styleId="230">
    <w:name w:val="公文文种"/>
    <w:basedOn w:val="186"/>
    <w:link w:val="1"/>
    <w:qFormat/>
    <w:uiPriority w:val="0"/>
    <w:rPr>
      <w:rFonts w:eastAsia="宋体"/>
      <w:sz w:val="32"/>
    </w:rPr>
  </w:style>
  <w:style w:type="character" w:customStyle="1" w:styleId="231">
    <w:name w:val="报告 Char Char"/>
    <w:basedOn w:val="186"/>
    <w:link w:val="1"/>
    <w:uiPriority w:val="0"/>
    <w:rPr>
      <w:rFonts w:ascii="TimesNewRoman" w:hAnsi="TimesNewRoman" w:eastAsia="宋体"/>
      <w:sz w:val="24"/>
      <w:lang w:val="en-US" w:eastAsia="zh-CN" w:bidi="ar-SA"/>
    </w:rPr>
  </w:style>
  <w:style w:type="character" w:customStyle="1" w:styleId="232">
    <w:name w:val="网格型c Char"/>
    <w:basedOn w:val="186"/>
    <w:link w:val="1"/>
    <w:uiPriority w:val="0"/>
    <w:rPr>
      <w:rFonts w:eastAsia="宋体"/>
      <w:sz w:val="21"/>
      <w:szCs w:val="21"/>
      <w:lang w:val="en-US" w:eastAsia="zh-CN" w:bidi="ar-SA"/>
    </w:rPr>
  </w:style>
  <w:style w:type="character" w:customStyle="1" w:styleId="233">
    <w:name w:val="普通文字 Char Char"/>
    <w:basedOn w:val="186"/>
    <w:link w:val="1"/>
    <w:qFormat/>
    <w:uiPriority w:val="0"/>
    <w:rPr>
      <w:rFonts w:ascii="宋体" w:hAnsi="宋体" w:eastAsia="宋体" w:cs="Courier New"/>
      <w:sz w:val="21"/>
      <w:szCs w:val="21"/>
      <w:lang w:val="en-US" w:eastAsia="zh-CN" w:bidi="ar-SA"/>
    </w:rPr>
  </w:style>
  <w:style w:type="character" w:customStyle="1" w:styleId="234">
    <w:name w:val="框文字 Char"/>
    <w:basedOn w:val="186"/>
    <w:link w:val="1"/>
    <w:uiPriority w:val="0"/>
    <w:rPr>
      <w:rFonts w:ascii="宋体" w:hAnsi="宋体" w:eastAsia="宋体"/>
      <w:spacing w:val="-20"/>
      <w:sz w:val="21"/>
      <w:szCs w:val="21"/>
      <w:lang w:val="en-US" w:eastAsia="zh-CN" w:bidi="ar-SA"/>
    </w:rPr>
  </w:style>
  <w:style w:type="character" w:customStyle="1" w:styleId="235">
    <w:name w:val="ca-0"/>
    <w:basedOn w:val="186"/>
    <w:link w:val="1"/>
    <w:qFormat/>
    <w:uiPriority w:val="0"/>
  </w:style>
  <w:style w:type="character" w:customStyle="1" w:styleId="236">
    <w:name w:val="manage_name"/>
    <w:basedOn w:val="186"/>
    <w:link w:val="1"/>
    <w:uiPriority w:val="0"/>
  </w:style>
  <w:style w:type="character" w:customStyle="1" w:styleId="237">
    <w:name w:val="框图文字 Char Char"/>
    <w:basedOn w:val="186"/>
    <w:link w:val="1"/>
    <w:uiPriority w:val="0"/>
    <w:rPr>
      <w:rFonts w:ascii="宋体" w:hAnsi="宋体" w:eastAsia="宋体"/>
      <w:sz w:val="21"/>
      <w:lang w:val="en-US" w:eastAsia="zh-CN" w:bidi="ar-SA"/>
    </w:rPr>
  </w:style>
  <w:style w:type="character" w:customStyle="1" w:styleId="238">
    <w:name w:val="首行缩进两字 Char1"/>
    <w:basedOn w:val="186"/>
    <w:link w:val="1"/>
    <w:uiPriority w:val="0"/>
    <w:rPr>
      <w:rFonts w:eastAsia="宋体"/>
      <w:sz w:val="21"/>
      <w:lang w:val="en-US" w:eastAsia="zh-CN" w:bidi="ar-SA"/>
    </w:rPr>
  </w:style>
  <w:style w:type="character" w:customStyle="1" w:styleId="239">
    <w:name w:val="表标题 Char Char"/>
    <w:basedOn w:val="186"/>
    <w:link w:val="1"/>
    <w:uiPriority w:val="0"/>
    <w:rPr>
      <w:rFonts w:ascii="宋体" w:hAnsi="宋体" w:eastAsia="宋体"/>
      <w:b/>
      <w:color w:val="000000"/>
      <w:sz w:val="24"/>
      <w:szCs w:val="24"/>
      <w:lang w:val="en-US" w:eastAsia="zh-CN" w:bidi="ar-SA"/>
    </w:rPr>
  </w:style>
  <w:style w:type="character" w:customStyle="1" w:styleId="240">
    <w:name w:val=" Char Char2"/>
    <w:basedOn w:val="186"/>
    <w:link w:val="1"/>
    <w:uiPriority w:val="0"/>
    <w:rPr>
      <w:rFonts w:eastAsia="宋体"/>
      <w:sz w:val="21"/>
      <w:szCs w:val="24"/>
      <w:lang w:val="en-US" w:eastAsia="zh-CN" w:bidi="ar-SA"/>
    </w:rPr>
  </w:style>
  <w:style w:type="character" w:customStyle="1" w:styleId="241">
    <w:name w:val="标题 3 Char2"/>
    <w:basedOn w:val="186"/>
    <w:link w:val="1"/>
    <w:uiPriority w:val="0"/>
    <w:rPr>
      <w:rFonts w:eastAsia="宋体"/>
      <w:b/>
      <w:sz w:val="32"/>
      <w:szCs w:val="32"/>
      <w:lang w:val="en-US" w:eastAsia="zh-CN" w:bidi="ar-SA"/>
    </w:rPr>
  </w:style>
  <w:style w:type="character" w:customStyle="1" w:styleId="242">
    <w:name w:val=" Char Char3"/>
    <w:basedOn w:val="186"/>
    <w:link w:val="1"/>
    <w:uiPriority w:val="0"/>
    <w:rPr>
      <w:rFonts w:eastAsia="宋体"/>
      <w:sz w:val="21"/>
      <w:szCs w:val="24"/>
      <w:lang w:val="en-US" w:eastAsia="zh-CN" w:bidi="ar-SA"/>
    </w:rPr>
  </w:style>
  <w:style w:type="character" w:customStyle="1" w:styleId="243">
    <w:name w:val="样式4 Char"/>
    <w:basedOn w:val="186"/>
    <w:link w:val="1"/>
    <w:uiPriority w:val="0"/>
    <w:rPr>
      <w:rFonts w:eastAsia="宋体"/>
      <w:b/>
      <w:sz w:val="24"/>
      <w:szCs w:val="28"/>
      <w:lang w:val="en-US" w:eastAsia="zh-CN" w:bidi="ar-SA"/>
    </w:rPr>
  </w:style>
  <w:style w:type="character" w:customStyle="1" w:styleId="244">
    <w:name w:val=" Char Char"/>
    <w:basedOn w:val="186"/>
    <w:link w:val="1"/>
    <w:qFormat/>
    <w:uiPriority w:val="0"/>
    <w:rPr>
      <w:rFonts w:ascii="宋体" w:hAnsi="宋体" w:eastAsia="宋体" w:cs="Courier New"/>
      <w:sz w:val="21"/>
      <w:szCs w:val="21"/>
      <w:lang w:val="en-US" w:eastAsia="zh-CN" w:bidi="ar-SA"/>
    </w:rPr>
  </w:style>
  <w:style w:type="character" w:customStyle="1" w:styleId="245">
    <w:name w:val="fs"/>
    <w:basedOn w:val="186"/>
    <w:link w:val="1"/>
    <w:uiPriority w:val="0"/>
  </w:style>
  <w:style w:type="character" w:customStyle="1" w:styleId="246">
    <w:name w:val="apple-style-span"/>
    <w:basedOn w:val="186"/>
    <w:link w:val="1"/>
    <w:qFormat/>
    <w:uiPriority w:val="0"/>
  </w:style>
  <w:style w:type="character" w:customStyle="1" w:styleId="247">
    <w:name w:val=" Char Char1"/>
    <w:basedOn w:val="186"/>
    <w:link w:val="1"/>
    <w:uiPriority w:val="0"/>
    <w:rPr>
      <w:rFonts w:eastAsia="宋体"/>
      <w:sz w:val="21"/>
      <w:szCs w:val="24"/>
      <w:lang w:val="en-US" w:eastAsia="zh-CN" w:bidi="ar-SA"/>
    </w:rPr>
  </w:style>
  <w:style w:type="character" w:customStyle="1" w:styleId="248">
    <w:name w:val="普通文字 Char Char1"/>
    <w:basedOn w:val="186"/>
    <w:link w:val="1"/>
    <w:uiPriority w:val="0"/>
    <w:rPr>
      <w:rFonts w:ascii="Courier New" w:hAnsi="Courier New" w:eastAsia="宋体"/>
      <w:sz w:val="28"/>
      <w:lang w:val="en-US" w:eastAsia="zh-CN" w:bidi="ar-SA"/>
    </w:rPr>
  </w:style>
  <w:style w:type="character" w:customStyle="1" w:styleId="249">
    <w:name w:val="标题 3 Char1"/>
    <w:basedOn w:val="186"/>
    <w:link w:val="1"/>
    <w:qFormat/>
    <w:uiPriority w:val="0"/>
    <w:rPr>
      <w:rFonts w:eastAsia="宋体"/>
      <w:b/>
      <w:sz w:val="32"/>
      <w:szCs w:val="32"/>
      <w:lang w:val="en-US" w:eastAsia="zh-CN" w:bidi="ar-SA"/>
    </w:rPr>
  </w:style>
  <w:style w:type="character" w:customStyle="1" w:styleId="250">
    <w:name w:val="紧缩表格文字 Char"/>
    <w:basedOn w:val="186"/>
    <w:link w:val="1"/>
    <w:uiPriority w:val="0"/>
    <w:rPr>
      <w:color w:val="000000"/>
      <w:spacing w:val="-27"/>
    </w:rPr>
  </w:style>
  <w:style w:type="character" w:customStyle="1" w:styleId="251">
    <w:name w:val="表格文字 Char"/>
    <w:basedOn w:val="186"/>
    <w:link w:val="1"/>
    <w:uiPriority w:val="0"/>
    <w:rPr>
      <w:rFonts w:ascii="宋体" w:hAnsi="宋体" w:eastAsia="宋体"/>
      <w:color w:val="FF00FF"/>
      <w:sz w:val="21"/>
      <w:szCs w:val="21"/>
      <w:lang w:val="en-US" w:eastAsia="zh-CN" w:bidi="ar-SA"/>
    </w:rPr>
  </w:style>
  <w:style w:type="character" w:customStyle="1" w:styleId="252">
    <w:name w:val="框图文字 Char"/>
    <w:basedOn w:val="186"/>
    <w:link w:val="1"/>
    <w:uiPriority w:val="0"/>
    <w:rPr>
      <w:rFonts w:eastAsia="宋体" w:cs="宋体"/>
      <w:sz w:val="21"/>
      <w:szCs w:val="21"/>
      <w:lang w:val="en-US" w:eastAsia="zh-CN" w:bidi="ar-SA"/>
    </w:rPr>
  </w:style>
  <w:style w:type="character" w:customStyle="1" w:styleId="253">
    <w:name w:val="正文（首行缩进两字） Char Char Char Char Char Char Char Char"/>
    <w:basedOn w:val="186"/>
    <w:link w:val="1"/>
    <w:qFormat/>
    <w:uiPriority w:val="0"/>
    <w:rPr>
      <w:rFonts w:ascii="宋体" w:hAnsi="宋体" w:eastAsia="仿宋_GB2312"/>
      <w:sz w:val="28"/>
      <w:lang w:val="en-US" w:eastAsia="zh-CN" w:bidi="ar-SA"/>
    </w:rPr>
  </w:style>
  <w:style w:type="character" w:customStyle="1" w:styleId="254">
    <w:name w:val=" Char Char17"/>
    <w:basedOn w:val="186"/>
    <w:link w:val="1"/>
    <w:uiPriority w:val="0"/>
    <w:rPr>
      <w:rFonts w:eastAsia="宋体"/>
      <w:b/>
      <w:sz w:val="28"/>
      <w:szCs w:val="28"/>
      <w:lang w:val="en-US" w:eastAsia="zh-CN" w:bidi="ar-SA"/>
    </w:rPr>
  </w:style>
  <w:style w:type="character" w:customStyle="1" w:styleId="255">
    <w:name w:val="表格文字 Char Char"/>
    <w:basedOn w:val="186"/>
    <w:link w:val="1"/>
    <w:qFormat/>
    <w:uiPriority w:val="0"/>
    <w:rPr>
      <w:rFonts w:ascii="宋体" w:hAnsi="宋体" w:eastAsia="宋体"/>
      <w:color w:val="000000"/>
      <w:sz w:val="21"/>
      <w:szCs w:val="21"/>
      <w:lang w:val="en-US" w:eastAsia="zh-CN" w:bidi="ar-SA"/>
    </w:rPr>
  </w:style>
  <w:style w:type="character" w:customStyle="1" w:styleId="256">
    <w:name w:val="正文(首行缩进) Char"/>
    <w:basedOn w:val="186"/>
    <w:link w:val="1"/>
    <w:uiPriority w:val="0"/>
    <w:rPr>
      <w:rFonts w:ascii="宋体" w:hAnsi="宋体" w:eastAsia="宋体"/>
      <w:sz w:val="24"/>
      <w:lang w:val="en-US" w:eastAsia="zh-CN" w:bidi="ar-SA"/>
    </w:rPr>
  </w:style>
  <w:style w:type="character" w:customStyle="1" w:styleId="257">
    <w:name w:val="题注 Char Char"/>
    <w:basedOn w:val="186"/>
    <w:link w:val="1"/>
    <w:uiPriority w:val="0"/>
    <w:rPr>
      <w:rFonts w:ascii="Arial" w:hAnsi="Arial" w:eastAsia="黑体"/>
      <w:sz w:val="24"/>
      <w:lang w:val="en-US" w:eastAsia="zh-CN" w:bidi="ar-SA"/>
    </w:rPr>
  </w:style>
  <w:style w:type="character" w:customStyle="1" w:styleId="258">
    <w:name w:val="正文文本缩进1 Char"/>
    <w:basedOn w:val="186"/>
    <w:link w:val="1"/>
    <w:uiPriority w:val="0"/>
    <w:rPr>
      <w:rFonts w:eastAsia="宋体"/>
      <w:sz w:val="21"/>
      <w:szCs w:val="24"/>
      <w:lang w:val="en-US" w:eastAsia="zh-CN" w:bidi="ar-SA"/>
    </w:rPr>
  </w:style>
  <w:style w:type="character" w:customStyle="1" w:styleId="259">
    <w:name w:val="框文字 Char Char"/>
    <w:basedOn w:val="186"/>
    <w:link w:val="1"/>
    <w:uiPriority w:val="0"/>
    <w:rPr>
      <w:rFonts w:ascii="宋体" w:hAnsi="宋体" w:eastAsia="宋体"/>
      <w:spacing w:val="-20"/>
      <w:sz w:val="21"/>
      <w:szCs w:val="21"/>
      <w:lang w:val="en-US" w:eastAsia="zh-CN" w:bidi="ar-SA"/>
    </w:rPr>
  </w:style>
  <w:style w:type="character" w:customStyle="1" w:styleId="260">
    <w:name w:val="纯文本 Char Char Char"/>
    <w:basedOn w:val="186"/>
    <w:link w:val="1"/>
    <w:qFormat/>
    <w:uiPriority w:val="0"/>
    <w:rPr>
      <w:rFonts w:ascii="宋体" w:hAnsi="宋体" w:eastAsia="宋体"/>
      <w:sz w:val="21"/>
      <w:lang w:val="en-US" w:eastAsia="zh-CN" w:bidi="ar-SA"/>
    </w:rPr>
  </w:style>
  <w:style w:type="character" w:customStyle="1" w:styleId="261">
    <w:name w:val="apple-converted-space"/>
    <w:basedOn w:val="186"/>
    <w:link w:val="1"/>
    <w:uiPriority w:val="0"/>
  </w:style>
  <w:style w:type="character" w:customStyle="1" w:styleId="262">
    <w:name w:val="正文首行缩进 2 Char"/>
    <w:basedOn w:val="186"/>
    <w:link w:val="1"/>
    <w:uiPriority w:val="0"/>
    <w:rPr>
      <w:rFonts w:eastAsia="宋体"/>
      <w:sz w:val="21"/>
      <w:szCs w:val="24"/>
      <w:lang w:val="en-US" w:eastAsia="zh-CN" w:bidi="ar-SA"/>
    </w:rPr>
  </w:style>
  <w:style w:type="character" w:customStyle="1" w:styleId="263">
    <w:name w:val="font21"/>
    <w:basedOn w:val="186"/>
    <w:link w:val="1"/>
    <w:qFormat/>
    <w:uiPriority w:val="0"/>
    <w:rPr>
      <w:rFonts w:hint="eastAsia" w:ascii="宋体" w:hAnsi="宋体" w:eastAsia="宋体"/>
      <w:color w:val="000000"/>
      <w:sz w:val="18"/>
      <w:szCs w:val="18"/>
      <w:u w:val="none"/>
    </w:rPr>
  </w:style>
  <w:style w:type="paragraph" w:customStyle="1" w:styleId="264">
    <w:name w:val="样式 报告表正文 + 加粗 黑色 左 行距: 多倍行距 1.3 字行"/>
    <w:basedOn w:val="265"/>
    <w:qFormat/>
    <w:uiPriority w:val="0"/>
    <w:pPr>
      <w:spacing w:line="360" w:lineRule="auto"/>
      <w:outlineLvl w:val="0"/>
    </w:pPr>
    <w:rPr>
      <w:b/>
    </w:rPr>
  </w:style>
  <w:style w:type="paragraph" w:customStyle="1" w:styleId="265">
    <w:name w:val="报告表正文"/>
    <w:basedOn w:val="1"/>
    <w:uiPriority w:val="0"/>
    <w:pPr>
      <w:spacing w:line="312" w:lineRule="auto"/>
      <w:ind w:left="113" w:right="113" w:firstLine="482"/>
      <w:jc w:val="left"/>
    </w:pPr>
    <w:rPr>
      <w:sz w:val="24"/>
    </w:rPr>
  </w:style>
  <w:style w:type="paragraph" w:customStyle="1" w:styleId="266">
    <w:name w:val="表格文字"/>
    <w:basedOn w:val="1"/>
    <w:qFormat/>
    <w:uiPriority w:val="0"/>
    <w:pPr>
      <w:jc w:val="center"/>
    </w:pPr>
    <w:rPr>
      <w:rFonts w:ascii="宋体" w:hAnsi="宋体" w:cs="宋体"/>
      <w:color w:val="FF00FF"/>
      <w:szCs w:val="21"/>
    </w:rPr>
  </w:style>
  <w:style w:type="paragraph" w:customStyle="1" w:styleId="267">
    <w:name w:val="报告书正文"/>
    <w:basedOn w:val="1"/>
    <w:qFormat/>
    <w:uiPriority w:val="0"/>
    <w:pPr>
      <w:spacing w:line="360" w:lineRule="auto"/>
      <w:ind w:firstLine="480"/>
    </w:pPr>
    <w:rPr>
      <w:sz w:val="24"/>
    </w:rPr>
  </w:style>
  <w:style w:type="paragraph" w:customStyle="1" w:styleId="268">
    <w:name w:val="正文01"/>
    <w:basedOn w:val="1"/>
    <w:uiPriority w:val="0"/>
    <w:pPr>
      <w:spacing w:before="60" w:line="460" w:lineRule="exact"/>
      <w:ind w:firstLine="200"/>
    </w:pPr>
    <w:rPr>
      <w:sz w:val="24"/>
      <w:szCs w:val="20"/>
    </w:rPr>
  </w:style>
  <w:style w:type="paragraph" w:customStyle="1" w:styleId="269">
    <w:name w:val=" Char"/>
    <w:basedOn w:val="1"/>
    <w:uiPriority w:val="0"/>
    <w:pPr>
      <w:widowControl/>
      <w:spacing w:after="160" w:line="240" w:lineRule="exact"/>
      <w:jc w:val="left"/>
    </w:pPr>
    <w:rPr>
      <w:sz w:val="24"/>
      <w:szCs w:val="20"/>
    </w:rPr>
  </w:style>
  <w:style w:type="paragraph" w:customStyle="1" w:styleId="270">
    <w:name w:val="reader-word-layer reader-word-s3-2"/>
    <w:basedOn w:val="1"/>
    <w:uiPriority w:val="0"/>
    <w:pPr>
      <w:widowControl/>
      <w:spacing w:before="100" w:beforeAutospacing="1" w:after="100" w:afterAutospacing="1"/>
      <w:jc w:val="left"/>
    </w:pPr>
    <w:rPr>
      <w:rFonts w:ascii="宋体" w:hAnsi="宋体" w:cs="宋体"/>
      <w:sz w:val="24"/>
    </w:rPr>
  </w:style>
  <w:style w:type="paragraph" w:customStyle="1" w:styleId="271">
    <w:name w:val="表格内容"/>
    <w:basedOn w:val="1"/>
    <w:uiPriority w:val="0"/>
    <w:pPr>
      <w:keepLines/>
      <w:spacing w:line="240" w:lineRule="atLeast"/>
      <w:jc w:val="center"/>
    </w:pPr>
    <w:rPr>
      <w:szCs w:val="18"/>
    </w:rPr>
  </w:style>
  <w:style w:type="paragraph" w:customStyle="1" w:styleId="272">
    <w:name w:val="pic-info"/>
    <w:basedOn w:val="1"/>
    <w:uiPriority w:val="0"/>
    <w:pPr>
      <w:widowControl/>
      <w:spacing w:before="100" w:beforeAutospacing="1" w:after="100" w:afterAutospacing="1"/>
      <w:jc w:val="left"/>
    </w:pPr>
    <w:rPr>
      <w:rFonts w:ascii="宋体" w:hAnsi="宋体" w:cs="宋体"/>
      <w:sz w:val="24"/>
    </w:rPr>
  </w:style>
  <w:style w:type="paragraph" w:customStyle="1" w:styleId="273">
    <w:name w:val="表格正文"/>
    <w:basedOn w:val="1"/>
    <w:uiPriority w:val="0"/>
    <w:pPr>
      <w:spacing w:line="360" w:lineRule="exact"/>
      <w:jc w:val="center"/>
    </w:pPr>
    <w:rPr>
      <w:rFonts w:ascii="Arial" w:hAnsi="Arial"/>
      <w:color w:val="000000"/>
      <w:szCs w:val="20"/>
    </w:rPr>
  </w:style>
  <w:style w:type="paragraph" w:customStyle="1" w:styleId="274">
    <w:name w:val="zxz5"/>
    <w:next w:val="1"/>
    <w:uiPriority w:val="0"/>
    <w:pPr>
      <w:tabs>
        <w:tab w:val="left" w:pos="0"/>
      </w:tabs>
      <w:jc w:val="center"/>
    </w:pPr>
    <w:rPr>
      <w:rFonts w:hint="default" w:ascii="宋体" w:hAnsi="宋体" w:eastAsia="宋体" w:cs="宋体"/>
      <w:color w:val="000000"/>
      <w:sz w:val="18"/>
      <w:szCs w:val="18"/>
      <w:lang w:val="en-US" w:eastAsia="zh-CN" w:bidi="ar-SA"/>
    </w:rPr>
  </w:style>
  <w:style w:type="paragraph" w:customStyle="1" w:styleId="275">
    <w:name w:val="表格"/>
    <w:basedOn w:val="182"/>
    <w:next w:val="191"/>
    <w:uiPriority w:val="0"/>
    <w:pPr>
      <w:keepNext w:val="0"/>
      <w:keepLines w:val="0"/>
      <w:spacing w:before="0" w:after="0" w:line="500" w:lineRule="exact"/>
      <w:jc w:val="center"/>
      <w:outlineLvl w:val="9"/>
    </w:pPr>
    <w:rPr>
      <w:rFonts w:ascii="Times New Roman" w:hAnsi="Times New Roman" w:eastAsia="宋体" w:cs="Times New Roman"/>
      <w:b w:val="0"/>
      <w:sz w:val="24"/>
      <w:szCs w:val="20"/>
      <w:lang w:val="zh-CN"/>
    </w:rPr>
  </w:style>
  <w:style w:type="paragraph" w:customStyle="1" w:styleId="276">
    <w:name w:val="引言"/>
    <w:basedOn w:val="1"/>
    <w:next w:val="1"/>
    <w:uiPriority w:val="0"/>
    <w:pPr>
      <w:jc w:val="center"/>
    </w:pPr>
    <w:rPr>
      <w:szCs w:val="20"/>
    </w:rPr>
  </w:style>
  <w:style w:type="paragraph" w:customStyle="1" w:styleId="277">
    <w:name w:val="正文1"/>
    <w:basedOn w:val="1"/>
    <w:qFormat/>
    <w:uiPriority w:val="0"/>
    <w:pPr>
      <w:spacing w:line="360" w:lineRule="auto"/>
    </w:pPr>
    <w:rPr>
      <w:sz w:val="24"/>
      <w:szCs w:val="28"/>
    </w:rPr>
  </w:style>
  <w:style w:type="paragraph" w:customStyle="1" w:styleId="278">
    <w:name w:val="紧缩表格文字"/>
    <w:basedOn w:val="266"/>
    <w:uiPriority w:val="0"/>
    <w:rPr>
      <w:color w:val="000000"/>
      <w:spacing w:val="-27"/>
    </w:rPr>
  </w:style>
  <w:style w:type="paragraph" w:customStyle="1" w:styleId="279">
    <w:name w:val="xl26"/>
    <w:basedOn w:val="1"/>
    <w:uiPriority w:val="0"/>
    <w:pPr>
      <w:widowControl/>
      <w:pBdr>
        <w:bottom w:val="single" w:color="000000" w:sz="4" w:space="0"/>
        <w:right w:val="single" w:color="000000" w:sz="4" w:space="0"/>
      </w:pBdr>
      <w:spacing w:before="100" w:beforeAutospacing="1" w:after="100" w:afterAutospacing="1"/>
    </w:pPr>
    <w:rPr>
      <w:szCs w:val="21"/>
    </w:rPr>
  </w:style>
  <w:style w:type="paragraph" w:customStyle="1" w:styleId="280">
    <w:name w:val="edri-正文"/>
    <w:basedOn w:val="1"/>
    <w:uiPriority w:val="0"/>
    <w:pPr>
      <w:spacing w:line="480" w:lineRule="exact"/>
      <w:ind w:firstLine="480"/>
    </w:pPr>
    <w:rPr>
      <w:bCs/>
      <w:color w:val="000000"/>
      <w:sz w:val="24"/>
    </w:rPr>
  </w:style>
  <w:style w:type="paragraph" w:customStyle="1" w:styleId="281">
    <w:name w:val="reader-word-layer reader-word-s3-5"/>
    <w:basedOn w:val="1"/>
    <w:uiPriority w:val="0"/>
    <w:pPr>
      <w:widowControl/>
      <w:spacing w:before="100" w:beforeAutospacing="1" w:after="100" w:afterAutospacing="1"/>
      <w:jc w:val="left"/>
    </w:pPr>
    <w:rPr>
      <w:rFonts w:ascii="宋体" w:hAnsi="宋体" w:cs="宋体"/>
      <w:sz w:val="24"/>
    </w:rPr>
  </w:style>
  <w:style w:type="paragraph" w:customStyle="1" w:styleId="282">
    <w:name w:val=" Char Char Char Char"/>
    <w:basedOn w:val="1"/>
    <w:uiPriority w:val="0"/>
  </w:style>
  <w:style w:type="paragraph" w:customStyle="1" w:styleId="283">
    <w:name w:val="正文(首行缩进)"/>
    <w:basedOn w:val="1"/>
    <w:qFormat/>
    <w:uiPriority w:val="0"/>
    <w:pPr>
      <w:spacing w:line="360" w:lineRule="auto"/>
      <w:ind w:firstLine="480"/>
    </w:pPr>
    <w:rPr>
      <w:rFonts w:ascii="宋体" w:hAnsi="宋体" w:cs="宋体"/>
      <w:sz w:val="24"/>
      <w:szCs w:val="20"/>
    </w:rPr>
  </w:style>
  <w:style w:type="paragraph" w:customStyle="1" w:styleId="284">
    <w:name w:val="表标题"/>
    <w:basedOn w:val="1"/>
    <w:next w:val="1"/>
    <w:qFormat/>
    <w:uiPriority w:val="0"/>
    <w:pPr>
      <w:spacing w:line="500" w:lineRule="exact"/>
      <w:ind w:firstLine="482"/>
      <w:jc w:val="center"/>
    </w:pPr>
    <w:rPr>
      <w:rFonts w:ascii="宋体" w:hAnsi="宋体" w:cs="宋体"/>
      <w:b/>
      <w:sz w:val="24"/>
    </w:rPr>
  </w:style>
  <w:style w:type="paragraph" w:customStyle="1" w:styleId="285">
    <w:name w:val="reader-word-layer reader-word-s3-4"/>
    <w:basedOn w:val="1"/>
    <w:uiPriority w:val="0"/>
    <w:pPr>
      <w:widowControl/>
      <w:spacing w:before="100" w:beforeAutospacing="1" w:after="100" w:afterAutospacing="1"/>
      <w:jc w:val="left"/>
    </w:pPr>
    <w:rPr>
      <w:rFonts w:ascii="宋体" w:hAnsi="宋体" w:cs="宋体"/>
      <w:sz w:val="24"/>
    </w:rPr>
  </w:style>
  <w:style w:type="paragraph" w:customStyle="1" w:styleId="286">
    <w:name w:val="样式4"/>
    <w:basedOn w:val="183"/>
    <w:uiPriority w:val="0"/>
    <w:pPr>
      <w:tabs>
        <w:tab w:val="left" w:pos="567"/>
      </w:tabs>
      <w:spacing w:before="360" w:after="120" w:line="240" w:lineRule="auto"/>
    </w:pPr>
    <w:rPr>
      <w:sz w:val="24"/>
      <w:szCs w:val="28"/>
    </w:rPr>
  </w:style>
  <w:style w:type="paragraph" w:customStyle="1" w:styleId="287">
    <w:name w:val="框图文字"/>
    <w:basedOn w:val="1"/>
    <w:qFormat/>
    <w:uiPriority w:val="0"/>
    <w:pPr>
      <w:spacing w:line="240" w:lineRule="exact"/>
    </w:pPr>
    <w:rPr>
      <w:rFonts w:cs="宋体"/>
      <w:szCs w:val="21"/>
    </w:rPr>
  </w:style>
  <w:style w:type="paragraph" w:customStyle="1" w:styleId="288">
    <w:name w:val="xl28"/>
    <w:basedOn w:val="1"/>
    <w:uiPriority w:val="0"/>
    <w:pPr>
      <w:widowControl/>
      <w:pBdr>
        <w:bottom w:val="single" w:color="000000" w:sz="4" w:space="0"/>
        <w:right w:val="single" w:color="000000" w:sz="4" w:space="0"/>
      </w:pBdr>
      <w:spacing w:before="100" w:beforeAutospacing="1" w:after="100" w:afterAutospacing="1"/>
      <w:jc w:val="center"/>
    </w:pPr>
    <w:rPr>
      <w:rFonts w:eastAsia="Arial"/>
      <w:szCs w:val="21"/>
    </w:rPr>
  </w:style>
  <w:style w:type="paragraph" w:customStyle="1" w:styleId="289">
    <w:name w:val=" Char Char Char Char Char Char Char Char Char Char Char Char Char Char"/>
    <w:uiPriority w:val="0"/>
    <w:pPr>
      <w:widowControl w:val="0"/>
      <w:spacing w:line="300" w:lineRule="auto"/>
      <w:ind w:firstLine="480"/>
      <w:jc w:val="both"/>
    </w:pPr>
    <w:rPr>
      <w:rFonts w:hint="default" w:ascii="Times New Roman" w:hAnsi="Times New Roman" w:eastAsia="宋体" w:cs="Times New Roman"/>
      <w:color w:val="000000"/>
      <w:lang w:bidi="ar-SA"/>
    </w:rPr>
  </w:style>
  <w:style w:type="paragraph" w:customStyle="1" w:styleId="290">
    <w:name w:val="标题五"/>
    <w:basedOn w:val="1"/>
    <w:uiPriority w:val="0"/>
    <w:pPr>
      <w:spacing w:line="280" w:lineRule="atLeast"/>
    </w:pPr>
    <w:rPr>
      <w:sz w:val="24"/>
      <w:szCs w:val="20"/>
    </w:rPr>
  </w:style>
  <w:style w:type="paragraph" w:customStyle="1" w:styleId="291">
    <w:name w:val="reader-word-layer reader-word-s3-1"/>
    <w:basedOn w:val="1"/>
    <w:qFormat/>
    <w:uiPriority w:val="0"/>
    <w:pPr>
      <w:widowControl/>
      <w:spacing w:before="100" w:beforeAutospacing="1" w:after="100" w:afterAutospacing="1"/>
      <w:jc w:val="left"/>
    </w:pPr>
    <w:rPr>
      <w:rFonts w:ascii="宋体" w:hAnsi="宋体" w:cs="宋体"/>
      <w:sz w:val="24"/>
    </w:rPr>
  </w:style>
  <w:style w:type="paragraph" w:customStyle="1" w:styleId="292">
    <w:name w:val="纯文本2"/>
    <w:basedOn w:val="1"/>
    <w:uiPriority w:val="0"/>
    <w:rPr>
      <w:sz w:val="20"/>
      <w:szCs w:val="20"/>
    </w:rPr>
  </w:style>
  <w:style w:type="paragraph" w:customStyle="1" w:styleId="293">
    <w:name w:val="框文字"/>
    <w:basedOn w:val="1"/>
    <w:uiPriority w:val="0"/>
    <w:pPr>
      <w:widowControl/>
      <w:jc w:val="center"/>
    </w:pPr>
    <w:rPr>
      <w:rFonts w:ascii="宋体" w:hAnsi="宋体" w:cs="宋体"/>
      <w:spacing w:val="-20"/>
      <w:szCs w:val="21"/>
    </w:rPr>
  </w:style>
  <w:style w:type="paragraph" w:customStyle="1" w:styleId="294">
    <w:name w:val="正文2"/>
    <w:basedOn w:val="1"/>
    <w:uiPriority w:val="0"/>
    <w:pPr>
      <w:spacing w:line="440" w:lineRule="atLeast"/>
      <w:ind w:firstLine="567"/>
    </w:pPr>
    <w:rPr>
      <w:sz w:val="24"/>
      <w:szCs w:val="20"/>
    </w:rPr>
  </w:style>
  <w:style w:type="paragraph" w:customStyle="1" w:styleId="295">
    <w:name w:val="报告"/>
    <w:basedOn w:val="1"/>
    <w:qFormat/>
    <w:uiPriority w:val="0"/>
    <w:pPr>
      <w:spacing w:line="360" w:lineRule="auto"/>
      <w:ind w:firstLine="505"/>
    </w:pPr>
    <w:rPr>
      <w:rFonts w:ascii="TimesNewRoman" w:hAnsi="TimesNewRoman" w:cs="宋体"/>
      <w:sz w:val="24"/>
      <w:szCs w:val="20"/>
    </w:rPr>
  </w:style>
  <w:style w:type="paragraph" w:customStyle="1" w:styleId="296">
    <w:name w:val="reader-word-layer reader-word-s3-9"/>
    <w:basedOn w:val="1"/>
    <w:uiPriority w:val="0"/>
    <w:pPr>
      <w:widowControl/>
      <w:spacing w:before="100" w:beforeAutospacing="1" w:after="100" w:afterAutospacing="1"/>
      <w:jc w:val="left"/>
    </w:pPr>
    <w:rPr>
      <w:rFonts w:ascii="宋体" w:hAnsi="宋体" w:cs="宋体"/>
      <w:sz w:val="24"/>
    </w:rPr>
  </w:style>
  <w:style w:type="paragraph" w:customStyle="1" w:styleId="297">
    <w:name w:val="表格1"/>
    <w:basedOn w:val="1"/>
    <w:uiPriority w:val="0"/>
    <w:pPr>
      <w:spacing w:line="20" w:lineRule="atLeast"/>
      <w:jc w:val="center"/>
    </w:pPr>
    <w:rPr>
      <w:rFonts w:ascii="宋体" w:hAnsi="宋体"/>
      <w:szCs w:val="20"/>
    </w:rPr>
  </w:style>
  <w:style w:type="paragraph" w:customStyle="1" w:styleId="298">
    <w:name w:val="报告表格"/>
    <w:basedOn w:val="1"/>
    <w:uiPriority w:val="0"/>
    <w:pPr>
      <w:spacing w:before="40" w:after="40"/>
      <w:jc w:val="center"/>
    </w:pPr>
    <w:rPr>
      <w:color w:val="000000"/>
      <w:szCs w:val="20"/>
    </w:rPr>
  </w:style>
  <w:style w:type="paragraph" w:customStyle="1" w:styleId="299">
    <w:name w:val="xl63"/>
    <w:basedOn w:val="1"/>
    <w:qFormat/>
    <w:uiPriority w:val="0"/>
    <w:pPr>
      <w:widowControl/>
      <w:pBdr>
        <w:left w:val="single" w:color="000000" w:sz="4" w:space="0"/>
        <w:bottom w:val="single" w:color="000000" w:sz="4" w:space="0"/>
        <w:right w:val="single" w:color="000000" w:sz="4" w:space="0"/>
      </w:pBdr>
      <w:spacing w:before="100" w:beforeAutospacing="1" w:after="100" w:afterAutospacing="1"/>
      <w:jc w:val="center"/>
    </w:pPr>
    <w:rPr>
      <w:rFonts w:ascii="宋体" w:hAnsi="宋体" w:eastAsia="Arial" w:cs="宋体"/>
      <w:sz w:val="28"/>
    </w:rPr>
  </w:style>
  <w:style w:type="paragraph" w:customStyle="1" w:styleId="300">
    <w:name w:val="样式 样式 样式 小四 首行缩进:  2.25 字符 + 首行缩进:  2.25 字符 + 首行缩进:  2 字符"/>
    <w:basedOn w:val="1"/>
    <w:uiPriority w:val="0"/>
    <w:pPr>
      <w:spacing w:line="440" w:lineRule="exact"/>
      <w:ind w:firstLine="200"/>
    </w:pPr>
    <w:rPr>
      <w:sz w:val="24"/>
      <w:szCs w:val="20"/>
    </w:rPr>
  </w:style>
  <w:style w:type="paragraph" w:customStyle="1" w:styleId="301">
    <w:name w:val="表中值"/>
    <w:basedOn w:val="1"/>
    <w:uiPriority w:val="0"/>
    <w:pPr>
      <w:keepLines/>
      <w:widowControl/>
      <w:spacing w:line="360" w:lineRule="exact"/>
      <w:jc w:val="center"/>
    </w:pPr>
    <w:rPr>
      <w:spacing w:val="4"/>
      <w:szCs w:val="20"/>
    </w:rPr>
  </w:style>
  <w:style w:type="paragraph" w:customStyle="1" w:styleId="302">
    <w:name w:val="1"/>
    <w:basedOn w:val="1"/>
    <w:next w:val="201"/>
    <w:qFormat/>
    <w:uiPriority w:val="0"/>
    <w:rPr>
      <w:rFonts w:ascii="宋体" w:hAnsi="宋体" w:cs="Courier New"/>
      <w:szCs w:val="21"/>
    </w:rPr>
  </w:style>
  <w:style w:type="paragraph" w:customStyle="1" w:styleId="303">
    <w:name w:val="标题4"/>
    <w:basedOn w:val="1"/>
    <w:qFormat/>
    <w:uiPriority w:val="0"/>
    <w:pPr>
      <w:spacing w:line="360" w:lineRule="auto"/>
      <w:ind w:firstLine="482"/>
      <w:jc w:val="center"/>
    </w:pPr>
    <w:rPr>
      <w:rFonts w:ascii="仿宋_GB2312" w:hAnsi="仿宋_GB2312" w:eastAsia="仿宋_GB2312" w:cs="宋体"/>
      <w:b/>
      <w:sz w:val="24"/>
    </w:rPr>
  </w:style>
  <w:style w:type="paragraph" w:customStyle="1" w:styleId="304">
    <w:name w:val="Char Char Char Char"/>
    <w:basedOn w:val="1"/>
    <w:uiPriority w:val="0"/>
    <w:pPr>
      <w:widowControl/>
      <w:spacing w:before="50" w:line="480" w:lineRule="exact"/>
      <w:jc w:val="left"/>
    </w:pPr>
    <w:rPr>
      <w:rFonts w:ascii="Verdana" w:hAnsi="Verdana" w:eastAsia="仿宋_GB2312" w:cs="Verdana"/>
      <w:sz w:val="28"/>
      <w:szCs w:val="20"/>
      <w:lang w:eastAsia="en-US"/>
    </w:rPr>
  </w:style>
  <w:style w:type="paragraph" w:customStyle="1" w:styleId="305">
    <w:name w:val="Char1"/>
    <w:basedOn w:val="1"/>
    <w:uiPriority w:val="0"/>
    <w:pPr>
      <w:spacing w:line="360" w:lineRule="auto"/>
      <w:ind w:firstLine="200"/>
    </w:pPr>
    <w:rPr>
      <w:rFonts w:ascii="宋体" w:hAnsi="宋体" w:cs="宋体"/>
      <w:sz w:val="24"/>
      <w:szCs w:val="21"/>
    </w:rPr>
  </w:style>
  <w:style w:type="paragraph" w:customStyle="1" w:styleId="306">
    <w:name w:val="Default"/>
    <w:qFormat/>
    <w:uiPriority w:val="0"/>
    <w:pPr>
      <w:widowControl w:val="0"/>
    </w:pPr>
    <w:rPr>
      <w:rFonts w:hint="default" w:ascii="黑体" w:hAnsi="黑体" w:eastAsia="黑体" w:cs="黑体"/>
      <w:color w:val="000000"/>
      <w:sz w:val="24"/>
      <w:szCs w:val="24"/>
      <w:lang w:val="en-US" w:eastAsia="zh-CN" w:bidi="ar-SA"/>
    </w:rPr>
  </w:style>
  <w:style w:type="paragraph" w:customStyle="1" w:styleId="307">
    <w:name w:val="表格头"/>
    <w:basedOn w:val="1"/>
    <w:uiPriority w:val="0"/>
    <w:pPr>
      <w:spacing w:line="360" w:lineRule="auto"/>
      <w:jc w:val="center"/>
    </w:pPr>
    <w:rPr>
      <w:rFonts w:ascii="宋体" w:hAnsi="宋体" w:cs="宋体"/>
      <w:b/>
      <w:sz w:val="24"/>
      <w:szCs w:val="20"/>
    </w:rPr>
  </w:style>
  <w:style w:type="paragraph" w:customStyle="1" w:styleId="308">
    <w:name w:val="样式 样式 正文首行缩进两个字 + 首行缩进:  2 字符 + 首行缩进:  2 字符"/>
    <w:basedOn w:val="1"/>
    <w:uiPriority w:val="0"/>
    <w:pPr>
      <w:spacing w:line="360" w:lineRule="auto"/>
      <w:ind w:firstLine="480"/>
      <w:jc w:val="left"/>
    </w:pPr>
    <w:rPr>
      <w:rFonts w:ascii="宋体" w:hAnsi="宋体" w:cs="宋体"/>
      <w:sz w:val="24"/>
    </w:rPr>
  </w:style>
  <w:style w:type="paragraph" w:customStyle="1" w:styleId="309">
    <w:name w:val="列出段落"/>
    <w:basedOn w:val="1"/>
    <w:qFormat/>
    <w:uiPriority w:val="0"/>
    <w:pPr>
      <w:ind w:firstLine="420"/>
    </w:pPr>
    <w:rPr>
      <w:rFonts w:ascii="Calibri" w:hAnsi="Calibri"/>
      <w:color w:val="000000"/>
      <w:szCs w:val="22"/>
    </w:rPr>
  </w:style>
  <w:style w:type="paragraph" w:customStyle="1" w:styleId="310">
    <w:name w:val="正文（首行缩进两字）"/>
    <w:basedOn w:val="306"/>
    <w:next w:val="306"/>
    <w:uiPriority w:val="0"/>
    <w:rPr>
      <w:rFonts w:cs="Times New Roman"/>
    </w:rPr>
  </w:style>
  <w:style w:type="paragraph" w:customStyle="1" w:styleId="311">
    <w:name w:val="p0"/>
    <w:basedOn w:val="1"/>
    <w:qFormat/>
    <w:uiPriority w:val="0"/>
    <w:pPr>
      <w:widowControl/>
      <w:jc w:val="left"/>
    </w:pPr>
    <w:rPr>
      <w:sz w:val="20"/>
      <w:szCs w:val="20"/>
    </w:rPr>
  </w:style>
  <w:style w:type="paragraph" w:customStyle="1" w:styleId="312">
    <w:name w:val=" Char2 Char Char Char Char Char Char"/>
    <w:basedOn w:val="1"/>
    <w:next w:val="188"/>
    <w:uiPriority w:val="0"/>
  </w:style>
  <w:style w:type="paragraph" w:customStyle="1" w:styleId="313">
    <w:name w:val="样式 样式 正文首行缩进 + 首行缩进:  2 字符 + 首行缩进:  2 字符"/>
    <w:basedOn w:val="1"/>
    <w:qFormat/>
    <w:uiPriority w:val="0"/>
    <w:pPr>
      <w:spacing w:line="360" w:lineRule="auto"/>
      <w:ind w:firstLine="480"/>
    </w:pPr>
    <w:rPr>
      <w:rFonts w:ascii="宋体" w:hAnsi="宋体" w:eastAsia="Times New Roman"/>
      <w:color w:val="000000"/>
      <w:sz w:val="24"/>
      <w:szCs w:val="20"/>
    </w:rPr>
  </w:style>
</w:styles>
</file>

<file path=word/_rels/document.xml.rels><?xml version="1.0" encoding="UTF-8" standalone="yes"?>
<Relationships xmlns="http://schemas.openxmlformats.org/package/2006/relationships"><Relationship Id="rId99" Type="http://schemas.openxmlformats.org/officeDocument/2006/relationships/image" Target="media/image70.jpeg"/><Relationship Id="rId98" Type="http://schemas.openxmlformats.org/officeDocument/2006/relationships/image" Target="media/image69.jpeg"/><Relationship Id="rId97" Type="http://schemas.openxmlformats.org/officeDocument/2006/relationships/image" Target="media/image68.jpeg"/><Relationship Id="rId96" Type="http://schemas.openxmlformats.org/officeDocument/2006/relationships/image" Target="media/image67.jpeg"/><Relationship Id="rId95" Type="http://schemas.openxmlformats.org/officeDocument/2006/relationships/image" Target="media/image66.jpeg"/><Relationship Id="rId94" Type="http://schemas.openxmlformats.org/officeDocument/2006/relationships/image" Target="media/image65.jpeg"/><Relationship Id="rId93" Type="http://schemas.openxmlformats.org/officeDocument/2006/relationships/image" Target="media/image64.jpeg"/><Relationship Id="rId92" Type="http://schemas.openxmlformats.org/officeDocument/2006/relationships/image" Target="media/image63.jpeg"/><Relationship Id="rId91" Type="http://schemas.openxmlformats.org/officeDocument/2006/relationships/image" Target="media/image62.jpeg"/><Relationship Id="rId90" Type="http://schemas.openxmlformats.org/officeDocument/2006/relationships/image" Target="media/image61.jpeg"/><Relationship Id="rId9" Type="http://schemas.openxmlformats.org/officeDocument/2006/relationships/header" Target="header3.xml"/><Relationship Id="rId89" Type="http://schemas.openxmlformats.org/officeDocument/2006/relationships/image" Target="media/image60.jpeg"/><Relationship Id="rId88" Type="http://schemas.openxmlformats.org/officeDocument/2006/relationships/image" Target="media/image59.jpeg"/><Relationship Id="rId87" Type="http://schemas.openxmlformats.org/officeDocument/2006/relationships/image" Target="media/image58.jpeg"/><Relationship Id="rId86" Type="http://schemas.openxmlformats.org/officeDocument/2006/relationships/image" Target="media/image57.jpeg"/><Relationship Id="rId85" Type="http://schemas.openxmlformats.org/officeDocument/2006/relationships/image" Target="media/image56.jpeg"/><Relationship Id="rId84" Type="http://schemas.openxmlformats.org/officeDocument/2006/relationships/image" Target="media/image55.jpeg"/><Relationship Id="rId83" Type="http://schemas.openxmlformats.org/officeDocument/2006/relationships/image" Target="media/image54.jpeg"/><Relationship Id="rId82" Type="http://schemas.openxmlformats.org/officeDocument/2006/relationships/image" Target="media/image53.jpeg"/><Relationship Id="rId81" Type="http://schemas.openxmlformats.org/officeDocument/2006/relationships/image" Target="media/image52.jpeg"/><Relationship Id="rId80" Type="http://schemas.openxmlformats.org/officeDocument/2006/relationships/image" Target="media/image51.jpeg"/><Relationship Id="rId8" Type="http://schemas.openxmlformats.org/officeDocument/2006/relationships/footer" Target="footer4.xml"/><Relationship Id="rId79" Type="http://schemas.openxmlformats.org/officeDocument/2006/relationships/image" Target="media/image50.jpeg"/><Relationship Id="rId78" Type="http://schemas.openxmlformats.org/officeDocument/2006/relationships/image" Target="media/image49.jpeg"/><Relationship Id="rId77" Type="http://schemas.openxmlformats.org/officeDocument/2006/relationships/image" Target="media/image48.jpeg"/><Relationship Id="rId76" Type="http://schemas.openxmlformats.org/officeDocument/2006/relationships/image" Target="media/image47.jpeg"/><Relationship Id="rId75" Type="http://schemas.openxmlformats.org/officeDocument/2006/relationships/image" Target="media/image46.jpeg"/><Relationship Id="rId74" Type="http://schemas.openxmlformats.org/officeDocument/2006/relationships/image" Target="media/image45.jpeg"/><Relationship Id="rId73" Type="http://schemas.openxmlformats.org/officeDocument/2006/relationships/image" Target="media/image44.jpeg"/><Relationship Id="rId72" Type="http://schemas.openxmlformats.org/officeDocument/2006/relationships/image" Target="media/image43.jpeg"/><Relationship Id="rId71" Type="http://schemas.openxmlformats.org/officeDocument/2006/relationships/image" Target="media/image42.jpeg"/><Relationship Id="rId70" Type="http://schemas.openxmlformats.org/officeDocument/2006/relationships/image" Target="media/image41.jpeg"/><Relationship Id="rId7" Type="http://schemas.openxmlformats.org/officeDocument/2006/relationships/header" Target="header2.xml"/><Relationship Id="rId69" Type="http://schemas.openxmlformats.org/officeDocument/2006/relationships/image" Target="media/image40.jpeg"/><Relationship Id="rId68" Type="http://schemas.openxmlformats.org/officeDocument/2006/relationships/image" Target="media/image39.jpeg"/><Relationship Id="rId67" Type="http://schemas.openxmlformats.org/officeDocument/2006/relationships/image" Target="media/image38.jpeg"/><Relationship Id="rId66" Type="http://schemas.openxmlformats.org/officeDocument/2006/relationships/image" Target="media/image37.jpeg"/><Relationship Id="rId65" Type="http://schemas.openxmlformats.org/officeDocument/2006/relationships/image" Target="media/image36.jpeg"/><Relationship Id="rId64" Type="http://schemas.openxmlformats.org/officeDocument/2006/relationships/image" Target="media/image35.jpeg"/><Relationship Id="rId63" Type="http://schemas.openxmlformats.org/officeDocument/2006/relationships/image" Target="media/image34.jpeg"/><Relationship Id="rId62" Type="http://schemas.openxmlformats.org/officeDocument/2006/relationships/image" Target="media/image33.jpeg"/><Relationship Id="rId61" Type="http://schemas.openxmlformats.org/officeDocument/2006/relationships/image" Target="media/image32.jpeg"/><Relationship Id="rId60" Type="http://schemas.openxmlformats.org/officeDocument/2006/relationships/image" Target="media/image31.jpeg"/><Relationship Id="rId6" Type="http://schemas.openxmlformats.org/officeDocument/2006/relationships/footer" Target="footer3.xml"/><Relationship Id="rId59" Type="http://schemas.openxmlformats.org/officeDocument/2006/relationships/image" Target="media/image30.jpeg"/><Relationship Id="rId58" Type="http://schemas.openxmlformats.org/officeDocument/2006/relationships/image" Target="media/image29.jpeg"/><Relationship Id="rId57" Type="http://schemas.openxmlformats.org/officeDocument/2006/relationships/image" Target="media/image28.jpeg"/><Relationship Id="rId56" Type="http://schemas.openxmlformats.org/officeDocument/2006/relationships/image" Target="media/image27.jpeg"/><Relationship Id="rId55" Type="http://schemas.openxmlformats.org/officeDocument/2006/relationships/image" Target="media/image26.jpeg"/><Relationship Id="rId54" Type="http://schemas.openxmlformats.org/officeDocument/2006/relationships/image" Target="media/image25.jpeg"/><Relationship Id="rId53" Type="http://schemas.openxmlformats.org/officeDocument/2006/relationships/image" Target="media/image24.jpeg"/><Relationship Id="rId52" Type="http://schemas.openxmlformats.org/officeDocument/2006/relationships/image" Target="media/image23.wmf"/><Relationship Id="rId51" Type="http://schemas.openxmlformats.org/officeDocument/2006/relationships/oleObject" Target="embeddings/oleObject14.bin"/><Relationship Id="rId50" Type="http://schemas.openxmlformats.org/officeDocument/2006/relationships/image" Target="media/image22.wmf"/><Relationship Id="rId5" Type="http://schemas.openxmlformats.org/officeDocument/2006/relationships/footer" Target="footer2.xml"/><Relationship Id="rId49" Type="http://schemas.openxmlformats.org/officeDocument/2006/relationships/oleObject" Target="embeddings/oleObject13.bin"/><Relationship Id="rId48" Type="http://schemas.openxmlformats.org/officeDocument/2006/relationships/image" Target="media/image21.wmf"/><Relationship Id="rId47" Type="http://schemas.openxmlformats.org/officeDocument/2006/relationships/oleObject" Target="embeddings/oleObject12.bin"/><Relationship Id="rId46" Type="http://schemas.openxmlformats.org/officeDocument/2006/relationships/image" Target="media/image20.wmf"/><Relationship Id="rId45" Type="http://schemas.openxmlformats.org/officeDocument/2006/relationships/oleObject" Target="embeddings/oleObject11.bin"/><Relationship Id="rId44" Type="http://schemas.openxmlformats.org/officeDocument/2006/relationships/image" Target="media/image19.wmf"/><Relationship Id="rId43" Type="http://schemas.openxmlformats.org/officeDocument/2006/relationships/oleObject" Target="embeddings/oleObject10.bin"/><Relationship Id="rId42" Type="http://schemas.openxmlformats.org/officeDocument/2006/relationships/image" Target="media/image18.wmf"/><Relationship Id="rId41" Type="http://schemas.openxmlformats.org/officeDocument/2006/relationships/oleObject" Target="embeddings/oleObject9.bin"/><Relationship Id="rId40" Type="http://schemas.openxmlformats.org/officeDocument/2006/relationships/image" Target="media/image17.wmf"/><Relationship Id="rId4" Type="http://schemas.openxmlformats.org/officeDocument/2006/relationships/footer" Target="footer1.xml"/><Relationship Id="rId39" Type="http://schemas.openxmlformats.org/officeDocument/2006/relationships/oleObject" Target="embeddings/oleObject8.bin"/><Relationship Id="rId38" Type="http://schemas.openxmlformats.org/officeDocument/2006/relationships/image" Target="media/image16.wmf"/><Relationship Id="rId37" Type="http://schemas.openxmlformats.org/officeDocument/2006/relationships/oleObject" Target="embeddings/oleObject7.bin"/><Relationship Id="rId36" Type="http://schemas.openxmlformats.org/officeDocument/2006/relationships/image" Target="media/image15.wmf"/><Relationship Id="rId35" Type="http://schemas.openxmlformats.org/officeDocument/2006/relationships/oleObject" Target="embeddings/oleObject6.bin"/><Relationship Id="rId34" Type="http://schemas.openxmlformats.org/officeDocument/2006/relationships/image" Target="media/image14.wmf"/><Relationship Id="rId33" Type="http://schemas.openxmlformats.org/officeDocument/2006/relationships/oleObject" Target="embeddings/oleObject5.bin"/><Relationship Id="rId32" Type="http://schemas.openxmlformats.org/officeDocument/2006/relationships/image" Target="media/image13.wmf"/><Relationship Id="rId31" Type="http://schemas.openxmlformats.org/officeDocument/2006/relationships/oleObject" Target="embeddings/oleObject4.bin"/><Relationship Id="rId30" Type="http://schemas.openxmlformats.org/officeDocument/2006/relationships/image" Target="media/image12.wmf"/><Relationship Id="rId3" Type="http://schemas.openxmlformats.org/officeDocument/2006/relationships/header" Target="header1.xml"/><Relationship Id="rId29" Type="http://schemas.openxmlformats.org/officeDocument/2006/relationships/image" Target="media/image11.wmf"/><Relationship Id="rId28" Type="http://schemas.openxmlformats.org/officeDocument/2006/relationships/image" Target="media/image10.wmf"/><Relationship Id="rId27" Type="http://schemas.openxmlformats.org/officeDocument/2006/relationships/oleObject" Target="embeddings/oleObject3.bin"/><Relationship Id="rId26" Type="http://schemas.openxmlformats.org/officeDocument/2006/relationships/image" Target="media/image9.wmf"/><Relationship Id="rId25" Type="http://schemas.openxmlformats.org/officeDocument/2006/relationships/oleObject" Target="embeddings/oleObject2.bin"/><Relationship Id="rId24" Type="http://schemas.openxmlformats.org/officeDocument/2006/relationships/image" Target="media/image8.wmf"/><Relationship Id="rId23" Type="http://schemas.openxmlformats.org/officeDocument/2006/relationships/oleObject" Target="embeddings/oleObject1.bin"/><Relationship Id="rId22" Type="http://schemas.openxmlformats.org/officeDocument/2006/relationships/image" Target="media/image7.jpeg"/><Relationship Id="rId21" Type="http://schemas.openxmlformats.org/officeDocument/2006/relationships/image" Target="media/image6.jpeg"/><Relationship Id="rId20" Type="http://schemas.openxmlformats.org/officeDocument/2006/relationships/image" Target="media/image5.jpeg"/><Relationship Id="rId2" Type="http://schemas.openxmlformats.org/officeDocument/2006/relationships/settings" Target="settings.xml"/><Relationship Id="rId19" Type="http://schemas.openxmlformats.org/officeDocument/2006/relationships/image" Target="media/image4.jpeg"/><Relationship Id="rId18" Type="http://schemas.openxmlformats.org/officeDocument/2006/relationships/image" Target="media/image3.jpeg"/><Relationship Id="rId17" Type="http://schemas.openxmlformats.org/officeDocument/2006/relationships/image" Target="media/image2.jpeg"/><Relationship Id="rId16" Type="http://schemas.openxmlformats.org/officeDocument/2006/relationships/image" Target="media/image1.jpeg"/><Relationship Id="rId15" Type="http://schemas.openxmlformats.org/officeDocument/2006/relationships/theme" Target="theme/theme1.xml"/><Relationship Id="rId14" Type="http://schemas.openxmlformats.org/officeDocument/2006/relationships/footer" Target="footer7.xml"/><Relationship Id="rId13" Type="http://schemas.openxmlformats.org/officeDocument/2006/relationships/header" Target="header5.xml"/><Relationship Id="rId12" Type="http://schemas.openxmlformats.org/officeDocument/2006/relationships/footer" Target="footer6.xml"/><Relationship Id="rId117" Type="http://schemas.microsoft.com/office/2011/relationships/people" Target="people.xml"/><Relationship Id="rId116" Type="http://schemas.openxmlformats.org/officeDocument/2006/relationships/fontTable" Target="fontTable.xml"/><Relationship Id="rId115" Type="http://schemas.openxmlformats.org/officeDocument/2006/relationships/customXml" Target="../customXml/item1.xml"/><Relationship Id="rId114" Type="http://schemas.openxmlformats.org/officeDocument/2006/relationships/image" Target="media/image85.jpeg"/><Relationship Id="rId113" Type="http://schemas.openxmlformats.org/officeDocument/2006/relationships/image" Target="media/image84.jpeg"/><Relationship Id="rId112" Type="http://schemas.openxmlformats.org/officeDocument/2006/relationships/image" Target="media/image83.jpeg"/><Relationship Id="rId111" Type="http://schemas.openxmlformats.org/officeDocument/2006/relationships/image" Target="media/image82.jpeg"/><Relationship Id="rId110" Type="http://schemas.openxmlformats.org/officeDocument/2006/relationships/image" Target="media/image81.jpeg"/><Relationship Id="rId11" Type="http://schemas.openxmlformats.org/officeDocument/2006/relationships/header" Target="header4.xml"/><Relationship Id="rId109" Type="http://schemas.openxmlformats.org/officeDocument/2006/relationships/image" Target="media/image80.jpeg"/><Relationship Id="rId108" Type="http://schemas.openxmlformats.org/officeDocument/2006/relationships/image" Target="media/image79.jpeg"/><Relationship Id="rId107" Type="http://schemas.openxmlformats.org/officeDocument/2006/relationships/image" Target="media/image78.jpeg"/><Relationship Id="rId106" Type="http://schemas.openxmlformats.org/officeDocument/2006/relationships/image" Target="media/image77.jpeg"/><Relationship Id="rId105" Type="http://schemas.openxmlformats.org/officeDocument/2006/relationships/image" Target="media/image76.jpeg"/><Relationship Id="rId104" Type="http://schemas.openxmlformats.org/officeDocument/2006/relationships/image" Target="media/image75.jpeg"/><Relationship Id="rId103" Type="http://schemas.openxmlformats.org/officeDocument/2006/relationships/image" Target="media/image74.jpeg"/><Relationship Id="rId102" Type="http://schemas.openxmlformats.org/officeDocument/2006/relationships/image" Target="media/image73.jpeg"/><Relationship Id="rId101" Type="http://schemas.openxmlformats.org/officeDocument/2006/relationships/image" Target="media/image72.jpeg"/><Relationship Id="rId100" Type="http://schemas.openxmlformats.org/officeDocument/2006/relationships/image" Target="media/image71.jpeg"/><Relationship Id="rId10" Type="http://schemas.openxmlformats.org/officeDocument/2006/relationships/footer" Target="footer5.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
      <a:dk1>
        <a:srgbClr val="000000"/>
      </a:dk1>
      <a:lt1>
        <a:srgbClr val="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
      <a:majorFont>
        <a:latin typeface="Arial"/>
        <a:ea typeface="Arial"/>
        <a:cs typeface="Arial"/>
      </a:majorFont>
      <a:minorFont>
        <a:latin typeface="Arial"/>
        <a:ea typeface="Arial"/>
        <a:cs typeface="Arial"/>
      </a:minorFont>
    </a:fontScheme>
    <a:fmtScheme nam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a:solidFill>
            <a:schemeClr val="phClr">
              <a:shade val="95000"/>
              <a:satMod val="105000"/>
            </a:schemeClr>
          </a:solidFill>
        </a:ln>
        <a:ln w="25400">
          <a:solidFill>
            <a:schemeClr val="phClr"/>
          </a:solidFill>
        </a:ln>
        <a:ln w="38100">
          <a:solidFill>
            <a:schemeClr val="phClr"/>
          </a:solidFill>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solidFill>
          <a:srgbClr val="000000"/>
        </a:solidFill>
        <a:solidFill>
          <a:srgbClr val="000000"/>
        </a:soli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Template>
  <Pages>227</Pages>
  <Words>6563</Words>
  <Characters>8335</Characters>
  <TotalTime>2</TotalTime>
  <ScaleCrop>false</ScaleCrop>
  <LinksUpToDate>false</LinksUpToDate>
  <CharactersWithSpaces>8603</CharactersWithSpaces>
  <Application>WPS Office_12.1.0.18912_F1E327BC-269C-435d-A152-05C5408002CA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2015-08-11T08:30:00Z</dcterms:created>
  <dc:creator>李</dc:creator>
  <cp:lastModifiedBy>刘变香</cp:lastModifiedBy>
  <dcterms:modified xsi:type="dcterms:W3CDTF">2025-09-17T07:26:19Z</dcterms:modified>
  <dc:title>芒市妇幼保健</dc:title>
  <cp:revision>12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eyJoZGlkIjoiNGU5YTk2NWU3OTRhNTU0YjZlNWE0ODExMjY4YzM0MTgifQ==</vt:lpwstr>
  </property>
  <property fmtid="{D5CDD505-2E9C-101B-9397-08002B2CF9AE}" pid="3" name="KSOProductBuildVer">
    <vt:lpwstr>2052-12.1.0.18912</vt:lpwstr>
  </property>
  <property fmtid="{D5CDD505-2E9C-101B-9397-08002B2CF9AE}" pid="4" name="ICV">
    <vt:lpwstr>3BF8BC9372354386A0C194D480975FE5_12</vt:lpwstr>
  </property>
</Properties>
</file>