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F9562">
      <w:pPr>
        <w:jc w:val="both"/>
        <w:rPr>
          <w:rFonts w:hint="default"/>
          <w:b/>
          <w:bCs/>
          <w:sz w:val="52"/>
          <w:szCs w:val="52"/>
          <w:lang w:val="en-US" w:eastAsia="zh-CN"/>
        </w:rPr>
      </w:pPr>
    </w:p>
    <w:p w14:paraId="48AC7C51">
      <w:pPr>
        <w:jc w:val="center"/>
        <w:rPr>
          <w:rFonts w:hint="eastAsia"/>
          <w:b/>
          <w:bCs/>
          <w:sz w:val="52"/>
          <w:szCs w:val="52"/>
          <w:lang w:eastAsia="zh-CN"/>
        </w:rPr>
      </w:pPr>
    </w:p>
    <w:p w14:paraId="5637EDC4">
      <w:pPr>
        <w:jc w:val="center"/>
        <w:rPr>
          <w:rFonts w:hint="eastAsia"/>
          <w:b/>
          <w:bCs/>
          <w:sz w:val="72"/>
          <w:szCs w:val="72"/>
          <w:lang w:eastAsia="zh-CN"/>
        </w:rPr>
      </w:pPr>
      <w:r>
        <w:rPr>
          <w:rFonts w:hint="eastAsia"/>
          <w:b/>
          <w:bCs/>
          <w:sz w:val="72"/>
          <w:szCs w:val="72"/>
          <w:lang w:eastAsia="zh-CN"/>
        </w:rPr>
        <w:t>建设项目环境影响报告表</w:t>
      </w:r>
    </w:p>
    <w:p w14:paraId="497936EE">
      <w:pPr>
        <w:jc w:val="center"/>
        <w:rPr>
          <w:rFonts w:hint="eastAsia"/>
          <w:b/>
          <w:bCs/>
          <w:sz w:val="44"/>
          <w:szCs w:val="44"/>
          <w:lang w:eastAsia="zh-CN"/>
        </w:rPr>
      </w:pPr>
    </w:p>
    <w:p w14:paraId="17BA8EF1">
      <w:pPr>
        <w:jc w:val="center"/>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t>（生态影响类）</w:t>
      </w:r>
    </w:p>
    <w:p w14:paraId="5BB5FE85">
      <w:pPr>
        <w:jc w:val="center"/>
        <w:rPr>
          <w:rFonts w:hint="eastAsia"/>
          <w:b/>
          <w:bCs/>
          <w:sz w:val="44"/>
          <w:szCs w:val="44"/>
          <w:lang w:eastAsia="zh-CN"/>
        </w:rPr>
      </w:pPr>
    </w:p>
    <w:p w14:paraId="366EAC0E">
      <w:pPr>
        <w:jc w:val="center"/>
        <w:rPr>
          <w:rFonts w:hint="eastAsia"/>
          <w:b/>
          <w:bCs/>
          <w:sz w:val="44"/>
          <w:szCs w:val="44"/>
          <w:lang w:eastAsia="zh-CN"/>
        </w:rPr>
      </w:pPr>
    </w:p>
    <w:p w14:paraId="10DAA15B">
      <w:pPr>
        <w:jc w:val="center"/>
        <w:rPr>
          <w:rFonts w:hint="eastAsia"/>
          <w:b/>
          <w:bCs/>
          <w:sz w:val="44"/>
          <w:szCs w:val="44"/>
          <w:lang w:eastAsia="zh-CN"/>
        </w:rPr>
      </w:pPr>
    </w:p>
    <w:p w14:paraId="06A7AAF5">
      <w:pPr>
        <w:jc w:val="center"/>
        <w:rPr>
          <w:rFonts w:hint="eastAsia"/>
          <w:b/>
          <w:bCs/>
          <w:sz w:val="44"/>
          <w:szCs w:val="44"/>
          <w:lang w:eastAsia="zh-CN"/>
        </w:rPr>
      </w:pPr>
    </w:p>
    <w:p w14:paraId="41E589CA">
      <w:pPr>
        <w:jc w:val="center"/>
        <w:rPr>
          <w:rFonts w:hint="eastAsia"/>
          <w:b w:val="0"/>
          <w:bCs w:val="0"/>
          <w:sz w:val="44"/>
          <w:szCs w:val="44"/>
          <w:lang w:eastAsia="zh-CN"/>
        </w:rPr>
      </w:pPr>
    </w:p>
    <w:p w14:paraId="1D5B6745">
      <w:pPr>
        <w:jc w:val="center"/>
        <w:rPr>
          <w:rFonts w:hint="eastAsia"/>
          <w:b/>
          <w:bCs/>
          <w:sz w:val="44"/>
          <w:szCs w:val="44"/>
          <w:lang w:eastAsia="zh-CN"/>
        </w:rPr>
      </w:pPr>
    </w:p>
    <w:p w14:paraId="2C240F1B">
      <w:pPr>
        <w:jc w:val="center"/>
        <w:rPr>
          <w:rFonts w:hint="eastAsia"/>
          <w:b/>
          <w:bCs/>
          <w:sz w:val="44"/>
          <w:szCs w:val="44"/>
          <w:lang w:eastAsia="zh-CN"/>
        </w:rPr>
      </w:pPr>
    </w:p>
    <w:p w14:paraId="278F5C5A">
      <w:pPr>
        <w:jc w:val="center"/>
        <w:rPr>
          <w:rFonts w:hint="eastAsia"/>
          <w:b/>
          <w:bCs/>
          <w:sz w:val="44"/>
          <w:szCs w:val="44"/>
          <w:lang w:eastAsia="zh-CN"/>
        </w:rPr>
      </w:pPr>
    </w:p>
    <w:p w14:paraId="48F25138">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项目名称：</w:t>
      </w:r>
      <w:r>
        <w:rPr>
          <w:rFonts w:hint="eastAsia" w:ascii="仿宋" w:hAnsi="仿宋" w:eastAsia="仿宋" w:cs="仿宋"/>
          <w:b/>
          <w:bCs/>
          <w:sz w:val="36"/>
          <w:szCs w:val="36"/>
          <w:u w:val="single"/>
          <w:lang w:eastAsia="zh-CN"/>
        </w:rPr>
        <w:t>芒</w:t>
      </w:r>
      <w:r>
        <w:rPr>
          <w:rFonts w:hint="eastAsia" w:ascii="仿宋" w:hAnsi="仿宋" w:eastAsia="仿宋" w:cs="仿宋"/>
          <w:b/>
          <w:bCs/>
          <w:sz w:val="36"/>
          <w:szCs w:val="36"/>
          <w:u w:val="single"/>
          <w:lang w:val="en-US" w:eastAsia="zh-CN"/>
        </w:rPr>
        <w:t>市芒东</w:t>
      </w:r>
      <w:r>
        <w:rPr>
          <w:rFonts w:hint="eastAsia" w:ascii="仿宋" w:hAnsi="仿宋" w:eastAsia="仿宋" w:cs="仿宋"/>
          <w:b/>
          <w:bCs/>
          <w:sz w:val="36"/>
          <w:szCs w:val="36"/>
          <w:u w:val="single"/>
          <w:lang w:eastAsia="zh-CN"/>
        </w:rPr>
        <w:t>光伏发电项目</w:t>
      </w:r>
      <w:r>
        <w:rPr>
          <w:rFonts w:hint="eastAsia" w:ascii="仿宋" w:hAnsi="仿宋" w:eastAsia="仿宋" w:cs="仿宋"/>
          <w:b/>
          <w:bCs/>
          <w:sz w:val="36"/>
          <w:szCs w:val="36"/>
          <w:u w:val="single"/>
          <w:lang w:val="en-US" w:eastAsia="zh-CN"/>
        </w:rPr>
        <w:t xml:space="preserve">             </w:t>
      </w:r>
    </w:p>
    <w:p w14:paraId="31AA4D3C">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建设单位（盖章）：</w:t>
      </w:r>
      <w:r>
        <w:rPr>
          <w:rFonts w:hint="eastAsia" w:ascii="仿宋" w:hAnsi="仿宋" w:eastAsia="仿宋" w:cs="仿宋"/>
          <w:b/>
          <w:bCs/>
          <w:sz w:val="36"/>
          <w:szCs w:val="36"/>
          <w:u w:val="single"/>
          <w:lang w:eastAsia="zh-CN"/>
        </w:rPr>
        <w:t>芒市德天新能源有限公司</w:t>
      </w:r>
      <w:r>
        <w:rPr>
          <w:rFonts w:hint="eastAsia" w:ascii="仿宋" w:hAnsi="仿宋" w:eastAsia="仿宋" w:cs="仿宋"/>
          <w:b/>
          <w:bCs/>
          <w:sz w:val="36"/>
          <w:szCs w:val="36"/>
          <w:u w:val="single"/>
          <w:lang w:val="en-US" w:eastAsia="zh-CN"/>
        </w:rPr>
        <w:t xml:space="preserve">    </w:t>
      </w:r>
    </w:p>
    <w:p w14:paraId="1F80DC84">
      <w:pPr>
        <w:spacing w:line="360" w:lineRule="auto"/>
        <w:ind w:firstLine="1084" w:firstLineChars="300"/>
        <w:jc w:val="both"/>
        <w:rPr>
          <w:rFonts w:hint="default" w:ascii="仿宋" w:hAnsi="仿宋" w:eastAsia="仿宋" w:cs="仿宋"/>
          <w:b/>
          <w:bCs/>
          <w:sz w:val="36"/>
          <w:szCs w:val="36"/>
          <w:u w:val="single"/>
          <w:lang w:val="en-US" w:eastAsia="zh-CN"/>
        </w:rPr>
      </w:pPr>
      <w:r>
        <w:rPr>
          <w:rFonts w:hint="eastAsia" w:ascii="仿宋" w:hAnsi="仿宋" w:eastAsia="仿宋" w:cs="仿宋"/>
          <w:b/>
          <w:bCs/>
          <w:sz w:val="36"/>
          <w:szCs w:val="36"/>
          <w:lang w:eastAsia="zh-CN"/>
        </w:rPr>
        <w:t>编制日期：</w:t>
      </w:r>
      <w:r>
        <w:rPr>
          <w:rFonts w:hint="eastAsia" w:ascii="仿宋" w:hAnsi="仿宋" w:eastAsia="仿宋" w:cs="仿宋"/>
          <w:b/>
          <w:bCs/>
          <w:sz w:val="36"/>
          <w:szCs w:val="36"/>
          <w:u w:val="single"/>
          <w:lang w:val="en-US" w:eastAsia="zh-CN"/>
        </w:rPr>
        <w:t xml:space="preserve">2023年8月                       </w:t>
      </w:r>
    </w:p>
    <w:p w14:paraId="2F38FD0A">
      <w:pPr>
        <w:spacing w:line="360" w:lineRule="auto"/>
        <w:jc w:val="center"/>
        <w:rPr>
          <w:rFonts w:hint="eastAsia" w:ascii="仿宋" w:hAnsi="仿宋" w:eastAsia="仿宋" w:cs="仿宋"/>
          <w:b/>
          <w:bCs/>
          <w:sz w:val="36"/>
          <w:szCs w:val="36"/>
          <w:lang w:eastAsia="zh-CN"/>
        </w:rPr>
      </w:pPr>
    </w:p>
    <w:p w14:paraId="153EDD4A">
      <w:pPr>
        <w:spacing w:line="360" w:lineRule="auto"/>
        <w:jc w:val="center"/>
        <w:rPr>
          <w:rFonts w:hint="eastAsia" w:ascii="仿宋" w:hAnsi="仿宋" w:eastAsia="仿宋" w:cs="仿宋"/>
          <w:b/>
          <w:bCs/>
          <w:sz w:val="36"/>
          <w:szCs w:val="36"/>
          <w:lang w:eastAsia="zh-CN"/>
        </w:rPr>
      </w:pPr>
    </w:p>
    <w:p w14:paraId="0040AAA3">
      <w:pPr>
        <w:spacing w:line="360" w:lineRule="auto"/>
        <w:jc w:val="center"/>
        <w:rPr>
          <w:rFonts w:hint="eastAsia"/>
        </w:rPr>
      </w:pPr>
      <w:r>
        <w:rPr>
          <w:rFonts w:hint="eastAsia" w:ascii="仿宋" w:hAnsi="仿宋" w:eastAsia="仿宋" w:cs="仿宋"/>
          <w:b/>
          <w:bCs/>
          <w:sz w:val="36"/>
          <w:szCs w:val="36"/>
          <w:lang w:eastAsia="zh-CN"/>
        </w:rPr>
        <w:t>中华人民共和国生态环境部制</w:t>
      </w:r>
    </w:p>
    <w:p w14:paraId="7000DF8E">
      <w:pPr>
        <w:pStyle w:val="11"/>
        <w:numPr>
          <w:ilvl w:val="0"/>
          <w:numId w:val="0"/>
        </w:numPr>
        <w:rPr>
          <w:rFonts w:hint="eastAsia"/>
        </w:rPr>
      </w:pPr>
    </w:p>
    <w:p w14:paraId="4F4DA69B">
      <w:pPr>
        <w:pStyle w:val="11"/>
        <w:numPr>
          <w:ilvl w:val="0"/>
          <w:numId w:val="0"/>
        </w:numPr>
        <w:ind w:leftChars="0"/>
        <w:rPr>
          <w:rFonts w:hint="eastAsia"/>
        </w:rPr>
      </w:pPr>
    </w:p>
    <w:p w14:paraId="31F71CB3">
      <w:pPr>
        <w:pStyle w:val="11"/>
        <w:numPr>
          <w:ilvl w:val="0"/>
          <w:numId w:val="0"/>
        </w:numPr>
        <w:ind w:left="1680" w:leftChars="0"/>
        <w:rPr>
          <w:rFonts w:hint="eastAsia"/>
        </w:rPr>
      </w:pPr>
    </w:p>
    <w:p w14:paraId="3D71F115">
      <w:pPr>
        <w:pStyle w:val="11"/>
        <w:numPr>
          <w:ilvl w:val="0"/>
          <w:numId w:val="0"/>
        </w:numPr>
        <w:ind w:left="1680" w:leftChars="0"/>
        <w:rPr>
          <w:rFonts w:hint="eastAsia"/>
        </w:rPr>
      </w:pPr>
    </w:p>
    <w:p w14:paraId="1587D8DB">
      <w:pPr>
        <w:spacing w:line="360" w:lineRule="auto"/>
        <w:jc w:val="center"/>
        <w:rPr>
          <w:rFonts w:hint="default" w:ascii="Times New Roman" w:hAnsi="Times New Roman" w:eastAsia="宋体" w:cs="Times New Roman"/>
          <w:b/>
          <w:color w:val="auto"/>
          <w:sz w:val="32"/>
          <w:szCs w:val="32"/>
          <w:lang w:val="zh-CN"/>
        </w:rPr>
      </w:pPr>
      <w:r>
        <w:rPr>
          <w:rFonts w:hint="default" w:ascii="Times New Roman" w:hAnsi="Times New Roman" w:eastAsia="宋体" w:cs="Times New Roman"/>
          <w:b/>
          <w:color w:val="auto"/>
          <w:sz w:val="32"/>
          <w:szCs w:val="32"/>
          <w:lang w:val="zh-CN"/>
        </w:rPr>
        <w:t>目  录</w:t>
      </w:r>
    </w:p>
    <w:p w14:paraId="1FE478C8">
      <w:pPr>
        <w:pStyle w:val="19"/>
        <w:tabs>
          <w:tab w:val="right" w:leader="dot" w:pos="8306"/>
        </w:tabs>
        <w:spacing w:line="360" w:lineRule="auto"/>
      </w:pPr>
      <w:r>
        <w:rPr>
          <w:rFonts w:hint="default" w:ascii="Times New Roman" w:hAnsi="Times New Roman" w:eastAsia="宋体" w:cs="Times New Roman"/>
          <w:b/>
          <w:color w:val="auto"/>
          <w:sz w:val="28"/>
          <w:szCs w:val="28"/>
        </w:rPr>
        <w:fldChar w:fldCharType="begin"/>
      </w:r>
      <w:r>
        <w:rPr>
          <w:rFonts w:hint="default" w:ascii="Times New Roman" w:hAnsi="Times New Roman" w:eastAsia="宋体" w:cs="Times New Roman"/>
          <w:b/>
          <w:color w:val="auto"/>
          <w:sz w:val="28"/>
          <w:szCs w:val="28"/>
        </w:rPr>
        <w:instrText xml:space="preserve"> TOC \o "1-3" \h \z \u </w:instrText>
      </w:r>
      <w:r>
        <w:rPr>
          <w:rFonts w:hint="default" w:ascii="Times New Roman" w:hAnsi="Times New Roman" w:eastAsia="宋体" w:cs="Times New Roman"/>
          <w:b/>
          <w:color w:val="auto"/>
          <w:sz w:val="28"/>
          <w:szCs w:val="28"/>
        </w:rPr>
        <w:fldChar w:fldCharType="separate"/>
      </w: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_Toc12496 </w:instrText>
      </w:r>
      <w:r>
        <w:rPr>
          <w:rFonts w:hint="default" w:ascii="Times New Roman" w:hAnsi="Times New Roman" w:eastAsia="宋体" w:cs="Times New Roman"/>
          <w:szCs w:val="28"/>
        </w:rPr>
        <w:fldChar w:fldCharType="separate"/>
      </w:r>
      <w:r>
        <w:rPr>
          <w:rFonts w:hint="eastAsia" w:ascii="宋体" w:hAnsi="宋体" w:eastAsia="宋体" w:cs="宋体"/>
          <w:bCs/>
          <w:szCs w:val="28"/>
          <w:lang w:eastAsia="zh-CN"/>
        </w:rPr>
        <w:t>一、 建设项目基本情况</w:t>
      </w:r>
      <w:r>
        <w:tab/>
      </w:r>
      <w:r>
        <w:fldChar w:fldCharType="begin"/>
      </w:r>
      <w:r>
        <w:instrText xml:space="preserve"> PAGEREF _Toc12496 \h </w:instrText>
      </w:r>
      <w:r>
        <w:fldChar w:fldCharType="separate"/>
      </w:r>
      <w:r>
        <w:t>1</w:t>
      </w:r>
      <w:r>
        <w:fldChar w:fldCharType="end"/>
      </w:r>
      <w:r>
        <w:rPr>
          <w:rFonts w:hint="default" w:ascii="Times New Roman" w:hAnsi="Times New Roman" w:eastAsia="宋体" w:cs="Times New Roman"/>
          <w:color w:val="auto"/>
          <w:szCs w:val="28"/>
        </w:rPr>
        <w:fldChar w:fldCharType="end"/>
      </w:r>
    </w:p>
    <w:p w14:paraId="18A304C5">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_Toc6771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28"/>
        </w:rPr>
        <w:t>二、建设内容</w:t>
      </w:r>
      <w:r>
        <w:tab/>
      </w:r>
      <w:r>
        <w:fldChar w:fldCharType="begin"/>
      </w:r>
      <w:r>
        <w:instrText xml:space="preserve"> PAGEREF _Toc6771 \h </w:instrText>
      </w:r>
      <w:r>
        <w:fldChar w:fldCharType="separate"/>
      </w:r>
      <w:r>
        <w:t>15</w:t>
      </w:r>
      <w:r>
        <w:fldChar w:fldCharType="end"/>
      </w:r>
      <w:r>
        <w:rPr>
          <w:rFonts w:hint="default" w:ascii="Times New Roman" w:hAnsi="Times New Roman" w:eastAsia="宋体" w:cs="Times New Roman"/>
          <w:color w:val="auto"/>
          <w:szCs w:val="28"/>
          <w:lang w:val="zh-CN"/>
        </w:rPr>
        <w:fldChar w:fldCharType="end"/>
      </w:r>
    </w:p>
    <w:p w14:paraId="3376A732">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_Toc19991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三、生态环境现状、保护目标及评价标准</w:t>
      </w:r>
      <w:r>
        <w:tab/>
      </w:r>
      <w:r>
        <w:fldChar w:fldCharType="begin"/>
      </w:r>
      <w:r>
        <w:instrText xml:space="preserve"> PAGEREF _Toc19991 \h </w:instrText>
      </w:r>
      <w:r>
        <w:fldChar w:fldCharType="separate"/>
      </w:r>
      <w:r>
        <w:t>42</w:t>
      </w:r>
      <w:r>
        <w:fldChar w:fldCharType="end"/>
      </w:r>
      <w:r>
        <w:rPr>
          <w:rFonts w:hint="default" w:ascii="Times New Roman" w:hAnsi="Times New Roman" w:eastAsia="宋体" w:cs="Times New Roman"/>
          <w:color w:val="auto"/>
          <w:szCs w:val="28"/>
          <w:lang w:val="zh-CN"/>
        </w:rPr>
        <w:fldChar w:fldCharType="end"/>
      </w:r>
    </w:p>
    <w:p w14:paraId="55E6A6A7">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_Toc30580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四、生态环境影响分析</w:t>
      </w:r>
      <w:r>
        <w:tab/>
      </w:r>
      <w:r>
        <w:fldChar w:fldCharType="begin"/>
      </w:r>
      <w:r>
        <w:instrText xml:space="preserve"> PAGEREF _Toc30580 \h </w:instrText>
      </w:r>
      <w:r>
        <w:fldChar w:fldCharType="separate"/>
      </w:r>
      <w:r>
        <w:t>54</w:t>
      </w:r>
      <w:r>
        <w:fldChar w:fldCharType="end"/>
      </w:r>
      <w:r>
        <w:rPr>
          <w:rFonts w:hint="default" w:ascii="Times New Roman" w:hAnsi="Times New Roman" w:eastAsia="宋体" w:cs="Times New Roman"/>
          <w:color w:val="auto"/>
          <w:szCs w:val="28"/>
          <w:lang w:val="zh-CN"/>
        </w:rPr>
        <w:fldChar w:fldCharType="end"/>
      </w:r>
    </w:p>
    <w:p w14:paraId="534CDC66">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_Toc11438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lang w:val="en-US" w:eastAsia="zh-CN"/>
        </w:rPr>
        <w:t>五、</w:t>
      </w:r>
      <w:r>
        <w:rPr>
          <w:rFonts w:hint="eastAsia" w:ascii="宋体" w:hAnsi="宋体" w:eastAsia="宋体" w:cs="宋体"/>
          <w:bCs/>
          <w:snapToGrid w:val="0"/>
          <w:szCs w:val="30"/>
        </w:rPr>
        <w:t>主要生态环境保护措施</w:t>
      </w:r>
      <w:r>
        <w:tab/>
      </w:r>
      <w:r>
        <w:fldChar w:fldCharType="begin"/>
      </w:r>
      <w:r>
        <w:instrText xml:space="preserve"> PAGEREF _Toc11438 \h </w:instrText>
      </w:r>
      <w:r>
        <w:fldChar w:fldCharType="separate"/>
      </w:r>
      <w:r>
        <w:t>78</w:t>
      </w:r>
      <w:r>
        <w:fldChar w:fldCharType="end"/>
      </w:r>
      <w:r>
        <w:rPr>
          <w:rFonts w:hint="default" w:ascii="Times New Roman" w:hAnsi="Times New Roman" w:eastAsia="宋体" w:cs="Times New Roman"/>
          <w:color w:val="auto"/>
          <w:szCs w:val="28"/>
          <w:lang w:val="zh-CN"/>
        </w:rPr>
        <w:fldChar w:fldCharType="end"/>
      </w:r>
    </w:p>
    <w:p w14:paraId="16B58A7C">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_Toc15993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六、生态环境保护措施监督检查清单</w:t>
      </w:r>
      <w:r>
        <w:tab/>
      </w:r>
      <w:r>
        <w:fldChar w:fldCharType="begin"/>
      </w:r>
      <w:r>
        <w:instrText xml:space="preserve"> PAGEREF _Toc15993 \h </w:instrText>
      </w:r>
      <w:r>
        <w:fldChar w:fldCharType="separate"/>
      </w:r>
      <w:r>
        <w:t>89</w:t>
      </w:r>
      <w:r>
        <w:fldChar w:fldCharType="end"/>
      </w:r>
      <w:r>
        <w:rPr>
          <w:rFonts w:hint="default" w:ascii="Times New Roman" w:hAnsi="Times New Roman" w:eastAsia="宋体" w:cs="Times New Roman"/>
          <w:color w:val="auto"/>
          <w:szCs w:val="28"/>
          <w:lang w:val="zh-CN"/>
        </w:rPr>
        <w:fldChar w:fldCharType="end"/>
      </w:r>
    </w:p>
    <w:p w14:paraId="481BD119">
      <w:pPr>
        <w:pStyle w:val="19"/>
        <w:tabs>
          <w:tab w:val="right" w:leader="dot" w:pos="8306"/>
        </w:tabs>
        <w:spacing w:line="360" w:lineRule="auto"/>
      </w:pPr>
      <w:r>
        <w:rPr>
          <w:rFonts w:hint="default" w:ascii="Times New Roman" w:hAnsi="Times New Roman" w:eastAsia="宋体" w:cs="Times New Roman"/>
          <w:color w:val="auto"/>
          <w:szCs w:val="28"/>
          <w:lang w:val="zh-CN"/>
        </w:rPr>
        <w:fldChar w:fldCharType="begin"/>
      </w:r>
      <w:r>
        <w:rPr>
          <w:rFonts w:hint="default" w:ascii="Times New Roman" w:hAnsi="Times New Roman" w:eastAsia="宋体" w:cs="Times New Roman"/>
          <w:szCs w:val="28"/>
          <w:lang w:val="zh-CN"/>
        </w:rPr>
        <w:instrText xml:space="preserve"> HYPERLINK \l _Toc25696 </w:instrText>
      </w:r>
      <w:r>
        <w:rPr>
          <w:rFonts w:hint="default" w:ascii="Times New Roman" w:hAnsi="Times New Roman" w:eastAsia="宋体" w:cs="Times New Roman"/>
          <w:szCs w:val="28"/>
          <w:lang w:val="zh-CN"/>
        </w:rPr>
        <w:fldChar w:fldCharType="separate"/>
      </w:r>
      <w:r>
        <w:rPr>
          <w:rFonts w:hint="eastAsia" w:ascii="宋体" w:hAnsi="宋体" w:eastAsia="宋体" w:cs="宋体"/>
          <w:bCs/>
          <w:snapToGrid w:val="0"/>
          <w:szCs w:val="30"/>
        </w:rPr>
        <w:t>七、结论</w:t>
      </w:r>
      <w:r>
        <w:tab/>
      </w:r>
      <w:r>
        <w:fldChar w:fldCharType="begin"/>
      </w:r>
      <w:r>
        <w:instrText xml:space="preserve"> PAGEREF _Toc25696 \h </w:instrText>
      </w:r>
      <w:r>
        <w:fldChar w:fldCharType="separate"/>
      </w:r>
      <w:r>
        <w:t>96</w:t>
      </w:r>
      <w:r>
        <w:fldChar w:fldCharType="end"/>
      </w:r>
      <w:r>
        <w:rPr>
          <w:rFonts w:hint="default" w:ascii="Times New Roman" w:hAnsi="Times New Roman" w:eastAsia="宋体" w:cs="Times New Roman"/>
          <w:color w:val="auto"/>
          <w:szCs w:val="28"/>
          <w:lang w:val="zh-CN"/>
        </w:rPr>
        <w:fldChar w:fldCharType="end"/>
      </w:r>
    </w:p>
    <w:p w14:paraId="637652F9">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b/>
          <w:color w:val="auto"/>
        </w:rPr>
      </w:pPr>
      <w:r>
        <w:rPr>
          <w:rFonts w:hint="default" w:ascii="Times New Roman" w:hAnsi="Times New Roman" w:eastAsia="宋体" w:cs="Times New Roman"/>
          <w:color w:val="auto"/>
          <w:szCs w:val="28"/>
          <w:lang w:val="zh-CN"/>
        </w:rPr>
        <w:fldChar w:fldCharType="end"/>
      </w:r>
      <w:r>
        <w:rPr>
          <w:rFonts w:hint="default" w:ascii="Times New Roman" w:hAnsi="Times New Roman"/>
          <w:b/>
          <w:color w:val="auto"/>
        </w:rPr>
        <w:t>附件：</w:t>
      </w:r>
    </w:p>
    <w:p w14:paraId="11AB8E89">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lang w:eastAsia="zh-CN"/>
        </w:rPr>
      </w:pPr>
      <w:r>
        <w:rPr>
          <w:rFonts w:hint="default" w:ascii="Times New Roman" w:hAnsi="Times New Roman"/>
          <w:color w:val="auto"/>
        </w:rPr>
        <w:t>附件1 委托书</w:t>
      </w:r>
      <w:r>
        <w:rPr>
          <w:rFonts w:hint="eastAsia" w:ascii="Times New Roman" w:hAnsi="Times New Roman"/>
          <w:color w:val="auto"/>
          <w:lang w:eastAsia="zh-CN"/>
        </w:rPr>
        <w:t>；</w:t>
      </w:r>
    </w:p>
    <w:p w14:paraId="0BFB1724">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lang w:eastAsia="zh-CN"/>
        </w:rPr>
      </w:pPr>
      <w:r>
        <w:rPr>
          <w:rFonts w:hint="default" w:ascii="Times New Roman" w:hAnsi="Times New Roman"/>
          <w:color w:val="auto"/>
        </w:rPr>
        <w:t xml:space="preserve">附件2 </w:t>
      </w:r>
      <w:r>
        <w:rPr>
          <w:rFonts w:hint="eastAsia" w:ascii="Times New Roman" w:hAnsi="Times New Roman"/>
          <w:color w:val="auto"/>
          <w:lang w:eastAsia="zh-CN"/>
        </w:rPr>
        <w:t>芒市</w:t>
      </w:r>
      <w:r>
        <w:rPr>
          <w:rFonts w:hint="eastAsia" w:ascii="Times New Roman" w:hAnsi="Times New Roman"/>
          <w:color w:val="auto"/>
          <w:lang w:val="en-US" w:eastAsia="zh-CN"/>
        </w:rPr>
        <w:t>芒</w:t>
      </w:r>
      <w:r>
        <w:rPr>
          <w:rFonts w:hint="eastAsia" w:ascii="Times New Roman" w:hAnsi="Times New Roman"/>
          <w:color w:val="auto"/>
          <w:lang w:eastAsia="zh-CN"/>
        </w:rPr>
        <w:t>东光伏发电</w:t>
      </w:r>
      <w:r>
        <w:rPr>
          <w:rFonts w:hint="default" w:ascii="Times New Roman" w:hAnsi="Times New Roman"/>
          <w:color w:val="auto"/>
        </w:rPr>
        <w:t>项目投资备案证</w:t>
      </w:r>
      <w:r>
        <w:rPr>
          <w:rFonts w:hint="eastAsia" w:ascii="Times New Roman" w:hAnsi="Times New Roman"/>
          <w:color w:val="auto"/>
          <w:lang w:eastAsia="zh-CN"/>
        </w:rPr>
        <w:t>；</w:t>
      </w:r>
    </w:p>
    <w:p w14:paraId="3D08199D">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附件3 芒市林业和草原局关于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芒市300MW复合光伏发电项目核实芒东光伏发电项目选址是否涉及敏感因素的复函</w:t>
      </w:r>
      <w:r>
        <w:rPr>
          <w:rFonts w:hint="eastAsia" w:ascii="Times New Roman" w:hAnsi="Times New Roman" w:eastAsia="宋体" w:cs="Times New Roman"/>
          <w:color w:val="auto"/>
          <w:lang w:val="en-US" w:eastAsia="zh-CN"/>
        </w:rPr>
        <w:t>；</w:t>
      </w:r>
    </w:p>
    <w:p w14:paraId="6EEB9D71">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 xml:space="preserve">附件4 </w:t>
      </w:r>
      <w:r>
        <w:rPr>
          <w:rFonts w:hint="default" w:ascii="Times New Roman" w:hAnsi="Times New Roman" w:eastAsia="宋体" w:cs="Times New Roman"/>
          <w:b w:val="0"/>
          <w:bCs w:val="0"/>
          <w:spacing w:val="0"/>
          <w:kern w:val="2"/>
          <w:sz w:val="24"/>
          <w:szCs w:val="24"/>
          <w:lang w:val="en-US" w:eastAsia="zh-CN" w:bidi="ar-SA"/>
        </w:rPr>
        <w:t>芒市自然资源局</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关于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芒市300MW复合光伏发电项目建设领导小组办公室核实项目选址是否涉及敏感因素的复函</w:t>
      </w:r>
      <w:r>
        <w:rPr>
          <w:rFonts w:hint="eastAsia" w:ascii="Times New Roman" w:hAnsi="Times New Roman"/>
          <w:color w:val="auto"/>
          <w:lang w:val="en-US" w:eastAsia="zh-CN"/>
        </w:rPr>
        <w:t>（芒发改函[2023]216号）；</w:t>
      </w:r>
    </w:p>
    <w:p w14:paraId="7EDE7152">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Theme="minorEastAsia"/>
          <w:color w:val="auto"/>
          <w:lang w:eastAsia="zh-CN"/>
        </w:rPr>
      </w:pPr>
      <w:r>
        <w:rPr>
          <w:rFonts w:hint="eastAsia" w:ascii="Times New Roman" w:hAnsi="Times New Roman"/>
          <w:color w:val="auto"/>
        </w:rPr>
        <w:t>附件</w:t>
      </w:r>
      <w:r>
        <w:rPr>
          <w:rFonts w:hint="eastAsia" w:ascii="Times New Roman" w:hAnsi="Times New Roman"/>
          <w:color w:val="auto"/>
          <w:lang w:val="en-US" w:eastAsia="zh-CN"/>
        </w:rPr>
        <w:t>5</w:t>
      </w:r>
      <w:r>
        <w:rPr>
          <w:rFonts w:hint="eastAsia" w:ascii="Times New Roman" w:hAnsi="Times New Roman"/>
          <w:color w:val="auto"/>
        </w:rPr>
        <w:t xml:space="preserve"> </w:t>
      </w:r>
      <w:r>
        <w:rPr>
          <w:rFonts w:hint="eastAsia" w:ascii="Times New Roman" w:hAnsi="Times New Roman"/>
          <w:color w:val="auto"/>
          <w:lang w:eastAsia="zh-CN"/>
        </w:rPr>
        <w:t>德宏州生态环境局芒市分局</w:t>
      </w:r>
      <w:r>
        <w:rPr>
          <w:rFonts w:hint="eastAsia" w:ascii="Times New Roman" w:hAnsi="Times New Roman"/>
          <w:color w:val="auto"/>
          <w:lang w:val="en-US" w:eastAsia="zh-CN"/>
        </w:rPr>
        <w:t>关于请求帮助核实项目选址是否涉及敏感因素的函</w:t>
      </w:r>
      <w:r>
        <w:rPr>
          <w:rFonts w:hint="eastAsia" w:ascii="Times New Roman" w:hAnsi="Times New Roman"/>
          <w:color w:val="auto"/>
          <w:lang w:eastAsia="zh-CN"/>
        </w:rPr>
        <w:t>；</w:t>
      </w:r>
    </w:p>
    <w:p w14:paraId="57D5F57C">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6</w:t>
      </w:r>
      <w:r>
        <w:rPr>
          <w:rFonts w:hint="eastAsia" w:ascii="Times New Roman" w:hAnsi="Times New Roman"/>
          <w:color w:val="auto"/>
          <w:lang w:eastAsia="zh-CN"/>
        </w:rPr>
        <w:t>芒市人民政府水利局选址意见；</w:t>
      </w:r>
    </w:p>
    <w:p w14:paraId="1D77B2CD">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auto"/>
          <w:lang w:val="en-US" w:eastAsia="zh-CN"/>
        </w:rPr>
      </w:pPr>
      <w:r>
        <w:rPr>
          <w:rFonts w:hint="eastAsia" w:ascii="Times New Roman" w:hAnsi="Times New Roman"/>
          <w:color w:val="auto"/>
          <w:lang w:val="en-US" w:eastAsia="zh-CN"/>
        </w:rPr>
        <w:t>附件7 芒市文化和旅游局选址意见；</w:t>
      </w:r>
    </w:p>
    <w:p w14:paraId="199BF56A">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8</w:t>
      </w:r>
      <w:r>
        <w:rPr>
          <w:rFonts w:hint="eastAsia" w:ascii="Times New Roman" w:hAnsi="Times New Roman"/>
          <w:color w:val="auto"/>
          <w:lang w:eastAsia="zh-CN"/>
        </w:rPr>
        <w:t xml:space="preserve"> 中华人民共和国芒市人民武装部选址意见；</w:t>
      </w:r>
    </w:p>
    <w:p w14:paraId="4AA9A8EF">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附件9 建设单位营业执照；</w:t>
      </w:r>
    </w:p>
    <w:p w14:paraId="49955069">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附件10 法人身份证；</w:t>
      </w:r>
    </w:p>
    <w:p w14:paraId="07F985B8">
      <w:pPr>
        <w:pStyle w:val="24"/>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olor w:val="auto"/>
          <w:lang w:val="en-US" w:eastAsia="zh-CN"/>
        </w:rPr>
      </w:pPr>
      <w:r>
        <w:rPr>
          <w:rFonts w:hint="eastAsia" w:ascii="Times New Roman" w:hAnsi="Times New Roman"/>
          <w:color w:val="auto"/>
          <w:lang w:val="en-US" w:eastAsia="zh-CN"/>
        </w:rPr>
        <w:t>附件11 校审记录表；</w:t>
      </w:r>
    </w:p>
    <w:p w14:paraId="057B9A93">
      <w:pPr>
        <w:pStyle w:val="24"/>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b/>
          <w:color w:val="auto"/>
        </w:rPr>
      </w:pPr>
      <w:r>
        <w:rPr>
          <w:rFonts w:hint="default" w:ascii="Times New Roman" w:hAnsi="Times New Roman"/>
          <w:b/>
          <w:color w:val="auto"/>
        </w:rPr>
        <w:t>附图：</w:t>
      </w:r>
    </w:p>
    <w:p w14:paraId="7F581155">
      <w:pPr>
        <w:keepNext w:val="0"/>
        <w:keepLines w:val="0"/>
        <w:suppressLineNumbers w:val="0"/>
        <w:adjustRightInd w:val="0"/>
        <w:snapToGrid w:val="0"/>
        <w:spacing w:before="0" w:beforeAutospacing="0" w:after="0" w:afterAutospacing="0" w:line="360" w:lineRule="auto"/>
        <w:ind w:left="480" w:right="0"/>
        <w:jc w:val="left"/>
        <w:rPr>
          <w:rFonts w:hint="eastAsia" w:ascii="Times New Roman" w:hAnsi="Times New Roman" w:cs="Times New Roman" w:eastAsiaTheme="minorEastAsia"/>
          <w:color w:val="auto"/>
          <w:sz w:val="24"/>
          <w:lang w:eastAsia="zh-CN"/>
        </w:rPr>
      </w:pPr>
      <w:r>
        <w:rPr>
          <w:rFonts w:hint="default" w:ascii="Times New Roman" w:hAnsi="Times New Roman" w:cs="Times New Roman"/>
          <w:color w:val="auto"/>
          <w:sz w:val="24"/>
        </w:rPr>
        <w:t>附图1</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项目地理位置图</w:t>
      </w:r>
      <w:r>
        <w:rPr>
          <w:rFonts w:hint="eastAsia" w:ascii="Times New Roman" w:hAnsi="Times New Roman" w:cs="Times New Roman"/>
          <w:color w:val="auto"/>
          <w:sz w:val="24"/>
          <w:lang w:eastAsia="zh-CN"/>
        </w:rPr>
        <w:t>；</w:t>
      </w:r>
    </w:p>
    <w:p w14:paraId="70E8A0DB">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附图</w:t>
      </w:r>
      <w:r>
        <w:rPr>
          <w:rFonts w:hint="eastAsia" w:ascii="Times New Roman" w:hAnsi="Times New Roman" w:cs="Times New Roman"/>
          <w:color w:val="auto"/>
          <w:sz w:val="24"/>
          <w:lang w:val="en-US" w:eastAsia="zh-CN"/>
        </w:rPr>
        <w:t>2</w:t>
      </w:r>
      <w:r>
        <w:rPr>
          <w:rFonts w:hint="default" w:ascii="Times New Roman" w:hAnsi="Times New Roman" w:cs="Times New Roman"/>
          <w:lang w:eastAsia="zh-CN"/>
        </w:rPr>
        <w:t xml:space="preserve"> 项目与依托升压站位置关系图</w:t>
      </w:r>
      <w:r>
        <w:rPr>
          <w:rFonts w:hint="eastAsia" w:ascii="Times New Roman" w:hAnsi="Times New Roman" w:cs="Times New Roman"/>
          <w:lang w:eastAsia="zh-CN"/>
        </w:rPr>
        <w:t>；</w:t>
      </w:r>
    </w:p>
    <w:p w14:paraId="6C5D9C75">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附图</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项目箱变及塔基分布图；</w:t>
      </w:r>
    </w:p>
    <w:p w14:paraId="6644ABA1">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附图</w:t>
      </w:r>
      <w:r>
        <w:rPr>
          <w:rFonts w:hint="eastAsia" w:ascii="Times New Roman" w:hAnsi="Times New Roman" w:cs="Times New Roman"/>
          <w:color w:val="000000" w:themeColor="text1"/>
          <w:sz w:val="24"/>
          <w:lang w:val="en-US" w:eastAsia="zh-CN"/>
          <w14:textFill>
            <w14:solidFill>
              <w14:schemeClr w14:val="tx1"/>
            </w14:solidFill>
          </w14:textFill>
        </w:rPr>
        <w:t>4光伏电站总平面布置图</w:t>
      </w:r>
      <w:r>
        <w:rPr>
          <w:rFonts w:hint="default" w:ascii="Times New Roman" w:hAnsi="Times New Roman" w:cs="Times New Roman"/>
          <w:color w:val="000000" w:themeColor="text1"/>
          <w:sz w:val="24"/>
          <w:lang w:eastAsia="zh-CN"/>
          <w14:textFill>
            <w14:solidFill>
              <w14:schemeClr w14:val="tx1"/>
            </w14:solidFill>
          </w14:textFill>
        </w:rPr>
        <w:t xml:space="preserve"> </w:t>
      </w:r>
      <w:r>
        <w:rPr>
          <w:rFonts w:hint="eastAsia" w:ascii="Times New Roman" w:hAnsi="Times New Roman" w:cs="Times New Roman"/>
          <w:color w:val="000000" w:themeColor="text1"/>
          <w:sz w:val="24"/>
          <w:lang w:eastAsia="zh-CN"/>
          <w14:textFill>
            <w14:solidFill>
              <w14:schemeClr w14:val="tx1"/>
            </w14:solidFill>
          </w14:textFill>
        </w:rPr>
        <w:t>；</w:t>
      </w:r>
    </w:p>
    <w:p w14:paraId="79B12C06">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附图</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zh-CN" w:eastAsia="zh-CN"/>
        </w:rPr>
        <w:t xml:space="preserve"> 项目与《云南省生态功能区划》位置关系图</w:t>
      </w:r>
      <w:r>
        <w:rPr>
          <w:rFonts w:hint="eastAsia" w:ascii="Times New Roman" w:hAnsi="Times New Roman" w:cs="Times New Roman"/>
          <w:color w:val="auto"/>
          <w:sz w:val="24"/>
          <w:lang w:val="zh-CN" w:eastAsia="zh-CN"/>
        </w:rPr>
        <w:t>；</w:t>
      </w:r>
    </w:p>
    <w:p w14:paraId="426A24DC">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zh-CN" w:eastAsia="zh-CN"/>
        </w:rPr>
        <w:t>附图</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zh-CN" w:eastAsia="zh-CN"/>
        </w:rPr>
        <w:t xml:space="preserve"> 项目与《云南省主体功能区规划》位置关系图</w:t>
      </w:r>
      <w:r>
        <w:rPr>
          <w:rFonts w:hint="eastAsia" w:ascii="Times New Roman" w:hAnsi="Times New Roman" w:cs="Times New Roman"/>
          <w:color w:val="auto"/>
          <w:sz w:val="24"/>
          <w:lang w:val="zh-CN" w:eastAsia="zh-CN"/>
        </w:rPr>
        <w:t>；</w:t>
      </w:r>
    </w:p>
    <w:p w14:paraId="7338908E">
      <w:pPr>
        <w:keepNext w:val="0"/>
        <w:keepLines w:val="0"/>
        <w:suppressLineNumbers w:val="0"/>
        <w:adjustRightInd w:val="0"/>
        <w:snapToGrid w:val="0"/>
        <w:spacing w:before="0" w:beforeAutospacing="0" w:after="0" w:afterAutospacing="0" w:line="360" w:lineRule="auto"/>
        <w:ind w:left="480" w:right="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val="en-US" w:eastAsia="zh-CN"/>
        </w:rPr>
        <w:t xml:space="preserve"> 项目</w:t>
      </w:r>
      <w:r>
        <w:rPr>
          <w:rFonts w:hint="eastAsia" w:ascii="Times New Roman" w:hAnsi="Times New Roman" w:cs="Times New Roman"/>
          <w:color w:val="auto"/>
          <w:sz w:val="24"/>
          <w:lang w:val="en-US" w:eastAsia="zh-CN"/>
        </w:rPr>
        <w:t>生态评价区土地利用现状分布示意图；</w:t>
      </w:r>
    </w:p>
    <w:p w14:paraId="7CFB432B">
      <w:pPr>
        <w:pStyle w:val="10"/>
        <w:keepNext w:val="0"/>
        <w:keepLines w:val="0"/>
        <w:pageBreakBefore w:val="0"/>
        <w:widowControl/>
        <w:kinsoku/>
        <w:wordWrap/>
        <w:overflowPunct/>
        <w:topLinePunct w:val="0"/>
        <w:autoSpaceDE/>
        <w:autoSpaceDN/>
        <w:bidi w:val="0"/>
        <w:adjustRightInd/>
        <w:snapToGrid w:val="0"/>
        <w:spacing w:line="260" w:lineRule="auto"/>
        <w:ind w:right="113" w:firstLine="360" w:firstLineChars="200"/>
        <w:jc w:val="both"/>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 xml:space="preserve"> </w:t>
      </w:r>
      <w:r>
        <w:rPr>
          <w:rFonts w:hint="eastAsia" w:ascii="Times New Roman" w:hAnsi="Times New Roman"/>
          <w:color w:val="000000" w:themeColor="text1"/>
          <w:sz w:val="24"/>
          <w:szCs w:val="24"/>
          <w:vertAlign w:val="baseline"/>
          <w:lang w:val="en-US" w:eastAsia="zh-CN"/>
          <w14:textFill>
            <w14:solidFill>
              <w14:schemeClr w14:val="tx1"/>
            </w14:solidFill>
          </w14:textFill>
        </w:rPr>
        <w:t>附图8 项目生态评价区植被分布示意图。</w:t>
      </w:r>
    </w:p>
    <w:p w14:paraId="35064B54">
      <w:pPr>
        <w:rPr>
          <w:rFonts w:hint="eastAsia" w:ascii="仿宋" w:hAnsi="仿宋" w:eastAsia="仿宋" w:cs="仿宋"/>
          <w:b/>
          <w:bCs/>
          <w:color w:val="auto"/>
          <w:sz w:val="24"/>
          <w:szCs w:val="24"/>
          <w:lang w:val="en-US" w:eastAsia="zh-CN"/>
        </w:rPr>
      </w:pPr>
    </w:p>
    <w:p w14:paraId="23CF4C85">
      <w:pPr>
        <w:rPr>
          <w:rFonts w:hint="eastAsia" w:ascii="仿宋" w:hAnsi="仿宋" w:eastAsia="仿宋" w:cs="仿宋"/>
          <w:b/>
          <w:bCs/>
          <w:color w:val="auto"/>
          <w:sz w:val="24"/>
          <w:szCs w:val="24"/>
          <w:lang w:val="en-US" w:eastAsia="zh-CN"/>
        </w:rPr>
      </w:pPr>
    </w:p>
    <w:p w14:paraId="7EDE6072">
      <w:pPr>
        <w:rPr>
          <w:rFonts w:hint="eastAsia" w:ascii="仿宋" w:hAnsi="仿宋" w:eastAsia="仿宋" w:cs="仿宋"/>
          <w:b/>
          <w:bCs/>
          <w:color w:val="auto"/>
          <w:sz w:val="24"/>
          <w:szCs w:val="24"/>
          <w:lang w:val="en-US" w:eastAsia="zh-CN"/>
        </w:rPr>
      </w:pPr>
    </w:p>
    <w:p w14:paraId="626050BF">
      <w:pPr>
        <w:rPr>
          <w:rFonts w:hint="eastAsia" w:ascii="仿宋" w:hAnsi="仿宋" w:eastAsia="仿宋" w:cs="仿宋"/>
          <w:b/>
          <w:bCs/>
          <w:color w:val="auto"/>
          <w:sz w:val="24"/>
          <w:szCs w:val="24"/>
          <w:lang w:val="en-US" w:eastAsia="zh-CN"/>
        </w:rPr>
      </w:pPr>
    </w:p>
    <w:p w14:paraId="1AAFDF24">
      <w:pPr>
        <w:rPr>
          <w:rFonts w:hint="eastAsia" w:ascii="仿宋" w:hAnsi="仿宋" w:eastAsia="仿宋" w:cs="仿宋"/>
          <w:b/>
          <w:bCs/>
          <w:color w:val="auto"/>
          <w:sz w:val="24"/>
          <w:szCs w:val="24"/>
          <w:lang w:val="en-US" w:eastAsia="zh-CN"/>
        </w:rPr>
      </w:pPr>
    </w:p>
    <w:p w14:paraId="00C4E3DD">
      <w:pPr>
        <w:rPr>
          <w:rFonts w:hint="eastAsia" w:ascii="仿宋" w:hAnsi="仿宋" w:eastAsia="仿宋" w:cs="仿宋"/>
          <w:b/>
          <w:bCs/>
          <w:color w:val="auto"/>
          <w:sz w:val="24"/>
          <w:szCs w:val="24"/>
          <w:lang w:val="en-US" w:eastAsia="zh-CN"/>
        </w:rPr>
      </w:pPr>
    </w:p>
    <w:p w14:paraId="476DC4FE">
      <w:pPr>
        <w:rPr>
          <w:rFonts w:hint="eastAsia" w:ascii="仿宋" w:hAnsi="仿宋" w:eastAsia="仿宋" w:cs="仿宋"/>
          <w:b/>
          <w:bCs/>
          <w:color w:val="auto"/>
          <w:sz w:val="24"/>
          <w:szCs w:val="24"/>
          <w:lang w:val="en-US" w:eastAsia="zh-CN"/>
        </w:rPr>
      </w:pPr>
    </w:p>
    <w:p w14:paraId="39602BC3">
      <w:pPr>
        <w:rPr>
          <w:rFonts w:hint="eastAsia" w:ascii="仿宋" w:hAnsi="仿宋" w:eastAsia="仿宋" w:cs="仿宋"/>
          <w:b/>
          <w:bCs/>
          <w:color w:val="auto"/>
          <w:sz w:val="24"/>
          <w:szCs w:val="24"/>
          <w:lang w:val="en-US" w:eastAsia="zh-CN"/>
        </w:rPr>
      </w:pPr>
    </w:p>
    <w:p w14:paraId="0135E345">
      <w:pPr>
        <w:rPr>
          <w:rFonts w:hint="eastAsia" w:ascii="仿宋" w:hAnsi="仿宋" w:eastAsia="仿宋" w:cs="仿宋"/>
          <w:b/>
          <w:bCs/>
          <w:color w:val="auto"/>
          <w:sz w:val="24"/>
          <w:szCs w:val="24"/>
          <w:lang w:val="en-US" w:eastAsia="zh-CN"/>
        </w:rPr>
      </w:pPr>
    </w:p>
    <w:p w14:paraId="58A39360">
      <w:pPr>
        <w:rPr>
          <w:rFonts w:hint="eastAsia" w:ascii="仿宋" w:hAnsi="仿宋" w:eastAsia="仿宋" w:cs="仿宋"/>
          <w:b/>
          <w:bCs/>
          <w:color w:val="auto"/>
          <w:sz w:val="24"/>
          <w:szCs w:val="24"/>
          <w:lang w:val="en-US" w:eastAsia="zh-CN"/>
        </w:rPr>
      </w:pPr>
    </w:p>
    <w:p w14:paraId="7996389E">
      <w:pPr>
        <w:rPr>
          <w:rFonts w:hint="eastAsia" w:ascii="仿宋" w:hAnsi="仿宋" w:eastAsia="仿宋" w:cs="仿宋"/>
          <w:b/>
          <w:bCs/>
          <w:color w:val="auto"/>
          <w:sz w:val="24"/>
          <w:szCs w:val="24"/>
          <w:lang w:val="en-US" w:eastAsia="zh-CN"/>
        </w:rPr>
      </w:pPr>
    </w:p>
    <w:p w14:paraId="16AF8D4C">
      <w:pPr>
        <w:rPr>
          <w:rFonts w:hint="eastAsia" w:ascii="仿宋" w:hAnsi="仿宋" w:eastAsia="仿宋" w:cs="仿宋"/>
          <w:b/>
          <w:bCs/>
          <w:color w:val="auto"/>
          <w:sz w:val="24"/>
          <w:szCs w:val="24"/>
          <w:lang w:val="en-US" w:eastAsia="zh-CN"/>
        </w:rPr>
      </w:pPr>
    </w:p>
    <w:p w14:paraId="795BACC1">
      <w:pPr>
        <w:rPr>
          <w:rFonts w:hint="eastAsia" w:ascii="仿宋" w:hAnsi="仿宋" w:eastAsia="仿宋" w:cs="仿宋"/>
          <w:b/>
          <w:bCs/>
          <w:color w:val="auto"/>
          <w:sz w:val="24"/>
          <w:szCs w:val="24"/>
          <w:lang w:val="en-US" w:eastAsia="zh-CN"/>
        </w:rPr>
      </w:pPr>
    </w:p>
    <w:p w14:paraId="2F2CBC9F">
      <w:pPr>
        <w:rPr>
          <w:rFonts w:hint="eastAsia" w:ascii="仿宋" w:hAnsi="仿宋" w:eastAsia="仿宋" w:cs="仿宋"/>
          <w:b/>
          <w:bCs/>
          <w:color w:val="auto"/>
          <w:sz w:val="24"/>
          <w:szCs w:val="24"/>
          <w:lang w:val="en-US" w:eastAsia="zh-CN"/>
        </w:rPr>
      </w:pPr>
    </w:p>
    <w:p w14:paraId="0CE9B43B">
      <w:pPr>
        <w:rPr>
          <w:rFonts w:hint="eastAsia" w:ascii="仿宋" w:hAnsi="仿宋" w:eastAsia="仿宋" w:cs="仿宋"/>
          <w:b/>
          <w:bCs/>
          <w:color w:val="auto"/>
          <w:sz w:val="24"/>
          <w:szCs w:val="24"/>
          <w:lang w:val="en-US" w:eastAsia="zh-CN"/>
        </w:rPr>
      </w:pPr>
    </w:p>
    <w:p w14:paraId="19F3BAD6">
      <w:pPr>
        <w:rPr>
          <w:rFonts w:hint="eastAsia" w:ascii="仿宋" w:hAnsi="仿宋" w:eastAsia="仿宋" w:cs="仿宋"/>
          <w:b/>
          <w:bCs/>
          <w:color w:val="auto"/>
          <w:sz w:val="24"/>
          <w:szCs w:val="24"/>
          <w:lang w:val="en-US" w:eastAsia="zh-CN"/>
        </w:rPr>
      </w:pPr>
    </w:p>
    <w:p w14:paraId="1C191094">
      <w:pPr>
        <w:rPr>
          <w:rFonts w:hint="eastAsia" w:ascii="仿宋" w:hAnsi="仿宋" w:eastAsia="仿宋" w:cs="仿宋"/>
          <w:b/>
          <w:bCs/>
          <w:color w:val="auto"/>
          <w:sz w:val="24"/>
          <w:szCs w:val="24"/>
          <w:lang w:val="en-US" w:eastAsia="zh-CN"/>
        </w:rPr>
      </w:pPr>
    </w:p>
    <w:p w14:paraId="23058A81">
      <w:pPr>
        <w:rPr>
          <w:rFonts w:hint="eastAsia" w:ascii="仿宋" w:hAnsi="仿宋" w:eastAsia="仿宋" w:cs="仿宋"/>
          <w:b/>
          <w:bCs/>
          <w:color w:val="auto"/>
          <w:sz w:val="24"/>
          <w:szCs w:val="24"/>
          <w:lang w:val="en-US" w:eastAsia="zh-CN"/>
        </w:rPr>
      </w:pPr>
    </w:p>
    <w:p w14:paraId="48559642">
      <w:pPr>
        <w:rPr>
          <w:rFonts w:hint="eastAsia" w:ascii="仿宋" w:hAnsi="仿宋" w:eastAsia="仿宋" w:cs="仿宋"/>
          <w:b/>
          <w:bCs/>
          <w:color w:val="auto"/>
          <w:sz w:val="24"/>
          <w:szCs w:val="24"/>
          <w:lang w:val="en-US" w:eastAsia="zh-CN"/>
        </w:rPr>
      </w:pPr>
    </w:p>
    <w:p w14:paraId="1BB29AEF">
      <w:pPr>
        <w:rPr>
          <w:rFonts w:hint="eastAsia" w:ascii="仿宋" w:hAnsi="仿宋" w:eastAsia="仿宋" w:cs="仿宋"/>
          <w:b/>
          <w:bCs/>
          <w:color w:val="auto"/>
          <w:sz w:val="24"/>
          <w:szCs w:val="24"/>
          <w:lang w:val="en-US" w:eastAsia="zh-CN"/>
        </w:rPr>
      </w:pPr>
    </w:p>
    <w:p w14:paraId="24EFCE57">
      <w:pPr>
        <w:rPr>
          <w:rFonts w:hint="eastAsia" w:ascii="仿宋" w:hAnsi="仿宋" w:eastAsia="仿宋" w:cs="仿宋"/>
          <w:b/>
          <w:bCs/>
          <w:color w:val="auto"/>
          <w:sz w:val="24"/>
          <w:szCs w:val="24"/>
          <w:lang w:val="en-US" w:eastAsia="zh-CN"/>
        </w:rPr>
      </w:pPr>
    </w:p>
    <w:p w14:paraId="5E535C1A">
      <w:pPr>
        <w:rPr>
          <w:rFonts w:hint="eastAsia" w:ascii="仿宋" w:hAnsi="仿宋" w:eastAsia="仿宋" w:cs="仿宋"/>
          <w:b/>
          <w:bCs/>
          <w:color w:val="auto"/>
          <w:sz w:val="24"/>
          <w:szCs w:val="24"/>
          <w:lang w:val="en-US" w:eastAsia="zh-CN"/>
        </w:rPr>
      </w:pPr>
    </w:p>
    <w:p w14:paraId="3FCBC0CD">
      <w:pPr>
        <w:rPr>
          <w:rFonts w:hint="eastAsia" w:ascii="仿宋" w:hAnsi="仿宋" w:eastAsia="仿宋" w:cs="仿宋"/>
          <w:b/>
          <w:bCs/>
          <w:color w:val="auto"/>
          <w:sz w:val="24"/>
          <w:szCs w:val="24"/>
          <w:lang w:val="en-US" w:eastAsia="zh-CN"/>
        </w:rPr>
      </w:pPr>
    </w:p>
    <w:p w14:paraId="522AE076">
      <w:pPr>
        <w:rPr>
          <w:rFonts w:hint="eastAsia" w:ascii="仿宋" w:hAnsi="仿宋" w:eastAsia="仿宋" w:cs="仿宋"/>
          <w:b/>
          <w:bCs/>
          <w:color w:val="auto"/>
          <w:sz w:val="24"/>
          <w:szCs w:val="24"/>
          <w:lang w:val="en-US" w:eastAsia="zh-CN"/>
        </w:rPr>
      </w:pPr>
    </w:p>
    <w:p w14:paraId="4AFA1E48">
      <w:pPr>
        <w:rPr>
          <w:rFonts w:hint="eastAsia" w:ascii="仿宋" w:hAnsi="仿宋" w:eastAsia="仿宋" w:cs="仿宋"/>
          <w:b/>
          <w:bCs/>
          <w:color w:val="auto"/>
          <w:sz w:val="24"/>
          <w:szCs w:val="24"/>
          <w:lang w:val="en-US" w:eastAsia="zh-CN"/>
        </w:rPr>
      </w:pPr>
    </w:p>
    <w:p w14:paraId="7E032281">
      <w:pPr>
        <w:rPr>
          <w:rFonts w:hint="eastAsia" w:ascii="仿宋" w:hAnsi="仿宋" w:eastAsia="仿宋" w:cs="仿宋"/>
          <w:b/>
          <w:bCs/>
          <w:color w:val="auto"/>
          <w:sz w:val="24"/>
          <w:szCs w:val="24"/>
          <w:lang w:val="en-US" w:eastAsia="zh-CN"/>
        </w:rPr>
      </w:pPr>
    </w:p>
    <w:p w14:paraId="529D6E53">
      <w:pPr>
        <w:rPr>
          <w:rFonts w:hint="eastAsia" w:ascii="仿宋" w:hAnsi="仿宋" w:eastAsia="仿宋" w:cs="仿宋"/>
          <w:b/>
          <w:bCs/>
          <w:color w:val="auto"/>
          <w:sz w:val="24"/>
          <w:szCs w:val="24"/>
          <w:lang w:val="en-US" w:eastAsia="zh-CN"/>
        </w:rPr>
      </w:pPr>
    </w:p>
    <w:p w14:paraId="47F7DB50">
      <w:pPr>
        <w:rPr>
          <w:rFonts w:hint="eastAsia" w:ascii="仿宋" w:hAnsi="仿宋" w:eastAsia="仿宋" w:cs="仿宋"/>
          <w:b/>
          <w:bCs/>
          <w:color w:val="auto"/>
          <w:sz w:val="24"/>
          <w:szCs w:val="24"/>
          <w:lang w:val="en-US" w:eastAsia="zh-CN"/>
        </w:rPr>
      </w:pPr>
    </w:p>
    <w:p w14:paraId="16DDEFA6">
      <w:pPr>
        <w:rPr>
          <w:rFonts w:hint="eastAsia" w:ascii="仿宋" w:hAnsi="仿宋" w:eastAsia="仿宋" w:cs="仿宋"/>
          <w:b/>
          <w:bCs/>
          <w:color w:val="auto"/>
          <w:sz w:val="24"/>
          <w:szCs w:val="24"/>
          <w:lang w:val="en-US" w:eastAsia="zh-CN"/>
        </w:rPr>
      </w:pPr>
    </w:p>
    <w:p w14:paraId="7D5F4068">
      <w:pPr>
        <w:rPr>
          <w:rFonts w:hint="eastAsia" w:ascii="仿宋" w:hAnsi="仿宋" w:eastAsia="仿宋" w:cs="仿宋"/>
          <w:b/>
          <w:bCs/>
          <w:color w:val="auto"/>
          <w:sz w:val="24"/>
          <w:szCs w:val="24"/>
          <w:lang w:val="en-US" w:eastAsia="zh-CN"/>
        </w:rPr>
      </w:pPr>
    </w:p>
    <w:p w14:paraId="2BD7FC31">
      <w:pPr>
        <w:rPr>
          <w:rFonts w:hint="eastAsia" w:ascii="仿宋" w:hAnsi="仿宋" w:eastAsia="仿宋" w:cs="仿宋"/>
          <w:b/>
          <w:bCs/>
          <w:color w:val="auto"/>
          <w:sz w:val="24"/>
          <w:szCs w:val="24"/>
          <w:lang w:val="en-US" w:eastAsia="zh-CN"/>
        </w:rPr>
      </w:pPr>
    </w:p>
    <w:p w14:paraId="7E791371">
      <w:pPr>
        <w:rPr>
          <w:rFonts w:hint="eastAsia" w:ascii="仿宋" w:hAnsi="仿宋" w:eastAsia="仿宋" w:cs="仿宋"/>
          <w:b/>
          <w:bCs/>
          <w:color w:val="auto"/>
          <w:sz w:val="24"/>
          <w:szCs w:val="24"/>
          <w:lang w:val="en-US" w:eastAsia="zh-CN"/>
        </w:rPr>
      </w:pPr>
    </w:p>
    <w:p w14:paraId="418B7C24">
      <w:pPr>
        <w:rPr>
          <w:rFonts w:hint="eastAsia" w:ascii="仿宋" w:hAnsi="仿宋" w:eastAsia="仿宋" w:cs="仿宋"/>
          <w:b/>
          <w:bCs/>
          <w:color w:val="auto"/>
          <w:sz w:val="24"/>
          <w:szCs w:val="24"/>
          <w:lang w:val="en-US" w:eastAsia="zh-CN"/>
        </w:rPr>
      </w:pPr>
    </w:p>
    <w:p w14:paraId="3CCB8A23">
      <w:pPr>
        <w:rPr>
          <w:rFonts w:hint="eastAsia" w:ascii="仿宋" w:hAnsi="仿宋" w:eastAsia="仿宋" w:cs="仿宋"/>
          <w:b/>
          <w:bCs/>
          <w:color w:val="auto"/>
          <w:sz w:val="24"/>
          <w:szCs w:val="24"/>
          <w:lang w:val="en-US" w:eastAsia="zh-CN"/>
        </w:rPr>
      </w:pPr>
    </w:p>
    <w:p w14:paraId="0696C413">
      <w:pPr>
        <w:rPr>
          <w:rFonts w:hint="eastAsia" w:ascii="仿宋" w:hAnsi="仿宋" w:eastAsia="仿宋" w:cs="仿宋"/>
          <w:b/>
          <w:bCs/>
          <w:color w:val="auto"/>
          <w:sz w:val="24"/>
          <w:szCs w:val="24"/>
          <w:lang w:val="en-US" w:eastAsia="zh-CN"/>
        </w:rPr>
      </w:pPr>
    </w:p>
    <w:p w14:paraId="33124515">
      <w:pPr>
        <w:rPr>
          <w:rFonts w:hint="eastAsia" w:ascii="仿宋" w:hAnsi="仿宋" w:eastAsia="仿宋" w:cs="仿宋"/>
          <w:b/>
          <w:bCs/>
          <w:color w:val="auto"/>
          <w:sz w:val="24"/>
          <w:szCs w:val="24"/>
          <w:lang w:val="en-US" w:eastAsia="zh-CN"/>
        </w:rPr>
      </w:pPr>
    </w:p>
    <w:p w14:paraId="5F2AC017">
      <w:pPr>
        <w:rPr>
          <w:rFonts w:hint="eastAsia" w:ascii="仿宋" w:hAnsi="仿宋" w:eastAsia="仿宋" w:cs="仿宋"/>
          <w:b/>
          <w:bCs/>
          <w:color w:val="auto"/>
          <w:sz w:val="24"/>
          <w:szCs w:val="24"/>
          <w:lang w:val="en-US" w:eastAsia="zh-CN"/>
        </w:rPr>
      </w:pPr>
    </w:p>
    <w:p w14:paraId="0DC81E45">
      <w:pPr>
        <w:rPr>
          <w:rFonts w:hint="eastAsia" w:ascii="仿宋" w:hAnsi="仿宋" w:eastAsia="仿宋" w:cs="仿宋"/>
          <w:b/>
          <w:bCs/>
          <w:color w:val="auto"/>
          <w:sz w:val="24"/>
          <w:szCs w:val="24"/>
          <w:lang w:val="en-US" w:eastAsia="zh-CN"/>
        </w:rPr>
      </w:pPr>
    </w:p>
    <w:p w14:paraId="5EC766E0">
      <w:pPr>
        <w:rPr>
          <w:rFonts w:hint="eastAsia" w:ascii="仿宋" w:hAnsi="仿宋" w:eastAsia="仿宋" w:cs="仿宋"/>
          <w:b/>
          <w:bCs/>
          <w:color w:val="auto"/>
          <w:sz w:val="24"/>
          <w:szCs w:val="24"/>
          <w:lang w:val="en-US" w:eastAsia="zh-CN"/>
        </w:rPr>
      </w:pPr>
    </w:p>
    <w:p w14:paraId="71BFB8B4">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现状照片：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4D08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8923512">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宋体"/>
                <w:b/>
                <w:szCs w:val="21"/>
                <w:lang w:eastAsia="zh-CN"/>
              </w:rPr>
              <w:drawing>
                <wp:inline distT="0" distB="0" distL="114300" distR="114300">
                  <wp:extent cx="2468245" cy="1768475"/>
                  <wp:effectExtent l="0" t="0" r="8255" b="3175"/>
                  <wp:docPr id="14" name="图片 16" descr="c6dc7119eda235b93d547f8808f7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c6dc7119eda235b93d547f8808f70af"/>
                          <pic:cNvPicPr>
                            <a:picLocks noChangeAspect="1"/>
                          </pic:cNvPicPr>
                        </pic:nvPicPr>
                        <pic:blipFill>
                          <a:blip r:embed="rId7"/>
                          <a:stretch>
                            <a:fillRect/>
                          </a:stretch>
                        </pic:blipFill>
                        <pic:spPr>
                          <a:xfrm>
                            <a:off x="0" y="0"/>
                            <a:ext cx="2468245" cy="1768475"/>
                          </a:xfrm>
                          <a:prstGeom prst="rect">
                            <a:avLst/>
                          </a:prstGeom>
                          <a:noFill/>
                          <a:ln>
                            <a:noFill/>
                          </a:ln>
                        </pic:spPr>
                      </pic:pic>
                    </a:graphicData>
                  </a:graphic>
                </wp:inline>
              </w:drawing>
            </w:r>
          </w:p>
        </w:tc>
        <w:tc>
          <w:tcPr>
            <w:tcW w:w="4256" w:type="dxa"/>
          </w:tcPr>
          <w:p w14:paraId="49AFD569">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宋体" w:eastAsia="宋体"/>
                <w:b/>
                <w:szCs w:val="21"/>
                <w:lang w:eastAsia="zh-CN"/>
              </w:rPr>
              <w:drawing>
                <wp:inline distT="0" distB="0" distL="114300" distR="114300">
                  <wp:extent cx="2545080" cy="1644650"/>
                  <wp:effectExtent l="0" t="0" r="7620" b="12700"/>
                  <wp:docPr id="15" name="图片 17" descr="0eb7a6c66739430b305bfe052e54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0eb7a6c66739430b305bfe052e54b41"/>
                          <pic:cNvPicPr>
                            <a:picLocks noChangeAspect="1"/>
                          </pic:cNvPicPr>
                        </pic:nvPicPr>
                        <pic:blipFill>
                          <a:blip r:embed="rId8"/>
                          <a:stretch>
                            <a:fillRect/>
                          </a:stretch>
                        </pic:blipFill>
                        <pic:spPr>
                          <a:xfrm>
                            <a:off x="0" y="0"/>
                            <a:ext cx="2545080" cy="1644650"/>
                          </a:xfrm>
                          <a:prstGeom prst="rect">
                            <a:avLst/>
                          </a:prstGeom>
                          <a:noFill/>
                          <a:ln>
                            <a:noFill/>
                          </a:ln>
                        </pic:spPr>
                      </pic:pic>
                    </a:graphicData>
                  </a:graphic>
                </wp:inline>
              </w:drawing>
            </w:r>
          </w:p>
        </w:tc>
      </w:tr>
      <w:tr w14:paraId="2A82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D3925A6">
            <w:pPr>
              <w:keepNext w:val="0"/>
              <w:keepLines w:val="0"/>
              <w:suppressLineNumbers w:val="0"/>
              <w:spacing w:before="0" w:beforeAutospacing="0" w:after="0" w:afterAutospacing="0"/>
              <w:ind w:left="0" w:right="0"/>
              <w:rPr>
                <w:rFonts w:hint="eastAsia" w:ascii="Times New Roman" w:hAnsi="Times New Roman" w:eastAsia="宋体"/>
                <w:sz w:val="21"/>
                <w:szCs w:val="21"/>
                <w:vertAlign w:val="baseline"/>
                <w:lang w:val="en-US" w:eastAsia="zh-CN"/>
              </w:rPr>
            </w:pPr>
            <w:r>
              <w:rPr>
                <w:rFonts w:hint="eastAsia" w:ascii="Times New Roman" w:hAnsi="Times New Roman"/>
                <w:b w:val="0"/>
                <w:bCs w:val="0"/>
                <w:sz w:val="21"/>
                <w:szCs w:val="21"/>
                <w:vertAlign w:val="baseline"/>
                <w:lang w:val="en-US" w:eastAsia="zh-CN"/>
              </w:rPr>
              <w:t>照片1：</w:t>
            </w:r>
            <w:r>
              <w:rPr>
                <w:rFonts w:hint="eastAsia" w:ascii="Times New Roman" w:hAnsi="宋体" w:eastAsia="宋体" w:cs="Times New Roman"/>
                <w:b w:val="0"/>
                <w:bCs w:val="0"/>
                <w:sz w:val="21"/>
                <w:szCs w:val="21"/>
              </w:rPr>
              <w:t>项目光伏列阵区环境现状</w:t>
            </w:r>
            <w:r>
              <w:rPr>
                <w:rFonts w:hint="eastAsia" w:ascii="Times New Roman" w:hAnsi="宋体" w:eastAsia="宋体" w:cs="Times New Roman"/>
                <w:b w:val="0"/>
                <w:bCs w:val="0"/>
                <w:sz w:val="21"/>
                <w:szCs w:val="21"/>
                <w:lang w:val="en-US" w:eastAsia="zh-CN"/>
              </w:rPr>
              <w:t>1</w:t>
            </w:r>
          </w:p>
        </w:tc>
        <w:tc>
          <w:tcPr>
            <w:tcW w:w="4256" w:type="dxa"/>
          </w:tcPr>
          <w:p w14:paraId="2FA74F7F">
            <w:pPr>
              <w:keepNext w:val="0"/>
              <w:keepLines w:val="0"/>
              <w:suppressLineNumbers w:val="0"/>
              <w:spacing w:before="0" w:beforeAutospacing="0" w:after="0" w:afterAutospacing="0"/>
              <w:ind w:left="0" w:right="0"/>
              <w:rPr>
                <w:rFonts w:hint="default" w:ascii="Times New Roman" w:hAnsi="Times New Roman"/>
                <w:sz w:val="21"/>
                <w:szCs w:val="21"/>
                <w:vertAlign w:val="baseline"/>
              </w:rPr>
            </w:pPr>
            <w:r>
              <w:rPr>
                <w:rFonts w:hint="eastAsia" w:ascii="Times New Roman" w:hAnsi="Times New Roman"/>
                <w:b w:val="0"/>
                <w:bCs w:val="0"/>
                <w:sz w:val="21"/>
                <w:szCs w:val="21"/>
                <w:vertAlign w:val="baseline"/>
                <w:lang w:val="en-US" w:eastAsia="zh-CN"/>
              </w:rPr>
              <w:t>照片2：</w:t>
            </w:r>
            <w:r>
              <w:rPr>
                <w:rFonts w:hint="eastAsia" w:ascii="Times New Roman" w:hAnsi="宋体" w:eastAsia="宋体" w:cs="Times New Roman"/>
                <w:b w:val="0"/>
                <w:bCs w:val="0"/>
                <w:sz w:val="21"/>
                <w:szCs w:val="21"/>
              </w:rPr>
              <w:t>项目光伏列阵区环境现状</w:t>
            </w:r>
            <w:r>
              <w:rPr>
                <w:rFonts w:hint="eastAsia" w:ascii="Times New Roman" w:hAnsi="宋体" w:eastAsia="宋体" w:cs="Times New Roman"/>
                <w:b w:val="0"/>
                <w:bCs w:val="0"/>
                <w:sz w:val="21"/>
                <w:szCs w:val="21"/>
                <w:lang w:val="en-US" w:eastAsia="zh-CN"/>
              </w:rPr>
              <w:t>2（航拍）</w:t>
            </w:r>
          </w:p>
        </w:tc>
      </w:tr>
      <w:tr w14:paraId="15F0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9817E75">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仿宋_GB2312"/>
                <w:lang w:eastAsia="zh-CN"/>
              </w:rPr>
              <w:drawing>
                <wp:inline distT="0" distB="0" distL="114300" distR="114300">
                  <wp:extent cx="2540000" cy="1905000"/>
                  <wp:effectExtent l="0" t="0" r="12700" b="0"/>
                  <wp:docPr id="16" name="图片 18" descr="3cbfc358b38fb5edd86cb57c4f28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3cbfc358b38fb5edd86cb57c4f2844e"/>
                          <pic:cNvPicPr>
                            <a:picLocks noChangeAspect="1"/>
                          </pic:cNvPicPr>
                        </pic:nvPicPr>
                        <pic:blipFill>
                          <a:blip r:embed="rId9"/>
                          <a:stretch>
                            <a:fillRect/>
                          </a:stretch>
                        </pic:blipFill>
                        <pic:spPr>
                          <a:xfrm>
                            <a:off x="0" y="0"/>
                            <a:ext cx="2540000" cy="1905000"/>
                          </a:xfrm>
                          <a:prstGeom prst="rect">
                            <a:avLst/>
                          </a:prstGeom>
                          <a:noFill/>
                          <a:ln>
                            <a:noFill/>
                          </a:ln>
                        </pic:spPr>
                      </pic:pic>
                    </a:graphicData>
                  </a:graphic>
                </wp:inline>
              </w:drawing>
            </w:r>
          </w:p>
        </w:tc>
        <w:tc>
          <w:tcPr>
            <w:tcW w:w="4256" w:type="dxa"/>
          </w:tcPr>
          <w:p w14:paraId="66C67B7D">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宋体"/>
                <w:lang w:eastAsia="zh-CN"/>
              </w:rPr>
              <w:drawing>
                <wp:inline distT="0" distB="0" distL="114300" distR="114300">
                  <wp:extent cx="2540000" cy="1905000"/>
                  <wp:effectExtent l="0" t="0" r="12700" b="0"/>
                  <wp:docPr id="21" name="图片 19" descr="5ca61d79176ad38d30fbe4b41e3c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5ca61d79176ad38d30fbe4b41e3c9ef"/>
                          <pic:cNvPicPr>
                            <a:picLocks noChangeAspect="1"/>
                          </pic:cNvPicPr>
                        </pic:nvPicPr>
                        <pic:blipFill>
                          <a:blip r:embed="rId10"/>
                          <a:stretch>
                            <a:fillRect/>
                          </a:stretch>
                        </pic:blipFill>
                        <pic:spPr>
                          <a:xfrm>
                            <a:off x="0" y="0"/>
                            <a:ext cx="2540000" cy="1905000"/>
                          </a:xfrm>
                          <a:prstGeom prst="rect">
                            <a:avLst/>
                          </a:prstGeom>
                          <a:noFill/>
                          <a:ln>
                            <a:noFill/>
                          </a:ln>
                        </pic:spPr>
                      </pic:pic>
                    </a:graphicData>
                  </a:graphic>
                </wp:inline>
              </w:drawing>
            </w:r>
          </w:p>
        </w:tc>
      </w:tr>
      <w:tr w14:paraId="4556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670482F3">
            <w:pPr>
              <w:keepNext w:val="0"/>
              <w:keepLines w:val="0"/>
              <w:suppressLineNumbers w:val="0"/>
              <w:spacing w:before="0" w:beforeAutospacing="0" w:after="0" w:afterAutospacing="0"/>
              <w:ind w:left="0" w:right="0"/>
              <w:rPr>
                <w:rFonts w:hint="default" w:ascii="Times New Roman" w:hAnsi="Times New Roman"/>
                <w:sz w:val="21"/>
                <w:szCs w:val="21"/>
                <w:vertAlign w:val="baseline"/>
              </w:rPr>
            </w:pPr>
            <w:r>
              <w:rPr>
                <w:rFonts w:hint="eastAsia" w:ascii="Times New Roman" w:hAnsi="Times New Roman"/>
                <w:b w:val="0"/>
                <w:bCs w:val="0"/>
                <w:sz w:val="21"/>
                <w:szCs w:val="21"/>
                <w:vertAlign w:val="baseline"/>
                <w:lang w:val="en-US" w:eastAsia="zh-CN"/>
              </w:rPr>
              <w:t>照片3：</w:t>
            </w:r>
            <w:r>
              <w:rPr>
                <w:rFonts w:hint="eastAsia" w:ascii="Times New Roman" w:hAnsi="宋体" w:eastAsia="宋体" w:cs="Times New Roman"/>
                <w:b w:val="0"/>
                <w:bCs w:val="0"/>
                <w:sz w:val="21"/>
                <w:szCs w:val="21"/>
              </w:rPr>
              <w:t>项目光伏列阵区环境现状</w:t>
            </w:r>
            <w:r>
              <w:rPr>
                <w:rFonts w:hint="eastAsia" w:ascii="Times New Roman" w:hAnsi="宋体" w:eastAsia="宋体" w:cs="Times New Roman"/>
                <w:b w:val="0"/>
                <w:bCs w:val="0"/>
                <w:sz w:val="21"/>
                <w:szCs w:val="21"/>
                <w:lang w:val="en-US" w:eastAsia="zh-CN"/>
              </w:rPr>
              <w:t>3（航拍）</w:t>
            </w:r>
          </w:p>
        </w:tc>
        <w:tc>
          <w:tcPr>
            <w:tcW w:w="4256" w:type="dxa"/>
          </w:tcPr>
          <w:p w14:paraId="3FAC60C2">
            <w:pPr>
              <w:keepNext w:val="0"/>
              <w:keepLines w:val="0"/>
              <w:suppressLineNumbers w:val="0"/>
              <w:spacing w:before="0" w:beforeAutospacing="0" w:after="0" w:afterAutospacing="0"/>
              <w:ind w:left="0" w:right="0"/>
              <w:rPr>
                <w:rFonts w:hint="eastAsia" w:ascii="Times New Roman" w:hAnsi="Times New Roman" w:eastAsia="宋体"/>
                <w:sz w:val="21"/>
                <w:szCs w:val="21"/>
                <w:vertAlign w:val="baseline"/>
                <w:lang w:val="en-US" w:eastAsia="zh-CN"/>
              </w:rPr>
            </w:pPr>
            <w:r>
              <w:rPr>
                <w:rFonts w:hint="eastAsia" w:ascii="Times New Roman" w:hAnsi="Times New Roman"/>
                <w:b w:val="0"/>
                <w:bCs w:val="0"/>
                <w:sz w:val="21"/>
                <w:szCs w:val="21"/>
                <w:vertAlign w:val="baseline"/>
                <w:lang w:val="en-US" w:eastAsia="zh-CN"/>
              </w:rPr>
              <w:t>照片4：</w:t>
            </w:r>
            <w:r>
              <w:rPr>
                <w:rFonts w:hint="eastAsia" w:ascii="Times New Roman" w:hAnsi="宋体" w:eastAsia="宋体" w:cs="Times New Roman"/>
                <w:b w:val="0"/>
                <w:bCs w:val="0"/>
                <w:sz w:val="21"/>
                <w:szCs w:val="21"/>
              </w:rPr>
              <w:t>项目光伏列阵区环境现状</w:t>
            </w:r>
            <w:r>
              <w:rPr>
                <w:rFonts w:hint="eastAsia" w:ascii="Times New Roman" w:hAnsi="宋体" w:eastAsia="宋体" w:cs="Times New Roman"/>
                <w:b w:val="0"/>
                <w:bCs w:val="0"/>
                <w:sz w:val="21"/>
                <w:szCs w:val="21"/>
                <w:lang w:val="en-US" w:eastAsia="zh-CN"/>
              </w:rPr>
              <w:t>4（航拍）</w:t>
            </w:r>
          </w:p>
        </w:tc>
      </w:tr>
      <w:tr w14:paraId="2FC6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36D894C6">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宋体"/>
                <w:lang w:eastAsia="zh-CN"/>
              </w:rPr>
              <w:drawing>
                <wp:inline distT="0" distB="0" distL="114300" distR="114300">
                  <wp:extent cx="2560320" cy="1920240"/>
                  <wp:effectExtent l="0" t="0" r="11430" b="3810"/>
                  <wp:docPr id="18" name="图片 20" descr="a6f46b3a426bf976ef259127f25b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a6f46b3a426bf976ef259127f25bbe5"/>
                          <pic:cNvPicPr>
                            <a:picLocks noChangeAspect="1"/>
                          </pic:cNvPicPr>
                        </pic:nvPicPr>
                        <pic:blipFill>
                          <a:blip r:embed="rId11"/>
                          <a:stretch>
                            <a:fillRect/>
                          </a:stretch>
                        </pic:blipFill>
                        <pic:spPr>
                          <a:xfrm>
                            <a:off x="0" y="0"/>
                            <a:ext cx="2560320" cy="1920240"/>
                          </a:xfrm>
                          <a:prstGeom prst="rect">
                            <a:avLst/>
                          </a:prstGeom>
                          <a:noFill/>
                          <a:ln>
                            <a:noFill/>
                          </a:ln>
                        </pic:spPr>
                      </pic:pic>
                    </a:graphicData>
                  </a:graphic>
                </wp:inline>
              </w:drawing>
            </w:r>
          </w:p>
        </w:tc>
        <w:tc>
          <w:tcPr>
            <w:tcW w:w="4256" w:type="dxa"/>
          </w:tcPr>
          <w:p w14:paraId="15D97DF9">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Times New Roman" w:eastAsia="宋体"/>
                <w:lang w:eastAsia="zh-CN"/>
              </w:rPr>
              <w:drawing>
                <wp:inline distT="0" distB="0" distL="114300" distR="114300">
                  <wp:extent cx="2508885" cy="1882140"/>
                  <wp:effectExtent l="0" t="0" r="5715" b="3810"/>
                  <wp:docPr id="19" name="图片 21" descr="234a2cfd09d3436e1f71953a654f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234a2cfd09d3436e1f71953a654f78c"/>
                          <pic:cNvPicPr>
                            <a:picLocks noChangeAspect="1"/>
                          </pic:cNvPicPr>
                        </pic:nvPicPr>
                        <pic:blipFill>
                          <a:blip r:embed="rId12"/>
                          <a:stretch>
                            <a:fillRect/>
                          </a:stretch>
                        </pic:blipFill>
                        <pic:spPr>
                          <a:xfrm>
                            <a:off x="0" y="0"/>
                            <a:ext cx="2508885" cy="1882140"/>
                          </a:xfrm>
                          <a:prstGeom prst="rect">
                            <a:avLst/>
                          </a:prstGeom>
                          <a:noFill/>
                          <a:ln>
                            <a:noFill/>
                          </a:ln>
                        </pic:spPr>
                      </pic:pic>
                    </a:graphicData>
                  </a:graphic>
                </wp:inline>
              </w:drawing>
            </w:r>
          </w:p>
        </w:tc>
      </w:tr>
      <w:tr w14:paraId="0CBC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25F502C5">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照片5：项目拟占用的茶园1</w:t>
            </w:r>
          </w:p>
        </w:tc>
        <w:tc>
          <w:tcPr>
            <w:tcW w:w="4256" w:type="dxa"/>
          </w:tcPr>
          <w:p w14:paraId="4D3564C8">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照片6：项目拟占用茶园2</w:t>
            </w:r>
          </w:p>
        </w:tc>
      </w:tr>
      <w:tr w14:paraId="03BC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5D6F1108">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宋体" w:eastAsia="宋体" w:cs="Times New Roman"/>
                <w:b/>
                <w:szCs w:val="21"/>
                <w:lang w:eastAsia="zh-CN"/>
              </w:rPr>
              <w:drawing>
                <wp:inline distT="0" distB="0" distL="114300" distR="114300">
                  <wp:extent cx="2569210" cy="1926590"/>
                  <wp:effectExtent l="0" t="0" r="2540" b="16510"/>
                  <wp:docPr id="17" name="图片 22" descr="24925d7e69e36b235a8c49f05e2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24925d7e69e36b235a8c49f05e24689"/>
                          <pic:cNvPicPr>
                            <a:picLocks noChangeAspect="1"/>
                          </pic:cNvPicPr>
                        </pic:nvPicPr>
                        <pic:blipFill>
                          <a:blip r:embed="rId13"/>
                          <a:stretch>
                            <a:fillRect/>
                          </a:stretch>
                        </pic:blipFill>
                        <pic:spPr>
                          <a:xfrm>
                            <a:off x="0" y="0"/>
                            <a:ext cx="2569210" cy="1926590"/>
                          </a:xfrm>
                          <a:prstGeom prst="rect">
                            <a:avLst/>
                          </a:prstGeom>
                          <a:noFill/>
                          <a:ln>
                            <a:noFill/>
                          </a:ln>
                        </pic:spPr>
                      </pic:pic>
                    </a:graphicData>
                  </a:graphic>
                </wp:inline>
              </w:drawing>
            </w:r>
          </w:p>
        </w:tc>
        <w:tc>
          <w:tcPr>
            <w:tcW w:w="4256" w:type="dxa"/>
          </w:tcPr>
          <w:p w14:paraId="2AFC9411">
            <w:pPr>
              <w:keepNext w:val="0"/>
              <w:keepLines w:val="0"/>
              <w:suppressLineNumbers w:val="0"/>
              <w:spacing w:before="0" w:beforeAutospacing="0" w:after="0" w:afterAutospacing="0"/>
              <w:ind w:left="0" w:right="0"/>
              <w:rPr>
                <w:rFonts w:hint="default" w:ascii="Times New Roman" w:hAnsi="Times New Roman"/>
                <w:vertAlign w:val="baseline"/>
              </w:rPr>
            </w:pPr>
            <w:r>
              <w:rPr>
                <w:rFonts w:hint="eastAsia" w:ascii="Times New Roman" w:hAnsi="宋体" w:eastAsia="宋体" w:cs="Times New Roman"/>
                <w:b/>
                <w:szCs w:val="21"/>
                <w:lang w:eastAsia="zh-CN"/>
              </w:rPr>
              <w:drawing>
                <wp:inline distT="0" distB="0" distL="114300" distR="114300">
                  <wp:extent cx="2551430" cy="1912620"/>
                  <wp:effectExtent l="0" t="0" r="1270" b="11430"/>
                  <wp:docPr id="20" name="图片 23" descr="3a99378f214acae39e8120b6d4c2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3a99378f214acae39e8120b6d4c22a4"/>
                          <pic:cNvPicPr>
                            <a:picLocks noChangeAspect="1"/>
                          </pic:cNvPicPr>
                        </pic:nvPicPr>
                        <pic:blipFill>
                          <a:blip r:embed="rId14"/>
                          <a:stretch>
                            <a:fillRect/>
                          </a:stretch>
                        </pic:blipFill>
                        <pic:spPr>
                          <a:xfrm>
                            <a:off x="0" y="0"/>
                            <a:ext cx="2551430" cy="1912620"/>
                          </a:xfrm>
                          <a:prstGeom prst="rect">
                            <a:avLst/>
                          </a:prstGeom>
                          <a:noFill/>
                          <a:ln>
                            <a:noFill/>
                          </a:ln>
                        </pic:spPr>
                      </pic:pic>
                    </a:graphicData>
                  </a:graphic>
                </wp:inline>
              </w:drawing>
            </w:r>
          </w:p>
        </w:tc>
      </w:tr>
      <w:tr w14:paraId="050C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62617682">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照片6：在建的芒市江东光伏升压站</w:t>
            </w:r>
          </w:p>
        </w:tc>
        <w:tc>
          <w:tcPr>
            <w:tcW w:w="4256" w:type="dxa"/>
          </w:tcPr>
          <w:p w14:paraId="66F90A7F">
            <w:pPr>
              <w:keepNext w:val="0"/>
              <w:keepLines w:val="0"/>
              <w:suppressLineNumbers w:val="0"/>
              <w:spacing w:before="0" w:beforeAutospacing="0" w:after="0" w:afterAutospacing="0"/>
              <w:ind w:left="0" w:right="0"/>
              <w:rPr>
                <w:rFonts w:hint="default" w:ascii="Times New Roman" w:hAnsi="Times New Roman" w:eastAsiaTheme="minorEastAsia"/>
                <w:sz w:val="21"/>
                <w:szCs w:val="21"/>
                <w:vertAlign w:val="baseline"/>
                <w:lang w:val="en-US" w:eastAsia="zh-CN"/>
              </w:rPr>
            </w:pPr>
            <w:r>
              <w:rPr>
                <w:rFonts w:hint="eastAsia" w:ascii="Times New Roman" w:hAnsi="Times New Roman"/>
                <w:sz w:val="21"/>
                <w:szCs w:val="21"/>
                <w:vertAlign w:val="baseline"/>
                <w:lang w:val="en-US" w:eastAsia="zh-CN"/>
              </w:rPr>
              <w:t>照片7：项目区现有道路</w:t>
            </w:r>
          </w:p>
        </w:tc>
      </w:tr>
    </w:tbl>
    <w:p w14:paraId="0E3DF020">
      <w:pPr>
        <w:pStyle w:val="10"/>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前言</w:t>
      </w:r>
    </w:p>
    <w:p w14:paraId="257FA7F0">
      <w:pPr>
        <w:spacing w:line="360" w:lineRule="auto"/>
        <w:ind w:firstLine="480" w:firstLineChars="200"/>
        <w:jc w:val="left"/>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auto"/>
          <w:kern w:val="2"/>
          <w:sz w:val="24"/>
          <w:szCs w:val="24"/>
          <w:lang w:val="en-US" w:eastAsia="zh-CN" w:bidi="ar-SA"/>
        </w:rPr>
        <w:t>芒东</w:t>
      </w:r>
      <w:r>
        <w:rPr>
          <w:rFonts w:hint="default" w:ascii="Times New Roman" w:hAnsi="Times New Roman" w:eastAsia="宋体" w:cs="Times New Roman"/>
          <w:b w:val="0"/>
          <w:bCs w:val="0"/>
          <w:color w:val="auto"/>
          <w:kern w:val="2"/>
          <w:sz w:val="24"/>
          <w:szCs w:val="24"/>
          <w:lang w:val="en-US" w:eastAsia="zh-CN" w:bidi="ar-SA"/>
        </w:rPr>
        <w:t>光伏发电</w:t>
      </w:r>
      <w:r>
        <w:rPr>
          <w:rFonts w:hint="eastAsia" w:ascii="Times New Roman" w:hAnsi="Times New Roman" w:eastAsia="宋体" w:cs="Times New Roman"/>
          <w:b w:val="0"/>
          <w:bCs w:val="0"/>
          <w:color w:val="auto"/>
          <w:kern w:val="2"/>
          <w:sz w:val="24"/>
          <w:szCs w:val="24"/>
          <w:lang w:val="en-US" w:eastAsia="zh-CN" w:bidi="ar-SA"/>
        </w:rPr>
        <w:t>工程</w:t>
      </w:r>
      <w:r>
        <w:rPr>
          <w:rFonts w:hint="default" w:ascii="Times New Roman" w:hAnsi="Times New Roman" w:eastAsia="宋体" w:cs="Times New Roman"/>
          <w:b w:val="0"/>
          <w:bCs w:val="0"/>
          <w:color w:val="auto"/>
          <w:kern w:val="2"/>
          <w:sz w:val="24"/>
          <w:szCs w:val="24"/>
          <w:lang w:val="en-US" w:eastAsia="zh-CN" w:bidi="ar-SA"/>
        </w:rPr>
        <w:t>项目位于云南省德宏州</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芒市江东乡</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西南一带山脊上</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23</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km。场址附近有数条道路通过，交通运输条件较为便利。场址地理坐标介于东经 98°</w:t>
      </w:r>
      <w:r>
        <w:rPr>
          <w:rFonts w:hint="eastAsia" w:ascii="Times New Roman" w:hAnsi="Times New Roman" w:eastAsia="宋体" w:cs="Times New Roman"/>
          <w:b w:val="0"/>
          <w:bCs w:val="0"/>
          <w:color w:val="auto"/>
          <w:kern w:val="2"/>
          <w:sz w:val="24"/>
          <w:szCs w:val="24"/>
          <w:lang w:val="en-US" w:eastAsia="zh-CN" w:bidi="ar-SA"/>
        </w:rPr>
        <w:t>20</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41.55</w:t>
      </w:r>
      <w:r>
        <w:rPr>
          <w:rFonts w:hint="default" w:ascii="Times New Roman" w:hAnsi="Times New Roman" w:eastAsia="宋体" w:cs="Times New Roman"/>
          <w:b w:val="0"/>
          <w:bCs w:val="0"/>
          <w:color w:val="auto"/>
          <w:kern w:val="2"/>
          <w:sz w:val="24"/>
          <w:szCs w:val="24"/>
          <w:lang w:val="en-US" w:eastAsia="zh-CN" w:bidi="ar-SA"/>
        </w:rPr>
        <w:t>"～98°2</w:t>
      </w:r>
      <w:r>
        <w:rPr>
          <w:rFonts w:hint="eastAsia" w:ascii="Times New Roman" w:hAnsi="Times New Roman" w:eastAsia="宋体"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25.88</w:t>
      </w:r>
      <w:r>
        <w:rPr>
          <w:rFonts w:hint="default" w:ascii="Times New Roman" w:hAnsi="Times New Roman" w:eastAsia="宋体" w:cs="Times New Roman"/>
          <w:b w:val="0"/>
          <w:bCs w:val="0"/>
          <w:color w:val="auto"/>
          <w:kern w:val="2"/>
          <w:sz w:val="24"/>
          <w:szCs w:val="24"/>
          <w:lang w:val="en-US" w:eastAsia="zh-CN" w:bidi="ar-SA"/>
        </w:rPr>
        <w:t>"、北纬 24°2</w:t>
      </w:r>
      <w:r>
        <w:rPr>
          <w:rFonts w:hint="eastAsia" w:ascii="Times New Roman" w:hAnsi="Times New Roman" w:eastAsia="宋体" w:cs="Times New Roman"/>
          <w:b w:val="0"/>
          <w:bCs w:val="0"/>
          <w:color w:val="auto"/>
          <w:kern w:val="2"/>
          <w:sz w:val="24"/>
          <w:szCs w:val="24"/>
          <w:lang w:val="en-US" w:eastAsia="zh-CN" w:bidi="ar-SA"/>
        </w:rPr>
        <w:t>7</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18.98</w:t>
      </w:r>
      <w:r>
        <w:rPr>
          <w:rFonts w:hint="default" w:ascii="Times New Roman" w:hAnsi="Times New Roman" w:eastAsia="宋体" w:cs="Times New Roman"/>
          <w:b w:val="0"/>
          <w:bCs w:val="0"/>
          <w:color w:val="auto"/>
          <w:kern w:val="2"/>
          <w:sz w:val="24"/>
          <w:szCs w:val="24"/>
          <w:lang w:val="en-US" w:eastAsia="zh-CN" w:bidi="ar-SA"/>
        </w:rPr>
        <w:t>"～24°2</w:t>
      </w:r>
      <w:r>
        <w:rPr>
          <w:rFonts w:hint="eastAsia" w:ascii="Times New Roman" w:hAnsi="Times New Roman" w:eastAsia="宋体" w:cs="Times New Roman"/>
          <w:b w:val="0"/>
          <w:bCs w:val="0"/>
          <w:color w:val="auto"/>
          <w:kern w:val="2"/>
          <w:sz w:val="24"/>
          <w:szCs w:val="24"/>
          <w:lang w:val="en-US" w:eastAsia="zh-CN" w:bidi="ar-SA"/>
        </w:rPr>
        <w:t>9</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12.65</w:t>
      </w:r>
      <w:r>
        <w:rPr>
          <w:rFonts w:hint="default" w:ascii="Times New Roman" w:hAnsi="Times New Roman" w:eastAsia="宋体" w:cs="Times New Roman"/>
          <w:b w:val="0"/>
          <w:bCs w:val="0"/>
          <w:color w:val="auto"/>
          <w:kern w:val="2"/>
          <w:sz w:val="24"/>
          <w:szCs w:val="24"/>
          <w:lang w:val="en-US" w:eastAsia="zh-CN" w:bidi="ar-SA"/>
        </w:rPr>
        <w:t>"之间，海拔在</w:t>
      </w:r>
      <w:r>
        <w:rPr>
          <w:rFonts w:hint="eastAsia" w:ascii="Times New Roman" w:hAnsi="Times New Roman" w:eastAsia="宋体" w:cs="Times New Roman"/>
          <w:b w:val="0"/>
          <w:bCs w:val="0"/>
          <w:color w:val="auto"/>
          <w:kern w:val="2"/>
          <w:sz w:val="24"/>
          <w:szCs w:val="24"/>
          <w:lang w:val="en-US" w:eastAsia="zh-CN" w:bidi="ar-SA"/>
        </w:rPr>
        <w:t>1100</w:t>
      </w:r>
      <w:r>
        <w:rPr>
          <w:rFonts w:hint="default" w:ascii="Times New Roman" w:hAnsi="Times New Roman" w:eastAsia="宋体" w:cs="Times New Roman"/>
          <w:b w:val="0"/>
          <w:bCs w:val="0"/>
          <w:color w:val="auto"/>
          <w:kern w:val="2"/>
          <w:sz w:val="24"/>
          <w:szCs w:val="24"/>
          <w:lang w:val="en-US" w:eastAsia="zh-CN" w:bidi="ar-SA"/>
        </w:rPr>
        <w:t>m～1</w:t>
      </w:r>
      <w:r>
        <w:rPr>
          <w:rFonts w:hint="eastAsia" w:ascii="Times New Roman" w:hAnsi="Times New Roman" w:eastAsia="宋体"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kern w:val="2"/>
          <w:sz w:val="24"/>
          <w:szCs w:val="24"/>
          <w:lang w:val="en-US" w:eastAsia="zh-CN" w:bidi="ar-SA"/>
        </w:rPr>
        <w:t>00m之间。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项目于场址</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附近汇集所有电力后连接到35kV的终端塔</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最终接入110kV江东光伏电站升压站35kV侧，</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个光伏方阵，根据布置情况分为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东</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片区及</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西</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片区，占地面积</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470679.05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（706.02亩）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69F3A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集中式大型并网光伏电站工程，主要由光伏阵列、箱逆变单元等部分组成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本项目安装容量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30.94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MWp，额定容量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sz w:val="24"/>
          <w:szCs w:val="24"/>
          <w:lang w:val="en-US" w:eastAsia="zh-CN"/>
        </w:rPr>
        <w:t>2个3.2MW子方阵、1个2.56MW子方阵、7个1.92MW子方阵、1个1.6MW子方阵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全部采用65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Wp双面双玻电池组件。每个3.2MW、1.6MW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、2.56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、1.92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MW光伏方阵电力经箱变升压至35kV后，通过35kV电缆分接箱并联至35kV集电线路，集电线路汇集电力后输送至110kV</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江东光伏电站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kV</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侧。</w:t>
      </w:r>
    </w:p>
    <w:p w14:paraId="3C12AF81">
      <w:pPr>
        <w:spacing w:line="360" w:lineRule="auto"/>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根据《中华人民共和国环境影响评价法》、《建设项目环境保护管理条例》等有关法律和规定，本次</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江东光伏发电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应开展环境影响评价。依据《建设项目环境影响评价分类管理名录》，项目光伏电站属</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四十一、电力、热力生产和供应业90 太阳能发电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地面集中光伏电站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总容量大于6000千瓦，且接入电压等级不小于10千伏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类别应编制环境影响报告表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根据《环境影响评价技术导则输变电工程》(HJ 24-2020) </w:t>
      </w:r>
      <w:r>
        <w:rPr>
          <w:rFonts w:hint="eastAsia" w:ascii="Times New Roman" w:hAnsi="Times New Roman" w:cs="Times New Roman"/>
          <w:color w:val="000000" w:themeColor="text1"/>
          <w:lang w:val="en-US" w:eastAsia="zh-CN"/>
          <w14:textFill>
            <w14:solidFill>
              <w14:schemeClr w14:val="tx1"/>
            </w14:solidFill>
          </w14:textFill>
        </w:rPr>
        <w:t>和《电磁环境控制限值》（GB8702-2014）要求，光伏阵区、35kV输变电工程电磁环境影响可免于管理（豁免范围）。</w:t>
      </w:r>
    </w:p>
    <w:p w14:paraId="16A03CFB">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芒市德天新能源有限公司</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委托，我公司承担了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江东光伏发电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环境影响评价工作。接受委托后，我公司立即成立了项目组，对项目现场进行了详细踏勘调研，收集核实相关资料，在此基础上，按照相关法律、法规、部门规章、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《建设项目环境影响报告表编制技术指南》（生态影响型）（试行），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依据项目可研设计，编制完成《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东光伏发电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环境影响报告表》，供建设单位上报生态环境主管部门审批。</w:t>
      </w:r>
    </w:p>
    <w:p w14:paraId="7850FB30">
      <w:pPr>
        <w:numPr>
          <w:ilvl w:val="0"/>
          <w:numId w:val="0"/>
        </w:numPr>
        <w:spacing w:line="360" w:lineRule="auto"/>
        <w:jc w:val="both"/>
        <w:rPr>
          <w:rFonts w:hint="eastAsia" w:ascii="宋体" w:hAnsi="宋体" w:eastAsia="宋体" w:cs="宋体"/>
          <w:b/>
          <w:bCs/>
          <w:color w:val="000000" w:themeColor="text1"/>
          <w:sz w:val="28"/>
          <w:szCs w:val="28"/>
          <w:lang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94B9C28">
      <w:pPr>
        <w:numPr>
          <w:ilvl w:val="0"/>
          <w:numId w:val="4"/>
        </w:numPr>
        <w:spacing w:line="360" w:lineRule="auto"/>
        <w:jc w:val="center"/>
        <w:outlineLvl w:val="0"/>
        <w:rPr>
          <w:rFonts w:hint="eastAsia" w:ascii="宋体" w:hAnsi="宋体" w:eastAsia="宋体" w:cs="宋体"/>
          <w:b/>
          <w:bCs/>
          <w:sz w:val="28"/>
          <w:szCs w:val="28"/>
          <w:lang w:eastAsia="zh-CN"/>
        </w:rPr>
      </w:pPr>
      <w:bookmarkStart w:id="0" w:name="_Toc12496"/>
      <w:r>
        <w:rPr>
          <w:rFonts w:hint="eastAsia" w:ascii="宋体" w:hAnsi="宋体" w:eastAsia="宋体" w:cs="宋体"/>
          <w:b/>
          <w:bCs/>
          <w:sz w:val="28"/>
          <w:szCs w:val="28"/>
          <w:lang w:eastAsia="zh-CN"/>
        </w:rPr>
        <w:t>建设项目基本情况</w:t>
      </w:r>
      <w:bookmarkEnd w:id="0"/>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726"/>
        <w:gridCol w:w="1979"/>
        <w:gridCol w:w="2250"/>
        <w:gridCol w:w="2386"/>
      </w:tblGrid>
      <w:tr w14:paraId="5E47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76937832">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bCs/>
                <w:sz w:val="24"/>
                <w:szCs w:val="24"/>
                <w:vertAlign w:val="baseline"/>
                <w:lang w:eastAsia="zh-CN"/>
              </w:rPr>
            </w:pPr>
            <w:r>
              <w:rPr>
                <w:rFonts w:hint="eastAsia" w:ascii="宋体" w:hAnsi="宋体" w:eastAsia="宋体" w:cs="宋体"/>
                <w:b w:val="0"/>
                <w:bCs w:val="0"/>
                <w:sz w:val="24"/>
                <w:szCs w:val="24"/>
                <w:vertAlign w:val="baseline"/>
                <w:lang w:eastAsia="zh-CN"/>
              </w:rPr>
              <w:t>建设项目名称</w:t>
            </w:r>
          </w:p>
        </w:tc>
        <w:tc>
          <w:tcPr>
            <w:tcW w:w="6615" w:type="dxa"/>
            <w:gridSpan w:val="3"/>
            <w:vAlign w:val="center"/>
          </w:tcPr>
          <w:p w14:paraId="066024CF">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default" w:ascii="Times New Roman" w:hAnsi="Times New Roman" w:eastAsia="宋体" w:cs="Times New Roman"/>
                <w:b w:val="0"/>
                <w:bCs w:val="0"/>
                <w:color w:val="auto"/>
                <w:kern w:val="2"/>
                <w:sz w:val="24"/>
                <w:szCs w:val="24"/>
                <w:lang w:val="en-US" w:eastAsia="zh-CN" w:bidi="ar-SA"/>
              </w:rPr>
              <w:t>芒市</w:t>
            </w:r>
            <w:r>
              <w:rPr>
                <w:rFonts w:hint="eastAsia" w:ascii="Times New Roman" w:hAnsi="Times New Roman" w:eastAsia="宋体" w:cs="Times New Roman"/>
                <w:b w:val="0"/>
                <w:bCs w:val="0"/>
                <w:color w:val="auto"/>
                <w:kern w:val="2"/>
                <w:sz w:val="24"/>
                <w:szCs w:val="24"/>
                <w:lang w:val="en-US" w:eastAsia="zh-CN" w:bidi="ar-SA"/>
              </w:rPr>
              <w:t>芒</w:t>
            </w:r>
            <w:r>
              <w:rPr>
                <w:rFonts w:hint="default" w:ascii="Times New Roman" w:hAnsi="Times New Roman" w:eastAsia="宋体" w:cs="Times New Roman"/>
                <w:b w:val="0"/>
                <w:bCs w:val="0"/>
                <w:color w:val="auto"/>
                <w:kern w:val="2"/>
                <w:sz w:val="24"/>
                <w:szCs w:val="24"/>
                <w:lang w:val="en-US" w:eastAsia="zh-CN" w:bidi="ar-SA"/>
              </w:rPr>
              <w:t>东光伏发电项目</w:t>
            </w:r>
          </w:p>
        </w:tc>
      </w:tr>
      <w:tr w14:paraId="436D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40ACC8B6">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项目代码</w:t>
            </w:r>
          </w:p>
        </w:tc>
        <w:tc>
          <w:tcPr>
            <w:tcW w:w="6615" w:type="dxa"/>
            <w:gridSpan w:val="3"/>
            <w:vAlign w:val="center"/>
          </w:tcPr>
          <w:p w14:paraId="558B6D61">
            <w:pPr>
              <w:keepNext w:val="0"/>
              <w:keepLines w:val="0"/>
              <w:widowControl/>
              <w:suppressLineNumbers w:val="0"/>
              <w:spacing w:before="0" w:beforeAutospacing="0" w:after="0" w:afterAutospacing="0"/>
              <w:ind w:left="0" w:right="0"/>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2208-533103-04-01-786776</w:t>
            </w:r>
          </w:p>
        </w:tc>
      </w:tr>
      <w:tr w14:paraId="4945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0C7123BC">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建设单位联系人</w:t>
            </w:r>
          </w:p>
        </w:tc>
        <w:tc>
          <w:tcPr>
            <w:tcW w:w="1979" w:type="dxa"/>
            <w:vAlign w:val="center"/>
          </w:tcPr>
          <w:p w14:paraId="6857D6F0">
            <w:pPr>
              <w:keepNext w:val="0"/>
              <w:keepLines w:val="0"/>
              <w:numPr>
                <w:ilvl w:val="0"/>
                <w:numId w:val="0"/>
              </w:numPr>
              <w:suppressLineNumbers w:val="0"/>
              <w:spacing w:before="0" w:beforeAutospacing="0" w:after="0" w:afterAutospacing="0" w:line="360" w:lineRule="auto"/>
              <w:ind w:left="0" w:right="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艾如意</w:t>
            </w:r>
          </w:p>
        </w:tc>
        <w:tc>
          <w:tcPr>
            <w:tcW w:w="2250" w:type="dxa"/>
            <w:vAlign w:val="center"/>
          </w:tcPr>
          <w:p w14:paraId="6C3644A7">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联系方式</w:t>
            </w:r>
          </w:p>
        </w:tc>
        <w:tc>
          <w:tcPr>
            <w:tcW w:w="2386" w:type="dxa"/>
            <w:vAlign w:val="center"/>
          </w:tcPr>
          <w:p w14:paraId="42C6FE44">
            <w:pPr>
              <w:keepNext w:val="0"/>
              <w:keepLines w:val="0"/>
              <w:numPr>
                <w:ilvl w:val="0"/>
                <w:numId w:val="0"/>
              </w:numPr>
              <w:suppressLineNumbers w:val="0"/>
              <w:spacing w:before="0" w:beforeAutospacing="0" w:after="0" w:afterAutospacing="0" w:line="360" w:lineRule="auto"/>
              <w:ind w:left="0" w:right="0"/>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186</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79</w:t>
            </w:r>
          </w:p>
        </w:tc>
      </w:tr>
      <w:tr w14:paraId="7532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6D3D1E9B">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建设地点</w:t>
            </w:r>
          </w:p>
        </w:tc>
        <w:tc>
          <w:tcPr>
            <w:tcW w:w="6615" w:type="dxa"/>
            <w:gridSpan w:val="3"/>
            <w:vAlign w:val="center"/>
          </w:tcPr>
          <w:p w14:paraId="2B7EA748">
            <w:pPr>
              <w:keepNext w:val="0"/>
              <w:keepLines w:val="0"/>
              <w:widowControl/>
              <w:suppressLineNumbers w:val="0"/>
              <w:spacing w:before="0" w:beforeAutospacing="0" w:after="0" w:afterAutospacing="0"/>
              <w:ind w:left="0" w:right="0"/>
              <w:jc w:val="center"/>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云南省德宏州芒市江东乡河头村</w:t>
            </w:r>
          </w:p>
        </w:tc>
      </w:tr>
      <w:tr w14:paraId="3EF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140B3D26">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地理坐标</w:t>
            </w:r>
          </w:p>
        </w:tc>
        <w:tc>
          <w:tcPr>
            <w:tcW w:w="6615" w:type="dxa"/>
            <w:gridSpan w:val="3"/>
            <w:vAlign w:val="center"/>
          </w:tcPr>
          <w:p w14:paraId="45FC28E6">
            <w:pPr>
              <w:keepNext w:val="0"/>
              <w:keepLines w:val="0"/>
              <w:numPr>
                <w:ilvl w:val="0"/>
                <w:numId w:val="0"/>
              </w:numPr>
              <w:suppressLineNumbers w:val="0"/>
              <w:spacing w:before="0" w:beforeAutospacing="0" w:after="0" w:afterAutospacing="0" w:line="360" w:lineRule="auto"/>
              <w:ind w:left="0" w:right="0"/>
              <w:jc w:val="both"/>
              <w:rPr>
                <w:rFonts w:hint="default"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u w:val="none"/>
                <w:lang w:eastAsia="zh-CN"/>
                <w14:textFill>
                  <w14:solidFill>
                    <w14:schemeClr w14:val="tx1"/>
                  </w14:solidFill>
                </w14:textFill>
              </w:rPr>
              <w:t>东经</w:t>
            </w:r>
            <w:r>
              <w:rPr>
                <w:rFonts w:hint="eastAsia" w:ascii="Times New Roman" w:hAnsi="Times New Roman"/>
                <w:color w:val="000000" w:themeColor="text1"/>
                <w:sz w:val="24"/>
                <w:u w:val="single"/>
                <w:lang w:val="en-US" w:eastAsia="zh-CN"/>
                <w14:textFill>
                  <w14:solidFill>
                    <w14:schemeClr w14:val="tx1"/>
                  </w14:solidFill>
                </w14:textFill>
              </w:rPr>
              <w:t>98</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20</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41.550</w:t>
            </w:r>
            <w:r>
              <w:rPr>
                <w:rFonts w:hint="default" w:ascii="Times New Roman" w:hAnsi="Times New Roman"/>
                <w:color w:val="000000" w:themeColor="text1"/>
                <w:sz w:val="24"/>
                <w:u w:val="single"/>
                <w14:textFill>
                  <w14:solidFill>
                    <w14:schemeClr w14:val="tx1"/>
                  </w14:solidFill>
                </w14:textFill>
              </w:rPr>
              <w:t xml:space="preserve"> </w:t>
            </w:r>
            <w:r>
              <w:rPr>
                <w:rFonts w:hint="default"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98</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23</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25.880</w:t>
            </w:r>
            <w:r>
              <w:rPr>
                <w:rFonts w:hint="default" w:ascii="Times New Roman" w:hAnsi="Times New Roman"/>
                <w:color w:val="000000" w:themeColor="text1"/>
                <w:sz w:val="24"/>
                <w14:textFill>
                  <w14:solidFill>
                    <w14:schemeClr w14:val="tx1"/>
                  </w14:solidFill>
                </w14:textFill>
              </w:rPr>
              <w:t>秒，</w:t>
            </w:r>
          </w:p>
          <w:p w14:paraId="7CF3DEE0">
            <w:pPr>
              <w:keepNext w:val="0"/>
              <w:keepLines w:val="0"/>
              <w:numPr>
                <w:ilvl w:val="0"/>
                <w:numId w:val="0"/>
              </w:numPr>
              <w:suppressLineNumbers w:val="0"/>
              <w:spacing w:before="0" w:beforeAutospacing="0" w:after="0" w:afterAutospacing="0" w:line="360" w:lineRule="auto"/>
              <w:ind w:left="0" w:right="0"/>
              <w:jc w:val="both"/>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北纬</w:t>
            </w:r>
            <w:r>
              <w:rPr>
                <w:rFonts w:hint="eastAsia" w:ascii="Times New Roman" w:hAnsi="Times New Roman"/>
                <w:color w:val="000000" w:themeColor="text1"/>
                <w:sz w:val="24"/>
                <w:u w:val="single"/>
                <w:lang w:val="en-US" w:eastAsia="zh-CN"/>
                <w14:textFill>
                  <w14:solidFill>
                    <w14:schemeClr w14:val="tx1"/>
                  </w14:solidFill>
                </w14:textFill>
              </w:rPr>
              <w:t>24</w:t>
            </w:r>
            <w:r>
              <w:rPr>
                <w:rFonts w:hint="default" w:ascii="Times New Roman" w:hAnsi="Times New Roman"/>
                <w:color w:val="000000" w:themeColor="text1"/>
                <w:sz w:val="24"/>
                <w14:textFill>
                  <w14:solidFill>
                    <w14:schemeClr w14:val="tx1"/>
                  </w14:solidFill>
                </w14:textFill>
              </w:rPr>
              <w:t>度</w:t>
            </w:r>
            <w:r>
              <w:rPr>
                <w:rFonts w:hint="eastAsia" w:ascii="Times New Roman" w:hAnsi="Times New Roman"/>
                <w:color w:val="000000" w:themeColor="text1"/>
                <w:sz w:val="24"/>
                <w:u w:val="single"/>
                <w:lang w:val="en-US" w:eastAsia="zh-CN"/>
                <w14:textFill>
                  <w14:solidFill>
                    <w14:schemeClr w14:val="tx1"/>
                  </w14:solidFill>
                </w14:textFill>
              </w:rPr>
              <w:t>27</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18.980</w:t>
            </w:r>
            <w:r>
              <w:rPr>
                <w:rFonts w:hint="default"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24</w:t>
            </w:r>
            <w:r>
              <w:rPr>
                <w:rFonts w:hint="default" w:ascii="Times New Roman" w:hAnsi="Times New Roman"/>
                <w:color w:val="000000" w:themeColor="text1"/>
                <w:sz w:val="24"/>
                <w14:textFill>
                  <w14:solidFill>
                    <w14:schemeClr w14:val="tx1"/>
                  </w14:solidFill>
                </w14:textFill>
              </w:rPr>
              <w:t>度</w:t>
            </w:r>
            <w:r>
              <w:rPr>
                <w:rFonts w:hint="default"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29</w:t>
            </w:r>
            <w:r>
              <w:rPr>
                <w:rFonts w:hint="default"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12.650秒。</w:t>
            </w:r>
          </w:p>
        </w:tc>
      </w:tr>
      <w:tr w14:paraId="223B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7E4F839F">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建设项目</w:t>
            </w:r>
          </w:p>
          <w:p w14:paraId="130253AA">
            <w:pPr>
              <w:keepNext w:val="0"/>
              <w:keepLines w:val="0"/>
              <w:numPr>
                <w:ilvl w:val="0"/>
                <w:numId w:val="0"/>
              </w:numPr>
              <w:suppressLineNumbers w:val="0"/>
              <w:spacing w:before="0" w:beforeAutospacing="0" w:after="0" w:afterAutospacing="0" w:line="360" w:lineRule="auto"/>
              <w:ind w:left="0" w:right="0"/>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行业类别</w:t>
            </w:r>
          </w:p>
        </w:tc>
        <w:tc>
          <w:tcPr>
            <w:tcW w:w="1979" w:type="dxa"/>
            <w:vAlign w:val="center"/>
          </w:tcPr>
          <w:p w14:paraId="15E75C82">
            <w:pPr>
              <w:keepNext w:val="0"/>
              <w:keepLines w:val="0"/>
              <w:suppressLineNumbers w:val="0"/>
              <w:spacing w:before="0" w:beforeAutospacing="0" w:after="0" w:afterAutospacing="0" w:line="240" w:lineRule="auto"/>
              <w:ind w:left="0" w:right="0"/>
              <w:jc w:val="both"/>
              <w:rPr>
                <w:rFonts w:hint="default"/>
                <w:lang w:val="en-US" w:eastAsia="zh-CN"/>
              </w:rPr>
            </w:pPr>
            <w:r>
              <w:rPr>
                <w:rFonts w:hint="eastAsia" w:ascii="Times New Roman" w:hAnsi="Times New Roman" w:eastAsia="宋体" w:cs="Times New Roman"/>
                <w:sz w:val="24"/>
                <w:szCs w:val="24"/>
                <w:lang w:val="en-US" w:eastAsia="zh-CN"/>
              </w:rPr>
              <w:t>四十一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电力、热力生产和供应业-90太阳能发电4416（不含居民家用光伏发电）</w:t>
            </w:r>
          </w:p>
        </w:tc>
        <w:tc>
          <w:tcPr>
            <w:tcW w:w="2250" w:type="dxa"/>
            <w:vAlign w:val="center"/>
          </w:tcPr>
          <w:p w14:paraId="0BE9B3CC">
            <w:pPr>
              <w:keepNext w:val="0"/>
              <w:keepLines w:val="0"/>
              <w:numPr>
                <w:ilvl w:val="0"/>
                <w:numId w:val="0"/>
              </w:numPr>
              <w:suppressLineNumbers w:val="0"/>
              <w:spacing w:before="0" w:beforeAutospacing="0" w:after="0" w:afterAutospacing="0" w:line="240" w:lineRule="auto"/>
              <w:ind w:left="0" w:right="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color w:val="auto"/>
                <w:sz w:val="24"/>
                <w:szCs w:val="24"/>
                <w:vertAlign w:val="baseline"/>
                <w:lang w:eastAsia="zh-CN"/>
              </w:rPr>
              <w:t>用地（用海）面积</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/长度（km）</w:t>
            </w:r>
          </w:p>
        </w:tc>
        <w:tc>
          <w:tcPr>
            <w:tcW w:w="2386" w:type="dxa"/>
            <w:vAlign w:val="center"/>
          </w:tcPr>
          <w:p w14:paraId="4233DD1A">
            <w:pPr>
              <w:keepNext w:val="0"/>
              <w:keepLines w:val="0"/>
              <w:numPr>
                <w:ilvl w:val="0"/>
                <w:numId w:val="0"/>
              </w:numPr>
              <w:suppressLineNumbers w:val="0"/>
              <w:spacing w:before="0" w:beforeAutospacing="0" w:after="0" w:afterAutospacing="0" w:line="240" w:lineRule="auto"/>
              <w:ind w:left="0" w:right="0" w:firstLine="720" w:firstLineChars="300"/>
              <w:jc w:val="both"/>
              <w:rPr>
                <w:rFonts w:hint="default" w:ascii="宋体" w:hAnsi="宋体" w:eastAsia="宋体" w:cs="宋体"/>
                <w:b w:val="0"/>
                <w:bCs w:val="0"/>
                <w:sz w:val="24"/>
                <w:szCs w:val="24"/>
                <w:vertAlign w:val="baseline"/>
                <w:lang w:val="en-US" w:eastAsia="zh-CN"/>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470679.05</w:t>
            </w:r>
          </w:p>
        </w:tc>
      </w:tr>
      <w:tr w14:paraId="08EF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56CF95F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建设性质</w:t>
            </w:r>
          </w:p>
        </w:tc>
        <w:tc>
          <w:tcPr>
            <w:tcW w:w="1979" w:type="dxa"/>
            <w:vAlign w:val="center"/>
          </w:tcPr>
          <w:p w14:paraId="52D4EFBA">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新建（迁建）</w:t>
            </w:r>
          </w:p>
          <w:p w14:paraId="5EA36CAE">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改建</w:t>
            </w:r>
          </w:p>
          <w:p w14:paraId="437EFB9B">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扩建</w:t>
            </w:r>
          </w:p>
          <w:p w14:paraId="3BA403B3">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eastAsia="zh-CN"/>
              </w:rPr>
              <w:t>□</w:t>
            </w:r>
            <w:r>
              <w:rPr>
                <w:rFonts w:hint="default" w:ascii="Times New Roman" w:hAnsi="宋体"/>
                <w:color w:val="000000"/>
                <w:sz w:val="24"/>
              </w:rPr>
              <w:t>技术改造</w:t>
            </w:r>
          </w:p>
        </w:tc>
        <w:tc>
          <w:tcPr>
            <w:tcW w:w="2250" w:type="dxa"/>
            <w:vAlign w:val="center"/>
          </w:tcPr>
          <w:p w14:paraId="682BA422">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宋体"/>
                <w:color w:val="000000"/>
                <w:sz w:val="24"/>
              </w:rPr>
              <w:t>建设项目</w:t>
            </w:r>
          </w:p>
          <w:p w14:paraId="61C1C63F">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申报情形</w:t>
            </w:r>
          </w:p>
        </w:tc>
        <w:tc>
          <w:tcPr>
            <w:tcW w:w="2386" w:type="dxa"/>
            <w:vAlign w:val="center"/>
          </w:tcPr>
          <w:p w14:paraId="7F9A8B32">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eastAsia" w:ascii="Times New Roman" w:hAnsi="Times New Roman"/>
                <w:color w:val="000000"/>
                <w:sz w:val="24"/>
                <w:lang w:eastAsia="zh-CN"/>
              </w:rPr>
              <w:t>☑</w:t>
            </w:r>
            <w:r>
              <w:rPr>
                <w:rFonts w:hint="default" w:ascii="Times New Roman" w:hAnsi="宋体"/>
                <w:color w:val="000000"/>
                <w:sz w:val="24"/>
              </w:rPr>
              <w:t>首次申报项目</w:t>
            </w:r>
          </w:p>
          <w:p w14:paraId="33A9EAD1">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Times New Roman"/>
                <w:color w:val="000000"/>
                <w:sz w:val="24"/>
              </w:rPr>
              <w:t>□</w:t>
            </w:r>
            <w:r>
              <w:rPr>
                <w:rFonts w:hint="default" w:ascii="Times New Roman" w:hAnsi="宋体"/>
                <w:color w:val="000000"/>
                <w:sz w:val="24"/>
              </w:rPr>
              <w:t>不予批准后再次申报项目</w:t>
            </w:r>
          </w:p>
          <w:p w14:paraId="6AA06BEB">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olor w:val="000000"/>
                <w:sz w:val="24"/>
              </w:rPr>
            </w:pPr>
            <w:r>
              <w:rPr>
                <w:rFonts w:hint="default" w:ascii="Times New Roman" w:hAnsi="Times New Roman"/>
                <w:color w:val="000000"/>
                <w:sz w:val="24"/>
              </w:rPr>
              <w:t>□</w:t>
            </w:r>
            <w:r>
              <w:rPr>
                <w:rFonts w:hint="default" w:ascii="Times New Roman" w:hAnsi="宋体"/>
                <w:color w:val="000000"/>
                <w:sz w:val="24"/>
              </w:rPr>
              <w:t>超五年重新审核项目</w:t>
            </w:r>
          </w:p>
          <w:p w14:paraId="292504E6">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Theme="minorEastAsia" w:cstheme="minorBidi"/>
                <w:color w:val="000000"/>
                <w:kern w:val="2"/>
                <w:sz w:val="24"/>
                <w:szCs w:val="24"/>
                <w:lang w:val="en-US" w:eastAsia="zh-CN" w:bidi="ar-SA"/>
              </w:rPr>
            </w:pPr>
            <w:r>
              <w:rPr>
                <w:rFonts w:hint="default" w:ascii="Times New Roman" w:hAnsi="Times New Roman"/>
                <w:color w:val="000000"/>
                <w:sz w:val="24"/>
              </w:rPr>
              <w:t>□</w:t>
            </w:r>
            <w:r>
              <w:rPr>
                <w:rFonts w:hint="default" w:ascii="Times New Roman" w:hAnsi="宋体"/>
                <w:color w:val="000000"/>
                <w:sz w:val="24"/>
              </w:rPr>
              <w:t>重大变动重新报批项目</w:t>
            </w:r>
          </w:p>
        </w:tc>
      </w:tr>
      <w:tr w14:paraId="00D9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6972AD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sz w:val="24"/>
              </w:rPr>
            </w:pPr>
            <w:r>
              <w:rPr>
                <w:rFonts w:hint="default" w:ascii="Times New Roman" w:hAnsi="宋体"/>
                <w:color w:val="000000"/>
                <w:sz w:val="24"/>
              </w:rPr>
              <w:t>项目审批（核准</w:t>
            </w:r>
            <w:r>
              <w:rPr>
                <w:rFonts w:hint="default" w:ascii="Times New Roman" w:hAnsi="Times New Roman"/>
                <w:color w:val="000000"/>
                <w:sz w:val="24"/>
              </w:rPr>
              <w:t>/</w:t>
            </w:r>
          </w:p>
          <w:p w14:paraId="43CF19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备案）部门（选填）</w:t>
            </w:r>
          </w:p>
        </w:tc>
        <w:tc>
          <w:tcPr>
            <w:tcW w:w="1979" w:type="dxa"/>
            <w:vAlign w:val="center"/>
          </w:tcPr>
          <w:p w14:paraId="2D81A7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芒市发展和改革局</w:t>
            </w:r>
          </w:p>
          <w:p w14:paraId="5616FD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Theme="minorEastAsia" w:cstheme="minorBidi"/>
                <w:color w:val="000000"/>
                <w:kern w:val="2"/>
                <w:sz w:val="24"/>
                <w:szCs w:val="24"/>
                <w:lang w:val="en-US" w:eastAsia="zh-CN" w:bidi="ar-SA"/>
              </w:rPr>
            </w:pPr>
          </w:p>
        </w:tc>
        <w:tc>
          <w:tcPr>
            <w:tcW w:w="2250" w:type="dxa"/>
            <w:vAlign w:val="center"/>
          </w:tcPr>
          <w:p w14:paraId="4D2F9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sz w:val="24"/>
              </w:rPr>
            </w:pPr>
            <w:r>
              <w:rPr>
                <w:rFonts w:hint="default" w:ascii="Times New Roman" w:hAnsi="宋体"/>
                <w:color w:val="000000"/>
                <w:sz w:val="24"/>
              </w:rPr>
              <w:t>项目审批（核准</w:t>
            </w:r>
            <w:r>
              <w:rPr>
                <w:rFonts w:hint="default" w:ascii="Times New Roman" w:hAnsi="Times New Roman"/>
                <w:color w:val="000000"/>
                <w:sz w:val="24"/>
              </w:rPr>
              <w:t>/</w:t>
            </w:r>
          </w:p>
          <w:p w14:paraId="28D024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备案）文号（选填）</w:t>
            </w:r>
          </w:p>
        </w:tc>
        <w:tc>
          <w:tcPr>
            <w:tcW w:w="2386" w:type="dxa"/>
            <w:vAlign w:val="center"/>
          </w:tcPr>
          <w:p w14:paraId="1639F4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w:t>
            </w:r>
          </w:p>
        </w:tc>
      </w:tr>
      <w:tr w14:paraId="31E5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07" w:type="dxa"/>
            <w:gridSpan w:val="2"/>
            <w:vAlign w:val="center"/>
          </w:tcPr>
          <w:p w14:paraId="289ED3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000000"/>
                <w:sz w:val="24"/>
              </w:rPr>
              <w:t>总投资（万元）</w:t>
            </w:r>
          </w:p>
        </w:tc>
        <w:tc>
          <w:tcPr>
            <w:tcW w:w="1979" w:type="dxa"/>
            <w:vAlign w:val="center"/>
          </w:tcPr>
          <w:p w14:paraId="7163F2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10800</w:t>
            </w:r>
          </w:p>
        </w:tc>
        <w:tc>
          <w:tcPr>
            <w:tcW w:w="2250" w:type="dxa"/>
            <w:vAlign w:val="center"/>
          </w:tcPr>
          <w:p w14:paraId="67C128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环保投资（万元）</w:t>
            </w:r>
          </w:p>
        </w:tc>
        <w:tc>
          <w:tcPr>
            <w:tcW w:w="2386" w:type="dxa"/>
            <w:vAlign w:val="center"/>
          </w:tcPr>
          <w:p w14:paraId="64860E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199</w:t>
            </w:r>
          </w:p>
        </w:tc>
      </w:tr>
      <w:tr w14:paraId="2104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12A3CB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环保投资占比（</w:t>
            </w:r>
            <w:r>
              <w:rPr>
                <w:rFonts w:hint="default" w:ascii="Times New Roman" w:hAnsi="Times New Roman"/>
                <w:color w:val="auto"/>
                <w:sz w:val="24"/>
              </w:rPr>
              <w:t>%</w:t>
            </w:r>
            <w:r>
              <w:rPr>
                <w:rFonts w:hint="default" w:ascii="Times New Roman" w:hAnsi="宋体"/>
                <w:color w:val="auto"/>
                <w:sz w:val="24"/>
              </w:rPr>
              <w:t>）</w:t>
            </w:r>
          </w:p>
        </w:tc>
        <w:tc>
          <w:tcPr>
            <w:tcW w:w="1979" w:type="dxa"/>
            <w:vAlign w:val="center"/>
          </w:tcPr>
          <w:p w14:paraId="3266AB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1.8</w:t>
            </w:r>
          </w:p>
        </w:tc>
        <w:tc>
          <w:tcPr>
            <w:tcW w:w="2250" w:type="dxa"/>
            <w:vAlign w:val="center"/>
          </w:tcPr>
          <w:p w14:paraId="7BA7E7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default" w:ascii="Times New Roman" w:hAnsi="宋体"/>
                <w:color w:val="auto"/>
                <w:sz w:val="24"/>
              </w:rPr>
              <w:t>施工工期</w:t>
            </w:r>
          </w:p>
        </w:tc>
        <w:tc>
          <w:tcPr>
            <w:tcW w:w="2386" w:type="dxa"/>
            <w:vAlign w:val="center"/>
          </w:tcPr>
          <w:p w14:paraId="12B19B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6个月</w:t>
            </w:r>
          </w:p>
        </w:tc>
      </w:tr>
      <w:tr w14:paraId="36B0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gridSpan w:val="2"/>
            <w:vAlign w:val="center"/>
          </w:tcPr>
          <w:p w14:paraId="0732BA48">
            <w:pPr>
              <w:keepNext w:val="0"/>
              <w:keepLines w:val="0"/>
              <w:suppressLineNumbers w:val="0"/>
              <w:adjustRightInd w:val="0"/>
              <w:snapToGrid w:val="0"/>
              <w:spacing w:before="0" w:beforeAutospacing="0" w:after="0" w:afterAutospacing="0"/>
              <w:ind w:left="0" w:right="0"/>
              <w:jc w:val="center"/>
              <w:rPr>
                <w:rFonts w:hint="default" w:ascii="Times New Roman" w:hAnsi="宋体"/>
                <w:color w:val="000000"/>
                <w:sz w:val="24"/>
              </w:rPr>
            </w:pPr>
            <w:r>
              <w:rPr>
                <w:rFonts w:hint="default" w:ascii="Times New Roman" w:hAnsi="宋体"/>
                <w:color w:val="000000"/>
                <w:sz w:val="24"/>
              </w:rPr>
              <w:t>是否开工建设</w:t>
            </w:r>
          </w:p>
        </w:tc>
        <w:tc>
          <w:tcPr>
            <w:tcW w:w="6615" w:type="dxa"/>
            <w:gridSpan w:val="3"/>
            <w:vAlign w:val="center"/>
          </w:tcPr>
          <w:p w14:paraId="33EA3697">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Theme="minorEastAsia"/>
                <w:color w:val="000000"/>
                <w:sz w:val="24"/>
                <w:lang w:eastAsia="zh-CN"/>
              </w:rPr>
            </w:pPr>
            <w:r>
              <w:rPr>
                <w:rFonts w:hint="default" w:ascii="Times New Roman" w:hAnsi="Times New Roman"/>
                <w:color w:val="000000"/>
                <w:sz w:val="24"/>
              </w:rPr>
              <w:sym w:font="Wingdings 2" w:char="0052"/>
            </w:r>
            <w:r>
              <w:rPr>
                <w:rFonts w:hint="default" w:ascii="Times New Roman" w:hAnsi="宋体"/>
                <w:color w:val="000000"/>
                <w:sz w:val="24"/>
              </w:rPr>
              <w:t>否</w:t>
            </w:r>
          </w:p>
          <w:p w14:paraId="41E75222">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Theme="minorEastAsia"/>
                <w:color w:val="000000"/>
                <w:sz w:val="24"/>
                <w:lang w:val="en-US" w:eastAsia="zh-CN"/>
              </w:rPr>
            </w:pPr>
            <w:r>
              <w:rPr>
                <w:rFonts w:hint="eastAsia" w:ascii="Times New Roman" w:hAnsi="Times New Roman"/>
                <w:color w:val="000000"/>
                <w:sz w:val="24"/>
                <w:lang w:eastAsia="zh-CN"/>
              </w:rPr>
              <w:t>□</w:t>
            </w:r>
            <w:r>
              <w:rPr>
                <w:rFonts w:hint="default" w:ascii="Times New Roman" w:hAnsi="宋体"/>
                <w:color w:val="000000"/>
                <w:sz w:val="24"/>
              </w:rPr>
              <w:t>是：</w:t>
            </w:r>
            <w:r>
              <w:rPr>
                <w:rFonts w:hint="eastAsia" w:ascii="Times New Roman" w:hAnsi="宋体"/>
                <w:color w:val="000000"/>
                <w:sz w:val="24"/>
                <w:u w:val="single"/>
                <w:lang w:val="en-US" w:eastAsia="zh-CN"/>
              </w:rPr>
              <w:t xml:space="preserve">                     </w:t>
            </w:r>
          </w:p>
        </w:tc>
      </w:tr>
      <w:tr w14:paraId="6F7F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5CB5CA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000000"/>
                <w:kern w:val="0"/>
                <w:sz w:val="24"/>
              </w:rPr>
              <w:t>专项评价设置情况</w:t>
            </w:r>
          </w:p>
        </w:tc>
        <w:tc>
          <w:tcPr>
            <w:tcW w:w="7341" w:type="dxa"/>
            <w:gridSpan w:val="4"/>
            <w:vAlign w:val="center"/>
          </w:tcPr>
          <w:p w14:paraId="191FC071">
            <w:pPr>
              <w:pStyle w:val="5"/>
              <w:numPr>
                <w:ilvl w:val="3"/>
                <w:numId w:val="0"/>
              </w:numPr>
              <w:suppressLineNumbers w:val="0"/>
              <w:spacing w:beforeAutospacing="0" w:afterAutospacing="0"/>
              <w:ind w:leftChars="0" w:right="0"/>
              <w:rPr>
                <w:rFonts w:hint="default"/>
                <w:lang w:val="en-US" w:eastAsia="zh-CN"/>
              </w:rPr>
            </w:pPr>
            <w:r>
              <w:rPr>
                <w:rFonts w:hint="eastAsia" w:ascii="宋体" w:hAnsi="宋体" w:eastAsia="宋体" w:cs="宋体"/>
                <w:b w:val="0"/>
                <w:bCs/>
                <w:lang w:val="en-US" w:eastAsia="zh-CN"/>
              </w:rPr>
              <w:t>本项目专项评价设置原则见表1-1。</w:t>
            </w:r>
          </w:p>
          <w:p w14:paraId="5C34CD3B">
            <w:pPr>
              <w:keepNext w:val="0"/>
              <w:keepLines w:val="0"/>
              <w:widowControl w:val="0"/>
              <w:suppressLineNumbers w:val="0"/>
              <w:autoSpaceDE w:val="0"/>
              <w:autoSpaceDN w:val="0"/>
              <w:spacing w:before="0" w:beforeAutospacing="0" w:after="0" w:afterAutospacing="0" w:line="360" w:lineRule="auto"/>
              <w:ind w:left="0" w:right="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表</w:t>
            </w:r>
            <w:r>
              <w:rPr>
                <w:rFonts w:hint="default" w:ascii="Times New Roman" w:hAnsi="Times New Roman" w:eastAsia="宋体" w:cs="Times New Roman"/>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专项评价设置原则表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4"/>
              <w:gridCol w:w="2814"/>
              <w:gridCol w:w="1546"/>
              <w:gridCol w:w="1808"/>
            </w:tblGrid>
            <w:tr w14:paraId="4D8C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4"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62A84066">
                  <w:pPr>
                    <w:pStyle w:val="24"/>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专项评价的类别</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301F26C2">
                  <w:pPr>
                    <w:pStyle w:val="24"/>
                    <w:keepNext w:val="0"/>
                    <w:keepLines w:val="0"/>
                    <w:widowControl w:val="0"/>
                    <w:suppressLineNumbers w:val="0"/>
                    <w:spacing w:before="0" w:beforeAutospacing="0" w:after="0" w:afterAutospacing="0" w:line="240" w:lineRule="atLeast"/>
                    <w:ind w:left="0" w:right="0"/>
                    <w:jc w:val="center"/>
                    <w:rPr>
                      <w:rFonts w:hint="default"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设计项目类别</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134D1DAD">
                  <w:pPr>
                    <w:pStyle w:val="24"/>
                    <w:keepNext w:val="0"/>
                    <w:keepLines w:val="0"/>
                    <w:widowControl w:val="0"/>
                    <w:suppressLineNumbers w:val="0"/>
                    <w:spacing w:before="0" w:beforeAutospacing="0" w:after="0" w:afterAutospacing="0" w:line="240" w:lineRule="atLeast"/>
                    <w:ind w:left="0" w:right="0"/>
                    <w:jc w:val="center"/>
                    <w:rPr>
                      <w:rFonts w:hint="default"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本项目情况</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61E256F0">
                  <w:pPr>
                    <w:pStyle w:val="24"/>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是否设</w:t>
                  </w:r>
                </w:p>
                <w:p w14:paraId="649AF52F">
                  <w:pPr>
                    <w:pStyle w:val="24"/>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b/>
                      <w:bCs/>
                      <w:kern w:val="2"/>
                      <w:sz w:val="21"/>
                      <w:szCs w:val="21"/>
                      <w:lang w:val="en-US" w:eastAsia="zh-CN"/>
                    </w:rPr>
                  </w:pPr>
                  <w:r>
                    <w:rPr>
                      <w:rFonts w:hint="eastAsia" w:ascii="宋体" w:hAnsi="宋体" w:eastAsia="宋体" w:cs="宋体"/>
                      <w:b/>
                      <w:bCs/>
                      <w:kern w:val="2"/>
                      <w:sz w:val="21"/>
                      <w:szCs w:val="21"/>
                      <w:lang w:val="en-US" w:eastAsia="zh-CN" w:bidi="ar"/>
                    </w:rPr>
                    <w:t>置专项</w:t>
                  </w:r>
                </w:p>
              </w:tc>
            </w:tr>
            <w:tr w14:paraId="0713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3"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42ED785A">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地表水</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377CF0EB">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水力发电：引水式发电、涉及调峰发电的项目；</w:t>
                  </w:r>
                </w:p>
                <w:p w14:paraId="6B69A355">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人工湖、人工湿地：全部；</w:t>
                  </w:r>
                </w:p>
                <w:p w14:paraId="323AF6D5">
                  <w:pPr>
                    <w:pStyle w:val="62"/>
                    <w:keepNext w:val="0"/>
                    <w:keepLines w:val="0"/>
                    <w:suppressLineNumbers w:val="0"/>
                    <w:spacing w:before="0" w:beforeAutospacing="0" w:after="0" w:afterAutospacing="0" w:line="260" w:lineRule="exact"/>
                    <w:ind w:left="0" w:right="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引水工程：全部（配套的管线工程除外）；</w:t>
                  </w:r>
                </w:p>
                <w:p w14:paraId="3078C9C3">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防洪除涝工程：包含水库的项目；</w:t>
                  </w:r>
                </w:p>
                <w:p w14:paraId="008500D4">
                  <w:pPr>
                    <w:pStyle w:val="24"/>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河湖整治：涉及清淤且底泥存在重金属污染的项目。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2A03D05E">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本项目为太阳能发电项目，不涉及地表水专项的内容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08BF35E9">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1CA2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12"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23C456C0">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地下水</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56123DCC">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陆地石油和天然气开采：全部；</w:t>
                  </w:r>
                </w:p>
                <w:p w14:paraId="4CD909E6">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地下水（含矿泉水）开采：全部；</w:t>
                  </w:r>
                </w:p>
                <w:p w14:paraId="335CA614">
                  <w:pPr>
                    <w:pStyle w:val="24"/>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水利、水电、交通等：含穿越可溶盐地层隧道的项目。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3FE231A0">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本项目无涉水工程，不涉及地下水专项的内容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3F226A59">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7604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03118B66">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大气</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0AA5C09A">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油气、液体化工码头：全部；</w:t>
                  </w:r>
                </w:p>
                <w:p w14:paraId="1375E348">
                  <w:pPr>
                    <w:pStyle w:val="24"/>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干散货（含煤炭、矿石）、件杂、多用途、通用码头：设计粉尘、挥发性有机物排放的项目。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28B0D03D">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本项目属于光伏发电项目，不涉及做大气专项内容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2AA68B74">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436D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4"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2DF36E62">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噪声</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553E5536">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公路、铁路、机场等交通运输业涉及环境敏感区（以居住、医疗卫生、文化教育、可研、行政办公为主要功能的区域）的项目；</w:t>
                  </w:r>
                </w:p>
                <w:p w14:paraId="26EECE3B">
                  <w:pPr>
                    <w:pStyle w:val="24"/>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城市道</w:t>
                  </w:r>
                  <w:r>
                    <w:rPr>
                      <w:rFonts w:hint="eastAsia" w:ascii="Times New Roman" w:hAnsi="Times New Roman" w:eastAsia="宋体" w:cs="Times New Roman"/>
                      <w:color w:val="auto"/>
                      <w:sz w:val="21"/>
                      <w:szCs w:val="21"/>
                    </w:rPr>
                    <w:cr/>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cr/>
                  </w:r>
                  <w:r>
                    <w:rPr>
                      <w:rFonts w:hint="eastAsia" w:ascii="Times New Roman" w:hAnsi="Times New Roman" w:eastAsia="宋体" w:cs="Times New Roman"/>
                      <w:color w:val="auto"/>
                      <w:sz w:val="21"/>
                      <w:szCs w:val="21"/>
                    </w:rPr>
                    <w:t>含维护，不含支路、人行天桥、人行地道）：全部。</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002E39C6">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本项目光伏阵区50m范围内无敏感项目，不涉及做噪声专项内容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1BC312CE">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759B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7"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1DC89D6D">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环境风险</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27FD40F3">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石油和天然气开采：全部；</w:t>
                  </w:r>
                </w:p>
                <w:p w14:paraId="0183C918">
                  <w:pPr>
                    <w:pStyle w:val="62"/>
                    <w:keepNext w:val="0"/>
                    <w:keepLines w:val="0"/>
                    <w:suppressLineNumbers w:val="0"/>
                    <w:spacing w:before="0" w:beforeAutospacing="0" w:after="0" w:afterAutospacing="0" w:line="260" w:lineRule="exact"/>
                    <w:ind w:left="0" w:right="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油气、液体化工码头：全部；</w:t>
                  </w:r>
                </w:p>
                <w:p w14:paraId="22A19B31">
                  <w:pPr>
                    <w:pStyle w:val="24"/>
                    <w:keepNext w:val="0"/>
                    <w:keepLines w:val="0"/>
                    <w:widowControl w:val="0"/>
                    <w:suppressLineNumbers w:val="0"/>
                    <w:spacing w:before="0" w:beforeAutospacing="0" w:after="0" w:afterAutospacing="0" w:line="240" w:lineRule="atLeast"/>
                    <w:ind w:left="0" w:right="0"/>
                    <w:jc w:val="both"/>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color w:val="auto"/>
                      <w:sz w:val="21"/>
                      <w:szCs w:val="21"/>
                    </w:rPr>
                    <w:t>原油、成品油、天然气管线（不含城镇天然气管线、企业厂区内管线），危险化学品输送管线（不含企业厂区内管线）：全部。</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51A4899C">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本项目属于太阳能发电项目，不涉及做环境风险专项内容</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4EB8CAB7">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
                    </w:rPr>
                    <w:t>否</w:t>
                  </w:r>
                </w:p>
              </w:tc>
            </w:tr>
            <w:tr w14:paraId="7C07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14:paraId="0DA9F717">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color w:val="auto"/>
                      <w:sz w:val="21"/>
                      <w:szCs w:val="21"/>
                    </w:rPr>
                    <w:t>生态</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14:paraId="737DA65E">
                  <w:pPr>
                    <w:pStyle w:val="24"/>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color w:val="auto"/>
                      <w:sz w:val="21"/>
                      <w:szCs w:val="21"/>
                    </w:rPr>
                    <w:t>涉及环境敏感区（不包括饮用水水源保护区，以居住、医疗卫生、文化教育、可研、行政办公为主要功能的区域，以及文物保护单位）的项目。</w:t>
                  </w:r>
                </w:p>
              </w:tc>
              <w:tc>
                <w:tcPr>
                  <w:tcW w:w="1087" w:type="pct"/>
                  <w:tcBorders>
                    <w:top w:val="single" w:color="auto" w:sz="4" w:space="0"/>
                    <w:left w:val="single" w:color="auto" w:sz="4" w:space="0"/>
                    <w:bottom w:val="single" w:color="auto" w:sz="4" w:space="0"/>
                    <w:right w:val="single" w:color="auto" w:sz="4" w:space="0"/>
                  </w:tcBorders>
                  <w:shd w:val="clear" w:color="auto" w:fill="auto"/>
                  <w:vAlign w:val="center"/>
                </w:tcPr>
                <w:p w14:paraId="7BA6E243">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本项目不涉环境敏感区</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13286803">
                  <w:pPr>
                    <w:pStyle w:val="24"/>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否</w:t>
                  </w:r>
                </w:p>
              </w:tc>
            </w:tr>
            <w:tr w14:paraId="3197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4F15D84">
                  <w:pPr>
                    <w:keepNext w:val="0"/>
                    <w:keepLines w:val="0"/>
                    <w:suppressLineNumbers w:val="0"/>
                    <w:spacing w:before="120" w:beforeLines="50" w:beforeAutospacing="0" w:after="0" w:afterAutospacing="0"/>
                    <w:ind w:left="0" w:right="0" w:firstLine="480"/>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注：“涉及环境敏感区”是指建设项目位于、穿（跨）越（无害化通过的除外）环境敏感区，或环境影响范围涵盖环境敏感区。环境敏感区是指《建设项目环境影响评价分类管理名录》中针对该类项目所列的敏感区。</w:t>
                  </w:r>
                </w:p>
                <w:p w14:paraId="0FC5B37B">
                  <w:pPr>
                    <w:pStyle w:val="24"/>
                    <w:keepNext w:val="0"/>
                    <w:keepLines w:val="0"/>
                    <w:widowControl w:val="0"/>
                    <w:suppressLineNumbers w:val="0"/>
                    <w:spacing w:before="0" w:beforeAutospacing="0" w:after="0" w:afterAutospacing="0" w:line="240" w:lineRule="atLeast"/>
                    <w:ind w:left="0" w:right="0"/>
                    <w:jc w:val="center"/>
                    <w:rPr>
                      <w:rFonts w:hint="eastAsia" w:ascii="宋体" w:hAnsi="Courier New" w:eastAsia="宋体" w:cs="宋体"/>
                      <w:kern w:val="2"/>
                      <w:sz w:val="21"/>
                      <w:szCs w:val="21"/>
                      <w:lang w:val="en-US" w:eastAsia="zh-CN"/>
                    </w:rPr>
                  </w:pPr>
                </w:p>
              </w:tc>
            </w:tr>
          </w:tbl>
          <w:p w14:paraId="3CBCDFC6">
            <w:pPr>
              <w:keepNext w:val="0"/>
              <w:keepLines w:val="0"/>
              <w:suppressLineNumbers w:val="0"/>
              <w:spacing w:before="0" w:beforeAutospacing="0" w:after="0" w:afterAutospacing="0"/>
              <w:ind w:left="0" w:right="0"/>
              <w:rPr>
                <w:rFonts w:hint="default"/>
                <w:lang w:val="en-US" w:eastAsia="zh-CN"/>
              </w:rPr>
            </w:pPr>
          </w:p>
        </w:tc>
      </w:tr>
      <w:tr w14:paraId="10EF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0B38D79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宋体"/>
                <w:color w:val="000000"/>
                <w:kern w:val="0"/>
                <w:sz w:val="24"/>
              </w:rPr>
            </w:pPr>
            <w:r>
              <w:rPr>
                <w:rFonts w:hint="default" w:ascii="Times New Roman" w:hAnsi="宋体"/>
                <w:color w:val="000000"/>
                <w:sz w:val="24"/>
              </w:rPr>
              <w:t>规划情况</w:t>
            </w:r>
          </w:p>
        </w:tc>
        <w:tc>
          <w:tcPr>
            <w:tcW w:w="7341" w:type="dxa"/>
            <w:gridSpan w:val="4"/>
            <w:vAlign w:val="center"/>
          </w:tcPr>
          <w:p w14:paraId="60D6F52A">
            <w:pPr>
              <w:keepNext w:val="0"/>
              <w:keepLines w:val="0"/>
              <w:suppressLineNumbers w:val="0"/>
              <w:spacing w:before="0" w:beforeAutospacing="0" w:after="0" w:afterAutospacing="0" w:line="360" w:lineRule="auto"/>
              <w:ind w:left="0" w:right="0"/>
              <w:jc w:val="center"/>
              <w:rPr>
                <w:rFonts w:hint="default"/>
                <w:color w:val="FF0000"/>
                <w:lang w:val="en-US" w:eastAsia="zh-CN"/>
              </w:rPr>
            </w:pPr>
            <w:r>
              <w:rPr>
                <w:rFonts w:hint="eastAsia"/>
                <w:color w:val="auto"/>
                <w:lang w:val="en-US" w:eastAsia="zh-CN"/>
              </w:rPr>
              <w:t>无</w:t>
            </w:r>
          </w:p>
        </w:tc>
      </w:tr>
      <w:tr w14:paraId="1C16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6ABF0A2B">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eastAsiaTheme="minorEastAsia"/>
                <w:color w:val="000000"/>
                <w:sz w:val="24"/>
                <w:lang w:eastAsia="zh-CN"/>
              </w:rPr>
            </w:pPr>
            <w:r>
              <w:rPr>
                <w:rFonts w:hint="eastAsia" w:ascii="Times New Roman" w:hAnsi="宋体"/>
                <w:color w:val="000000"/>
                <w:sz w:val="24"/>
                <w:lang w:eastAsia="zh-CN"/>
              </w:rPr>
              <w:t>规划环境影响评价情况</w:t>
            </w:r>
          </w:p>
        </w:tc>
        <w:tc>
          <w:tcPr>
            <w:tcW w:w="7341" w:type="dxa"/>
            <w:gridSpan w:val="4"/>
            <w:vAlign w:val="center"/>
          </w:tcPr>
          <w:p w14:paraId="3D33CC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14:paraId="6DF0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5E797098">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宋体"/>
                <w:color w:val="000000"/>
                <w:sz w:val="24"/>
                <w:lang w:eastAsia="zh-CN"/>
              </w:rPr>
            </w:pPr>
            <w:r>
              <w:rPr>
                <w:rFonts w:hint="eastAsia" w:ascii="Times New Roman" w:hAnsi="宋体"/>
                <w:color w:val="000000"/>
                <w:sz w:val="24"/>
                <w:lang w:eastAsia="zh-CN"/>
              </w:rPr>
              <w:t>规划及规划环境影响评价符合性分析</w:t>
            </w:r>
          </w:p>
        </w:tc>
        <w:tc>
          <w:tcPr>
            <w:tcW w:w="7341" w:type="dxa"/>
            <w:gridSpan w:val="4"/>
            <w:vAlign w:val="center"/>
          </w:tcPr>
          <w:p w14:paraId="6025161A">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无</w:t>
            </w:r>
          </w:p>
        </w:tc>
      </w:tr>
      <w:tr w14:paraId="7D29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3F7A57E8">
            <w:pPr>
              <w:keepNext w:val="0"/>
              <w:keepLines w:val="0"/>
              <w:suppressLineNumbers w:val="0"/>
              <w:autoSpaceDE w:val="0"/>
              <w:autoSpaceDN w:val="0"/>
              <w:adjustRightInd w:val="0"/>
              <w:snapToGrid w:val="0"/>
              <w:spacing w:before="0" w:beforeAutospacing="0" w:after="0" w:afterAutospacing="0"/>
              <w:ind w:left="0" w:right="0"/>
              <w:jc w:val="center"/>
              <w:rPr>
                <w:rFonts w:hint="eastAsia"/>
                <w:lang w:eastAsia="zh-CN"/>
              </w:rPr>
            </w:pPr>
            <w:r>
              <w:rPr>
                <w:rFonts w:hint="eastAsia"/>
                <w:lang w:eastAsia="zh-CN"/>
              </w:rPr>
              <w:t>其他符合性分析</w:t>
            </w:r>
          </w:p>
          <w:p w14:paraId="51549DB8">
            <w:pPr>
              <w:pStyle w:val="13"/>
              <w:keepNext w:val="0"/>
              <w:keepLines w:val="0"/>
              <w:suppressLineNumbers w:val="0"/>
              <w:spacing w:before="0" w:beforeAutospacing="0" w:after="0" w:afterAutospacing="0"/>
              <w:ind w:left="0" w:right="0"/>
              <w:rPr>
                <w:rFonts w:hint="eastAsia"/>
                <w:lang w:eastAsia="zh-CN"/>
              </w:rPr>
            </w:pPr>
          </w:p>
        </w:tc>
        <w:tc>
          <w:tcPr>
            <w:tcW w:w="7341" w:type="dxa"/>
            <w:gridSpan w:val="4"/>
            <w:vAlign w:val="center"/>
          </w:tcPr>
          <w:p w14:paraId="58733417">
            <w:pPr>
              <w:keepNext w:val="0"/>
              <w:keepLines w:val="0"/>
              <w:numPr>
                <w:ilvl w:val="0"/>
                <w:numId w:val="0"/>
              </w:numPr>
              <w:suppressLineNumbers w:val="0"/>
              <w:spacing w:before="0" w:beforeAutospacing="0" w:after="0" w:afterAutospacing="0" w:line="360" w:lineRule="auto"/>
              <w:ind w:left="0" w:right="0"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1、产业政策符合性分析</w:t>
            </w:r>
          </w:p>
          <w:p w14:paraId="29A6320E">
            <w:pPr>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根据国家发展和改革委员会《产业结构调整指导目录(2019年本)》，该项目属于鼓励类中“第五项，新能源”中第1条，“太阳能热发电集热系统、太阳能光伏发电系统集成技术开发应用、逆变控制系统开发制造”，项目符合国家产业政策。且项目取得芒市发展和改革局固定资产投资项目备案证（项目代码：</w:t>
            </w:r>
            <w:r>
              <w:rPr>
                <w:rFonts w:hint="default" w:ascii="Times New Roman" w:hAnsi="Times New Roman" w:eastAsia="宋体" w:cs="Times New Roman"/>
                <w:b w:val="0"/>
                <w:bCs w:val="0"/>
                <w:sz w:val="24"/>
                <w:szCs w:val="24"/>
                <w:vertAlign w:val="baseline"/>
                <w:lang w:val="en-US" w:eastAsia="zh-CN"/>
              </w:rPr>
              <w:t>2208-533103-04-01-</w:t>
            </w:r>
            <w:r>
              <w:rPr>
                <w:rFonts w:hint="eastAsia" w:ascii="Times New Roman" w:hAnsi="Times New Roman" w:eastAsia="宋体" w:cs="Times New Roman"/>
                <w:b w:val="0"/>
                <w:bCs w:val="0"/>
                <w:sz w:val="24"/>
                <w:szCs w:val="24"/>
                <w:vertAlign w:val="baseline"/>
                <w:lang w:val="en-US" w:eastAsia="zh-CN"/>
              </w:rPr>
              <w:t>786776</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详见附件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sz w:val="24"/>
                <w:szCs w:val="24"/>
                <w:lang w:val="en-US" w:eastAsia="zh-CN"/>
              </w:rPr>
              <w:t>。因此，该项目符合</w:t>
            </w:r>
            <w:r>
              <w:rPr>
                <w:rFonts w:hint="default" w:ascii="Times New Roman" w:hAnsi="Times New Roman" w:eastAsia="宋体" w:cs="Times New Roman"/>
                <w:color w:val="auto"/>
                <w:sz w:val="24"/>
              </w:rPr>
              <w:t>国家及地方产业政策</w:t>
            </w:r>
            <w:r>
              <w:rPr>
                <w:rFonts w:hint="eastAsia" w:ascii="宋体" w:hAnsi="宋体" w:eastAsia="宋体" w:cs="宋体"/>
                <w:b w:val="0"/>
                <w:bCs w:val="0"/>
                <w:sz w:val="24"/>
                <w:szCs w:val="24"/>
                <w:lang w:val="en-US" w:eastAsia="zh-CN"/>
              </w:rPr>
              <w:t>。</w:t>
            </w:r>
          </w:p>
          <w:p w14:paraId="10480DFB">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、与 “三线一单”的</w:t>
            </w:r>
            <w:r>
              <w:rPr>
                <w:rFonts w:hint="default" w:ascii="Times New Roman" w:hAnsi="Times New Roman" w:eastAsia="宋体" w:cs="Times New Roman"/>
                <w:b/>
                <w:bCs/>
                <w:color w:val="auto"/>
                <w:kern w:val="0"/>
                <w:sz w:val="24"/>
                <w:lang w:val="en-US" w:eastAsia="zh-CN"/>
              </w:rPr>
              <w:t>符合性</w:t>
            </w:r>
            <w:r>
              <w:rPr>
                <w:rFonts w:hint="default" w:ascii="Times New Roman" w:hAnsi="Times New Roman" w:eastAsia="宋体" w:cs="Times New Roman"/>
                <w:b/>
                <w:bCs/>
                <w:color w:val="auto"/>
                <w:kern w:val="0"/>
                <w:sz w:val="24"/>
              </w:rPr>
              <w:t>分析</w:t>
            </w:r>
          </w:p>
          <w:p w14:paraId="2397ECD9">
            <w:pPr>
              <w:pStyle w:val="55"/>
              <w:keepNext w:val="0"/>
              <w:keepLines w:val="0"/>
              <w:suppressLineNumbers w:val="0"/>
              <w:spacing w:before="0" w:beforeAutospacing="0" w:after="0" w:afterAutospacing="0" w:line="360" w:lineRule="auto"/>
              <w:ind w:left="0" w:right="0"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（1）生态保护红线</w:t>
            </w:r>
          </w:p>
          <w:p w14:paraId="12389A88">
            <w:pPr>
              <w:keepNext w:val="0"/>
              <w:keepLines w:val="0"/>
              <w:suppressLineNumbers w:val="0"/>
              <w:spacing w:before="0" w:beforeLines="0" w:beforeAutospacing="0" w:after="0" w:afterLines="0" w:afterAutospacing="0" w:line="360" w:lineRule="auto"/>
              <w:ind w:left="0" w:right="0"/>
              <w:jc w:val="left"/>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宋体" w:hAnsi="宋体" w:eastAsia="宋体" w:cs="宋体"/>
                <w:b w:val="0"/>
                <w:bCs w:val="0"/>
                <w:color w:val="auto"/>
                <w:spacing w:val="0"/>
                <w:kern w:val="2"/>
                <w:sz w:val="24"/>
                <w:szCs w:val="24"/>
                <w:lang w:val="en-US" w:eastAsia="zh-CN" w:bidi="ar-SA"/>
              </w:rPr>
              <w:t xml:space="preserve"> </w:t>
            </w:r>
            <w:r>
              <w:rPr>
                <w:rFonts w:hint="eastAsia" w:ascii="宋体" w:hAnsi="宋体" w:eastAsia="宋体" w:cs="宋体"/>
                <w:b w:val="0"/>
                <w:bCs w:val="0"/>
                <w:color w:val="auto"/>
                <w:spacing w:val="0"/>
                <w:kern w:val="2"/>
                <w:sz w:val="24"/>
                <w:szCs w:val="24"/>
                <w:lang w:val="en-US" w:eastAsia="zh-CN" w:bidi="ar-SA"/>
              </w:rPr>
              <w:t xml:space="preserve">   </w:t>
            </w:r>
            <w:r>
              <w:rPr>
                <w:rFonts w:hint="default" w:ascii="Times New Roman" w:hAnsi="Times New Roman" w:eastAsia="宋体" w:cs="Times New Roman"/>
                <w:b w:val="0"/>
                <w:bCs w:val="0"/>
                <w:color w:val="auto"/>
                <w:spacing w:val="0"/>
                <w:kern w:val="2"/>
                <w:sz w:val="24"/>
                <w:szCs w:val="24"/>
                <w:lang w:val="en-US" w:eastAsia="zh-CN" w:bidi="ar-SA"/>
              </w:rPr>
              <w:t>2018年6月29日</w:t>
            </w:r>
            <w:r>
              <w:rPr>
                <w:rFonts w:hint="default" w:ascii="Times New Roman" w:hAnsi="Times New Roman" w:eastAsia="宋体" w:cs="Times New Roman"/>
                <w:b w:val="0"/>
                <w:bCs w:val="0"/>
                <w:spacing w:val="0"/>
                <w:kern w:val="2"/>
                <w:sz w:val="24"/>
                <w:szCs w:val="24"/>
                <w:lang w:val="en-US" w:eastAsia="zh-CN" w:bidi="ar-SA"/>
              </w:rPr>
              <w:t>，云南省人民政府以云政发[2018]32号项印发了《云南省生态保护红线》。项目取得《芒市自然资源局</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关于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芒市300MW复合光伏发电项目建设领导小组办公室核实项目选址是否涉及敏感因素的复函</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》（见附件</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经核对</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芒市“三区三线”划定成果，项目选址不涉及永久基本农田、耕地保护目标、生态保护红线，</w:t>
            </w:r>
          </w:p>
          <w:p w14:paraId="3122BB52">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2021年度国土变更调查地块地类为茶园。”</w:t>
            </w:r>
            <w:r>
              <w:rPr>
                <w:rFonts w:hint="default" w:ascii="Times New Roman" w:hAnsi="Times New Roman" w:eastAsia="宋体" w:cs="Times New Roman"/>
                <w:b w:val="0"/>
                <w:bCs w:val="0"/>
                <w:spacing w:val="0"/>
                <w:kern w:val="2"/>
                <w:sz w:val="24"/>
                <w:szCs w:val="24"/>
                <w:lang w:val="en-US" w:eastAsia="zh-CN" w:bidi="ar-SA"/>
              </w:rPr>
              <w:t>。</w:t>
            </w:r>
          </w:p>
          <w:p w14:paraId="14707056">
            <w:pPr>
              <w:pStyle w:val="55"/>
              <w:keepNext w:val="0"/>
              <w:keepLines w:val="0"/>
              <w:suppressLineNumbers w:val="0"/>
              <w:spacing w:before="0" w:beforeAutospacing="0" w:after="0" w:afterAutospacing="0" w:line="360" w:lineRule="auto"/>
              <w:ind w:left="0" w:right="0"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（2）环境质量底线</w:t>
            </w:r>
          </w:p>
          <w:p w14:paraId="19803BDD">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①水环境质量底线：本项目</w:t>
            </w:r>
            <w:r>
              <w:rPr>
                <w:rFonts w:hint="eastAsia" w:ascii="Times New Roman" w:hAnsi="Times New Roman" w:eastAsia="宋体" w:cs="Times New Roman"/>
                <w:b w:val="0"/>
                <w:bCs w:val="0"/>
                <w:spacing w:val="0"/>
                <w:kern w:val="2"/>
                <w:sz w:val="24"/>
                <w:szCs w:val="24"/>
                <w:lang w:val="en-US" w:eastAsia="zh-CN" w:bidi="ar-SA"/>
              </w:rPr>
              <w:t>位于</w:t>
            </w:r>
            <w:r>
              <w:rPr>
                <w:rFonts w:hint="default" w:ascii="宋体" w:hAnsi="宋体" w:eastAsia="宋体" w:cs="宋体"/>
                <w:b w:val="0"/>
                <w:bCs w:val="0"/>
                <w:sz w:val="24"/>
                <w:szCs w:val="24"/>
                <w:vertAlign w:val="baseline"/>
                <w:lang w:val="en-US" w:eastAsia="zh-CN"/>
              </w:rPr>
              <w:t>云南省德宏州芒市江东乡河头村</w:t>
            </w:r>
            <w:r>
              <w:rPr>
                <w:rFonts w:hint="eastAsia" w:ascii="宋体" w:hAnsi="宋体" w:eastAsia="宋体" w:cs="宋体"/>
                <w:b w:val="0"/>
                <w:bCs w:val="0"/>
                <w:sz w:val="24"/>
                <w:szCs w:val="24"/>
                <w:vertAlign w:val="baseline"/>
                <w:lang w:val="en-US" w:eastAsia="zh-CN"/>
              </w:rPr>
              <w:t>，</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项目最近地表水体为南哈河、南</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朗</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河最终汇入</w:t>
            </w:r>
            <w:r>
              <w:rPr>
                <w:rFonts w:hint="default" w:ascii="Times New Roman" w:hAnsi="Times New Roman" w:eastAsia="宋体" w:cs="Times New Roman"/>
                <w:color w:val="000000" w:themeColor="text1"/>
                <w:sz w:val="24"/>
                <w:szCs w:val="24"/>
                <w:lang w:bidi="ar"/>
                <w14:textFill>
                  <w14:solidFill>
                    <w14:schemeClr w14:val="tx1"/>
                  </w14:solidFill>
                </w14:textFill>
              </w:rPr>
              <w:t>轩岗河</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bidi="ar"/>
                <w14:textFill>
                  <w14:solidFill>
                    <w14:schemeClr w14:val="tx1"/>
                  </w14:solidFill>
                </w14:textFill>
              </w:rPr>
              <w:t>轩岗河</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属于</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芒市大河支流</w:t>
            </w:r>
            <w:r>
              <w:rPr>
                <w:rFonts w:hint="default" w:ascii="Times New Roman" w:hAnsi="Times New Roman" w:eastAsia="宋体" w:cs="Times New Roman"/>
                <w:b w:val="0"/>
                <w:bCs w:val="0"/>
                <w:spacing w:val="0"/>
                <w:kern w:val="2"/>
                <w:sz w:val="24"/>
                <w:szCs w:val="24"/>
                <w:lang w:val="en-US" w:eastAsia="zh-CN" w:bidi="ar-SA"/>
              </w:rPr>
              <w:t>，</w:t>
            </w:r>
            <w:r>
              <w:rPr>
                <w:rFonts w:hint="eastAsia" w:ascii="Times New Roman" w:hAnsi="Times New Roman" w:eastAsia="宋体" w:cs="Times New Roman"/>
                <w:b w:val="0"/>
                <w:bCs w:val="0"/>
                <w:spacing w:val="0"/>
                <w:kern w:val="2"/>
                <w:sz w:val="24"/>
                <w:szCs w:val="24"/>
                <w:lang w:val="en-US" w:eastAsia="zh-CN" w:bidi="ar-SA"/>
              </w:rPr>
              <w:t>根据</w:t>
            </w:r>
            <w:r>
              <w:rPr>
                <w:rFonts w:hint="default" w:ascii="Times New Roman" w:hAnsi="Times New Roman" w:eastAsia="宋体" w:cs="Times New Roman"/>
                <w:b w:val="0"/>
                <w:bCs w:val="0"/>
                <w:spacing w:val="0"/>
                <w:kern w:val="2"/>
                <w:sz w:val="24"/>
                <w:szCs w:val="24"/>
                <w:lang w:val="en-US" w:eastAsia="zh-CN" w:bidi="ar-SA"/>
              </w:rPr>
              <w:t>《云南省水功能区划》（第</w:t>
            </w:r>
            <w:r>
              <w:rPr>
                <w:rFonts w:hint="eastAsia" w:ascii="宋体" w:hAnsi="宋体" w:eastAsia="宋体" w:cs="宋体"/>
                <w:b w:val="0"/>
                <w:bCs w:val="0"/>
                <w:spacing w:val="0"/>
                <w:kern w:val="2"/>
                <w:sz w:val="24"/>
                <w:szCs w:val="24"/>
                <w:lang w:val="en-US" w:eastAsia="zh-CN" w:bidi="ar-SA"/>
              </w:rPr>
              <w:t>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Times New Roman" w:hAnsi="Times New Roman" w:eastAsia="宋体" w:cs="Times New Roman"/>
                <w:b w:val="0"/>
                <w:bCs w:val="0"/>
                <w:spacing w:val="0"/>
                <w:kern w:val="2"/>
                <w:sz w:val="24"/>
                <w:szCs w:val="24"/>
                <w:lang w:val="en-US" w:eastAsia="zh-CN" w:bidi="ar-SA"/>
              </w:rPr>
              <w:t>Ⅲ</w:t>
            </w:r>
            <w:r>
              <w:rPr>
                <w:rFonts w:hint="default" w:ascii="宋体" w:hAnsi="宋体" w:eastAsia="宋体" w:cs="宋体"/>
                <w:b w:val="0"/>
                <w:bCs w:val="0"/>
                <w:spacing w:val="0"/>
                <w:kern w:val="2"/>
                <w:sz w:val="24"/>
                <w:szCs w:val="24"/>
                <w:lang w:val="en-US" w:eastAsia="zh-CN" w:bidi="ar-SA"/>
              </w:rPr>
              <w:t>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w:t>
            </w:r>
            <w:r>
              <w:rPr>
                <w:rFonts w:hint="eastAsia" w:ascii="Times New Roman" w:hAnsi="Times New Roman" w:eastAsia="宋体" w:cs="Times New Roman"/>
                <w:b w:val="0"/>
                <w:bCs w:val="0"/>
                <w:spacing w:val="0"/>
                <w:kern w:val="2"/>
                <w:sz w:val="24"/>
                <w:szCs w:val="24"/>
                <w:lang w:val="en-US" w:eastAsia="zh-CN" w:bidi="ar-SA"/>
              </w:rPr>
              <w:t>区</w:t>
            </w:r>
            <w:r>
              <w:rPr>
                <w:rFonts w:hint="default" w:ascii="Times New Roman" w:hAnsi="Times New Roman" w:eastAsia="宋体" w:cs="Times New Roman"/>
                <w:b w:val="0"/>
                <w:bCs w:val="0"/>
                <w:spacing w:val="0"/>
                <w:kern w:val="2"/>
                <w:sz w:val="24"/>
                <w:szCs w:val="24"/>
                <w:lang w:val="en-US" w:eastAsia="zh-CN" w:bidi="ar-SA"/>
              </w:rPr>
              <w:t>地表水执行《地表水环境质量标准》（GB3838-2002）标准中的Ⅲ类水质标准。</w:t>
            </w:r>
          </w:p>
          <w:p w14:paraId="143084A6">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根据《2022年德宏州生态环境状况公报》，芒市大河3个监测断面中，Ⅱ类水质2个，Ⅲ类水质1个，因此能满足水质功能区划要求。</w:t>
            </w:r>
          </w:p>
          <w:p w14:paraId="66776785">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②大气环境质量底线：到2025年，全州空气质量优良率达到省级要求，中心城市环境空气质量稳定达到国家二级标准。</w:t>
            </w:r>
          </w:p>
          <w:p w14:paraId="6374D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根据《2022年德宏州生态环境状况公报》，2022年二氧化氮年均值、一氧化碳相应百分位数达到一级标准，二氧化硫、可吸入颗粒、细颗粒物年均值及臭氧相应百分位数达到二级标准。环境空气质量总体评价为二级，属于达标区。</w:t>
            </w:r>
          </w:p>
          <w:p w14:paraId="52BFAB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spacing w:val="0"/>
                <w:kern w:val="2"/>
                <w:sz w:val="24"/>
                <w:szCs w:val="24"/>
                <w:shd w:val="clear" w:color="FFFFFF" w:fill="D9D9D9"/>
                <w:lang w:val="en-US" w:eastAsia="zh-CN" w:bidi="ar-SA"/>
              </w:rPr>
            </w:pPr>
            <w:r>
              <w:rPr>
                <w:rFonts w:hint="default" w:ascii="Times New Roman" w:hAnsi="Times New Roman" w:eastAsia="宋体" w:cs="Times New Roman"/>
                <w:b w:val="0"/>
                <w:bCs w:val="0"/>
                <w:spacing w:val="0"/>
                <w:kern w:val="2"/>
                <w:sz w:val="24"/>
                <w:szCs w:val="24"/>
                <w:lang w:val="en-US" w:eastAsia="zh-CN" w:bidi="ar-SA"/>
              </w:rPr>
              <w:t>③声环境质量底线：根据《2022年德宏州生态环境状况公报》中噪声监测结果可知，</w:t>
            </w:r>
            <w:r>
              <w:rPr>
                <w:rFonts w:hint="eastAsia" w:ascii="Times New Roman" w:hAnsi="Times New Roman" w:eastAsia="宋体" w:cs="Times New Roman"/>
                <w:i w:val="0"/>
                <w:iCs w:val="0"/>
                <w:caps w:val="0"/>
                <w:color w:val="262626"/>
                <w:spacing w:val="0"/>
                <w:sz w:val="24"/>
                <w:szCs w:val="24"/>
                <w:shd w:val="clear" w:color="auto" w:fill="auto"/>
              </w:rPr>
              <w:t>全州共设置438个昼间区域声环境质量监测点（瑞丽市因新冠疫情管控未监测），对49.46平方千米的城市建成区进行了昼间区域声环境监测。全州平均等效声级51.1分贝，比上年略升高，结果评价为“较好”（二级），区域声环境质量基本稳定持平。芒市监测结果评价为“较好”（二级）</w:t>
            </w:r>
            <w:r>
              <w:rPr>
                <w:rFonts w:hint="eastAsia" w:ascii="Times New Roman" w:hAnsi="Times New Roman" w:eastAsia="宋体" w:cs="Times New Roman"/>
                <w:i w:val="0"/>
                <w:iCs w:val="0"/>
                <w:caps w:val="0"/>
                <w:color w:val="262626"/>
                <w:spacing w:val="0"/>
                <w:sz w:val="24"/>
                <w:szCs w:val="24"/>
                <w:shd w:val="clear" w:color="auto" w:fill="auto"/>
                <w:lang w:eastAsia="zh-CN"/>
              </w:rPr>
              <w:t>。</w:t>
            </w:r>
          </w:p>
          <w:p w14:paraId="2A4DEFC2">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2"/>
                <w:lang w:val="en-US" w:eastAsia="zh-CN"/>
              </w:rPr>
              <w:t>④</w:t>
            </w:r>
            <w:r>
              <w:rPr>
                <w:rFonts w:hint="default" w:ascii="Times New Roman" w:hAnsi="Times New Roman" w:eastAsia="宋体" w:cs="Times New Roman"/>
                <w:color w:val="auto"/>
                <w:kern w:val="0"/>
                <w:szCs w:val="22"/>
                <w:lang w:val="en-US" w:eastAsia="zh-CN"/>
              </w:rPr>
              <w:t>土壤环境风险防控底线：</w:t>
            </w:r>
            <w:r>
              <w:rPr>
                <w:rFonts w:hint="default" w:ascii="Times New Roman" w:hAnsi="Times New Roman" w:eastAsia="宋体" w:cs="Times New Roman"/>
                <w:color w:val="auto"/>
                <w:szCs w:val="21"/>
                <w:lang w:eastAsia="zh-CN"/>
              </w:rPr>
              <w:t>到2025年，全州土壤环境质量保持优异，土壤环境风险管控水平不断提升，受污染耕地安全利用率达到85%以上，受污染建设用地地块安全利用率达到95%以上。</w:t>
            </w:r>
          </w:p>
          <w:p w14:paraId="24FA7691">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Cs w:val="21"/>
                <w:lang w:eastAsia="zh-CN"/>
              </w:rPr>
            </w:pPr>
            <w:r>
              <w:rPr>
                <w:rFonts w:hint="default" w:ascii="Times New Roman" w:hAnsi="Times New Roman" w:eastAsia="宋体" w:cs="Times New Roman"/>
                <w:b w:val="0"/>
                <w:bCs w:val="0"/>
                <w:color w:val="auto"/>
                <w:spacing w:val="0"/>
                <w:kern w:val="2"/>
                <w:sz w:val="24"/>
                <w:szCs w:val="24"/>
                <w:lang w:val="en-US" w:eastAsia="zh-CN" w:bidi="ar-SA"/>
              </w:rPr>
              <w:t>项目区位于</w:t>
            </w:r>
            <w:r>
              <w:rPr>
                <w:rFonts w:hint="default" w:ascii="宋体" w:hAnsi="宋体" w:eastAsia="宋体" w:cs="宋体"/>
                <w:b w:val="0"/>
                <w:bCs w:val="0"/>
                <w:color w:val="auto"/>
                <w:sz w:val="24"/>
                <w:szCs w:val="24"/>
                <w:vertAlign w:val="baseline"/>
                <w:lang w:val="en-US" w:eastAsia="zh-CN"/>
              </w:rPr>
              <w:t>云南省德宏州芒市江东乡河头村</w:t>
            </w:r>
            <w:r>
              <w:rPr>
                <w:rFonts w:hint="default" w:ascii="Times New Roman" w:hAnsi="Times New Roman" w:eastAsia="宋体" w:cs="Times New Roman"/>
                <w:b w:val="0"/>
                <w:bCs w:val="0"/>
                <w:spacing w:val="0"/>
                <w:kern w:val="2"/>
                <w:sz w:val="24"/>
                <w:szCs w:val="24"/>
                <w:lang w:val="en-US" w:eastAsia="zh-CN" w:bidi="ar-SA"/>
              </w:rPr>
              <w:t>，土壤环境质量良好，本项目设置</w:t>
            </w:r>
            <w:r>
              <w:rPr>
                <w:rFonts w:hint="default" w:ascii="Times New Roman" w:hAnsi="Times New Roman" w:eastAsia="宋体" w:cs="Times New Roman"/>
                <w:b w:val="0"/>
                <w:bCs w:val="0"/>
                <w:color w:val="auto"/>
                <w:spacing w:val="0"/>
                <w:kern w:val="2"/>
                <w:sz w:val="24"/>
                <w:szCs w:val="24"/>
                <w:lang w:val="en-US" w:eastAsia="zh-CN" w:bidi="ar-SA"/>
              </w:rPr>
              <w:t>事故油池</w:t>
            </w:r>
            <w:r>
              <w:rPr>
                <w:rFonts w:hint="eastAsia" w:ascii="Times New Roman" w:hAnsi="Times New Roman" w:eastAsia="宋体" w:cs="Times New Roman"/>
                <w:b w:val="0"/>
                <w:bCs w:val="0"/>
                <w:color w:val="auto"/>
                <w:spacing w:val="0"/>
                <w:kern w:val="2"/>
                <w:sz w:val="24"/>
                <w:szCs w:val="24"/>
                <w:lang w:val="en-US" w:eastAsia="zh-CN" w:bidi="ar-SA"/>
              </w:rPr>
              <w:t>并进行重点防渗。废矿物油</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交由有资质的单位处置</w:t>
            </w:r>
            <w:r>
              <w:rPr>
                <w:rFonts w:hint="default" w:ascii="Times New Roman" w:hAnsi="Times New Roman" w:eastAsia="宋体" w:cs="Times New Roman"/>
                <w:b w:val="0"/>
                <w:bCs w:val="0"/>
                <w:spacing w:val="0"/>
                <w:kern w:val="2"/>
                <w:sz w:val="24"/>
                <w:szCs w:val="24"/>
                <w:lang w:val="en-US" w:eastAsia="zh-CN" w:bidi="ar-SA"/>
              </w:rPr>
              <w:t>，不会对土壤环境造成污染</w:t>
            </w:r>
            <w:r>
              <w:rPr>
                <w:rFonts w:hint="eastAsia" w:ascii="Times New Roman" w:hAnsi="Times New Roman" w:eastAsia="宋体" w:cs="Times New Roman"/>
                <w:b w:val="0"/>
                <w:bCs w:val="0"/>
                <w:spacing w:val="0"/>
                <w:kern w:val="2"/>
                <w:sz w:val="24"/>
                <w:szCs w:val="24"/>
                <w:lang w:val="en-US" w:eastAsia="zh-CN" w:bidi="ar-SA"/>
              </w:rPr>
              <w:t>，项目运营期通过采取上述措施不会导致土壤环境风险底线下降。</w:t>
            </w:r>
          </w:p>
          <w:p w14:paraId="7D1A5CFD">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⑤</w:t>
            </w:r>
            <w:r>
              <w:rPr>
                <w:rFonts w:hint="eastAsia" w:ascii="Times New Roman" w:hAnsi="Times New Roman" w:eastAsia="宋体" w:cs="Times New Roman"/>
                <w:color w:val="000000" w:themeColor="text1"/>
                <w:szCs w:val="21"/>
                <w:lang w:val="en-US" w:eastAsia="zh-CN"/>
                <w14:textFill>
                  <w14:solidFill>
                    <w14:schemeClr w14:val="tx1"/>
                  </w14:solidFill>
                </w14:textFill>
              </w:rPr>
              <w:t>项目运营期</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设置事故油池</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并进行重点防渗。</w:t>
            </w:r>
            <w:r>
              <w:rPr>
                <w:rFonts w:hint="eastAsia" w:ascii="Times New Roman" w:hAnsi="Times New Roman" w:eastAsia="宋体" w:cs="Times New Roman"/>
                <w:b w:val="0"/>
                <w:bCs w:val="0"/>
                <w:color w:val="auto"/>
                <w:spacing w:val="0"/>
                <w:kern w:val="2"/>
                <w:sz w:val="24"/>
                <w:szCs w:val="24"/>
                <w:lang w:val="en-US" w:eastAsia="zh-CN" w:bidi="ar-SA"/>
              </w:rPr>
              <w:t>废矿物油</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收集后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暂存于江东光伏电站的危废暂存间</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交由有资质的单位处置，</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正常情况下</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不会对</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发生泄漏导致地下水</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环境造成污染</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p>
          <w:p w14:paraId="16B5F417">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综上，项目所在区域</w:t>
            </w:r>
            <w:r>
              <w:rPr>
                <w:rFonts w:hint="eastAsia" w:ascii="Times New Roman" w:hAnsi="Times New Roman" w:eastAsia="宋体" w:cs="Times New Roman"/>
                <w:b w:val="0"/>
                <w:bCs w:val="0"/>
                <w:spacing w:val="0"/>
                <w:kern w:val="2"/>
                <w:sz w:val="24"/>
                <w:szCs w:val="24"/>
                <w:lang w:val="en-US" w:eastAsia="zh-CN" w:bidi="ar-SA"/>
              </w:rPr>
              <w:t>地表水环境、</w:t>
            </w:r>
            <w:r>
              <w:rPr>
                <w:rFonts w:hint="default" w:ascii="Times New Roman" w:hAnsi="Times New Roman" w:eastAsia="宋体" w:cs="Times New Roman"/>
                <w:b w:val="0"/>
                <w:bCs w:val="0"/>
                <w:spacing w:val="0"/>
                <w:kern w:val="2"/>
                <w:sz w:val="24"/>
                <w:szCs w:val="24"/>
                <w:lang w:val="en-US" w:eastAsia="zh-CN" w:bidi="ar-SA"/>
              </w:rPr>
              <w:t>大气环境及声环境质量较好，</w:t>
            </w:r>
            <w:r>
              <w:rPr>
                <w:rFonts w:hint="eastAsia" w:ascii="Times New Roman" w:hAnsi="Times New Roman" w:eastAsia="宋体" w:cs="Times New Roman"/>
                <w:b w:val="0"/>
                <w:bCs w:val="0"/>
                <w:spacing w:val="0"/>
                <w:kern w:val="2"/>
                <w:sz w:val="24"/>
                <w:szCs w:val="24"/>
                <w:lang w:val="en-US" w:eastAsia="zh-CN" w:bidi="ar-SA"/>
              </w:rPr>
              <w:t>项目运营期生活污水经处理用于场区绿化，光伏板清洗废水经沉淀池处理用于光伏板下方植被绿化。项目固废处置率100%。</w:t>
            </w:r>
            <w:r>
              <w:rPr>
                <w:rFonts w:hint="default" w:ascii="Times New Roman" w:hAnsi="Times New Roman" w:eastAsia="宋体" w:cs="Times New Roman"/>
                <w:b w:val="0"/>
                <w:bCs w:val="0"/>
                <w:spacing w:val="0"/>
                <w:kern w:val="2"/>
                <w:sz w:val="24"/>
                <w:szCs w:val="24"/>
                <w:lang w:val="en-US" w:eastAsia="zh-CN" w:bidi="ar-SA"/>
              </w:rPr>
              <w:t>项目实施后，其污染物经项目采取的措施处理后对周围环境的影响</w:t>
            </w:r>
            <w:r>
              <w:rPr>
                <w:rFonts w:hint="eastAsia" w:ascii="Times New Roman" w:hAnsi="Times New Roman" w:eastAsia="宋体" w:cs="Times New Roman"/>
                <w:b w:val="0"/>
                <w:bCs w:val="0"/>
                <w:spacing w:val="0"/>
                <w:kern w:val="2"/>
                <w:sz w:val="24"/>
                <w:szCs w:val="24"/>
                <w:lang w:val="en-US" w:eastAsia="zh-CN" w:bidi="ar-SA"/>
              </w:rPr>
              <w:t>较小，</w:t>
            </w:r>
            <w:r>
              <w:rPr>
                <w:rFonts w:hint="default" w:ascii="Times New Roman" w:hAnsi="Times New Roman" w:eastAsia="宋体" w:cs="Times New Roman"/>
                <w:b w:val="0"/>
                <w:bCs w:val="0"/>
                <w:spacing w:val="0"/>
                <w:kern w:val="2"/>
                <w:sz w:val="24"/>
                <w:szCs w:val="24"/>
                <w:lang w:val="en-US" w:eastAsia="zh-CN" w:bidi="ar-SA"/>
              </w:rPr>
              <w:t>不会改变所在地及其周围的环境功能，</w:t>
            </w:r>
            <w:r>
              <w:rPr>
                <w:rFonts w:hint="eastAsia" w:ascii="Times New Roman" w:hAnsi="Times New Roman" w:eastAsia="宋体" w:cs="Times New Roman"/>
                <w:b w:val="0"/>
                <w:bCs w:val="0"/>
                <w:spacing w:val="0"/>
                <w:kern w:val="2"/>
                <w:sz w:val="24"/>
                <w:szCs w:val="24"/>
                <w:lang w:val="en-US" w:eastAsia="zh-CN" w:bidi="ar-SA"/>
              </w:rPr>
              <w:t>不突破环境质量底线</w:t>
            </w:r>
            <w:r>
              <w:rPr>
                <w:rFonts w:hint="default" w:ascii="Times New Roman" w:hAnsi="Times New Roman" w:eastAsia="宋体" w:cs="Times New Roman"/>
                <w:b w:val="0"/>
                <w:bCs w:val="0"/>
                <w:spacing w:val="0"/>
                <w:kern w:val="2"/>
                <w:sz w:val="24"/>
                <w:szCs w:val="24"/>
                <w:lang w:val="en-US" w:eastAsia="zh-CN" w:bidi="ar-SA"/>
              </w:rPr>
              <w:t>。</w:t>
            </w:r>
          </w:p>
          <w:p w14:paraId="35155C98">
            <w:pPr>
              <w:pStyle w:val="55"/>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（3）与资源利用上线的协调性</w:t>
            </w:r>
          </w:p>
          <w:p w14:paraId="3CAC42F3">
            <w:pPr>
              <w:pStyle w:val="55"/>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水资源利用上线</w:t>
            </w:r>
            <w:r>
              <w:rPr>
                <w:rFonts w:hint="eastAsia" w:ascii="Times New Roman" w:hAnsi="Times New Roman" w:eastAsia="宋体" w:cs="Times New Roman"/>
                <w:b w:val="0"/>
                <w:bCs w:val="0"/>
                <w:color w:val="auto"/>
                <w:spacing w:val="0"/>
                <w:kern w:val="2"/>
                <w:sz w:val="24"/>
                <w:szCs w:val="24"/>
                <w:lang w:val="en-US" w:eastAsia="zh-CN" w:bidi="ar-SA"/>
              </w:rPr>
              <w:t>：本项目施工期生活用水量为</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4m</w:t>
            </w:r>
            <w:r>
              <w:rPr>
                <w:rFonts w:hint="eastAsia" w:ascii="Times New Roman" w:hAnsi="Times New Roman" w:eastAsia="宋体" w:cs="Times New Roman"/>
                <w:b w:val="0"/>
                <w:bCs w:val="0"/>
                <w:color w:val="000000" w:themeColor="text1"/>
                <w:spacing w:val="0"/>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/d，</w:t>
            </w:r>
            <w:r>
              <w:rPr>
                <w:rFonts w:hint="eastAsia" w:ascii="Times New Roman" w:hAnsi="Times New Roman" w:eastAsia="宋体" w:cs="Times New Roman"/>
                <w:b w:val="0"/>
                <w:bCs w:val="0"/>
                <w:color w:val="auto"/>
                <w:spacing w:val="0"/>
                <w:kern w:val="2"/>
                <w:sz w:val="24"/>
                <w:szCs w:val="24"/>
                <w:lang w:val="en-US" w:eastAsia="zh-CN" w:bidi="ar-SA"/>
              </w:rPr>
              <w:t>项目拟在项目施工场区设置1座6m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的沉淀池和1座2.4m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vertAlign w:val="baseline"/>
                <w:lang w:val="en-US" w:eastAsia="zh-CN" w:bidi="ar-SA"/>
              </w:rPr>
              <w:t>的沉砂池</w:t>
            </w:r>
            <w:r>
              <w:rPr>
                <w:rFonts w:hint="eastAsia" w:ascii="Times New Roman" w:hAnsi="Times New Roman" w:eastAsia="宋体" w:cs="Times New Roman"/>
                <w:b w:val="0"/>
                <w:bCs w:val="0"/>
                <w:spacing w:val="0"/>
                <w:kern w:val="2"/>
                <w:sz w:val="24"/>
                <w:szCs w:val="24"/>
                <w:lang w:val="en-US" w:eastAsia="zh-CN" w:bidi="ar-SA"/>
              </w:rPr>
              <w:t>，用于处理施工养护产生的废水</w:t>
            </w:r>
            <w:r>
              <w:rPr>
                <w:rFonts w:hint="eastAsia" w:ascii="Times New Roman" w:hAnsi="Times New Roman" w:eastAsia="宋体" w:cs="Times New Roman"/>
                <w:b w:val="0"/>
                <w:bCs w:val="0"/>
                <w:color w:val="auto"/>
                <w:spacing w:val="0"/>
                <w:kern w:val="2"/>
                <w:sz w:val="24"/>
                <w:szCs w:val="24"/>
                <w:lang w:val="en-US" w:eastAsia="zh-CN" w:bidi="ar-SA"/>
              </w:rPr>
              <w:t>，废水经沉淀处理后全部回用于场地洒水降尘</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。运营期仅为4个职工人员的生活用水及光伏电池板区清洗用水，用水量较少，仅为731.9m</w:t>
            </w:r>
            <w:r>
              <w:rPr>
                <w:rFonts w:hint="eastAsia" w:ascii="Times New Roman" w:hAnsi="Times New Roman" w:eastAsia="宋体" w:cs="Times New Roman"/>
                <w:b w:val="0"/>
                <w:bCs w:val="0"/>
                <w:color w:val="000000" w:themeColor="text1"/>
                <w:spacing w:val="0"/>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/a</w:t>
            </w:r>
            <w:r>
              <w:rPr>
                <w:rFonts w:hint="eastAsia" w:ascii="Times New Roman" w:hAnsi="Times New Roman" w:eastAsia="宋体" w:cs="Times New Roman"/>
                <w:b w:val="0"/>
                <w:bCs w:val="0"/>
                <w:color w:val="auto"/>
                <w:spacing w:val="0"/>
                <w:kern w:val="2"/>
                <w:sz w:val="24"/>
                <w:szCs w:val="24"/>
                <w:lang w:val="en-US" w:eastAsia="zh-CN" w:bidi="ar-SA"/>
              </w:rPr>
              <w:t>；</w:t>
            </w:r>
            <w:r>
              <w:rPr>
                <w:rFonts w:hint="eastAsia" w:ascii="Times New Roman" w:hAnsi="Times New Roman" w:eastAsia="宋体" w:cs="Times New Roman"/>
                <w:b w:val="0"/>
                <w:bCs w:val="0"/>
                <w:spacing w:val="0"/>
                <w:kern w:val="2"/>
                <w:sz w:val="24"/>
                <w:szCs w:val="24"/>
                <w:lang w:val="en-US" w:eastAsia="zh-CN" w:bidi="ar-SA"/>
              </w:rPr>
              <w:t>芒市年均地表水量为23.11亿m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，项目水资源消耗相对区域资源利用总量较少，符合当前国家水资源利用上线的要求。</w:t>
            </w:r>
          </w:p>
          <w:p w14:paraId="2068BE17">
            <w:pPr>
              <w:pStyle w:val="55"/>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土地资源利用上线：本项目</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占地面积为706.02亩，芒市国土面积2987km</w:t>
            </w:r>
            <w:r>
              <w:rPr>
                <w:rFonts w:hint="eastAsia" w:ascii="Times New Roman" w:hAnsi="Times New Roman" w:eastAsia="宋体" w:cs="Times New Roman"/>
                <w:b w:val="0"/>
                <w:bCs w:val="0"/>
                <w:color w:val="000000" w:themeColor="text1"/>
                <w:spacing w:val="0"/>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，项目占地占芒市国土面积的0.00013%，</w:t>
            </w:r>
            <w:r>
              <w:rPr>
                <w:rFonts w:hint="eastAsia" w:ascii="Times New Roman" w:hAnsi="Times New Roman" w:eastAsia="宋体" w:cs="Times New Roman"/>
                <w:b w:val="0"/>
                <w:bCs w:val="0"/>
                <w:color w:val="auto"/>
                <w:spacing w:val="0"/>
                <w:kern w:val="2"/>
                <w:sz w:val="24"/>
                <w:szCs w:val="24"/>
                <w:lang w:val="en-US" w:eastAsia="zh-CN" w:bidi="ar-SA"/>
              </w:rPr>
              <w:t>没有突破当前国家土地资源利用上线的要求。根据芒市自</w:t>
            </w:r>
            <w:r>
              <w:rPr>
                <w:rFonts w:hint="eastAsia" w:ascii="Times New Roman" w:hAnsi="Times New Roman" w:eastAsia="宋体" w:cs="Times New Roman"/>
                <w:b w:val="0"/>
                <w:bCs w:val="0"/>
                <w:spacing w:val="0"/>
                <w:kern w:val="2"/>
                <w:sz w:val="24"/>
                <w:szCs w:val="24"/>
                <w:lang w:val="en-US" w:eastAsia="zh-CN" w:bidi="ar-SA"/>
              </w:rPr>
              <w:t>然资源局选址意见，项目选址不占用基本农田及耕地。</w:t>
            </w:r>
          </w:p>
          <w:p w14:paraId="03F77A77">
            <w:pPr>
              <w:pStyle w:val="55"/>
              <w:keepNext w:val="0"/>
              <w:keepLines w:val="0"/>
              <w:suppressLineNumbers w:val="0"/>
              <w:spacing w:before="0" w:beforeAutospacing="0" w:after="0" w:afterAutospacing="0" w:line="360" w:lineRule="auto"/>
              <w:ind w:left="0" w:right="0"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能源利用上线：本项目为光伏发电项目，属于新能源项目，在施工过程中会有一定的电力消耗，</w:t>
            </w:r>
            <w:r>
              <w:rPr>
                <w:rFonts w:hint="eastAsia" w:ascii="Times New Roman" w:hAnsi="Times New Roman" w:eastAsia="宋体" w:cs="Times New Roman"/>
                <w:b w:val="0"/>
                <w:bCs w:val="0"/>
                <w:color w:val="auto"/>
                <w:spacing w:val="0"/>
                <w:kern w:val="2"/>
                <w:sz w:val="24"/>
                <w:szCs w:val="24"/>
                <w:lang w:val="en-US" w:eastAsia="zh-CN" w:bidi="ar-SA"/>
              </w:rPr>
              <w:t>但是待本工程投产后，总容量24MW</w:t>
            </w:r>
            <w:r>
              <w:rPr>
                <w:rFonts w:hint="eastAsia" w:ascii="Times New Roman" w:hAnsi="Times New Roman" w:eastAsia="宋体" w:cs="Times New Roman"/>
                <w:b w:val="0"/>
                <w:bCs w:val="0"/>
                <w:spacing w:val="0"/>
                <w:kern w:val="2"/>
                <w:sz w:val="24"/>
                <w:szCs w:val="24"/>
                <w:lang w:val="en-US" w:eastAsia="zh-CN" w:bidi="ar-SA"/>
              </w:rPr>
              <w:t>，产生的电量足以抵消本工程的实际消耗，且芒市的用电负荷能够满足本工程施工使用，故本工程的实施没有突破当前国家能源利用上线的要求。</w:t>
            </w:r>
          </w:p>
          <w:p w14:paraId="3DEB157D">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（4）与环境准入清单的协调性</w:t>
            </w:r>
          </w:p>
          <w:p w14:paraId="0AE07854">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根据国家《长江经济带发展负面清单指南（试行）》和《云南省长江经济带发展负面清单实施细则（试行）》，</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禁止一切不符合主体功能定位的投资建设项目；禁止新建、扩建法律法规和相关政策明令禁止的落后产能项目。</w:t>
            </w:r>
            <w:r>
              <w:rPr>
                <w:rFonts w:hint="eastAsia" w:ascii="Times New Roman" w:hAnsi="Times New Roman" w:eastAsia="宋体" w:cs="Times New Roman"/>
                <w:b w:val="0"/>
                <w:bCs w:val="0"/>
                <w:spacing w:val="0"/>
                <w:kern w:val="2"/>
                <w:sz w:val="24"/>
                <w:szCs w:val="24"/>
                <w:lang w:val="en-US" w:eastAsia="zh-CN" w:bidi="ar-SA"/>
              </w:rPr>
              <w:t>”</w:t>
            </w:r>
          </w:p>
          <w:p w14:paraId="14930F50">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本项目为太阳能光伏发电的新能源项目，符合云南省主体功能区划，不属于环境准入清单的禁止类项目</w:t>
            </w:r>
            <w:r>
              <w:rPr>
                <w:rFonts w:hint="eastAsia" w:ascii="Times New Roman" w:hAnsi="Times New Roman" w:eastAsia="宋体" w:cs="Times New Roman"/>
                <w:b w:val="0"/>
                <w:bCs w:val="0"/>
                <w:spacing w:val="0"/>
                <w:kern w:val="2"/>
                <w:sz w:val="24"/>
                <w:szCs w:val="24"/>
                <w:lang w:val="en-US" w:eastAsia="zh-CN" w:bidi="ar-SA"/>
              </w:rPr>
              <w:t>。</w:t>
            </w:r>
          </w:p>
          <w:p w14:paraId="756060E2">
            <w:pPr>
              <w:pStyle w:val="5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spacing w:val="0"/>
                <w:kern w:val="2"/>
                <w:sz w:val="24"/>
                <w:szCs w:val="24"/>
                <w:lang w:val="en-US" w:eastAsia="zh-CN" w:bidi="ar-SA"/>
              </w:rPr>
              <w:t>综上所述，本项目实施符合“三线一单”要求。</w:t>
            </w:r>
          </w:p>
          <w:p w14:paraId="1584AF26">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与《</w:t>
            </w:r>
            <w:r>
              <w:rPr>
                <w:rFonts w:hint="default" w:ascii="Times New Roman" w:hAnsi="Times New Roman" w:eastAsia="宋体" w:cs="Times New Roman"/>
                <w:b/>
                <w:bCs/>
                <w:color w:val="auto"/>
                <w:kern w:val="0"/>
                <w:sz w:val="24"/>
              </w:rPr>
              <w:t>德宏州“三线一单”生态环境分区管控实施方案</w:t>
            </w:r>
            <w:r>
              <w:rPr>
                <w:rFonts w:hint="default" w:ascii="Times New Roman" w:hAnsi="Times New Roman" w:eastAsia="宋体" w:cs="Times New Roman"/>
                <w:b/>
                <w:bCs/>
                <w:color w:val="auto"/>
                <w:kern w:val="0"/>
                <w:sz w:val="24"/>
                <w:lang w:val="en-US" w:eastAsia="zh-CN"/>
              </w:rPr>
              <w:t>》</w:t>
            </w:r>
            <w:r>
              <w:rPr>
                <w:rFonts w:hint="default" w:ascii="Times New Roman" w:hAnsi="Times New Roman" w:eastAsia="宋体" w:cs="Times New Roman"/>
                <w:b/>
                <w:bCs/>
                <w:color w:val="auto"/>
                <w:kern w:val="0"/>
                <w:sz w:val="24"/>
              </w:rPr>
              <w:t>的</w:t>
            </w:r>
            <w:r>
              <w:rPr>
                <w:rFonts w:hint="default" w:ascii="Times New Roman" w:hAnsi="Times New Roman" w:eastAsia="宋体" w:cs="Times New Roman"/>
                <w:b/>
                <w:bCs/>
                <w:color w:val="auto"/>
                <w:kern w:val="0"/>
                <w:sz w:val="24"/>
                <w:lang w:val="en-US" w:eastAsia="zh-CN"/>
              </w:rPr>
              <w:t>符合性分析</w:t>
            </w:r>
          </w:p>
          <w:p w14:paraId="400DDD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项</w:t>
            </w:r>
            <w:r>
              <w:rPr>
                <w:rFonts w:hint="eastAsia" w:ascii="Times New Roman" w:hAnsi="Times New Roman" w:eastAsia="宋体" w:cs="Times New Roman"/>
                <w:color w:val="auto"/>
                <w:sz w:val="24"/>
                <w:szCs w:val="24"/>
                <w:lang w:val="en-US" w:eastAsia="zh-CN"/>
              </w:rPr>
              <w:t>目位于云南省德宏州芒市</w:t>
            </w:r>
            <w:r>
              <w:rPr>
                <w:rFonts w:hint="default" w:ascii="宋体" w:hAnsi="宋体" w:eastAsia="宋体" w:cs="宋体"/>
                <w:b w:val="0"/>
                <w:bCs w:val="0"/>
                <w:sz w:val="24"/>
                <w:szCs w:val="24"/>
                <w:vertAlign w:val="baseline"/>
                <w:lang w:val="en-US" w:eastAsia="zh-CN"/>
              </w:rPr>
              <w:t>江东乡河头村</w:t>
            </w:r>
            <w:r>
              <w:rPr>
                <w:rFonts w:hint="eastAsia" w:ascii="Times New Roman" w:hAnsi="Times New Roman" w:eastAsia="宋体" w:cs="Times New Roman"/>
                <w:color w:val="auto"/>
                <w:sz w:val="24"/>
                <w:szCs w:val="24"/>
                <w:lang w:val="en-US" w:eastAsia="zh-CN"/>
              </w:rPr>
              <w:t>，根据《德宏州“三线一单</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生态环境分区管控实施方案》，项目所在区域一般管控区。</w:t>
            </w:r>
          </w:p>
          <w:p w14:paraId="7943AA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p>
          <w:p w14:paraId="09387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eastAsia" w:ascii="Times New Roman" w:hAnsi="Times New Roman" w:eastAsia="宋体" w:cs="Times New Roman"/>
                <w:color w:val="auto"/>
                <w:sz w:val="24"/>
                <w:szCs w:val="24"/>
                <w:lang w:val="en-US" w:eastAsia="zh-CN"/>
              </w:rPr>
            </w:pPr>
          </w:p>
          <w:p w14:paraId="030FCCF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项目与《</w:t>
            </w:r>
            <w:r>
              <w:rPr>
                <w:rFonts w:hint="default" w:ascii="Times New Roman" w:hAnsi="Times New Roman" w:eastAsia="宋体" w:cs="Times New Roman"/>
                <w:b/>
                <w:color w:val="auto"/>
                <w:sz w:val="21"/>
                <w:szCs w:val="21"/>
                <w:lang w:val="en-US" w:eastAsia="zh-CN"/>
              </w:rPr>
              <w:t>德宏州</w:t>
            </w:r>
            <w:r>
              <w:rPr>
                <w:rFonts w:hint="default" w:ascii="Times New Roman" w:hAnsi="Times New Roman" w:eastAsia="宋体" w:cs="Times New Roman"/>
                <w:b/>
                <w:color w:val="auto"/>
                <w:sz w:val="21"/>
                <w:szCs w:val="21"/>
              </w:rPr>
              <w:t>“三线一单”生态环境分区管控实施方案》的符合性分析</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693"/>
              <w:gridCol w:w="3516"/>
              <w:gridCol w:w="1708"/>
              <w:gridCol w:w="599"/>
            </w:tblGrid>
            <w:tr w14:paraId="64E7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14:paraId="4CEFDCDA">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项目</w:t>
                  </w:r>
                </w:p>
              </w:tc>
              <w:tc>
                <w:tcPr>
                  <w:tcW w:w="487" w:type="pct"/>
                  <w:noWrap w:val="0"/>
                  <w:tcMar>
                    <w:top w:w="0" w:type="dxa"/>
                    <w:left w:w="0" w:type="dxa"/>
                    <w:bottom w:w="0" w:type="dxa"/>
                    <w:right w:w="0" w:type="dxa"/>
                  </w:tcMar>
                  <w:vAlign w:val="center"/>
                </w:tcPr>
                <w:p w14:paraId="15DD55B5">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val="en-US" w:eastAsia="zh-CN"/>
                    </w:rPr>
                    <w:t>单元名称</w:t>
                  </w:r>
                </w:p>
              </w:tc>
              <w:tc>
                <w:tcPr>
                  <w:tcW w:w="2472" w:type="pct"/>
                  <w:noWrap w:val="0"/>
                  <w:vAlign w:val="center"/>
                </w:tcPr>
                <w:p w14:paraId="3B920750">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管控要求</w:t>
                  </w:r>
                </w:p>
              </w:tc>
              <w:tc>
                <w:tcPr>
                  <w:tcW w:w="1201" w:type="pct"/>
                  <w:noWrap w:val="0"/>
                  <w:vAlign w:val="center"/>
                </w:tcPr>
                <w:p w14:paraId="1051D5B3">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本项目情况</w:t>
                  </w:r>
                </w:p>
              </w:tc>
              <w:tc>
                <w:tcPr>
                  <w:tcW w:w="421" w:type="pct"/>
                  <w:noWrap w:val="0"/>
                  <w:vAlign w:val="center"/>
                </w:tcPr>
                <w:p w14:paraId="5FB5777C">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符合性</w:t>
                  </w:r>
                </w:p>
              </w:tc>
            </w:tr>
            <w:tr w14:paraId="5066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noWrap w:val="0"/>
                  <w:vAlign w:val="center"/>
                </w:tcPr>
                <w:p w14:paraId="70CA3A2A">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各县市一般管控单元</w:t>
                  </w:r>
                </w:p>
              </w:tc>
              <w:tc>
                <w:tcPr>
                  <w:tcW w:w="487" w:type="pct"/>
                  <w:noWrap w:val="0"/>
                  <w:vAlign w:val="center"/>
                </w:tcPr>
                <w:p w14:paraId="641F21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空间布局约束</w:t>
                  </w:r>
                </w:p>
              </w:tc>
              <w:tc>
                <w:tcPr>
                  <w:tcW w:w="2472" w:type="pct"/>
                  <w:noWrap w:val="0"/>
                  <w:vAlign w:val="center"/>
                </w:tcPr>
                <w:p w14:paraId="1C078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1.新建企业应入工业园区，未建立工业园区的县（市），新建企业的布局应符合当地相关产业布局的要求。</w:t>
                  </w:r>
                </w:p>
                <w:p w14:paraId="3D9FE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2.禁止在基本农田内从事非农业生产的活动。任何单位和个人不得改变或者占用基本农田保护区。</w:t>
                  </w:r>
                </w:p>
                <w:p w14:paraId="10552C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kern w:val="0"/>
                      <w:sz w:val="21"/>
                      <w:szCs w:val="21"/>
                      <w:lang w:val="en-US" w:eastAsia="zh-CN" w:bidi="en-US"/>
                    </w:rPr>
                    <w:t>3.禁止新建、改扩建中小水电（25万千瓦以下）项目，现有中小水电站应按照环评批复（环评批复未明确生态流量的根据来水量科学确定生态流量），确保连续稳定下泄生态流量。</w:t>
                  </w:r>
                </w:p>
              </w:tc>
              <w:tc>
                <w:tcPr>
                  <w:tcW w:w="1201" w:type="pct"/>
                  <w:noWrap w:val="0"/>
                  <w:vAlign w:val="center"/>
                </w:tcPr>
                <w:p w14:paraId="7058D3E4">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auto"/>
                      <w:sz w:val="21"/>
                      <w:szCs w:val="21"/>
                      <w:lang w:val="en-US" w:eastAsia="zh-CN"/>
                    </w:rPr>
                    <w:t>项目位于芒市江东乡河头村，属于太阳能光伏发电项目，不占用基本农田和耕地。</w:t>
                  </w:r>
                </w:p>
              </w:tc>
              <w:tc>
                <w:tcPr>
                  <w:tcW w:w="421" w:type="pct"/>
                  <w:noWrap w:val="0"/>
                  <w:vAlign w:val="center"/>
                </w:tcPr>
                <w:p w14:paraId="7F71BD30">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符合</w:t>
                  </w:r>
                </w:p>
              </w:tc>
            </w:tr>
            <w:tr w14:paraId="05A8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2909FB54">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328098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污染物排放管控</w:t>
                  </w:r>
                </w:p>
              </w:tc>
              <w:tc>
                <w:tcPr>
                  <w:tcW w:w="2472" w:type="pct"/>
                  <w:noWrap w:val="0"/>
                  <w:vAlign w:val="center"/>
                </w:tcPr>
                <w:p w14:paraId="643AF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1.落实生态环境保护基本要求，项目建设和运行应满足产业准入、总量控制、排放标准等管理规定。</w:t>
                  </w:r>
                </w:p>
                <w:p w14:paraId="78EFF8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2.现有工业企业应达标排放，逐步提升清洁生产水平，减少污染物排放量。</w:t>
                  </w:r>
                </w:p>
                <w:p w14:paraId="2175A8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3.加强农业面源污染治理，严格控制化肥农药施用量，合理水产养殖布局，控制水产养殖污染，逐步削减农业面源污染物排放量。</w:t>
                  </w:r>
                </w:p>
              </w:tc>
              <w:tc>
                <w:tcPr>
                  <w:tcW w:w="1201" w:type="pct"/>
                  <w:noWrap w:val="0"/>
                  <w:vAlign w:val="center"/>
                </w:tcPr>
                <w:p w14:paraId="308D5523">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宋体" w:hAnsi="宋体" w:eastAsia="宋体" w:cs="宋体"/>
                      <w:b w:val="0"/>
                      <w:bCs w:val="0"/>
                      <w:color w:val="auto"/>
                      <w:sz w:val="21"/>
                      <w:szCs w:val="21"/>
                      <w:lang w:val="en-US" w:eastAsia="zh-CN"/>
                    </w:rPr>
                    <w:t>项目</w:t>
                  </w:r>
                  <w:r>
                    <w:rPr>
                      <w:rFonts w:hint="default" w:ascii="Times New Roman" w:hAnsi="Times New Roman" w:eastAsia="宋体" w:cs="Times New Roman"/>
                      <w:b w:val="0"/>
                      <w:bCs w:val="0"/>
                      <w:color w:val="000000"/>
                      <w:sz w:val="21"/>
                      <w:szCs w:val="21"/>
                      <w:lang w:val="en-US" w:eastAsia="zh-CN"/>
                    </w:rPr>
                    <w:t>符合产业</w:t>
                  </w:r>
                  <w:r>
                    <w:rPr>
                      <w:rFonts w:hint="eastAsia" w:ascii="Times New Roman" w:hAnsi="Times New Roman" w:eastAsia="宋体" w:cs="Times New Roman"/>
                      <w:b w:val="0"/>
                      <w:bCs w:val="0"/>
                      <w:color w:val="000000"/>
                      <w:sz w:val="21"/>
                      <w:szCs w:val="21"/>
                      <w:lang w:val="en-US" w:eastAsia="zh-CN"/>
                    </w:rPr>
                    <w:t>政策</w:t>
                  </w:r>
                  <w:r>
                    <w:rPr>
                      <w:rFonts w:hint="default" w:ascii="Times New Roman" w:hAnsi="Times New Roman" w:eastAsia="宋体" w:cs="Times New Roman"/>
                      <w:b w:val="0"/>
                      <w:bCs w:val="0"/>
                      <w:color w:val="000000"/>
                      <w:sz w:val="21"/>
                      <w:szCs w:val="21"/>
                      <w:lang w:val="en-US" w:eastAsia="zh-CN"/>
                    </w:rPr>
                    <w:t>及总量控制、排放标准等</w:t>
                  </w:r>
                  <w:r>
                    <w:rPr>
                      <w:rFonts w:hint="eastAsia" w:ascii="Times New Roman" w:hAnsi="Times New Roman" w:eastAsia="宋体" w:cs="Times New Roman"/>
                      <w:b w:val="0"/>
                      <w:bCs w:val="0"/>
                      <w:color w:val="000000"/>
                      <w:sz w:val="21"/>
                      <w:szCs w:val="21"/>
                      <w:lang w:val="en-US" w:eastAsia="zh-CN"/>
                    </w:rPr>
                    <w:t>规定。</w:t>
                  </w:r>
                  <w:r>
                    <w:rPr>
                      <w:rFonts w:hint="default" w:ascii="Times New Roman" w:hAnsi="Times New Roman" w:eastAsia="宋体" w:cs="Times New Roman"/>
                      <w:b w:val="0"/>
                      <w:bCs w:val="0"/>
                      <w:color w:val="000000"/>
                      <w:sz w:val="21"/>
                      <w:szCs w:val="21"/>
                      <w:lang w:val="en-US" w:eastAsia="zh-CN"/>
                    </w:rPr>
                    <w:t>项目</w:t>
                  </w:r>
                  <w:r>
                    <w:rPr>
                      <w:rFonts w:hint="eastAsia" w:ascii="Times New Roman" w:hAnsi="Times New Roman" w:eastAsia="宋体" w:cs="Times New Roman"/>
                      <w:b w:val="0"/>
                      <w:bCs w:val="0"/>
                      <w:color w:val="000000"/>
                      <w:sz w:val="21"/>
                      <w:szCs w:val="21"/>
                      <w:lang w:val="en-US" w:eastAsia="zh-CN"/>
                    </w:rPr>
                    <w:t>建成后，仅有少量生活废水及光伏电池板清洗水，这些废水经处理后用于绿化不外排。</w:t>
                  </w:r>
                </w:p>
              </w:tc>
              <w:tc>
                <w:tcPr>
                  <w:tcW w:w="421" w:type="pct"/>
                  <w:noWrap w:val="0"/>
                  <w:vAlign w:val="center"/>
                </w:tcPr>
                <w:p w14:paraId="20C02102">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符合</w:t>
                  </w:r>
                </w:p>
              </w:tc>
            </w:tr>
            <w:tr w14:paraId="7D2F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5F8E3278">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620EF70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环境风险防控</w:t>
                  </w:r>
                </w:p>
              </w:tc>
              <w:tc>
                <w:tcPr>
                  <w:tcW w:w="2472" w:type="pct"/>
                  <w:noWrap w:val="0"/>
                  <w:vAlign w:val="center"/>
                </w:tcPr>
                <w:tbl>
                  <w:tblPr>
                    <w:tblStyle w:val="25"/>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00"/>
                  </w:tblGrid>
                  <w:tr w14:paraId="5B74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35" w:hRule="atLeast"/>
                    </w:trPr>
                    <w:tc>
                      <w:tcPr>
                        <w:tcW w:w="0" w:type="auto"/>
                        <w:tcBorders>
                          <w:tl2br w:val="nil"/>
                          <w:tr2bl w:val="nil"/>
                        </w:tcBorders>
                        <w:noWrap w:val="0"/>
                        <w:vAlign w:val="top"/>
                      </w:tcPr>
                      <w:p w14:paraId="0C27E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val="0"/>
                            <w:bCs w:val="0"/>
                            <w:color w:val="000000"/>
                            <w:kern w:val="0"/>
                            <w:sz w:val="21"/>
                            <w:szCs w:val="21"/>
                            <w:lang w:val="en-US" w:eastAsia="zh-CN" w:bidi="en-US"/>
                          </w:rPr>
                        </w:pPr>
                        <w:r>
                          <w:rPr>
                            <w:rFonts w:hint="eastAsia" w:ascii="Times New Roman" w:hAnsi="Times New Roman" w:eastAsia="宋体" w:cs="Times New Roman"/>
                            <w:b w:val="0"/>
                            <w:bCs w:val="0"/>
                            <w:color w:val="000000"/>
                            <w:kern w:val="0"/>
                            <w:sz w:val="21"/>
                            <w:szCs w:val="21"/>
                            <w:lang w:val="en-US" w:eastAsia="zh-CN" w:bidi="en-US"/>
                          </w:rPr>
                          <w:t xml:space="preserve">1.禁止高毒、高风险、高残留农药使用。规范、限制使用抗生素等化学药品。 </w:t>
                        </w:r>
                      </w:p>
                      <w:p w14:paraId="31EDE3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方正仿宋_GBK" w:hAnsi="方正仿宋_GBK" w:eastAsia="方正仿宋_GBK"/>
                            <w:color w:val="000000"/>
                            <w:sz w:val="23"/>
                          </w:rPr>
                        </w:pPr>
                        <w:r>
                          <w:rPr>
                            <w:rFonts w:hint="eastAsia" w:ascii="Times New Roman" w:hAnsi="Times New Roman" w:eastAsia="宋体" w:cs="Times New Roman"/>
                            <w:b w:val="0"/>
                            <w:bCs w:val="0"/>
                            <w:color w:val="000000"/>
                            <w:kern w:val="0"/>
                            <w:sz w:val="21"/>
                            <w:szCs w:val="21"/>
                            <w:lang w:val="en-US" w:eastAsia="zh-CN" w:bidi="en-US"/>
                          </w:rPr>
                          <w:t xml:space="preserve">2.加强环境风险防范应急体系建设，加强环境应急预案管理，定期开展应急演练，持续开展环境安全隐患排查整治，提升应急监测能力，加强应急物资管理。 </w:t>
                        </w:r>
                      </w:p>
                    </w:tc>
                  </w:tr>
                </w:tbl>
                <w:p w14:paraId="144AAF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p>
              </w:tc>
              <w:tc>
                <w:tcPr>
                  <w:tcW w:w="1201" w:type="pct"/>
                  <w:noWrap w:val="0"/>
                  <w:vAlign w:val="center"/>
                </w:tcPr>
                <w:p w14:paraId="6C4293F8">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项目不涉及</w:t>
                  </w:r>
                  <w:r>
                    <w:rPr>
                      <w:rFonts w:hint="eastAsia" w:ascii="Times New Roman" w:hAnsi="Times New Roman" w:eastAsia="宋体" w:cs="Times New Roman"/>
                      <w:b w:val="0"/>
                      <w:bCs w:val="0"/>
                      <w:color w:val="000000"/>
                      <w:kern w:val="0"/>
                      <w:sz w:val="21"/>
                      <w:szCs w:val="21"/>
                      <w:lang w:val="en-US" w:eastAsia="zh-CN" w:bidi="en-US"/>
                    </w:rPr>
                    <w:t>高毒、高风险、高残留农药、抗生素的使用，建成后将编制应急预案，并向主管部门备案。</w:t>
                  </w:r>
                </w:p>
              </w:tc>
              <w:tc>
                <w:tcPr>
                  <w:tcW w:w="421" w:type="pct"/>
                  <w:noWrap w:val="0"/>
                  <w:vAlign w:val="center"/>
                </w:tcPr>
                <w:p w14:paraId="3F5073F8">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符合</w:t>
                  </w:r>
                </w:p>
              </w:tc>
            </w:tr>
            <w:tr w14:paraId="76A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noWrap w:val="0"/>
                  <w:vAlign w:val="center"/>
                </w:tcPr>
                <w:p w14:paraId="06391035">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rPr>
                  </w:pPr>
                </w:p>
              </w:tc>
              <w:tc>
                <w:tcPr>
                  <w:tcW w:w="487" w:type="pct"/>
                  <w:noWrap w:val="0"/>
                  <w:vAlign w:val="center"/>
                </w:tcPr>
                <w:p w14:paraId="367B06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SA"/>
                    </w:rPr>
                    <w:t>资源开发效率要求</w:t>
                  </w:r>
                </w:p>
              </w:tc>
              <w:tc>
                <w:tcPr>
                  <w:tcW w:w="2472" w:type="pct"/>
                  <w:noWrap w:val="0"/>
                  <w:vAlign w:val="center"/>
                </w:tcPr>
                <w:p w14:paraId="5CCE3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1.优化能源结构，加强能源清洁利用。</w:t>
                  </w:r>
                </w:p>
                <w:p w14:paraId="5D55A1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000000"/>
                      <w:kern w:val="0"/>
                      <w:sz w:val="21"/>
                      <w:szCs w:val="21"/>
                      <w:lang w:val="en-US" w:eastAsia="zh-CN" w:bidi="en-US"/>
                    </w:rPr>
                  </w:pPr>
                  <w:r>
                    <w:rPr>
                      <w:rFonts w:hint="default" w:ascii="Times New Roman" w:hAnsi="Times New Roman" w:eastAsia="宋体" w:cs="Times New Roman"/>
                      <w:b w:val="0"/>
                      <w:bCs w:val="0"/>
                      <w:color w:val="000000"/>
                      <w:kern w:val="0"/>
                      <w:sz w:val="21"/>
                      <w:szCs w:val="21"/>
                      <w:lang w:val="en-US" w:eastAsia="zh-CN" w:bidi="en-US"/>
                    </w:rPr>
                    <w:t>2.提高土地利用效率，节约集约利用土地资源。</w:t>
                  </w:r>
                </w:p>
              </w:tc>
              <w:tc>
                <w:tcPr>
                  <w:tcW w:w="1201" w:type="pct"/>
                  <w:noWrap w:val="0"/>
                  <w:vAlign w:val="center"/>
                </w:tcPr>
                <w:p w14:paraId="67FF6DDE">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项目属于清洁能源项目，项目占地不涉及敏感保护目标，占地类型为园地（茶园）。</w:t>
                  </w:r>
                </w:p>
              </w:tc>
              <w:tc>
                <w:tcPr>
                  <w:tcW w:w="421" w:type="pct"/>
                  <w:noWrap w:val="0"/>
                  <w:vAlign w:val="center"/>
                </w:tcPr>
                <w:p w14:paraId="5D2A1E36">
                  <w:pPr>
                    <w:pStyle w:val="10"/>
                    <w:keepNext w:val="0"/>
                    <w:keepLines w:val="0"/>
                    <w:widowControl w:val="0"/>
                    <w:suppressLineNumbers w:val="0"/>
                    <w:adjustRightInd w:val="0"/>
                    <w:snapToGrid w:val="0"/>
                    <w:spacing w:beforeAutospacing="0" w:after="0" w:afterAutospacing="0" w:line="240" w:lineRule="auto"/>
                    <w:ind w:left="0" w:firstLine="0" w:firstLine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符合</w:t>
                  </w:r>
                </w:p>
              </w:tc>
            </w:tr>
          </w:tbl>
          <w:p w14:paraId="077C2CF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0"/>
                <w:sz w:val="24"/>
                <w:szCs w:val="24"/>
              </w:rPr>
              <w:t>综上，本项目建设符合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生态环境分区管控实施方案》</w:t>
            </w:r>
            <w:r>
              <w:rPr>
                <w:rFonts w:hint="default" w:ascii="Times New Roman" w:hAnsi="Times New Roman" w:eastAsia="宋体" w:cs="Times New Roman"/>
                <w:color w:val="auto"/>
                <w:kern w:val="0"/>
                <w:sz w:val="24"/>
                <w:szCs w:val="24"/>
              </w:rPr>
              <w:t>中相关要求。</w:t>
            </w:r>
          </w:p>
          <w:p w14:paraId="15355294">
            <w:pPr>
              <w:pStyle w:val="13"/>
              <w:keepNext w:val="0"/>
              <w:keepLines w:val="0"/>
              <w:suppressLineNumbers w:val="0"/>
              <w:spacing w:before="0" w:beforeAutospacing="0" w:after="0" w:afterAutospacing="0"/>
              <w:ind w:left="0" w:leftChars="0" w:right="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5、与《云南省主体功能区规划》(云政发[2014]1号文)分析</w:t>
            </w:r>
          </w:p>
          <w:p w14:paraId="151A99C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2014年1月6日云南省人民政府发布了《云南省人民政府关于印发云南省主体功能区规划的通知》(云政发(2014)1号)，云南省主体功能区划是根据不同区域的资源环境承载力、现有开发密度和未来发展潜力，划分主体功能区，逐步形成人口、经济、资源环境相协调的空间开发布局，云南省国土空间按开发方式分为重点开发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限制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开发区域和禁止开发区域3类主体功能区。其中禁止开发区包括自然保护区、世界遗产、风景名胜区、森林公园、地质公园、城市饮用水源保护区、湿地公园、水产种质资源保护区、牛栏江流域上游保护区水源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核心区等。</w:t>
            </w:r>
          </w:p>
          <w:p w14:paraId="52345C5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本项目位于德宏州芒市江东乡河头村，属于限制开发区-农产品主产区</w:t>
            </w:r>
            <w:r>
              <w:rPr>
                <w:rFonts w:hint="eastAsia" w:ascii="Times New Roman" w:hAnsi="Times New Roman" w:eastAsia="宋体" w:cs="Times New Roman"/>
                <w:color w:val="auto"/>
                <w:kern w:val="0"/>
                <w:szCs w:val="22"/>
                <w:lang w:val="en-US" w:eastAsia="zh-CN"/>
              </w:rPr>
              <w:t>，是以提供农产品、保障农产品供给安全为主体功能的区域。要以大力发展高原特色农业为重点，切实保护耕地，稳定粮食生产。要按照保护和恢复地力的要求设置产业准入环境标准。</w:t>
            </w:r>
            <w:r>
              <w:rPr>
                <w:rFonts w:hint="default" w:ascii="Times New Roman" w:hAnsi="Times New Roman" w:eastAsia="宋体" w:cs="Times New Roman"/>
                <w:sz w:val="24"/>
                <w:szCs w:val="24"/>
                <w:lang w:val="en-US" w:eastAsia="zh-CN"/>
              </w:rPr>
              <w:t>本工程不涉及自然保护区、风景名胜区、饮用水源保护区、森林公园、世界自然遗产地等环境敏感区，根据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芒市自然资源局关于</w:t>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芒市300MW复合光伏发电项目建设领导小组办公室核实项目选址是否涉及敏感因素的复函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（见附件4）；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项目不占用永久基本农田和耕地</w:t>
            </w:r>
            <w:r>
              <w:rPr>
                <w:rFonts w:hint="eastAsia" w:ascii="Times New Roman" w:hAnsi="Times New Roman" w:eastAsia="宋体" w:cs="Times New Roman"/>
                <w:color w:val="auto"/>
                <w:sz w:val="24"/>
                <w:szCs w:val="24"/>
                <w:lang w:val="en-US" w:eastAsia="zh-CN"/>
              </w:rPr>
              <w:t>”，因此</w:t>
            </w:r>
            <w:r>
              <w:rPr>
                <w:rFonts w:hint="eastAsia" w:ascii="Times New Roman" w:hAnsi="Times New Roman" w:eastAsia="宋体" w:cs="Times New Roman"/>
                <w:sz w:val="24"/>
                <w:szCs w:val="24"/>
                <w:lang w:val="en-US" w:eastAsia="zh-CN"/>
              </w:rPr>
              <w:t>不会对</w:t>
            </w:r>
            <w:r>
              <w:rPr>
                <w:rFonts w:hint="eastAsia" w:ascii="Times New Roman" w:hAnsi="Times New Roman" w:eastAsia="宋体" w:cs="Times New Roman"/>
                <w:color w:val="auto"/>
                <w:kern w:val="0"/>
                <w:szCs w:val="22"/>
                <w:lang w:val="en-US" w:eastAsia="zh-CN"/>
              </w:rPr>
              <w:t>粮食生产造成不利影响。</w:t>
            </w:r>
            <w:r>
              <w:rPr>
                <w:rFonts w:hint="default" w:ascii="Times New Roman" w:hAnsi="Times New Roman" w:eastAsia="宋体" w:cs="Times New Roman"/>
                <w:sz w:val="24"/>
                <w:szCs w:val="24"/>
                <w:lang w:val="en-US" w:eastAsia="zh-CN"/>
              </w:rPr>
              <w:t>本工程为开发太阳能发电项目，将改变区域能源结构，有利于增加可再生能源的比例和清洁能源比例，能减少区域应使用煤等污染燃料比例，</w:t>
            </w:r>
            <w:r>
              <w:rPr>
                <w:rFonts w:hint="eastAsia" w:ascii="Times New Roman" w:hAnsi="Times New Roman" w:eastAsia="宋体" w:cs="Times New Roman"/>
                <w:sz w:val="24"/>
                <w:szCs w:val="24"/>
                <w:lang w:val="en-US" w:eastAsia="zh-CN"/>
              </w:rPr>
              <w:t>具有明显的环境效益。</w:t>
            </w:r>
            <w:r>
              <w:rPr>
                <w:rFonts w:hint="default" w:ascii="Times New Roman" w:hAnsi="Times New Roman" w:eastAsia="宋体" w:cs="Times New Roman"/>
                <w:sz w:val="24"/>
                <w:szCs w:val="24"/>
                <w:lang w:val="en-US" w:eastAsia="zh-CN"/>
              </w:rPr>
              <w:t>因此项目与《云南省主体功能区规划》不冲突。</w:t>
            </w:r>
          </w:p>
          <w:p w14:paraId="0F97292F">
            <w:pPr>
              <w:pStyle w:val="13"/>
              <w:keepNext w:val="0"/>
              <w:keepLines w:val="0"/>
              <w:suppressLineNumbers w:val="0"/>
              <w:spacing w:before="0" w:beforeAutospacing="0" w:after="0" w:afterAutospacing="0" w:line="360" w:lineRule="auto"/>
              <w:ind w:left="1265" w:leftChars="0" w:right="0" w:hanging="1265" w:hangingChars="600"/>
              <w:rPr>
                <w:rFonts w:hint="default"/>
              </w:rPr>
            </w:pPr>
            <w:r>
              <w:rPr>
                <w:rFonts w:hint="eastAsia" w:ascii="宋体" w:hAnsi="宋体" w:eastAsia="宋体" w:cs="宋体"/>
                <w:b/>
                <w:bCs/>
                <w:color w:val="000000"/>
                <w:kern w:val="0"/>
                <w:sz w:val="21"/>
                <w:szCs w:val="21"/>
                <w:lang w:val="en-US" w:eastAsia="zh-CN" w:bidi="ar"/>
              </w:rPr>
              <w:drawing>
                <wp:inline distT="0" distB="0" distL="114300" distR="114300">
                  <wp:extent cx="4215130" cy="2959735"/>
                  <wp:effectExtent l="0" t="0" r="13970" b="12065"/>
                  <wp:docPr id="31" name="图片 31" descr="微信图片_202212121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212114240"/>
                          <pic:cNvPicPr>
                            <a:picLocks noChangeAspect="1"/>
                          </pic:cNvPicPr>
                        </pic:nvPicPr>
                        <pic:blipFill>
                          <a:blip r:embed="rId15"/>
                          <a:stretch>
                            <a:fillRect/>
                          </a:stretch>
                        </pic:blipFill>
                        <pic:spPr>
                          <a:xfrm>
                            <a:off x="0" y="0"/>
                            <a:ext cx="4215130" cy="2959735"/>
                          </a:xfrm>
                          <a:prstGeom prst="rect">
                            <a:avLst/>
                          </a:prstGeom>
                        </pic:spPr>
                      </pic:pic>
                    </a:graphicData>
                  </a:graphic>
                </wp:inline>
              </w:drawing>
            </w:r>
            <w:r>
              <w:rPr>
                <w:rFonts w:hint="eastAsia" w:ascii="宋体" w:hAnsi="宋体" w:eastAsia="宋体" w:cs="宋体"/>
                <w:b/>
                <w:bCs/>
                <w:color w:val="000000"/>
                <w:kern w:val="0"/>
                <w:sz w:val="21"/>
                <w:szCs w:val="21"/>
                <w:lang w:val="en-US" w:eastAsia="zh-CN" w:bidi="ar"/>
              </w:rPr>
              <w:t xml:space="preserve">   图</w:t>
            </w:r>
            <w:r>
              <w:rPr>
                <w:rFonts w:hint="default" w:ascii="Times New Roman" w:hAnsi="Times New Roman" w:eastAsia="TimesNewRomanPS-BoldMT" w:cs="Times New Roman"/>
                <w:color w:val="000000"/>
                <w:kern w:val="0"/>
                <w:sz w:val="21"/>
                <w:szCs w:val="21"/>
                <w:lang w:val="en-US" w:eastAsia="zh-CN" w:bidi="ar"/>
              </w:rPr>
              <w:t>1-1</w:t>
            </w:r>
            <w:r>
              <w:rPr>
                <w:rFonts w:hint="eastAsia" w:ascii="宋体" w:hAnsi="宋体" w:eastAsia="宋体" w:cs="宋体"/>
                <w:b/>
                <w:bCs/>
                <w:color w:val="000000"/>
                <w:kern w:val="0"/>
                <w:sz w:val="21"/>
                <w:szCs w:val="21"/>
                <w:lang w:val="en-US" w:eastAsia="zh-CN" w:bidi="ar"/>
              </w:rPr>
              <w:t>项目与云南省主体功能区规划中的位置示意图</w:t>
            </w:r>
          </w:p>
          <w:p w14:paraId="5CD2CD80">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6、与《云南省生态功能区划》分析</w:t>
            </w:r>
          </w:p>
          <w:p w14:paraId="26EA44C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根据《云南省生态功能区划》，云南省生态功能区共分一级区（生态区）</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个，二级区（生态亚区）</w:t>
            </w:r>
            <w:r>
              <w:rPr>
                <w:rFonts w:hint="default"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lang w:val="en-US" w:eastAsia="zh-CN"/>
              </w:rPr>
              <w:t>个，三级区（生态功能区）</w:t>
            </w:r>
            <w:r>
              <w:rPr>
                <w:rFonts w:hint="default" w:ascii="Times New Roman" w:hAnsi="Times New Roman" w:eastAsia="宋体" w:cs="Times New Roman"/>
                <w:sz w:val="24"/>
                <w:szCs w:val="24"/>
                <w:lang w:val="en-US" w:eastAsia="zh-CN"/>
              </w:rPr>
              <w:t>65</w:t>
            </w:r>
            <w:r>
              <w:rPr>
                <w:rFonts w:hint="eastAsia" w:ascii="Times New Roman" w:hAnsi="Times New Roman" w:eastAsia="宋体" w:cs="Times New Roman"/>
                <w:sz w:val="24"/>
                <w:szCs w:val="24"/>
                <w:lang w:val="en-US" w:eastAsia="zh-CN"/>
              </w:rPr>
              <w:t xml:space="preserve">个。 </w:t>
            </w:r>
          </w:p>
          <w:p w14:paraId="2BDAF174">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云南省生态功能区划》，本项目位于德宏州芒市，属于I季风热带北缘热带雨林生态区—I-3滇西南中山宽谷半常绿季雨林生态亚区—I-3-1大盈江、南畹河下游中山丘陵农业生态功能区，主要生态特征为中山丘陵地貌为主，年降水量1400-1700</w:t>
            </w:r>
            <w:r>
              <w:rPr>
                <w:rFonts w:hint="default" w:ascii="Times New Roman" w:hAnsi="Times New Roman" w:eastAsia="宋体" w:cs="Times New Roman"/>
                <w:color w:val="auto"/>
                <w:kern w:val="0"/>
                <w:sz w:val="24"/>
                <w:lang w:val="en-US" w:eastAsia="zh-CN"/>
              </w:rPr>
              <w:t>mm</w:t>
            </w:r>
            <w:r>
              <w:rPr>
                <w:rFonts w:hint="default" w:ascii="Times New Roman" w:hAnsi="Times New Roman" w:eastAsia="宋体" w:cs="Times New Roman"/>
                <w:color w:val="auto"/>
                <w:kern w:val="0"/>
                <w:sz w:val="24"/>
              </w:rPr>
              <w:t>，地带性植被类型为季风常绿阔叶林。地带性土壤类型为赤红壤、红壤，主要生态系统服务功能发展生态农业和以蔗糖为主热带作物、以澳洲坚果和柠檬为主的热带经济林。</w:t>
            </w:r>
          </w:p>
          <w:p w14:paraId="24AF2FCA">
            <w:pPr>
              <w:pStyle w:val="55"/>
              <w:keepNext w:val="0"/>
              <w:keepLines w:val="0"/>
              <w:suppressLineNumbers w:val="0"/>
              <w:spacing w:before="0" w:beforeAutospacing="0" w:after="0" w:afterAutospacing="0"/>
              <w:ind w:left="0" w:right="0" w:firstLine="52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本项目为光伏电站的建设，</w:t>
            </w:r>
            <w:r>
              <w:rPr>
                <w:rFonts w:hint="eastAsia" w:ascii="Times New Roman" w:hAnsi="Times New Roman" w:eastAsia="宋体" w:cs="Times New Roman"/>
                <w:sz w:val="24"/>
                <w:szCs w:val="24"/>
                <w:lang w:val="en-US" w:eastAsia="zh-CN"/>
              </w:rPr>
              <w:t>本项目不涉及自然保护区、风景名胜区、饮用水源保护区、森林公园、世界自然遗产地等环境敏感区，不占用生态保护红线、生态公益林及基本农</w:t>
            </w:r>
            <w:r>
              <w:rPr>
                <w:rFonts w:hint="eastAsia" w:ascii="Times New Roman" w:hAnsi="Times New Roman" w:eastAsia="宋体" w:cs="Times New Roman"/>
                <w:color w:val="auto"/>
                <w:sz w:val="24"/>
                <w:szCs w:val="24"/>
                <w:lang w:val="en-US" w:eastAsia="zh-CN"/>
              </w:rPr>
              <w:t>田。项目建设占用的植被类型以</w:t>
            </w:r>
            <w:r>
              <w:rPr>
                <w:rFonts w:hint="eastAsia"/>
                <w:color w:val="auto"/>
                <w:lang w:eastAsia="zh-CN"/>
              </w:rPr>
              <w:t>茶树（</w:t>
            </w:r>
            <w:r>
              <w:rPr>
                <w:rFonts w:hint="eastAsia"/>
                <w:color w:val="auto"/>
                <w:lang w:val="en-US" w:eastAsia="zh-CN"/>
              </w:rPr>
              <w:t>国家规定特别灌木林地</w:t>
            </w:r>
            <w:r>
              <w:rPr>
                <w:rFonts w:hint="eastAsia"/>
                <w:color w:val="auto"/>
                <w:lang w:eastAsia="zh-CN"/>
              </w:rPr>
              <w:t>）</w:t>
            </w:r>
            <w:r>
              <w:rPr>
                <w:rFonts w:hint="eastAsia" w:ascii="Times New Roman" w:hAnsi="Times New Roman" w:eastAsia="宋体" w:cs="Times New Roman"/>
                <w:color w:val="auto"/>
                <w:sz w:val="24"/>
                <w:szCs w:val="24"/>
                <w:lang w:val="en-US" w:eastAsia="zh-CN"/>
              </w:rPr>
              <w:t>为主。项目所占用植被类型单一，群落结构简单，物种多样性较低</w:t>
            </w:r>
            <w:r>
              <w:rPr>
                <w:rFonts w:hint="eastAsia" w:ascii="Times New Roman" w:hAnsi="Times New Roman" w:eastAsia="宋体" w:cs="Times New Roman"/>
                <w:sz w:val="24"/>
                <w:szCs w:val="24"/>
                <w:lang w:val="en-US" w:eastAsia="zh-CN"/>
              </w:rPr>
              <w:t>，项目区不属于生物多样性富集区域，</w:t>
            </w:r>
            <w:r>
              <w:rPr>
                <w:rFonts w:hint="default" w:ascii="Times New Roman" w:hAnsi="Times New Roman" w:eastAsia="宋体" w:cs="Times New Roman"/>
                <w:color w:val="auto"/>
                <w:kern w:val="0"/>
                <w:szCs w:val="22"/>
                <w:lang w:val="en-US" w:eastAsia="zh-CN"/>
              </w:rPr>
              <w:t>光伏电站建设后将采取严格的水土保持措施和植被恢复措施，恢复周边植被，对于防止生态环境荒漠化是有益的</w:t>
            </w:r>
            <w:r>
              <w:rPr>
                <w:rFonts w:hint="eastAsia" w:ascii="Times New Roman" w:hAnsi="Times New Roman" w:eastAsia="宋体" w:cs="Times New Roman"/>
                <w:sz w:val="24"/>
                <w:szCs w:val="24"/>
                <w:lang w:val="en-US" w:eastAsia="zh-CN"/>
              </w:rPr>
              <w:t>，对区域的整体生态服务功能影响不大。项目符合《云南省生态功能区划》。</w:t>
            </w:r>
          </w:p>
          <w:p w14:paraId="592A408D">
            <w:pPr>
              <w:pStyle w:val="13"/>
              <w:keepNext w:val="0"/>
              <w:keepLines w:val="0"/>
              <w:suppressLineNumbers w:val="0"/>
              <w:spacing w:before="0" w:beforeAutospacing="0" w:after="0" w:afterAutospacing="0" w:line="360" w:lineRule="auto"/>
              <w:ind w:left="1265" w:leftChars="0" w:right="0" w:hanging="1265" w:hangingChars="600"/>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inline distT="0" distB="0" distL="114300" distR="114300">
                  <wp:extent cx="4143375" cy="2967990"/>
                  <wp:effectExtent l="0" t="0" r="9525" b="3810"/>
                  <wp:docPr id="32" name="图片 32" descr="18ef074d272a7b3c241f19516cb8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ef074d272a7b3c241f19516cb894d"/>
                          <pic:cNvPicPr>
                            <a:picLocks noChangeAspect="1"/>
                          </pic:cNvPicPr>
                        </pic:nvPicPr>
                        <pic:blipFill>
                          <a:blip r:embed="rId16"/>
                          <a:stretch>
                            <a:fillRect/>
                          </a:stretch>
                        </pic:blipFill>
                        <pic:spPr>
                          <a:xfrm>
                            <a:off x="0" y="0"/>
                            <a:ext cx="4143375" cy="2967990"/>
                          </a:xfrm>
                          <a:prstGeom prst="rect">
                            <a:avLst/>
                          </a:prstGeom>
                        </pic:spPr>
                      </pic:pic>
                    </a:graphicData>
                  </a:graphic>
                </wp:inline>
              </w:drawing>
            </w:r>
          </w:p>
          <w:p w14:paraId="1A1E1DEC">
            <w:pPr>
              <w:pStyle w:val="13"/>
              <w:keepNext w:val="0"/>
              <w:keepLines w:val="0"/>
              <w:suppressLineNumbers w:val="0"/>
              <w:spacing w:before="0" w:beforeAutospacing="0" w:after="0" w:afterAutospacing="0" w:line="360" w:lineRule="auto"/>
              <w:ind w:left="1265" w:leftChars="0" w:right="0" w:hanging="1265" w:hangingChars="600"/>
              <w:jc w:val="center"/>
              <w:rPr>
                <w:rFonts w:hint="default" w:ascii="Times New Roman" w:hAnsi="Times New Roman" w:eastAsia="宋体" w:cs="Times New Roman"/>
                <w:sz w:val="24"/>
                <w:szCs w:val="24"/>
                <w:lang w:val="en-US" w:eastAsia="zh-CN"/>
              </w:rPr>
            </w:pP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w:t>
            </w:r>
            <w:r>
              <w:rPr>
                <w:rFonts w:hint="eastAsia" w:ascii="Times New Roman" w:hAnsi="Times New Roman" w:eastAsia="TimesNewRomanPS-BoldMT" w:cs="Times New Roman"/>
                <w:color w:val="000000"/>
                <w:kern w:val="0"/>
                <w:sz w:val="21"/>
                <w:szCs w:val="21"/>
                <w:lang w:val="en-US" w:eastAsia="zh-CN" w:bidi="ar"/>
              </w:rPr>
              <w:t>2</w:t>
            </w:r>
            <w:r>
              <w:rPr>
                <w:rFonts w:hint="eastAsia" w:ascii="宋体" w:hAnsi="宋体" w:eastAsia="宋体" w:cs="宋体"/>
                <w:b/>
                <w:bCs/>
                <w:color w:val="000000"/>
                <w:kern w:val="0"/>
                <w:sz w:val="21"/>
                <w:szCs w:val="21"/>
                <w:lang w:val="en-US" w:eastAsia="zh-CN" w:bidi="ar"/>
              </w:rPr>
              <w:t>项目与云南省生态功能区划中的位置示意图</w:t>
            </w:r>
          </w:p>
          <w:p w14:paraId="44BAA89A">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7、与《国家能源局关于支持光伏扶贫和规范光伏发电产业用地的意见》的符合性分析</w:t>
            </w:r>
          </w:p>
          <w:p w14:paraId="5B63C62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根据《国家能源局关于支持光伏扶贫和规范光伏发电产业用地的意见》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国土资规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8号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各地应当依据国家光伏产业发展规划和本地区实际，加快编制本地区光伏发电规划，合理布局光伏发电建设项目。光伏发电规划应符合土地利用总体规划等相关规划，可以利用未利用地的，不得占用农用地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可以利用劣地的，不得占用好地。禁止以任何方式占用永久基本农田，严禁在国家相关法律法规和规划明确禁止的区域发展光伏发电项目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对使用永久基本农田以外的农用地开展光伏复合项目建设的，省级能源、国土资源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主管部门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同级有关部</w:t>
            </w:r>
            <w:r>
              <w:rPr>
                <w:rFonts w:hint="default" w:ascii="Times New Roman" w:hAnsi="Times New Roman" w:eastAsia="宋体" w:cs="Times New Roman"/>
                <w:sz w:val="24"/>
                <w:szCs w:val="24"/>
                <w:lang w:val="en-US" w:eastAsia="zh-CN"/>
              </w:rPr>
              <w:t>门，在保障农用地可持续利用的前提下，研究提出本地区光伏复合项目建设要求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含光伏方阵架设高度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、认定标准，并明确监管措施，避免对农业生产造成影响。其中对于使用永久基本农田以外的耕地布设光伏方阵的情形，应当从严提出要求，除桩基用地外，严禁硬化地面、破坏耕作层，严禁抛荒、撂荒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6BCE2C2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对于符合本地区光伏复合项目建设要求和认定标准的项目，变电站及运行管理中心、集电线路杆塔基础用地按建设用地管理，依法办理建设用地审批手续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场内道路用地可按农村道路用地管理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利用农用地布设的光伏方阵可不改变原用地性质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p>
          <w:p w14:paraId="68D5D1B1">
            <w:pPr>
              <w:keepNext w:val="0"/>
              <w:keepLines w:val="0"/>
              <w:suppressLineNumbers w:val="0"/>
              <w:spacing w:before="0" w:beforeLines="0" w:beforeAutospacing="0" w:after="0" w:afterLines="0" w:afterAutospacing="0" w:line="360" w:lineRule="auto"/>
              <w:ind w:left="0" w:right="0" w:firstLine="480" w:firstLineChars="200"/>
              <w:jc w:val="left"/>
              <w:rPr>
                <w:rFonts w:hint="default" w:ascii="宋体" w:hAnsi="宋体" w:eastAsia="宋体" w:cs="宋体"/>
                <w:b w:val="0"/>
                <w:bCs w:val="0"/>
                <w:spacing w:val="0"/>
                <w:kern w:val="2"/>
                <w:sz w:val="24"/>
                <w:szCs w:val="24"/>
                <w:lang w:val="en-US" w:eastAsia="zh-CN" w:bidi="ar-SA"/>
              </w:rPr>
            </w:pPr>
            <w:r>
              <w:rPr>
                <w:rFonts w:hint="eastAsia" w:ascii="Times New Roman" w:hAnsi="Times New Roman" w:eastAsia="宋体" w:cs="Times New Roman"/>
                <w:sz w:val="24"/>
                <w:szCs w:val="24"/>
                <w:lang w:val="en-US" w:eastAsia="zh-CN"/>
              </w:rPr>
              <w:t>符合</w:t>
            </w:r>
            <w:r>
              <w:rPr>
                <w:rFonts w:hint="eastAsia" w:ascii="宋体" w:hAnsi="宋体" w:eastAsia="宋体" w:cs="宋体"/>
                <w:b w:val="0"/>
                <w:bCs w:val="0"/>
                <w:spacing w:val="0"/>
                <w:kern w:val="2"/>
                <w:sz w:val="24"/>
                <w:szCs w:val="24"/>
                <w:lang w:val="en-US" w:eastAsia="zh-CN" w:bidi="ar-SA"/>
              </w:rPr>
              <w:t>性分析：根据《</w:t>
            </w:r>
            <w:r>
              <w:rPr>
                <w:rFonts w:hint="default" w:ascii="宋体" w:hAnsi="宋体" w:eastAsia="宋体" w:cs="宋体"/>
                <w:b w:val="0"/>
                <w:bCs w:val="0"/>
                <w:spacing w:val="0"/>
                <w:kern w:val="2"/>
                <w:sz w:val="24"/>
                <w:szCs w:val="24"/>
                <w:lang w:val="en-US" w:eastAsia="zh-CN" w:bidi="ar-SA"/>
              </w:rPr>
              <w:t>芒市自然资源局关于</w:t>
            </w:r>
            <w:r>
              <w:rPr>
                <w:rFonts w:hint="eastAsia" w:ascii="宋体" w:hAnsi="宋体" w:eastAsia="宋体" w:cs="宋体"/>
                <w:b w:val="0"/>
                <w:bCs w:val="0"/>
                <w:spacing w:val="0"/>
                <w:kern w:val="2"/>
                <w:sz w:val="24"/>
                <w:szCs w:val="24"/>
                <w:lang w:val="en-US" w:eastAsia="zh-CN" w:bidi="ar-SA"/>
              </w:rPr>
              <w:t>芒市300MW复合光伏发电项目建设领导小组办公室核实项目选址是否涉及敏感因素的复函》（见附件4）“经核对芒市“三区三线”划定成果，项目选址不涉及永久基本农田、耕地保护目标、生态保护红线，2021 年度国土变更调查地块地类为茶园”</w:t>
            </w:r>
            <w:r>
              <w:rPr>
                <w:rFonts w:hint="default" w:ascii="宋体" w:hAnsi="宋体" w:eastAsia="宋体" w:cs="宋体"/>
                <w:b w:val="0"/>
                <w:bCs w:val="0"/>
                <w:spacing w:val="0"/>
                <w:kern w:val="2"/>
                <w:sz w:val="24"/>
                <w:szCs w:val="24"/>
                <w:lang w:val="en-US" w:eastAsia="zh-CN" w:bidi="ar-SA"/>
              </w:rPr>
              <w:t>。</w:t>
            </w:r>
          </w:p>
          <w:p w14:paraId="2015B8CE">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val="0"/>
                <w:bCs w:val="0"/>
                <w:color w:val="auto"/>
                <w:spacing w:val="0"/>
                <w:kern w:val="2"/>
                <w:sz w:val="24"/>
                <w:szCs w:val="24"/>
                <w:lang w:val="en-US" w:eastAsia="zh-CN" w:bidi="ar-SA"/>
              </w:rPr>
              <w:t>项目</w:t>
            </w:r>
            <w:r>
              <w:rPr>
                <w:rFonts w:hint="default" w:ascii="宋体" w:hAnsi="宋体" w:eastAsia="宋体" w:cs="宋体"/>
                <w:b w:val="0"/>
                <w:bCs w:val="0"/>
                <w:color w:val="auto"/>
                <w:spacing w:val="0"/>
                <w:kern w:val="2"/>
                <w:sz w:val="24"/>
                <w:szCs w:val="24"/>
                <w:lang w:val="en-US" w:eastAsia="zh-CN" w:bidi="ar-SA"/>
              </w:rPr>
              <w:t>占地</w:t>
            </w:r>
            <w:r>
              <w:rPr>
                <w:rFonts w:hint="eastAsia" w:ascii="宋体" w:hAnsi="宋体" w:eastAsia="宋体" w:cs="宋体"/>
                <w:b w:val="0"/>
                <w:bCs w:val="0"/>
                <w:color w:val="auto"/>
                <w:spacing w:val="0"/>
                <w:kern w:val="2"/>
                <w:sz w:val="24"/>
                <w:szCs w:val="24"/>
                <w:lang w:val="en-US" w:eastAsia="zh-CN" w:bidi="ar-SA"/>
              </w:rPr>
              <w:t>类型主要为园地。</w:t>
            </w:r>
            <w:r>
              <w:rPr>
                <w:rFonts w:hint="eastAsia" w:ascii="宋体" w:hAnsi="宋体" w:eastAsia="宋体" w:cs="宋体"/>
                <w:b w:val="0"/>
                <w:bCs w:val="0"/>
                <w:spacing w:val="0"/>
                <w:kern w:val="2"/>
                <w:sz w:val="24"/>
                <w:szCs w:val="24"/>
                <w:lang w:val="en-US" w:eastAsia="zh-CN" w:bidi="ar-SA"/>
              </w:rPr>
              <w:t xml:space="preserve">根据 </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b w:val="0"/>
                <w:bCs w:val="0"/>
                <w:spacing w:val="0"/>
                <w:kern w:val="2"/>
                <w:sz w:val="24"/>
                <w:szCs w:val="24"/>
                <w:lang w:val="en-US" w:eastAsia="zh-CN" w:bidi="ar-SA"/>
              </w:rPr>
              <w:t>芒市林业和草原局关于芒市300MW复合光伏发电项目选址是否涉及敏感因素的函的复函</w:t>
            </w:r>
            <w:r>
              <w:rPr>
                <w:rFonts w:hint="default" w:ascii="Times New Roman" w:hAnsi="Times New Roman" w:eastAsia="宋体" w:cs="Times New Roman"/>
                <w:color w:val="auto"/>
                <w:kern w:val="2"/>
                <w:sz w:val="21"/>
                <w:szCs w:val="21"/>
                <w:lang w:val="en-US" w:eastAsia="zh-CN" w:bidi="ar-SA"/>
              </w:rPr>
              <w:t>》</w:t>
            </w:r>
            <w:r>
              <w:rPr>
                <w:rFonts w:hint="eastAsia" w:ascii="宋体" w:hAnsi="宋体" w:eastAsia="宋体" w:cs="宋体"/>
                <w:b w:val="0"/>
                <w:bCs w:val="0"/>
                <w:spacing w:val="0"/>
                <w:kern w:val="2"/>
                <w:sz w:val="24"/>
                <w:szCs w:val="24"/>
                <w:lang w:val="en-US" w:eastAsia="zh-CN" w:bidi="ar-SA"/>
              </w:rPr>
              <w:t>，“此项目占地在2021年度“国土三调”变更调查地地块地类为茶园”</w:t>
            </w:r>
            <w:r>
              <w:rPr>
                <w:rFonts w:hint="eastAsia" w:ascii="宋体" w:hAnsi="宋体" w:eastAsia="宋体" w:cs="宋体"/>
                <w:b w:val="0"/>
                <w:bCs w:val="0"/>
                <w:color w:val="auto"/>
                <w:spacing w:val="0"/>
                <w:kern w:val="2"/>
                <w:sz w:val="24"/>
                <w:szCs w:val="24"/>
                <w:lang w:val="en-US" w:eastAsia="zh-CN" w:bidi="ar-SA"/>
              </w:rPr>
              <w:t>（见</w:t>
            </w:r>
            <w:r>
              <w:rPr>
                <w:rFonts w:hint="eastAsia" w:ascii="宋体" w:hAnsi="宋体" w:eastAsia="宋体" w:cs="宋体"/>
                <w:b w:val="0"/>
                <w:bCs w:val="0"/>
                <w:color w:val="000000" w:themeColor="text1"/>
                <w:spacing w:val="0"/>
                <w:kern w:val="2"/>
                <w:sz w:val="24"/>
                <w:szCs w:val="24"/>
                <w:lang w:val="en-US" w:eastAsia="zh-CN" w:bidi="ar-SA"/>
                <w14:textFill>
                  <w14:solidFill>
                    <w14:schemeClr w14:val="tx1"/>
                  </w14:solidFill>
                </w14:textFill>
              </w:rPr>
              <w:t>附件3）</w:t>
            </w:r>
            <w:r>
              <w:rPr>
                <w:rFonts w:hint="eastAsia" w:ascii="宋体" w:hAnsi="宋体" w:eastAsia="宋体" w:cs="宋体"/>
                <w:b w:val="0"/>
                <w:bCs w:val="0"/>
                <w:color w:val="auto"/>
                <w:spacing w:val="0"/>
                <w:kern w:val="2"/>
                <w:sz w:val="24"/>
                <w:szCs w:val="24"/>
                <w:lang w:val="en-US" w:eastAsia="zh-CN" w:bidi="ar-SA"/>
              </w:rPr>
              <w:t>。</w:t>
            </w:r>
            <w:r>
              <w:rPr>
                <w:rFonts w:hint="default" w:ascii="宋体" w:hAnsi="宋体" w:eastAsia="宋体" w:cs="宋体"/>
                <w:b w:val="0"/>
                <w:bCs w:val="0"/>
                <w:spacing w:val="0"/>
                <w:kern w:val="2"/>
                <w:sz w:val="24"/>
                <w:szCs w:val="24"/>
                <w:lang w:val="en-US" w:eastAsia="zh-CN" w:bidi="ar-SA"/>
              </w:rPr>
              <w:t>项目选用光伏组件采用固定倾角式的3米高支架，有效减少了工程占地面积，减少地表扰动，减少水土流失；同时支架下空间充足，能够保证下层植物的正常生长</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用地</w:t>
            </w:r>
            <w:r>
              <w:rPr>
                <w:rFonts w:hint="eastAsia" w:ascii="宋体" w:hAnsi="宋体" w:eastAsia="宋体" w:cs="宋体"/>
                <w:b w:val="0"/>
                <w:bCs w:val="0"/>
                <w:spacing w:val="0"/>
                <w:kern w:val="2"/>
                <w:sz w:val="24"/>
                <w:szCs w:val="24"/>
                <w:lang w:val="en-US" w:eastAsia="zh-CN" w:bidi="ar-SA"/>
              </w:rPr>
              <w:t>满足《云南省能源局关于进一步支持光伏扶贫和规范光伏发电产业用地的通知》 (云自然资[2019]196号)的要求。且集电线路</w:t>
            </w:r>
            <w:r>
              <w:rPr>
                <w:rFonts w:hint="default" w:ascii="宋体" w:hAnsi="宋体" w:eastAsia="宋体" w:cs="宋体"/>
                <w:b w:val="0"/>
                <w:bCs w:val="0"/>
                <w:spacing w:val="0"/>
                <w:kern w:val="2"/>
                <w:sz w:val="24"/>
                <w:szCs w:val="24"/>
                <w:lang w:val="en-US" w:eastAsia="zh-CN" w:bidi="ar-SA"/>
              </w:rPr>
              <w:t>采用直埋</w:t>
            </w:r>
            <w:r>
              <w:rPr>
                <w:rFonts w:hint="eastAsia" w:ascii="宋体" w:hAnsi="宋体" w:eastAsia="宋体" w:cs="宋体"/>
                <w:b w:val="0"/>
                <w:bCs w:val="0"/>
                <w:spacing w:val="0"/>
                <w:kern w:val="2"/>
                <w:sz w:val="24"/>
                <w:szCs w:val="24"/>
                <w:lang w:val="en-US" w:eastAsia="zh-CN" w:bidi="ar-SA"/>
              </w:rPr>
              <w:t>及架空</w:t>
            </w:r>
            <w:r>
              <w:rPr>
                <w:rFonts w:hint="default" w:ascii="宋体" w:hAnsi="宋体" w:eastAsia="宋体" w:cs="宋体"/>
                <w:b w:val="0"/>
                <w:bCs w:val="0"/>
                <w:spacing w:val="0"/>
                <w:kern w:val="2"/>
                <w:sz w:val="24"/>
                <w:szCs w:val="24"/>
                <w:lang w:val="en-US" w:eastAsia="zh-CN" w:bidi="ar-SA"/>
              </w:rPr>
              <w:t>电缆方式敷设</w:t>
            </w:r>
            <w:r>
              <w:rPr>
                <w:rFonts w:hint="eastAsia" w:ascii="宋体" w:hAnsi="宋体" w:eastAsia="宋体" w:cs="宋体"/>
                <w:b w:val="0"/>
                <w:bCs w:val="0"/>
                <w:spacing w:val="0"/>
                <w:kern w:val="2"/>
                <w:sz w:val="24"/>
                <w:szCs w:val="24"/>
                <w:lang w:val="en-US" w:eastAsia="zh-CN" w:bidi="ar-SA"/>
              </w:rPr>
              <w:t>，因此，项目建设用地符合《国家能源局关于支持光伏扶贫和规范光伏发电产业用地的意见》的要求。</w:t>
            </w:r>
          </w:p>
          <w:p w14:paraId="256BB770">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sz w:val="24"/>
                <w:szCs w:val="24"/>
                <w:lang w:val="en-US" w:eastAsia="zh-CN"/>
              </w:rPr>
            </w:pPr>
            <w:r>
              <w:rPr>
                <w:rFonts w:hint="eastAsia" w:ascii="宋体" w:hAnsi="宋体" w:eastAsia="宋体" w:cs="宋体"/>
                <w:b/>
                <w:bCs/>
                <w:kern w:val="2"/>
                <w:sz w:val="24"/>
                <w:szCs w:val="24"/>
                <w:lang w:val="en-US" w:eastAsia="zh-CN" w:bidi="ar-SA"/>
              </w:rPr>
              <w:t>8、与《云南省能源局关于进一步支持光伏扶贫和规范光伏发电产业用地的</w:t>
            </w:r>
            <w:r>
              <w:rPr>
                <w:rFonts w:hint="eastAsia" w:ascii="Times New Roman" w:hAnsi="Times New Roman" w:eastAsia="宋体" w:cs="Times New Roman"/>
                <w:b/>
                <w:bCs/>
                <w:sz w:val="24"/>
                <w:szCs w:val="24"/>
                <w:lang w:val="en-US" w:eastAsia="zh-CN"/>
              </w:rPr>
              <w:t>通知》的符合性</w:t>
            </w:r>
          </w:p>
          <w:p w14:paraId="21E6EFC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根据《云南省能源局关于进一步支持光伏扶贫和规范光伏发电产业用地的通知》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云自然资[2019]196号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光伏复合项目指架设在一般耕地或其他农用地上的光伏方阵用地，满足光伏组件最低沿高于地面2.5m、高于最高水位0.6m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桩基间列间距大于4m、行间距大于6.5m的架设要求，不破坏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22DB2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bCs/>
                <w:color w:val="5B9BD5" w:themeColor="accent1"/>
                <w:highlight w:val="none"/>
                <w:lang w:val="en-US" w:eastAsia="zh-CN"/>
                <w14:textFill>
                  <w14:solidFill>
                    <w14:schemeClr w14:val="accent1"/>
                  </w14:solidFill>
                </w14:textFill>
              </w:rPr>
            </w:pPr>
            <w:r>
              <w:rPr>
                <w:rFonts w:hint="default" w:ascii="Times New Roman" w:hAnsi="Times New Roman" w:eastAsia="宋体" w:cs="Times New Roman"/>
                <w:b w:val="0"/>
                <w:bCs w:val="0"/>
                <w:sz w:val="24"/>
                <w:szCs w:val="24"/>
                <w:lang w:val="en-US" w:eastAsia="zh-CN"/>
              </w:rPr>
              <w:t>符合性分析</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本项为光伏</w:t>
            </w:r>
            <w:r>
              <w:rPr>
                <w:rFonts w:hint="default" w:ascii="Times New Roman" w:hAnsi="Times New Roman" w:eastAsia="宋体" w:cs="Times New Roman"/>
                <w:color w:val="auto"/>
                <w:sz w:val="24"/>
                <w:szCs w:val="24"/>
                <w:highlight w:val="none"/>
                <w:lang w:val="en-US" w:eastAsia="zh-CN"/>
              </w:rPr>
              <w:t>复合项目，</w:t>
            </w:r>
            <w:r>
              <w:rPr>
                <w:rFonts w:hint="eastAsia" w:ascii="Times New Roman" w:hAnsi="Times New Roman" w:eastAsia="宋体" w:cs="Times New Roman"/>
                <w:color w:val="auto"/>
                <w:sz w:val="24"/>
                <w:szCs w:val="24"/>
                <w:highlight w:val="none"/>
                <w:lang w:val="en-US" w:eastAsia="zh-CN"/>
              </w:rPr>
              <w:t>实行农林光互补，在光伏板区域种植经济作物，光伏组件最低沿地面3m</w:t>
            </w:r>
            <w:r>
              <w:rPr>
                <w:rFonts w:hint="eastAsia" w:ascii="Times New Roman" w:hAnsi="Times New Roman" w:eastAsia="宋体" w:cs="Times New Roman"/>
                <w:color w:val="auto"/>
                <w:kern w:val="0"/>
                <w:sz w:val="24"/>
                <w:szCs w:val="24"/>
                <w:highlight w:val="none"/>
                <w:lang w:val="en-US" w:eastAsia="zh-CN" w:bidi="ar"/>
              </w:rPr>
              <w:t xml:space="preserve">桩基间列间距大于 </w:t>
            </w:r>
            <w:r>
              <w:rPr>
                <w:rFonts w:hint="default" w:ascii="Times New Roman" w:hAnsi="Times New Roman" w:eastAsia="宋体" w:cs="Times New Roman"/>
                <w:color w:val="auto"/>
                <w:kern w:val="0"/>
                <w:sz w:val="24"/>
                <w:szCs w:val="24"/>
                <w:highlight w:val="none"/>
                <w:lang w:val="en-US" w:eastAsia="zh-CN" w:bidi="ar"/>
              </w:rPr>
              <w:t>4m</w:t>
            </w:r>
            <w:r>
              <w:rPr>
                <w:rFonts w:hint="eastAsia" w:ascii="Times New Roman" w:hAnsi="Times New Roman" w:eastAsia="宋体" w:cs="Times New Roman"/>
                <w:color w:val="auto"/>
                <w:kern w:val="0"/>
                <w:sz w:val="24"/>
                <w:szCs w:val="24"/>
                <w:highlight w:val="none"/>
                <w:lang w:val="en-US" w:eastAsia="zh-CN" w:bidi="ar"/>
              </w:rPr>
              <w:t xml:space="preserve">、行间距大于 </w:t>
            </w:r>
            <w:r>
              <w:rPr>
                <w:rFonts w:hint="default" w:ascii="Times New Roman" w:hAnsi="Times New Roman" w:eastAsia="宋体" w:cs="Times New Roman"/>
                <w:color w:val="auto"/>
                <w:kern w:val="0"/>
                <w:sz w:val="24"/>
                <w:szCs w:val="24"/>
                <w:highlight w:val="none"/>
                <w:lang w:val="en-US" w:eastAsia="zh-CN" w:bidi="ar"/>
              </w:rPr>
              <w:t xml:space="preserve">6.5m </w:t>
            </w:r>
            <w:r>
              <w:rPr>
                <w:rFonts w:hint="eastAsia" w:ascii="Times New Roman" w:hAnsi="Times New Roman" w:eastAsia="宋体" w:cs="Times New Roman"/>
                <w:color w:val="auto"/>
                <w:kern w:val="0"/>
                <w:sz w:val="24"/>
                <w:szCs w:val="24"/>
                <w:highlight w:val="none"/>
                <w:lang w:val="en-US" w:eastAsia="zh-CN" w:bidi="ar"/>
              </w:rPr>
              <w:t>的架设，满足云南省及德宏州光伏复合项目建设要求，有利于一般耕地农作物种植和灌木林生长。</w:t>
            </w:r>
          </w:p>
          <w:p w14:paraId="43934D10">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9、其它使用林地的规定符合性分析</w:t>
            </w:r>
          </w:p>
          <w:p w14:paraId="77330BA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（1）与《国家林业局关于光伏电站建设使用林地有关问题的通知》（林资发（2015）153号）的符合性分析</w:t>
            </w:r>
          </w:p>
          <w:p w14:paraId="5C3D899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根据《国家林业局关于光伏电站建设使用林地有关问题的通知》（林资发（2015）153号），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光伏电站建设禁止占用自然保护区、国家公园、湿地、森林公园、濒危物种栖息地、天然林保护工程区等环境敏感区域的林地建设光伏电站。光伏电站的电池组件阵列禁止使用有林地、疏林地、未成林造林地、采伐迹地、火烧迹地，以及年降雨量400毫米以下区域覆盖度高于30%的灌木林地和年降雨量400毫米以上区域覆盖度高于50%的灌木林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1DFA3F8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auto"/>
                <w:spacing w:val="0"/>
                <w:kern w:val="2"/>
                <w:sz w:val="24"/>
                <w:szCs w:val="24"/>
                <w:lang w:val="en-US" w:eastAsia="zh-CN" w:bidi="ar-SA"/>
              </w:rPr>
              <w:t>根据《</w:t>
            </w:r>
            <w:r>
              <w:rPr>
                <w:rFonts w:hint="eastAsia" w:ascii="Times New Roman" w:hAnsi="Times New Roman" w:eastAsia="宋体" w:cs="Times New Roman"/>
                <w:b w:val="0"/>
                <w:bCs w:val="0"/>
                <w:spacing w:val="0"/>
                <w:kern w:val="2"/>
                <w:sz w:val="24"/>
                <w:szCs w:val="24"/>
                <w:lang w:val="en-US" w:eastAsia="zh-CN" w:bidi="ar-SA"/>
              </w:rPr>
              <w:t>芒市林业和草原局关于芒市300MW复合光伏发电项目选址是否涉及敏感因素的函的复函</w:t>
            </w:r>
            <w:r>
              <w:rPr>
                <w:rFonts w:hint="eastAsia" w:ascii="宋体" w:hAnsi="宋体" w:eastAsia="宋体" w:cs="宋体"/>
                <w:b w:val="0"/>
                <w:bCs w:val="0"/>
                <w:color w:val="auto"/>
                <w:spacing w:val="0"/>
                <w:kern w:val="2"/>
                <w:sz w:val="24"/>
                <w:szCs w:val="24"/>
                <w:lang w:val="en-US" w:eastAsia="zh-CN" w:bidi="ar-SA"/>
              </w:rPr>
              <w:t>》项目用地为茶园，不纳入林地管理</w:t>
            </w:r>
            <w:r>
              <w:rPr>
                <w:rFonts w:hint="eastAsia" w:ascii="宋体" w:hAnsi="宋体" w:eastAsia="宋体" w:cs="宋体"/>
                <w:b w:val="0"/>
                <w:bCs w:val="0"/>
                <w:color w:val="000000" w:themeColor="text1"/>
                <w:spacing w:val="0"/>
                <w:kern w:val="2"/>
                <w:sz w:val="24"/>
                <w:szCs w:val="24"/>
                <w:lang w:val="en-US" w:eastAsia="zh-CN" w:bidi="ar-SA"/>
                <w14:textFill>
                  <w14:solidFill>
                    <w14:schemeClr w14:val="tx1"/>
                  </w14:solidFill>
                </w14:textFill>
              </w:rPr>
              <w:t>（见附件3）。</w:t>
            </w:r>
            <w:r>
              <w:rPr>
                <w:rFonts w:hint="eastAsia" w:ascii="宋体" w:hAnsi="宋体" w:eastAsia="宋体" w:cs="宋体"/>
                <w:b w:val="0"/>
                <w:bCs w:val="0"/>
                <w:color w:val="auto"/>
                <w:spacing w:val="0"/>
                <w:kern w:val="2"/>
                <w:sz w:val="24"/>
                <w:szCs w:val="24"/>
                <w:lang w:val="en-US" w:eastAsia="zh-CN" w:bidi="ar-SA"/>
              </w:rPr>
              <w:t>项目光伏阵列用地不纳入林地管理，项目不涉及占用</w:t>
            </w:r>
            <w:r>
              <w:rPr>
                <w:rFonts w:hint="default" w:ascii="宋体" w:hAnsi="宋体" w:eastAsia="宋体" w:cs="宋体"/>
                <w:b w:val="0"/>
                <w:bCs w:val="0"/>
                <w:color w:val="auto"/>
                <w:spacing w:val="0"/>
                <w:kern w:val="2"/>
                <w:sz w:val="24"/>
                <w:szCs w:val="24"/>
                <w:lang w:val="en-US" w:eastAsia="zh-CN" w:bidi="ar-SA"/>
              </w:rPr>
              <w:t>有林地、疏林地、未成林造林地、采伐</w:t>
            </w:r>
            <w:r>
              <w:rPr>
                <w:rFonts w:hint="default" w:ascii="Times New Roman" w:hAnsi="Times New Roman" w:eastAsia="宋体" w:cs="Times New Roman"/>
                <w:color w:val="auto"/>
                <w:sz w:val="24"/>
                <w:szCs w:val="24"/>
                <w:lang w:val="en-US" w:eastAsia="zh-CN"/>
              </w:rPr>
              <w:t>迹地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、火烧迹地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项目建设满足使用林</w:t>
            </w:r>
            <w:r>
              <w:rPr>
                <w:rFonts w:hint="default" w:ascii="Times New Roman" w:hAnsi="Times New Roman" w:eastAsia="宋体" w:cs="Times New Roman"/>
                <w:sz w:val="24"/>
                <w:szCs w:val="24"/>
                <w:lang w:val="en-US" w:eastAsia="zh-CN"/>
              </w:rPr>
              <w:t>地的相关要求。</w:t>
            </w:r>
          </w:p>
          <w:p w14:paraId="7E3A66A4">
            <w:pPr>
              <w:keepNext w:val="0"/>
              <w:keepLines w:val="0"/>
              <w:numPr>
                <w:ilvl w:val="0"/>
                <w:numId w:val="0"/>
              </w:numPr>
              <w:suppressLineNumbers w:val="0"/>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eastAsia="宋体" w:cs="Times New Roman"/>
                <w:b/>
                <w:bCs/>
                <w:sz w:val="24"/>
                <w:szCs w:val="24"/>
                <w:lang w:val="en-US" w:eastAsia="zh-CN"/>
              </w:rPr>
              <w:t>与《云南省林业和草原局云南省能源局关于进一步规范光伏复合项目使用林草地有关事项的通知》 （云林规（2021）5号）的符合性分析</w:t>
            </w:r>
          </w:p>
          <w:p w14:paraId="5263DAB3">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cs="Times New Roman"/>
                <w:lang w:val="en-US" w:eastAsia="zh-CN"/>
              </w:rPr>
              <w:t>项目与云林规(2021) 5号通知的符合性分析见下表</w:t>
            </w:r>
            <w:r>
              <w:rPr>
                <w:rFonts w:hint="default"/>
                <w:lang w:val="en-US" w:eastAsia="zh-CN"/>
              </w:rPr>
              <w:t>。</w:t>
            </w:r>
          </w:p>
          <w:p w14:paraId="3D99AE5D">
            <w:pPr>
              <w:keepNext w:val="0"/>
              <w:keepLines w:val="0"/>
              <w:suppressLineNumbers w:val="0"/>
              <w:spacing w:before="0" w:beforeAutospacing="0" w:after="0" w:afterAutospacing="0"/>
              <w:ind w:left="0" w:right="0"/>
              <w:jc w:val="center"/>
              <w:rPr>
                <w:rFonts w:hint="default"/>
                <w:vertAlign w:val="baseline"/>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项目与“云林规(2021) 5号”的符合性分析</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787"/>
              <w:gridCol w:w="2557"/>
              <w:gridCol w:w="883"/>
            </w:tblGrid>
            <w:tr w14:paraId="1A7F8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0220044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类别</w:t>
                  </w:r>
                </w:p>
              </w:tc>
              <w:tc>
                <w:tcPr>
                  <w:tcW w:w="1964" w:type="pct"/>
                  <w:tcBorders>
                    <w:tl2br w:val="nil"/>
                    <w:tr2bl w:val="nil"/>
                  </w:tcBorders>
                  <w:vAlign w:val="center"/>
                </w:tcPr>
                <w:p w14:paraId="1A7AE94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云林规(2021) 5号要求</w:t>
                  </w:r>
                </w:p>
              </w:tc>
              <w:tc>
                <w:tcPr>
                  <w:tcW w:w="1802" w:type="pct"/>
                  <w:tcBorders>
                    <w:tl2br w:val="nil"/>
                    <w:tr2bl w:val="nil"/>
                  </w:tcBorders>
                  <w:vAlign w:val="center"/>
                </w:tcPr>
                <w:p w14:paraId="4EB5F92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项目情况</w:t>
                  </w:r>
                </w:p>
              </w:tc>
              <w:tc>
                <w:tcPr>
                  <w:tcW w:w="622" w:type="pct"/>
                  <w:tcBorders>
                    <w:tl2br w:val="nil"/>
                    <w:tr2bl w:val="nil"/>
                  </w:tcBorders>
                  <w:vAlign w:val="center"/>
                </w:tcPr>
                <w:p w14:paraId="03CC7F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符合性</w:t>
                  </w:r>
                </w:p>
              </w:tc>
            </w:tr>
            <w:tr w14:paraId="4C43D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1DB018D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选址要求</w:t>
                  </w:r>
                </w:p>
              </w:tc>
              <w:tc>
                <w:tcPr>
                  <w:tcW w:w="1964" w:type="pct"/>
                  <w:tcBorders>
                    <w:tl2br w:val="nil"/>
                    <w:tr2bl w:val="nil"/>
                  </w:tcBorders>
                  <w:vAlign w:val="center"/>
                </w:tcPr>
                <w:p w14:paraId="3CE448B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802" w:type="pct"/>
                  <w:tcBorders>
                    <w:tl2br w:val="nil"/>
                    <w:tr2bl w:val="nil"/>
                  </w:tcBorders>
                  <w:vAlign w:val="center"/>
                </w:tcPr>
                <w:p w14:paraId="394B9628">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根据项目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在芒市自然资源局、德宏州生态环境局芒市分局、芒市人民政府水利局、芒市林业和草原局、芒市文化和旅游局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选址</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查询</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意见，项目不涉及国家公园、自然保护区、森林公园、风景名胜区、草原公园、自然保护地、世界自然遗产地、野生动物重要栖息地、珍稀濒危和极小种群野生植物重要原生境、天然林保护重点区域、基本草原以及生态保护红线。</w:t>
                  </w:r>
                </w:p>
              </w:tc>
              <w:tc>
                <w:tcPr>
                  <w:tcW w:w="622" w:type="pct"/>
                  <w:tcBorders>
                    <w:tl2br w:val="nil"/>
                    <w:tr2bl w:val="nil"/>
                  </w:tcBorders>
                  <w:vAlign w:val="center"/>
                </w:tcPr>
                <w:p w14:paraId="0A82867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39232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3F9ECE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p>
              </w:tc>
              <w:tc>
                <w:tcPr>
                  <w:tcW w:w="1964" w:type="pct"/>
                  <w:tcBorders>
                    <w:tl2br w:val="nil"/>
                    <w:tr2bl w:val="nil"/>
                  </w:tcBorders>
                  <w:vAlign w:val="center"/>
                </w:tcPr>
                <w:p w14:paraId="7867BCA2">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光伏复合项目的生产区（包括升压站、配电室、控制室、新建进场道路、新建场内检修道路、集电线路塔基等）、生活区（包括办公、住宿、食堂、活动场所、仓库等附属设施），</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禁止使用天然乔木林地；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施工期临时设置的弃渣场、取土场、砂石场、堆料场、拌合站、工棚、临时施工道路等，</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；电池组件阵列禁止使用有林地、疏林地、未成林造林地、采伐迹地</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、火烧迹地，以及年降雨量400毫米以下区域覆盖度高于30%的灌木林地和年降雨量400毫米以上区域覆盖度高于50%的灌木林地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7BD7CB2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802" w:type="pct"/>
                  <w:tcBorders>
                    <w:tl2br w:val="nil"/>
                    <w:tr2bl w:val="nil"/>
                  </w:tcBorders>
                  <w:vAlign w:val="center"/>
                </w:tcPr>
                <w:p w14:paraId="5348E6D7">
                  <w:pPr>
                    <w:pStyle w:val="8"/>
                    <w:keepNext w:val="0"/>
                    <w:keepLines w:val="0"/>
                    <w:suppressLineNumbers w:val="0"/>
                    <w:spacing w:before="0" w:beforeAutospacing="0" w:after="0" w:afterAutospacing="0"/>
                    <w:ind w:left="0" w:right="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vertAlign w:val="baseline"/>
                      <w:lang w:val="en-US" w:eastAsia="zh-CN"/>
                    </w:rPr>
                    <w:t>项目主要占用</w:t>
                  </w:r>
                  <w:r>
                    <w:rPr>
                      <w:rFonts w:hint="eastAsia" w:ascii="Times New Roman" w:hAnsi="Times New Roman" w:cs="Times New Roman"/>
                      <w:color w:val="auto"/>
                      <w:sz w:val="21"/>
                      <w:szCs w:val="21"/>
                      <w:vertAlign w:val="baseline"/>
                      <w:lang w:val="en-US" w:eastAsia="zh-CN"/>
                    </w:rPr>
                    <w:t>茶园</w:t>
                  </w:r>
                  <w:r>
                    <w:rPr>
                      <w:rFonts w:hint="default" w:ascii="Times New Roman" w:hAnsi="Times New Roman" w:cs="Times New Roman"/>
                      <w:color w:val="auto"/>
                      <w:sz w:val="21"/>
                      <w:szCs w:val="21"/>
                      <w:vertAlign w:val="baseline"/>
                      <w:lang w:val="en-US" w:eastAsia="zh-CN"/>
                    </w:rPr>
                    <w:t>，根据《</w:t>
                  </w:r>
                  <w:r>
                    <w:rPr>
                      <w:rFonts w:hint="eastAsia" w:ascii="Times New Roman" w:hAnsi="Times New Roman" w:eastAsia="宋体" w:cs="Times New Roman"/>
                      <w:b w:val="0"/>
                      <w:bCs w:val="0"/>
                      <w:color w:val="auto"/>
                      <w:spacing w:val="0"/>
                      <w:kern w:val="2"/>
                      <w:sz w:val="21"/>
                      <w:szCs w:val="21"/>
                      <w:lang w:val="en-US" w:eastAsia="zh-CN" w:bidi="ar-SA"/>
                    </w:rPr>
                    <w:t>芒市林业和草原局关于芒市300MW复合光伏发电项目选址是否涉及敏感因素的函的复函</w:t>
                  </w:r>
                  <w:r>
                    <w:rPr>
                      <w:rFonts w:hint="default" w:ascii="Times New Roman" w:hAnsi="Times New Roman" w:cs="Times New Roman"/>
                      <w:color w:val="auto"/>
                      <w:sz w:val="21"/>
                      <w:szCs w:val="21"/>
                      <w:vertAlign w:val="baseline"/>
                      <w:lang w:val="en-US" w:eastAsia="zh-CN"/>
                    </w:rPr>
                    <w:t>》项目用地不纳入林地管理</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（见附件</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auto"/>
                      <w:sz w:val="21"/>
                      <w:szCs w:val="21"/>
                      <w:vertAlign w:val="baseline"/>
                      <w:lang w:val="en-US" w:eastAsia="zh-CN"/>
                    </w:rPr>
                    <w:t>。项目</w:t>
                  </w:r>
                  <w:r>
                    <w:rPr>
                      <w:rFonts w:hint="eastAsia" w:ascii="Times New Roman" w:hAnsi="Times New Roman" w:cs="Times New Roman"/>
                      <w:color w:val="auto"/>
                      <w:sz w:val="21"/>
                      <w:szCs w:val="21"/>
                      <w:vertAlign w:val="baseline"/>
                      <w:lang w:val="en-US" w:eastAsia="zh-CN"/>
                    </w:rPr>
                    <w:t>占地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不涉及有林地、疏林地、未成林造林地、采伐迹地、火烧迹地、年降雨量400毫米以上区域覆盖度高于50%的灌木林地的占用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存在限制性因素。项目占地不涉及天然林保护工程区、天然林地和基本草原；项目建设不涉及使用自然保护区、森林公园、风景名胜区等重要生态区域内林地，项目占地区内没有国家级、省级、县级重点保护动植物和古树名木分布。</w:t>
                  </w:r>
                </w:p>
                <w:p w14:paraId="72016013">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实施后拟</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采取以下措施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①严格控制用地范围，不超范围</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用地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；②做好施工人员爱护林木花草、保护野生动物的意识教育，大力宣传保护生物多样性的重要性，做到不乱砍滥伐林木，不随意践踏建设区以外的森林植被，不乱捕滥猎野生动物</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③尽量减少植被破坏，及时恢复植被</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④加强对承包商的环境保护和生物多样性保护的宣传教育，特别是有关法规、野生动植物的简易识别及保护法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⑤依法办理用地手续，缴纳森林植被恢复费等措施，将对宜林地的影响降到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低。</w:t>
                  </w:r>
                </w:p>
              </w:tc>
              <w:tc>
                <w:tcPr>
                  <w:tcW w:w="622" w:type="pct"/>
                  <w:tcBorders>
                    <w:tl2br w:val="nil"/>
                    <w:tr2bl w:val="nil"/>
                  </w:tcBorders>
                  <w:vAlign w:val="center"/>
                </w:tcPr>
                <w:p w14:paraId="505B9A1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28F5D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0" w:type="pct"/>
                  <w:tcBorders>
                    <w:tl2br w:val="nil"/>
                    <w:tr2bl w:val="nil"/>
                  </w:tcBorders>
                  <w:vAlign w:val="center"/>
                </w:tcPr>
                <w:p w14:paraId="2762586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用地性质</w:t>
                  </w:r>
                </w:p>
              </w:tc>
              <w:tc>
                <w:tcPr>
                  <w:tcW w:w="1964" w:type="pct"/>
                  <w:tcBorders>
                    <w:tl2br w:val="nil"/>
                    <w:tr2bl w:val="nil"/>
                  </w:tcBorders>
                  <w:vAlign w:val="center"/>
                </w:tcPr>
                <w:p w14:paraId="6709EB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光伏复合项目生产区(包</w:t>
                  </w:r>
                </w:p>
                <w:p w14:paraId="252CBD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括升压站、配电室、控制室、集电线路塔基等)、生活区(包括办公、住宿、食堂、活动场所、仓库等附属设施)、电池组件阵列区箱变、新建进场道路、新建场内检修道路，</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应当办理占用林地手续;</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施工期临时设置的弃渣场、取土场、砂石场、堆料场、拌合站、工棚、地埋电缆槽以及临时施工道路应</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当办理临时占用林地手续</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使用林地由项目业主单位与林权权利人签订书面协议，通过租赁、作价入股等流转方式使用林地，在用地报批阶段明确用地红线范围，待光伏电站设施占用林地经审核同意后方可开展建设，不再办理使用林地许可手续。</w:t>
                  </w:r>
                </w:p>
              </w:tc>
              <w:tc>
                <w:tcPr>
                  <w:tcW w:w="1802" w:type="pct"/>
                  <w:tcBorders>
                    <w:tl2br w:val="nil"/>
                    <w:tr2bl w:val="nil"/>
                  </w:tcBorders>
                  <w:vAlign w:val="center"/>
                </w:tcPr>
                <w:p w14:paraId="69D64739">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项目根据《</w:t>
                  </w:r>
                  <w:r>
                    <w:rPr>
                      <w:rFonts w:hint="eastAsia"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芒市林业和草原局关于芒市300MW复合光伏发电项目选址是否涉及敏感因素的函的复函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》项目用地不纳入林地管理（见附件3）。项目施工</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期临时设置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施工生产生活场地不涉及占用林地。</w:t>
                  </w:r>
                </w:p>
                <w:p w14:paraId="0012CBFD">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22" w:type="pct"/>
                  <w:tcBorders>
                    <w:tl2br w:val="nil"/>
                    <w:tr2bl w:val="nil"/>
                  </w:tcBorders>
                  <w:vAlign w:val="center"/>
                </w:tcPr>
                <w:p w14:paraId="4822EFB9">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3D202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610" w:type="pct"/>
                  <w:tcBorders>
                    <w:tl2br w:val="nil"/>
                    <w:tr2bl w:val="nil"/>
                  </w:tcBorders>
                  <w:vAlign w:val="center"/>
                </w:tcPr>
                <w:p w14:paraId="648CC87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建设标准</w:t>
                  </w:r>
                </w:p>
              </w:tc>
              <w:tc>
                <w:tcPr>
                  <w:tcW w:w="1964" w:type="pct"/>
                  <w:tcBorders>
                    <w:tl2br w:val="nil"/>
                    <w:tr2bl w:val="nil"/>
                  </w:tcBorders>
                  <w:vAlign w:val="center"/>
                </w:tcPr>
                <w:p w14:paraId="0DFC50E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电池组件阵列区在设计方面应当尽可能节约集约使用林地，光伏板最低沿与地面距离不得低于2.5m，电池组件阵列各排、列的布置间距应当符合《光伏电站设计规范》</w:t>
                  </w:r>
                </w:p>
                <w:p w14:paraId="0CA5DA8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(GB 50797-2012)或《光伏发电站设计规范》(GB 50797-20XX)相关规定</w:t>
                  </w:r>
                </w:p>
              </w:tc>
              <w:tc>
                <w:tcPr>
                  <w:tcW w:w="1802" w:type="pct"/>
                  <w:tcBorders>
                    <w:tl2br w:val="nil"/>
                    <w:tr2bl w:val="nil"/>
                  </w:tcBorders>
                  <w:vAlign w:val="center"/>
                </w:tcPr>
                <w:p w14:paraId="082E8667">
                  <w:pPr>
                    <w:keepNext w:val="0"/>
                    <w:keepLines w:val="0"/>
                    <w:suppressLineNumbers w:val="0"/>
                    <w:spacing w:before="0" w:beforeAutospacing="0" w:after="0" w:afterAutospacing="0" w:line="240" w:lineRule="auto"/>
                    <w:ind w:left="0" w:right="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根据可研，</w:t>
                  </w:r>
                  <w:r>
                    <w:rPr>
                      <w:rFonts w:hint="default" w:ascii="宋体" w:hAnsi="宋体" w:eastAsia="宋体" w:cs="宋体"/>
                      <w:b w:val="0"/>
                      <w:bCs w:val="0"/>
                      <w:spacing w:val="0"/>
                      <w:kern w:val="2"/>
                      <w:sz w:val="21"/>
                      <w:szCs w:val="21"/>
                      <w:lang w:val="en-US" w:eastAsia="zh-CN" w:bidi="ar-SA"/>
                    </w:rPr>
                    <w:t>项目选用光伏组件采用固定倾角式的</w:t>
                  </w:r>
                  <w:r>
                    <w:rPr>
                      <w:rFonts w:hint="default" w:ascii="Times New Roman" w:hAnsi="Times New Roman" w:eastAsia="宋体" w:cs="Times New Roman"/>
                      <w:b w:val="0"/>
                      <w:bCs w:val="0"/>
                      <w:spacing w:val="0"/>
                      <w:kern w:val="2"/>
                      <w:sz w:val="21"/>
                      <w:szCs w:val="21"/>
                      <w:lang w:val="en-US" w:eastAsia="zh-CN" w:bidi="ar-SA"/>
                    </w:rPr>
                    <w:t>3</w:t>
                  </w:r>
                  <w:r>
                    <w:rPr>
                      <w:rFonts w:hint="default" w:ascii="宋体" w:hAnsi="宋体" w:eastAsia="宋体" w:cs="宋体"/>
                      <w:b w:val="0"/>
                      <w:bCs w:val="0"/>
                      <w:spacing w:val="0"/>
                      <w:kern w:val="2"/>
                      <w:sz w:val="21"/>
                      <w:szCs w:val="21"/>
                      <w:lang w:val="en-US" w:eastAsia="zh-CN" w:bidi="ar-SA"/>
                    </w:rPr>
                    <w:t>米高支架</w:t>
                  </w:r>
                  <w:r>
                    <w:rPr>
                      <w:rFonts w:hint="default" w:ascii="Times New Roman" w:hAnsi="Times New Roman" w:cs="Times New Roman"/>
                      <w:sz w:val="21"/>
                      <w:szCs w:val="21"/>
                      <w:vertAlign w:val="baseline"/>
                      <w:lang w:val="en-US" w:eastAsia="zh-CN"/>
                    </w:rPr>
                    <w:t>，电池组件阵列各排、列的布置间距符合《光伏电站设计规范》</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GB 50797-2012</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或《光伏发电站设计规范》相关规定要求。</w:t>
                  </w:r>
                </w:p>
              </w:tc>
              <w:tc>
                <w:tcPr>
                  <w:tcW w:w="622" w:type="pct"/>
                  <w:tcBorders>
                    <w:tl2br w:val="nil"/>
                    <w:tr2bl w:val="nil"/>
                  </w:tcBorders>
                  <w:vAlign w:val="center"/>
                </w:tcPr>
                <w:p w14:paraId="4986954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138D4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3" w:hRule="atLeast"/>
              </w:trPr>
              <w:tc>
                <w:tcPr>
                  <w:tcW w:w="610" w:type="pct"/>
                  <w:tcBorders>
                    <w:tl2br w:val="nil"/>
                    <w:tr2bl w:val="nil"/>
                  </w:tcBorders>
                  <w:vAlign w:val="center"/>
                </w:tcPr>
                <w:p w14:paraId="26F0F4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植被保护</w:t>
                  </w:r>
                </w:p>
              </w:tc>
              <w:tc>
                <w:tcPr>
                  <w:tcW w:w="1964" w:type="pct"/>
                  <w:tcBorders>
                    <w:tl2br w:val="nil"/>
                    <w:tr2bl w:val="nil"/>
                  </w:tcBorders>
                  <w:vAlign w:val="center"/>
                </w:tcPr>
                <w:p w14:paraId="3EE608D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光伏复合项目在满足正常运营的同时，须保证电池组件阵列下方不得改变林草地用途，不得裸露地表、硬化或作其他用途。</w:t>
                  </w:r>
                </w:p>
              </w:tc>
              <w:tc>
                <w:tcPr>
                  <w:tcW w:w="1802" w:type="pct"/>
                  <w:tcBorders>
                    <w:tl2br w:val="nil"/>
                    <w:tr2bl w:val="nil"/>
                  </w:tcBorders>
                  <w:vAlign w:val="center"/>
                </w:tcPr>
                <w:p w14:paraId="3F5B3762">
                  <w:pPr>
                    <w:keepNext w:val="0"/>
                    <w:keepLines w:val="0"/>
                    <w:suppressLineNumbers w:val="0"/>
                    <w:spacing w:before="0" w:beforeAutospacing="0" w:after="0" w:afterAutospacing="0" w:line="240" w:lineRule="auto"/>
                    <w:ind w:left="0" w:right="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项目用地不纳入林地管理</w:t>
                  </w:r>
                  <w:r>
                    <w:rPr>
                      <w:rFonts w:hint="default" w:ascii="Times New Roman" w:hAnsi="Times New Roman" w:eastAsia="宋体" w:cs="Times New Roman"/>
                      <w:sz w:val="21"/>
                      <w:szCs w:val="21"/>
                      <w:lang w:val="en-US" w:eastAsia="zh-CN"/>
                    </w:rPr>
                    <w:t>，项目实施后光伏板区除桩基用地外，其他地面均不硬化、不破坏耕作层，不抛荒、撂荒，</w:t>
                  </w:r>
                  <w:r>
                    <w:rPr>
                      <w:rFonts w:hint="eastAsia" w:ascii="Times New Roman" w:hAnsi="Times New Roman" w:eastAsia="宋体" w:cs="Times New Roman"/>
                      <w:sz w:val="21"/>
                      <w:szCs w:val="21"/>
                      <w:lang w:val="en-US" w:eastAsia="zh-CN"/>
                    </w:rPr>
                    <w:t>光伏板下不破坏原有植被。</w:t>
                  </w:r>
                  <w:r>
                    <w:rPr>
                      <w:rFonts w:hint="default" w:ascii="Times New Roman" w:hAnsi="Times New Roman" w:eastAsia="宋体" w:cs="Times New Roman"/>
                      <w:sz w:val="21"/>
                      <w:szCs w:val="21"/>
                      <w:lang w:val="en-US" w:eastAsia="zh-CN"/>
                    </w:rPr>
                    <w:t>光伏厂区之间集电线</w:t>
                  </w:r>
                  <w:r>
                    <w:rPr>
                      <w:rFonts w:hint="default" w:ascii="宋体" w:hAnsi="宋体" w:eastAsia="宋体" w:cs="宋体"/>
                      <w:b w:val="0"/>
                      <w:bCs w:val="0"/>
                      <w:spacing w:val="0"/>
                      <w:kern w:val="2"/>
                      <w:sz w:val="21"/>
                      <w:szCs w:val="21"/>
                      <w:lang w:val="en-US" w:eastAsia="zh-CN" w:bidi="ar-SA"/>
                    </w:rPr>
                    <w:t>采用直埋电缆方式敷设</w:t>
                  </w:r>
                  <w:r>
                    <w:rPr>
                      <w:rFonts w:hint="eastAsia" w:ascii="Times New Roman" w:hAnsi="Times New Roman" w:eastAsia="宋体" w:cs="Times New Roman"/>
                      <w:sz w:val="21"/>
                      <w:szCs w:val="21"/>
                      <w:lang w:val="en-US" w:eastAsia="zh-CN"/>
                    </w:rPr>
                    <w:t>。</w:t>
                  </w:r>
                </w:p>
              </w:tc>
              <w:tc>
                <w:tcPr>
                  <w:tcW w:w="622" w:type="pct"/>
                  <w:tcBorders>
                    <w:tl2br w:val="nil"/>
                    <w:tr2bl w:val="nil"/>
                  </w:tcBorders>
                  <w:vAlign w:val="center"/>
                </w:tcPr>
                <w:p w14:paraId="326380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bl>
          <w:p w14:paraId="69CA50CF">
            <w:pPr>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default"/>
                <w:lang w:val="en-US" w:eastAsia="zh-CN"/>
              </w:rPr>
              <w:t>经上表分析可知，项目建设使用林地符合《云南省林业和草原局云南省能源局关于进一步规范光伏复合项目使用林草地有关事项的通知》的相关要求。</w:t>
            </w:r>
          </w:p>
          <w:p w14:paraId="647FB6E7">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10、与《输变电建设项目环境保护技术要求》的相符性分析</w:t>
            </w:r>
          </w:p>
          <w:p w14:paraId="56A65BDC">
            <w:pPr>
              <w:keepNext w:val="0"/>
              <w:keepLines w:val="0"/>
              <w:suppressLineNumbers w:val="0"/>
              <w:autoSpaceDE w:val="0"/>
              <w:autoSpaceDN w:val="0"/>
              <w:adjustRightInd w:val="0"/>
              <w:snapToGrid w:val="0"/>
              <w:spacing w:before="0" w:beforeLines="50" w:beforeAutospacing="0" w:after="0" w:afterLines="50" w:afterAutospacing="0" w:line="360" w:lineRule="auto"/>
              <w:ind w:left="0" w:right="0"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根据《环境影响评价技术导则输变电工程》(HJ 24-2020) </w:t>
            </w:r>
            <w:r>
              <w:rPr>
                <w:rFonts w:hint="eastAsia" w:ascii="Times New Roman" w:hAnsi="Times New Roman" w:cs="Times New Roman"/>
                <w:color w:val="000000" w:themeColor="text1"/>
                <w:lang w:val="en-US" w:eastAsia="zh-CN"/>
                <w14:textFill>
                  <w14:solidFill>
                    <w14:schemeClr w14:val="tx1"/>
                  </w14:solidFill>
                </w14:textFill>
              </w:rPr>
              <w:t>和《电磁环境控制限值》（GB8702-2014）要求，光伏阵区、35kV输变电工程电磁环境影响可免于管理（豁免范围）。</w:t>
            </w:r>
          </w:p>
          <w:p w14:paraId="5E220AC6">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11、选址意见</w:t>
            </w:r>
          </w:p>
          <w:p w14:paraId="0D61AF5F">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r>
              <w:rPr>
                <w:rFonts w:hint="eastAsia"/>
                <w:color w:val="auto"/>
                <w:lang w:val="en-US" w:eastAsia="zh-CN"/>
              </w:rPr>
              <w:t>该项目选址已取得芒市自然资源局、德宏州生态环境局芒市分局、芒市林业和草原局、芒市人民政府水利局、芒市文化和旅游局、中国人民解放军云南省芒市人民武装部、德宏州自然资源和规划局以上单位的选址意见，均同意项目选址。</w:t>
            </w:r>
          </w:p>
          <w:p w14:paraId="47746A40">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29E7075B">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25DEB96B">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13190215">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eastAsia"/>
                <w:color w:val="auto"/>
                <w:lang w:val="en-US" w:eastAsia="zh-CN"/>
              </w:rPr>
            </w:pPr>
          </w:p>
          <w:p w14:paraId="67EC0EEE">
            <w:pPr>
              <w:keepNext w:val="0"/>
              <w:keepLines w:val="0"/>
              <w:numPr>
                <w:ilvl w:val="0"/>
                <w:numId w:val="0"/>
              </w:numPr>
              <w:suppressLineNumbers w:val="0"/>
              <w:autoSpaceDE w:val="0"/>
              <w:autoSpaceDN w:val="0"/>
              <w:adjustRightInd w:val="0"/>
              <w:snapToGrid w:val="0"/>
              <w:spacing w:before="0" w:beforeLines="50" w:beforeAutospacing="0" w:after="0" w:afterLines="50" w:afterAutospacing="0" w:line="360" w:lineRule="auto"/>
              <w:ind w:left="0" w:right="0" w:rightChars="0" w:firstLine="240" w:firstLineChars="100"/>
              <w:rPr>
                <w:rFonts w:hint="default"/>
                <w:color w:val="auto"/>
                <w:lang w:val="en-US" w:eastAsia="zh-CN"/>
              </w:rPr>
            </w:pPr>
          </w:p>
        </w:tc>
      </w:tr>
    </w:tbl>
    <w:p w14:paraId="20383212">
      <w:pPr>
        <w:pStyle w:val="23"/>
        <w:bidi w:val="0"/>
        <w:rPr>
          <w:rFonts w:hint="eastAsia"/>
        </w:rPr>
      </w:pPr>
    </w:p>
    <w:p w14:paraId="5AC0CA31">
      <w:pPr>
        <w:pStyle w:val="24"/>
        <w:spacing w:line="240" w:lineRule="auto"/>
        <w:jc w:val="center"/>
        <w:outlineLvl w:val="0"/>
        <w:rPr>
          <w:rFonts w:hint="eastAsia" w:ascii="宋体" w:hAnsi="宋体" w:eastAsia="宋体" w:cs="宋体"/>
          <w:b/>
          <w:bCs/>
          <w:snapToGrid w:val="0"/>
          <w:color w:val="000000"/>
          <w:sz w:val="28"/>
          <w:szCs w:val="28"/>
        </w:rPr>
      </w:pPr>
      <w:bookmarkStart w:id="1" w:name="_Toc6771"/>
      <w:r>
        <w:rPr>
          <w:rFonts w:hint="eastAsia" w:ascii="宋体" w:hAnsi="宋体" w:eastAsia="宋体" w:cs="宋体"/>
          <w:b/>
          <w:bCs/>
          <w:snapToGrid w:val="0"/>
          <w:color w:val="000000"/>
          <w:sz w:val="28"/>
          <w:szCs w:val="28"/>
        </w:rPr>
        <w:t>二、建设内容</w:t>
      </w:r>
      <w:bookmarkEnd w:id="1"/>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05B5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dxa"/>
            <w:vAlign w:val="center"/>
          </w:tcPr>
          <w:p w14:paraId="192CF9C8">
            <w:pPr>
              <w:keepNext w:val="0"/>
              <w:keepLines w:val="0"/>
              <w:suppressLineNumbers w:val="0"/>
              <w:bidi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地理位置</w:t>
            </w:r>
          </w:p>
        </w:tc>
        <w:tc>
          <w:tcPr>
            <w:tcW w:w="8068" w:type="dxa"/>
          </w:tcPr>
          <w:p w14:paraId="6942234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rPr>
            </w:pPr>
            <w:r>
              <w:rPr>
                <w:rFonts w:hint="eastAsia" w:ascii="Times New Roman" w:hAnsi="Times New Roman" w:eastAsia="宋体" w:cs="Times New Roman"/>
                <w:b w:val="0"/>
                <w:bCs w:val="0"/>
                <w:color w:val="auto"/>
                <w:kern w:val="2"/>
                <w:sz w:val="24"/>
                <w:szCs w:val="24"/>
                <w:lang w:val="en-US" w:eastAsia="zh-CN" w:bidi="ar-SA"/>
              </w:rPr>
              <w:t>芒市芒东</w:t>
            </w:r>
            <w:r>
              <w:rPr>
                <w:rFonts w:hint="default" w:ascii="Times New Roman" w:hAnsi="Times New Roman" w:eastAsia="宋体" w:cs="Times New Roman"/>
                <w:b w:val="0"/>
                <w:bCs w:val="0"/>
                <w:color w:val="auto"/>
                <w:kern w:val="2"/>
                <w:sz w:val="24"/>
                <w:szCs w:val="24"/>
                <w:lang w:val="en-US" w:eastAsia="zh-CN" w:bidi="ar-SA"/>
              </w:rPr>
              <w:t>光伏发电项目位于云南省德宏州芒市江东乡河头村</w:t>
            </w:r>
            <w:r>
              <w:rPr>
                <w:rFonts w:hint="eastAsia" w:ascii="Times New Roman" w:hAnsi="Times New Roman" w:eastAsia="宋体" w:cs="Times New Roman"/>
                <w:b w:val="0"/>
                <w:bCs w:val="0"/>
                <w:color w:val="auto"/>
                <w:kern w:val="2"/>
                <w:sz w:val="24"/>
                <w:szCs w:val="24"/>
                <w:lang w:val="en-US" w:eastAsia="zh-CN" w:bidi="ar-SA"/>
              </w:rPr>
              <w:t>附近一带山脊上</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23</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41.55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25.88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18.98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12.65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1100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m～1</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00m 之间。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项目占地约为706.02亩，</w:t>
            </w:r>
            <w:r>
              <w:rPr>
                <w:rFonts w:hint="default" w:ascii="Times New Roman" w:hAnsi="Times New Roman" w:cs="Times New Roman"/>
              </w:rPr>
              <w:t>地理位置图见附图1。</w:t>
            </w:r>
          </w:p>
          <w:p w14:paraId="631E293A">
            <w:pPr>
              <w:keepNext w:val="0"/>
              <w:keepLines w:val="0"/>
              <w:suppressLineNumbers w:val="0"/>
              <w:spacing w:before="0" w:beforeAutospacing="0" w:after="0" w:afterAutospacing="0" w:line="360" w:lineRule="auto"/>
              <w:ind w:left="0" w:right="0" w:firstLine="480" w:firstLineChars="200"/>
              <w:rPr>
                <w:rFonts w:hint="default"/>
                <w:lang w:val="en-US" w:eastAsia="zh-CN"/>
              </w:rPr>
            </w:pPr>
            <w:bookmarkStart w:id="2" w:name="_Toc18464"/>
            <w:bookmarkStart w:id="3" w:name="_Toc71546579"/>
            <w:bookmarkStart w:id="4" w:name="_Toc23342"/>
            <w:bookmarkStart w:id="5" w:name="_Toc380414825"/>
            <w:bookmarkStart w:id="6" w:name="_Toc197827031"/>
            <w:r>
              <w:rPr>
                <w:rFonts w:hint="default"/>
                <w:lang w:val="en-US" w:eastAsia="zh-CN"/>
              </w:rPr>
              <w:t>1、地形地貌</w:t>
            </w:r>
            <w:bookmarkEnd w:id="2"/>
            <w:bookmarkEnd w:id="3"/>
            <w:bookmarkEnd w:id="4"/>
            <w:bookmarkEnd w:id="5"/>
            <w:bookmarkEnd w:id="6"/>
          </w:p>
          <w:p w14:paraId="16B759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lang w:val="en-US" w:eastAsia="zh-CN"/>
              </w:rPr>
              <w:t>场址区岩（土）层以</w:t>
            </w:r>
            <w:r>
              <w:rPr>
                <w:rFonts w:hint="eastAsia"/>
                <w:color w:val="000000" w:themeColor="text1"/>
                <w:lang w:val="en-US" w:eastAsia="zh-CN"/>
                <w14:textFill>
                  <w14:solidFill>
                    <w14:schemeClr w14:val="tx1"/>
                  </w14:solidFill>
                </w14:textFill>
              </w:rPr>
              <w:t>微晶片</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混合</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化片麻岩</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变质砂</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板</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硅质</w:t>
            </w:r>
            <w:r>
              <w:rPr>
                <w:rFonts w:hint="default"/>
                <w:color w:val="000000" w:themeColor="text1"/>
                <w:lang w:val="en-US" w:eastAsia="zh-CN"/>
                <w14:textFill>
                  <w14:solidFill>
                    <w14:schemeClr w14:val="tx1"/>
                  </w14:solidFill>
                </w14:textFill>
              </w:rPr>
              <w:t>岩</w:t>
            </w:r>
            <w:r>
              <w:rPr>
                <w:rFonts w:hint="eastAsia"/>
                <w:color w:val="000000" w:themeColor="text1"/>
                <w:lang w:val="en-US" w:eastAsia="zh-CN"/>
                <w14:textFill>
                  <w14:solidFill>
                    <w14:schemeClr w14:val="tx1"/>
                  </w14:solidFill>
                </w14:textFill>
              </w:rPr>
              <w:t>、大理岩及斜长角闪岩等</w:t>
            </w:r>
            <w:r>
              <w:rPr>
                <w:rFonts w:hint="default"/>
                <w:lang w:val="en-US" w:eastAsia="zh-CN"/>
              </w:rPr>
              <w:t>，地表主要为</w:t>
            </w:r>
            <w:r>
              <w:rPr>
                <w:rFonts w:hint="eastAsia"/>
                <w:lang w:val="en-US" w:eastAsia="zh-CN"/>
              </w:rPr>
              <w:t>黄褐色黏土</w:t>
            </w:r>
            <w:r>
              <w:rPr>
                <w:rFonts w:hint="default" w:ascii="Times New Roman" w:hAnsi="Times New Roman" w:cs="Times New Roman"/>
                <w:lang w:val="en-US" w:eastAsia="zh-CN"/>
              </w:rPr>
              <w:t>、</w:t>
            </w:r>
            <w:r>
              <w:rPr>
                <w:rFonts w:hint="eastAsia" w:ascii="Times New Roman" w:hAnsi="Times New Roman" w:cs="Times New Roman"/>
                <w:lang w:val="en-US" w:eastAsia="zh-CN"/>
              </w:rPr>
              <w:t>碎石质黏土、粉质黏土、红黏土</w:t>
            </w:r>
            <w:r>
              <w:rPr>
                <w:rFonts w:hint="default" w:ascii="Times New Roman" w:hAnsi="Times New Roman" w:cs="Times New Roman"/>
                <w:lang w:val="en-US" w:eastAsia="zh-CN"/>
              </w:rPr>
              <w:t>，且地下水埋藏较深，</w:t>
            </w:r>
            <w:r>
              <w:rPr>
                <w:rFonts w:hint="eastAsia" w:ascii="Times New Roman" w:hAnsi="Times New Roman" w:cs="Times New Roman"/>
                <w:lang w:val="en-US" w:eastAsia="zh-CN"/>
              </w:rPr>
              <w:t>无液化土层分布，不存在地震液化问题</w:t>
            </w:r>
            <w:r>
              <w:rPr>
                <w:rFonts w:hint="default" w:ascii="Times New Roman" w:hAnsi="Times New Roman" w:cs="Times New Roman"/>
                <w:lang w:val="en-US" w:eastAsia="zh-CN"/>
              </w:rPr>
              <w:t>。根据1:400万《</w:t>
            </w:r>
            <w:r>
              <w:rPr>
                <w:rFonts w:hint="default" w:ascii="Times New Roman" w:hAnsi="Times New Roman" w:cs="Times New Roman"/>
                <w:color w:val="auto"/>
                <w:lang w:val="en-US" w:eastAsia="zh-CN"/>
              </w:rPr>
              <w:t>中国地震动参数区划图</w:t>
            </w:r>
            <w:r>
              <w:rPr>
                <w:rFonts w:hint="default" w:ascii="Times New Roman" w:hAnsi="Times New Roman" w:cs="Times New Roman"/>
                <w:lang w:val="en-US" w:eastAsia="zh-CN"/>
              </w:rPr>
              <w:t>》（GB18306-2015），工程区Ⅱ类场地</w:t>
            </w:r>
            <w:r>
              <w:rPr>
                <w:rFonts w:hint="eastAsia" w:ascii="Times New Roman" w:hAnsi="Times New Roman" w:cs="Times New Roman"/>
                <w:lang w:val="en-US" w:eastAsia="zh-CN"/>
              </w:rPr>
              <w:t>50</w:t>
            </w:r>
            <w:r>
              <w:rPr>
                <w:rFonts w:hint="default" w:ascii="Times New Roman" w:hAnsi="Times New Roman" w:cs="Times New Roman"/>
                <w:lang w:val="en-US" w:eastAsia="zh-CN"/>
              </w:rPr>
              <w:t>年超越概率10%的地震动峰值加速度为0.</w:t>
            </w:r>
            <w:r>
              <w:rPr>
                <w:rFonts w:hint="eastAsia" w:ascii="Times New Roman" w:hAnsi="Times New Roman" w:cs="Times New Roman"/>
                <w:lang w:val="en-US" w:eastAsia="zh-CN"/>
              </w:rPr>
              <w:t>3</w:t>
            </w:r>
            <w:r>
              <w:rPr>
                <w:rFonts w:hint="default" w:ascii="Times New Roman" w:hAnsi="Times New Roman" w:cs="Times New Roman"/>
                <w:lang w:val="en-US" w:eastAsia="zh-CN"/>
              </w:rPr>
              <w:t>0g，相对应的地震基本烈度为Ⅶ</w:t>
            </w:r>
            <w:r>
              <w:rPr>
                <w:rFonts w:hint="eastAsia" w:ascii="Times New Roman" w:hAnsi="Times New Roman" w:cs="Times New Roman"/>
                <w:lang w:val="en-US" w:eastAsia="zh-CN"/>
              </w:rPr>
              <w:t>I</w:t>
            </w:r>
            <w:r>
              <w:rPr>
                <w:rFonts w:hint="default" w:ascii="Times New Roman" w:hAnsi="Times New Roman" w:cs="Times New Roman"/>
                <w:lang w:val="en-US" w:eastAsia="zh-CN"/>
              </w:rPr>
              <w:t>度，地震动反应谱特征周期为0.45s。拟建场址总体为南向和</w:t>
            </w:r>
            <w:r>
              <w:rPr>
                <w:rFonts w:hint="eastAsia" w:ascii="Times New Roman" w:hAnsi="Times New Roman" w:cs="Times New Roman"/>
                <w:lang w:val="en-US" w:eastAsia="zh-CN"/>
              </w:rPr>
              <w:t>西</w:t>
            </w:r>
            <w:r>
              <w:rPr>
                <w:rFonts w:hint="default" w:ascii="Times New Roman" w:hAnsi="Times New Roman" w:cs="Times New Roman"/>
                <w:lang w:val="en-US" w:eastAsia="zh-CN"/>
              </w:rPr>
              <w:t>向缓坡地，大部分坡度在5°～</w:t>
            </w:r>
            <w:r>
              <w:rPr>
                <w:rFonts w:hint="eastAsia" w:ascii="Times New Roman" w:hAnsi="Times New Roman" w:cs="Times New Roman"/>
                <w:lang w:val="en-US" w:eastAsia="zh-CN"/>
              </w:rPr>
              <w:t>30</w:t>
            </w:r>
            <w:r>
              <w:rPr>
                <w:rFonts w:hint="default" w:ascii="Times New Roman" w:hAnsi="Times New Roman" w:cs="Times New Roman"/>
                <w:lang w:val="en-US" w:eastAsia="zh-CN"/>
              </w:rPr>
              <w:t>°之间，地形连续性好，总体起伏不大，区内</w:t>
            </w:r>
            <w:r>
              <w:rPr>
                <w:rFonts w:hint="eastAsia" w:ascii="Times New Roman" w:hAnsi="Times New Roman" w:cs="Times New Roman"/>
                <w:lang w:val="en-US" w:eastAsia="zh-CN"/>
              </w:rPr>
              <w:t>未发现</w:t>
            </w:r>
            <w:r>
              <w:rPr>
                <w:rFonts w:hint="default" w:ascii="Times New Roman" w:hAnsi="Times New Roman" w:cs="Times New Roman"/>
                <w:lang w:val="en-US" w:eastAsia="zh-CN"/>
              </w:rPr>
              <w:t>较大规模的滑坡、崩塌等不良物理地质现象，自然山坡稳定，整体上有布置光伏电站的地形地质条件。</w:t>
            </w:r>
          </w:p>
          <w:p w14:paraId="5424F76F">
            <w:pPr>
              <w:pStyle w:val="30"/>
              <w:keepNext w:val="0"/>
              <w:keepLines w:val="0"/>
              <w:suppressLineNumbers w:val="0"/>
              <w:spacing w:before="0" w:beforeAutospacing="0" w:after="0" w:afterAutospacing="0"/>
              <w:ind w:left="0" w:right="0"/>
              <w:rPr>
                <w:rFonts w:hint="default" w:ascii="Times New Roman" w:hAnsi="Times New Roman" w:cs="Times New Roman"/>
                <w:lang w:val="en-US" w:eastAsia="zh-CN"/>
              </w:rPr>
            </w:pPr>
          </w:p>
          <w:p w14:paraId="6B33BC79">
            <w:pPr>
              <w:pStyle w:val="30"/>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rPr>
              <w:drawing>
                <wp:inline distT="0" distB="0" distL="114300" distR="114300">
                  <wp:extent cx="5024755" cy="2686050"/>
                  <wp:effectExtent l="0" t="0" r="4445"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7"/>
                          <a:stretch>
                            <a:fillRect/>
                          </a:stretch>
                        </pic:blipFill>
                        <pic:spPr>
                          <a:xfrm>
                            <a:off x="0" y="0"/>
                            <a:ext cx="5024755" cy="2686050"/>
                          </a:xfrm>
                          <a:prstGeom prst="rect">
                            <a:avLst/>
                          </a:prstGeom>
                          <a:noFill/>
                          <a:ln>
                            <a:noFill/>
                          </a:ln>
                        </pic:spPr>
                      </pic:pic>
                    </a:graphicData>
                  </a:graphic>
                </wp:inline>
              </w:drawing>
            </w:r>
          </w:p>
          <w:p w14:paraId="337202A9">
            <w:pPr>
              <w:pStyle w:val="13"/>
              <w:keepNext w:val="0"/>
              <w:keepLines w:val="0"/>
              <w:suppressLineNumbers w:val="0"/>
              <w:spacing w:before="0" w:beforeAutospacing="0" w:after="0" w:afterAutospacing="0"/>
              <w:ind w:left="0" w:leftChars="0" w:right="0" w:firstLine="0" w:firstLineChars="0"/>
              <w:rPr>
                <w:rFonts w:hint="default"/>
              </w:rPr>
            </w:pPr>
          </w:p>
          <w:p w14:paraId="42F13C5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 场址区地形地貌</w:t>
            </w:r>
          </w:p>
          <w:p w14:paraId="481F2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2.工程地质</w:t>
            </w:r>
          </w:p>
          <w:p w14:paraId="689A0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2.1地层岩性</w:t>
            </w:r>
          </w:p>
          <w:p w14:paraId="2E66E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eastAsia="宋体" w:cs="Times New Roman"/>
                <w:color w:val="000000"/>
                <w:kern w:val="0"/>
                <w:sz w:val="24"/>
                <w:szCs w:val="24"/>
                <w:lang w:val="en-US" w:eastAsia="zh-CN" w:bidi="ar"/>
              </w:rPr>
              <w:t>场址区分布的地层主要为第四系（</w:t>
            </w:r>
            <w:r>
              <w:rPr>
                <w:rFonts w:hint="default" w:ascii="Times New Roman" w:hAnsi="Times New Roman" w:eastAsia="宋体" w:cs="Times New Roman"/>
                <w:color w:val="000000"/>
                <w:kern w:val="0"/>
                <w:sz w:val="24"/>
                <w:szCs w:val="24"/>
                <w:lang w:val="en-US" w:eastAsia="zh-CN" w:bidi="ar"/>
              </w:rPr>
              <w:t>Q</w:t>
            </w:r>
            <w:r>
              <w:rPr>
                <w:rFonts w:hint="eastAsia" w:ascii="Times New Roman" w:hAnsi="Times New Roman" w:eastAsia="宋体" w:cs="Times New Roman"/>
                <w:color w:val="000000"/>
                <w:kern w:val="0"/>
                <w:sz w:val="24"/>
                <w:szCs w:val="24"/>
                <w:lang w:val="en-US" w:eastAsia="zh-CN" w:bidi="ar"/>
              </w:rPr>
              <w:t>）和寒武系未分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，从新到老分述如下：</w:t>
            </w:r>
          </w:p>
          <w:p w14:paraId="39720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（1）第四系残、坡积层（</w:t>
            </w:r>
            <w:r>
              <w:rPr>
                <w:rFonts w:hint="default" w:ascii="Times New Roman" w:hAnsi="Times New Roman" w:eastAsia="宋体" w:cs="Times New Roman"/>
                <w:color w:val="000000"/>
                <w:kern w:val="0"/>
                <w:sz w:val="24"/>
                <w:szCs w:val="24"/>
                <w:lang w:val="en-US" w:eastAsia="zh-CN" w:bidi="ar"/>
              </w:rPr>
              <w:t>Q4 eld</w:t>
            </w:r>
            <w:r>
              <w:rPr>
                <w:rFonts w:hint="eastAsia" w:ascii="Times New Roman" w:hAnsi="Times New Roman" w:eastAsia="宋体" w:cs="Times New Roman"/>
                <w:color w:val="000000"/>
                <w:kern w:val="0"/>
                <w:sz w:val="24"/>
                <w:szCs w:val="24"/>
                <w:lang w:val="en-US" w:eastAsia="zh-CN" w:bidi="ar"/>
              </w:rPr>
              <w:t>）：主要为黄褐色黏土、碎石质黏土、粉质黏土、红黏土，可塑～硬塑状。该层分布范围遍及整个场区，场址区四周靠近山脚地带厚度较厚，一般厚</w:t>
            </w:r>
            <w:r>
              <w:rPr>
                <w:rFonts w:hint="default" w:ascii="Times New Roman" w:hAnsi="Times New Roman" w:eastAsia="宋体" w:cs="Times New Roman"/>
                <w:color w:val="000000"/>
                <w:kern w:val="0"/>
                <w:sz w:val="24"/>
                <w:szCs w:val="24"/>
                <w:lang w:val="en-US" w:eastAsia="zh-CN" w:bidi="ar"/>
              </w:rPr>
              <w:t>0.2m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3m</w:t>
            </w:r>
            <w:r>
              <w:rPr>
                <w:rFonts w:hint="eastAsia" w:ascii="Times New Roman" w:hAnsi="Times New Roman" w:eastAsia="宋体" w:cs="Times New Roman"/>
                <w:color w:val="000000"/>
                <w:kern w:val="0"/>
                <w:sz w:val="24"/>
                <w:szCs w:val="24"/>
                <w:lang w:val="en-US" w:eastAsia="zh-CN" w:bidi="ar"/>
              </w:rPr>
              <w:t xml:space="preserve">。 </w:t>
            </w:r>
          </w:p>
          <w:p w14:paraId="7685A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第①层黏土：褐红、黄褐色，可塑状态，稍湿，土质不均匀，均一性差，表层结构 松散，该层主要分布于场址区大部分区域，山脊地段厚度较薄，一般厚</w:t>
            </w:r>
            <w:r>
              <w:rPr>
                <w:rFonts w:hint="default" w:ascii="Times New Roman" w:hAnsi="Times New Roman" w:eastAsia="宋体" w:cs="Times New Roman"/>
                <w:color w:val="000000"/>
                <w:kern w:val="0"/>
                <w:sz w:val="24"/>
                <w:szCs w:val="24"/>
                <w:lang w:val="en-US" w:eastAsia="zh-CN" w:bidi="ar"/>
              </w:rPr>
              <w:t>0.2m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2m</w:t>
            </w:r>
            <w:r>
              <w:rPr>
                <w:rFonts w:hint="eastAsia" w:ascii="Times New Roman" w:hAnsi="Times New Roman" w:eastAsia="宋体" w:cs="Times New Roman"/>
                <w:color w:val="000000"/>
                <w:kern w:val="0"/>
                <w:sz w:val="24"/>
                <w:szCs w:val="24"/>
                <w:lang w:val="en-US" w:eastAsia="zh-CN" w:bidi="ar"/>
              </w:rPr>
              <w:t>，坡脚及地势低洼地段厚度大于</w:t>
            </w:r>
            <w:r>
              <w:rPr>
                <w:rFonts w:hint="default" w:ascii="Times New Roman" w:hAnsi="Times New Roman" w:eastAsia="宋体" w:cs="Times New Roman"/>
                <w:color w:val="000000"/>
                <w:kern w:val="0"/>
                <w:sz w:val="24"/>
                <w:szCs w:val="24"/>
                <w:lang w:val="en-US" w:eastAsia="zh-CN" w:bidi="ar"/>
              </w:rPr>
              <w:t>3m</w:t>
            </w:r>
            <w:r>
              <w:rPr>
                <w:rFonts w:hint="eastAsia" w:ascii="Times New Roman" w:hAnsi="Times New Roman" w:eastAsia="宋体" w:cs="Times New Roman"/>
                <w:color w:val="000000"/>
                <w:kern w:val="0"/>
                <w:sz w:val="24"/>
                <w:szCs w:val="24"/>
                <w:lang w:val="en-US" w:eastAsia="zh-CN" w:bidi="ar"/>
              </w:rPr>
              <w:t>，该层物理力学性质一般，较厚地段可作为拟建光伏电板基础持力层。</w:t>
            </w:r>
          </w:p>
          <w:p w14:paraId="4D416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第②</w:t>
            </w:r>
            <w:r>
              <w:rPr>
                <w:rFonts w:hint="default" w:ascii="Times New Roman" w:hAnsi="Times New Roman" w:eastAsia="宋体" w:cs="Times New Roman"/>
                <w:color w:val="000000"/>
                <w:kern w:val="0"/>
                <w:sz w:val="24"/>
                <w:szCs w:val="24"/>
                <w:vertAlign w:val="subscript"/>
                <w:lang w:val="en-US" w:eastAsia="zh-CN" w:bidi="ar"/>
              </w:rPr>
              <w:t>1</w:t>
            </w:r>
            <w:r>
              <w:rPr>
                <w:rFonts w:hint="eastAsia" w:ascii="Times New Roman" w:hAnsi="Times New Roman" w:eastAsia="宋体" w:cs="Times New Roman"/>
                <w:color w:val="000000"/>
                <w:kern w:val="0"/>
                <w:sz w:val="24"/>
                <w:szCs w:val="24"/>
                <w:lang w:val="en-US" w:eastAsia="zh-CN" w:bidi="ar"/>
              </w:rPr>
              <w:t>层强风化砂岩：灰白色、黄褐色，块状结构，中厚层状构造，主要有石英、方解石等组成。该层物理力学性质相对较好，可作为拟建光伏电板基础持力层。</w:t>
            </w:r>
          </w:p>
          <w:p w14:paraId="73DBB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第②</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eastAsia="宋体" w:cs="Times New Roman"/>
                <w:color w:val="000000"/>
                <w:kern w:val="0"/>
                <w:sz w:val="24"/>
                <w:szCs w:val="24"/>
                <w:lang w:val="en-US" w:eastAsia="zh-CN" w:bidi="ar"/>
              </w:rPr>
              <w:t>层强风化片麻岩：深灰色，片麻状构造，粒状变晶结构，主要矿物成分由长石、石英和云母等组成，节理裂隙发育，岩体较破碎，岩体呈碎块状，局部呈块状。该层物理力学性质相对较好，可作为拟建光伏电板基础持力层。</w:t>
            </w:r>
          </w:p>
          <w:p w14:paraId="33474248">
            <w:pPr>
              <w:pStyle w:val="16"/>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寒武系未分</w:t>
            </w:r>
            <w:r>
              <w:rPr>
                <w:rFonts w:hint="default" w:ascii="Times New Roman" w:hAnsi="Times New Roman" w:eastAsia="宋体" w:cs="Times New Roman"/>
                <w:color w:val="000000"/>
                <w:kern w:val="0"/>
                <w:sz w:val="24"/>
                <w:szCs w:val="24"/>
                <w:lang w:val="en-US" w:eastAsia="zh-CN" w:bidi="ar"/>
              </w:rPr>
              <w:t>（∈？）</w:t>
            </w:r>
          </w:p>
          <w:p w14:paraId="4FFEE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lang w:eastAsia="zh-CN"/>
              </w:rPr>
            </w:pPr>
            <w:r>
              <w:rPr>
                <w:rFonts w:hint="eastAsia" w:ascii="Times New Roman" w:hAnsi="Times New Roman" w:eastAsia="宋体" w:cs="Times New Roman"/>
                <w:color w:val="000000"/>
                <w:kern w:val="0"/>
                <w:sz w:val="24"/>
                <w:szCs w:val="24"/>
                <w:lang w:val="en-US" w:eastAsia="zh-CN" w:bidi="ar"/>
              </w:rPr>
              <w:t>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）：微晶片岩、混合岩化片麻岩及混合岩，变质砂岩、板岩、硅质岩、大理岩及斜长角闪岩等。</w:t>
            </w:r>
          </w:p>
          <w:p w14:paraId="45A1AF6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pacing w:val="4"/>
                <w:sz w:val="24"/>
              </w:rPr>
            </w:pPr>
            <w:r>
              <w:rPr>
                <w:rFonts w:hint="default" w:ascii="Times New Roman" w:hAnsi="Times New Roman" w:cs="Times New Roman"/>
                <w:lang w:val="en-US" w:eastAsia="zh-CN"/>
              </w:rPr>
              <w:t>2.2</w:t>
            </w:r>
            <w:r>
              <w:rPr>
                <w:rFonts w:hint="default" w:ascii="Times New Roman" w:hAnsi="Times New Roman" w:eastAsia="宋体" w:cs="Times New Roman"/>
                <w:color w:val="auto"/>
                <w:spacing w:val="4"/>
                <w:sz w:val="24"/>
              </w:rPr>
              <w:t>地质构造</w:t>
            </w:r>
          </w:p>
          <w:p w14:paraId="3F448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根据区域地质资料，场址区处于区域性棋盘石</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腾冲断裂（</w:t>
            </w:r>
            <w:r>
              <w:rPr>
                <w:rFonts w:hint="default" w:ascii="Times New Roman" w:hAnsi="Times New Roman" w:eastAsia="宋体" w:cs="Times New Roman"/>
                <w:color w:val="000000"/>
                <w:kern w:val="0"/>
                <w:sz w:val="24"/>
                <w:szCs w:val="24"/>
                <w:lang w:val="en-US" w:eastAsia="zh-CN" w:bidi="ar"/>
              </w:rPr>
              <w:t>F87</w:t>
            </w:r>
            <w:r>
              <w:rPr>
                <w:rFonts w:hint="eastAsia" w:ascii="Times New Roman" w:hAnsi="Times New Roman" w:eastAsia="宋体" w:cs="Times New Roman"/>
                <w:color w:val="000000"/>
                <w:kern w:val="0"/>
                <w:sz w:val="24"/>
                <w:szCs w:val="24"/>
                <w:lang w:val="en-US" w:eastAsia="zh-CN" w:bidi="ar"/>
              </w:rPr>
              <w:t>）南侧、渴马</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曼乃街断裂（</w:t>
            </w:r>
            <w:r>
              <w:rPr>
                <w:rFonts w:hint="default" w:ascii="Times New Roman" w:hAnsi="Times New Roman" w:eastAsia="宋体" w:cs="Times New Roman"/>
                <w:color w:val="000000"/>
                <w:kern w:val="0"/>
                <w:sz w:val="24"/>
                <w:szCs w:val="24"/>
                <w:lang w:val="en-US" w:eastAsia="zh-CN" w:bidi="ar"/>
              </w:rPr>
              <w:t>F96</w:t>
            </w:r>
            <w:r>
              <w:rPr>
                <w:rFonts w:hint="eastAsia" w:ascii="Times New Roman" w:hAnsi="Times New Roman" w:eastAsia="宋体" w:cs="Times New Roman"/>
                <w:color w:val="000000"/>
                <w:kern w:val="0"/>
                <w:sz w:val="24"/>
                <w:szCs w:val="24"/>
                <w:lang w:val="en-US" w:eastAsia="zh-CN" w:bidi="ar"/>
              </w:rPr>
              <w:t>）北西侧及戛中</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龙陵断裂（</w:t>
            </w:r>
            <w:r>
              <w:rPr>
                <w:rFonts w:hint="default" w:ascii="Times New Roman" w:hAnsi="Times New Roman" w:eastAsia="宋体" w:cs="Times New Roman"/>
                <w:color w:val="000000"/>
                <w:kern w:val="0"/>
                <w:sz w:val="24"/>
                <w:szCs w:val="24"/>
                <w:lang w:val="en-US" w:eastAsia="zh-CN" w:bidi="ar"/>
              </w:rPr>
              <w:t>F97</w:t>
            </w:r>
            <w:r>
              <w:rPr>
                <w:rFonts w:hint="eastAsia" w:ascii="Times New Roman" w:hAnsi="Times New Roman" w:eastAsia="宋体" w:cs="Times New Roman"/>
                <w:color w:val="000000"/>
                <w:kern w:val="0"/>
                <w:sz w:val="24"/>
                <w:szCs w:val="24"/>
                <w:lang w:val="en-US" w:eastAsia="zh-CN" w:bidi="ar"/>
              </w:rPr>
              <w:t>北西侧），区域地质构造背景复杂。场址区下伏基岩主要为寒武系未分（∈？）</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微晶片岩、混合岩化片麻岩及混合岩，变质砂岩、板岩、硅质岩、大理岩及斜长角闪岩。</w:t>
            </w:r>
          </w:p>
          <w:p w14:paraId="1BEE9363">
            <w:pPr>
              <w:pStyle w:val="13"/>
              <w:keepNext w:val="0"/>
              <w:keepLines w:val="0"/>
              <w:suppressLineNumbers w:val="0"/>
              <w:spacing w:before="0" w:beforeAutospacing="0" w:after="0" w:afterAutospacing="0" w:line="360" w:lineRule="auto"/>
              <w:ind w:left="0" w:right="0"/>
              <w:rPr>
                <w:rFonts w:hint="default" w:eastAsiaTheme="minorEastAsia"/>
                <w:lang w:val="en-US" w:eastAsia="zh-CN"/>
              </w:rPr>
            </w:pPr>
            <w:r>
              <w:rPr>
                <w:rFonts w:hint="eastAsia" w:ascii="Times New Roman" w:hAnsi="Times New Roman" w:cs="Times New Roman"/>
                <w:lang w:val="en-US" w:eastAsia="zh-CN"/>
              </w:rPr>
              <w:t>2.3水文地质</w:t>
            </w:r>
          </w:p>
          <w:p w14:paraId="016F0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rPr>
            </w:pPr>
            <w:r>
              <w:rPr>
                <w:rFonts w:hint="eastAsia" w:ascii="Times New Roman" w:hAnsi="Times New Roman" w:eastAsia="宋体" w:cs="Times New Roman"/>
                <w:color w:val="000000"/>
                <w:kern w:val="0"/>
                <w:sz w:val="24"/>
                <w:szCs w:val="24"/>
                <w:lang w:val="en-US" w:eastAsia="zh-CN" w:bidi="ar"/>
              </w:rPr>
              <w:t>场址区地下水主要接受大气降水补给，地下水动力条件较为复杂。降水主要沿地表 垂直下渗或少量汇入低洼区。地下水类型主要有孔隙水、基岩裂隙水及深部岩溶水。基岩裂隙水主要赋存在基岩节理裂隙中，孔隙水主要赋存于第四系松散堆积物的孔隙中，深部岩溶水主要赋存于深部岩溶通道，地层岩性控制了含水层的分布和地下水的富集，地质构造和地貌则影响地下水的补给、赋存和排泄条件。</w:t>
            </w:r>
            <w:r>
              <w:rPr>
                <w:rFonts w:hint="eastAsia" w:ascii="宋体" w:hAnsi="宋体" w:eastAsia="宋体" w:cs="宋体"/>
                <w:color w:val="000000"/>
                <w:kern w:val="0"/>
                <w:sz w:val="24"/>
                <w:szCs w:val="24"/>
                <w:lang w:val="en-US" w:eastAsia="zh-CN" w:bidi="ar"/>
              </w:rPr>
              <w:t xml:space="preserve"> </w:t>
            </w:r>
          </w:p>
          <w:p w14:paraId="18C44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场址区地下水排泄基准面较低、地下水埋藏较深。总体上，场址区地下水对场地基本无影响。</w:t>
            </w:r>
          </w:p>
          <w:p w14:paraId="5E011857">
            <w:pPr>
              <w:pStyle w:val="13"/>
              <w:keepNext w:val="0"/>
              <w:keepLines w:val="0"/>
              <w:suppressLineNumbers w:val="0"/>
              <w:spacing w:before="0" w:beforeAutospacing="0" w:after="0" w:afterAutospacing="0" w:line="360" w:lineRule="auto"/>
              <w:ind w:left="0" w:right="0"/>
              <w:rPr>
                <w:rFonts w:hint="default" w:ascii="Times New Roman" w:hAnsi="Times New Roman" w:cs="Times New Roman"/>
                <w:lang w:val="en-US" w:eastAsia="zh-CN"/>
              </w:rPr>
            </w:pPr>
            <w:r>
              <w:rPr>
                <w:rFonts w:hint="eastAsia" w:ascii="Times New Roman" w:hAnsi="Times New Roman" w:cs="Times New Roman"/>
                <w:lang w:val="en-US" w:eastAsia="zh-CN"/>
              </w:rPr>
              <w:t>2.4不利地质现象</w:t>
            </w:r>
          </w:p>
          <w:p w14:paraId="740C2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场址区不良物理地质现象主要以冲沟及浅表滑坡为主，未发现较大规模的崩塌、滑坡、泥石流等。</w:t>
            </w:r>
          </w:p>
          <w:p w14:paraId="7313E871">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3、河流水系</w:t>
            </w:r>
          </w:p>
          <w:p w14:paraId="351433C2">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rPr>
            </w:pPr>
            <w:bookmarkStart w:id="7" w:name="_Hlk73691300"/>
            <w:bookmarkStart w:id="8" w:name="_Toc380414830"/>
            <w:bookmarkStart w:id="9" w:name="_Toc24040"/>
            <w:r>
              <w:rPr>
                <w:rFonts w:hint="default" w:ascii="Times New Roman" w:hAnsi="Times New Roman" w:eastAsia="宋体" w:cs="Times New Roman"/>
                <w:color w:val="auto"/>
                <w:sz w:val="24"/>
              </w:rPr>
              <w:t>芒市水系主要有</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三江四河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。三江：大盈江、瑞丽江（陇川江）、怒江；四河：芒市河、南晚河、户撒河、芒东河（萝卜坝河）。芒市年平均总产水量31.8亿m³，其中地表水23.11亿m³，地下水8.69亿m³。</w:t>
            </w:r>
            <w:r>
              <w:rPr>
                <w:rFonts w:hint="default" w:ascii="Times New Roman" w:hAnsi="Times New Roman" w:eastAsia="宋体" w:cs="Times New Roman"/>
                <w:color w:val="auto"/>
                <w:sz w:val="24"/>
                <w:szCs w:val="24"/>
                <w:lang w:bidi="ar"/>
              </w:rPr>
              <w:t>芒市年均地表水量为23.11亿m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lang w:bidi="ar"/>
              </w:rPr>
              <w:t>，河流分别属于伊洛瓦底江和怒江水系。其中伊洛瓦底江流域面积为2360km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，占全市总流域面积的80.5%，流域内水系发育呈叶脉状，有大小河流139条，主要河流有南乃河、芒岗河、户阳河、邵址河、板过河、二级支流主要有放马桥河、中河、户养河、轩岗河等；怒江流域面积为570.7km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，占全市总流域面积的19.5%，流域内水系发育呈叶脉状，有大小河流90条，主要支流有：朗油河、即毕河、万马河、清水河和芒辛河等。</w:t>
            </w:r>
          </w:p>
          <w:bookmarkEnd w:id="7"/>
          <w:p w14:paraId="65A8ECD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bidi="ar"/>
              </w:rPr>
              <w:t>根据调查，距离项目光伏方阵</w:t>
            </w:r>
            <w:r>
              <w:rPr>
                <w:rFonts w:hint="eastAsia" w:ascii="宋体" w:hAnsi="宋体" w:eastAsia="宋体" w:cs="宋体"/>
                <w:b w:val="0"/>
                <w:bCs w:val="0"/>
                <w:color w:val="auto"/>
                <w:spacing w:val="0"/>
                <w:kern w:val="2"/>
                <w:sz w:val="24"/>
                <w:szCs w:val="24"/>
                <w:lang w:val="en-US" w:eastAsia="zh-CN" w:bidi="ar-SA"/>
              </w:rPr>
              <w:t>最近地表水体为南哈河、南朗河最终汇入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color w:val="auto"/>
                <w:spacing w:val="0"/>
                <w:kern w:val="2"/>
                <w:sz w:val="24"/>
                <w:szCs w:val="24"/>
                <w:lang w:val="en-US" w:eastAsia="zh-CN" w:bidi="ar-SA"/>
              </w:rPr>
              <w:t>芒市大河支流</w:t>
            </w:r>
            <w:r>
              <w:rPr>
                <w:rFonts w:hint="default" w:ascii="宋体" w:hAnsi="宋体" w:eastAsia="宋体" w:cs="宋体"/>
                <w:b w:val="0"/>
                <w:bCs w:val="0"/>
                <w:color w:val="auto"/>
                <w:spacing w:val="0"/>
                <w:kern w:val="2"/>
                <w:sz w:val="24"/>
                <w:szCs w:val="24"/>
                <w:lang w:val="en-US" w:eastAsia="zh-CN" w:bidi="ar-SA"/>
              </w:rPr>
              <w:t>，结合《云南省水功能区划》</w:t>
            </w:r>
            <w:r>
              <w:rPr>
                <w:rFonts w:hint="eastAsia" w:ascii="宋体" w:hAnsi="宋体" w:eastAsia="宋体" w:cs="宋体"/>
                <w:b w:val="0"/>
                <w:bCs w:val="0"/>
                <w:color w:val="auto"/>
                <w:spacing w:val="0"/>
                <w:kern w:val="2"/>
                <w:sz w:val="24"/>
                <w:szCs w:val="24"/>
                <w:lang w:val="en-US" w:eastAsia="zh-CN" w:bidi="ar-SA"/>
              </w:rPr>
              <w:t>（第二版2014年修改），芒市大河</w:t>
            </w:r>
            <w:r>
              <w:rPr>
                <w:rFonts w:hint="default" w:ascii="宋体" w:hAnsi="宋体" w:eastAsia="宋体" w:cs="宋体"/>
                <w:b w:val="0"/>
                <w:bCs w:val="0"/>
                <w:color w:val="auto"/>
                <w:spacing w:val="0"/>
                <w:kern w:val="2"/>
                <w:sz w:val="24"/>
                <w:szCs w:val="24"/>
                <w:lang w:val="en-US" w:eastAsia="zh-CN" w:bidi="ar-SA"/>
              </w:rPr>
              <w:t>属于伊洛瓦底江流域</w:t>
            </w:r>
            <w:r>
              <w:rPr>
                <w:rFonts w:hint="default" w:ascii="Times New Roman" w:hAnsi="Times New Roman" w:eastAsia="宋体" w:cs="Times New Roman"/>
                <w:color w:val="auto"/>
                <w:sz w:val="24"/>
                <w:szCs w:val="24"/>
              </w:rPr>
              <w:t>。项目在施工及运行过程中不会对河流水系造成影响。</w:t>
            </w:r>
            <w:r>
              <w:rPr>
                <w:rFonts w:hint="default" w:ascii="Times New Roman" w:hAnsi="Times New Roman" w:eastAsia="宋体" w:cs="Times New Roman"/>
                <w:color w:val="auto"/>
                <w:kern w:val="0"/>
                <w:sz w:val="24"/>
                <w:szCs w:val="24"/>
                <w:lang w:bidi="ar"/>
              </w:rPr>
              <w:t xml:space="preserve"> </w:t>
            </w:r>
          </w:p>
          <w:p w14:paraId="1707A18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4、土壤</w:t>
            </w:r>
            <w:bookmarkEnd w:id="8"/>
            <w:bookmarkEnd w:id="9"/>
          </w:p>
          <w:p w14:paraId="4B1D92E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w:t>
            </w:r>
            <w:r>
              <w:rPr>
                <w:rFonts w:hint="eastAsia" w:ascii="Times New Roman" w:hAnsi="Times New Roman" w:eastAsia="宋体" w:cs="Times New Roman"/>
                <w:color w:val="auto"/>
                <w:sz w:val="24"/>
                <w:szCs w:val="24"/>
                <w:lang w:eastAsia="zh-CN" w:bidi="ar"/>
              </w:rPr>
              <w:t>海拔</w:t>
            </w:r>
            <w:r>
              <w:rPr>
                <w:rFonts w:hint="default" w:ascii="Times New Roman" w:hAnsi="Times New Roman" w:eastAsia="宋体" w:cs="Times New Roman"/>
                <w:color w:val="auto"/>
                <w:sz w:val="24"/>
                <w:szCs w:val="24"/>
                <w:lang w:bidi="ar"/>
              </w:rPr>
              <w:t>2000m-2600m之间山地。棕壤面积1.8万亩，占总面积的0.4%</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主要分布在海拔2630m-2889m之间山地，土壤发育慢，矿质风化程度低，含砾砂多，保水保肥力差，共分为3个亚类，7个土属，22个土种。石灰岩面积30万亩，占总面积的6.7%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分布零散不成带域，主要在勐嘎镇，东山乡的部分地区，质地较粘细，保水保肥力强。紫色土面积7.6万亩，占总面积的1.7%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三台山乡、法帕镇的部分地区，土质偏粘，保水保肥力强，冲积土面积2.4万亩，占总面积的0.5%。主要分布在芒市大河流两岸的河漫滩平地上，质地砂性，保水保肥力差。沼泽土面积1123亩，占总面积的0.03%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主要分布在芒市、芒里的部分地区，土壤质地粘细含水多。</w:t>
            </w:r>
          </w:p>
          <w:p w14:paraId="48688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根据现场踏勘，</w:t>
            </w:r>
            <w:r>
              <w:rPr>
                <w:rFonts w:hint="eastAsia" w:ascii="Times New Roman" w:hAnsi="Times New Roman" w:eastAsia="宋体" w:cs="Times New Roman"/>
                <w:color w:val="000000"/>
                <w:kern w:val="0"/>
                <w:sz w:val="24"/>
                <w:szCs w:val="24"/>
                <w:lang w:val="en-US" w:eastAsia="zh-CN" w:bidi="ar"/>
              </w:rPr>
              <w:t>项目区土壤类型为燥红土，该类型是发育于干热河谷的地域性红色土，成土过程为有机质的积累过程、生物富积作用和脱硅富铝化作用。共有燥红土和褐红土两个亚类， 项目区主要是褐红土</w:t>
            </w:r>
            <w:r>
              <w:rPr>
                <w:rFonts w:hint="eastAsia" w:ascii="Times New Roman" w:hAnsi="Times New Roman" w:eastAsia="宋体" w:cs="Times New Roman"/>
                <w:color w:val="auto"/>
                <w:sz w:val="24"/>
                <w:szCs w:val="24"/>
                <w:lang w:eastAsia="zh-CN" w:bidi="ar"/>
              </w:rPr>
              <w:t>。</w:t>
            </w:r>
          </w:p>
          <w:p w14:paraId="7048886A">
            <w:pPr>
              <w:keepNext w:val="0"/>
              <w:keepLines w:val="0"/>
              <w:numPr>
                <w:ilvl w:val="0"/>
                <w:numId w:val="6"/>
              </w:numPr>
              <w:suppressLineNumbers w:val="0"/>
              <w:spacing w:before="0" w:beforeAutospacing="0" w:after="0" w:afterAutospacing="0" w:line="360" w:lineRule="auto"/>
              <w:ind w:left="480" w:leftChars="0" w:right="0" w:firstLine="0" w:firstLineChars="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sz w:val="24"/>
                <w:szCs w:val="24"/>
                <w:lang w:val="en-US" w:eastAsia="zh-CN" w:bidi="ar"/>
              </w:rPr>
              <w:t>水土流失</w:t>
            </w:r>
          </w:p>
          <w:p w14:paraId="2E4DA1C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kern w:val="2"/>
                <w:sz w:val="24"/>
                <w:szCs w:val="24"/>
                <w:lang w:val="en-US" w:eastAsia="zh-CN" w:bidi="ar"/>
              </w:rPr>
              <w:t>据《云南省2004年土壤侵蚀现状遥感调查报告》，工程所在的芒市水土流失面积中，以轻度和中度侵蚀为主，极强度和剧烈侵蚀所占比重很少。根据水利部办公厅文件〔2013〕188 号公告《全国水土保持规划国家级水</w:t>
            </w:r>
            <w:r>
              <w:rPr>
                <w:rFonts w:hint="eastAsia" w:ascii="Times New Roman" w:hAnsi="Times New Roman" w:eastAsia="宋体" w:cs="Times New Roman"/>
                <w:color w:val="auto"/>
                <w:kern w:val="2"/>
                <w:sz w:val="24"/>
                <w:szCs w:val="24"/>
                <w:lang w:val="en-US" w:eastAsia="zh-CN" w:bidi="ar"/>
              </w:rPr>
              <w:t>土</w:t>
            </w:r>
            <w:r>
              <w:rPr>
                <w:rFonts w:hint="default" w:ascii="Times New Roman" w:hAnsi="Times New Roman" w:eastAsia="宋体" w:cs="Times New Roman"/>
                <w:color w:val="auto"/>
                <w:kern w:val="2"/>
                <w:sz w:val="24"/>
                <w:szCs w:val="24"/>
                <w:lang w:val="en-US" w:eastAsia="zh-CN" w:bidi="ar"/>
              </w:rPr>
              <w:t>流失重点预防区和重点治理区复核划分成果》，本项目所在的芒市不属于国家级水土流失重点预防区和重点治理区，同时根据《云南省人民政府关于划分水土流失重点防治区的公告》(云政发〔2007〕165 号），项目区属云南省水土保持重点治理</w:t>
            </w:r>
            <w:r>
              <w:rPr>
                <w:rFonts w:hint="default" w:ascii="Times New Roman" w:hAnsi="Times New Roman" w:eastAsia="宋体" w:cs="Times New Roman"/>
                <w:color w:val="auto"/>
                <w:sz w:val="24"/>
                <w:szCs w:val="24"/>
                <w:lang w:val="en-US" w:eastAsia="zh-CN" w:bidi="ar"/>
              </w:rPr>
              <w:t>区，故水土流失防治执行二级标准。</w:t>
            </w:r>
          </w:p>
          <w:p w14:paraId="5D6CA67E">
            <w:pPr>
              <w:keepNext w:val="0"/>
              <w:keepLines w:val="0"/>
              <w:widowControl/>
              <w:suppressLineNumbers w:val="0"/>
              <w:spacing w:before="0" w:beforeAutospacing="0" w:after="0" w:afterAutospacing="0" w:line="360" w:lineRule="auto"/>
              <w:ind w:left="0" w:right="0" w:firstLine="480" w:firstLineChars="200"/>
              <w:rPr>
                <w:rFonts w:hint="default"/>
                <w:lang w:val="en-US" w:eastAsia="zh-CN"/>
              </w:rPr>
            </w:pPr>
            <w:r>
              <w:rPr>
                <w:rFonts w:hint="default" w:ascii="Times New Roman" w:hAnsi="Times New Roman" w:eastAsia="宋体" w:cs="Times New Roman"/>
                <w:color w:val="auto"/>
                <w:sz w:val="24"/>
                <w:szCs w:val="24"/>
                <w:lang w:val="en-US" w:eastAsia="zh-CN" w:bidi="ar"/>
              </w:rPr>
              <w:t>芒市水土流失区域主要分布在山区、半山区交界地带，这些地带地形起伏大，山坡陡峻。沟谷深切，倾斜度较大。水土流失类型以水力侵蚀为主，主要表现为面蚀、沟蚀。</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根据调查，</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本工程建设区天然状态下平均土壤侵蚀模数为483t/km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草地</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，植被覆盖较好，具有较好的水土保持功能。</w:t>
            </w:r>
          </w:p>
        </w:tc>
      </w:tr>
      <w:tr w14:paraId="433E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9" w:hRule="atLeast"/>
        </w:trPr>
        <w:tc>
          <w:tcPr>
            <w:tcW w:w="454" w:type="dxa"/>
            <w:vAlign w:val="center"/>
          </w:tcPr>
          <w:p w14:paraId="442E5A26">
            <w:pPr>
              <w:keepNext w:val="0"/>
              <w:keepLines w:val="0"/>
              <w:suppressLineNumbers w:val="0"/>
              <w:bidi w:val="0"/>
              <w:spacing w:before="0" w:beforeAutospacing="0" w:after="0" w:afterAutospacing="0"/>
              <w:ind w:left="0" w:right="0"/>
              <w:jc w:val="center"/>
              <w:rPr>
                <w:rFonts w:hint="eastAsia"/>
                <w:vertAlign w:val="baseline"/>
                <w:lang w:val="en-US" w:eastAsia="zh-CN"/>
              </w:rPr>
            </w:pPr>
            <w:r>
              <w:rPr>
                <w:rFonts w:hint="default" w:ascii="Times New Roman" w:hAnsi="Times New Roman"/>
                <w:color w:val="000000"/>
                <w:kern w:val="0"/>
                <w:sz w:val="24"/>
              </w:rPr>
              <w:t>项目组成及规模</w:t>
            </w:r>
          </w:p>
        </w:tc>
        <w:tc>
          <w:tcPr>
            <w:tcW w:w="8068" w:type="dxa"/>
          </w:tcPr>
          <w:p w14:paraId="4F0D5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一、主体工程</w:t>
            </w:r>
          </w:p>
          <w:p w14:paraId="33579A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、项目基本情况</w:t>
            </w:r>
          </w:p>
          <w:p w14:paraId="1089CCA7">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lang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1）项目名称：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东光伏发电项目</w:t>
            </w:r>
          </w:p>
          <w:p w14:paraId="588AAA70">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（2）建设地点：云南省德宏州芒市江东乡河头村</w:t>
            </w:r>
          </w:p>
          <w:p w14:paraId="56E3BE15">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（3）建设单位：芒市德天新能源有限公司</w:t>
            </w:r>
          </w:p>
          <w:p w14:paraId="143B4C8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（4）建设性质：新建</w:t>
            </w:r>
          </w:p>
          <w:p w14:paraId="79839A29">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（5）总投资和环保投资：总投资10800万元</w:t>
            </w:r>
            <w:r>
              <w:rPr>
                <w:rFonts w:hint="eastAsia" w:ascii="Times New Roman" w:hAnsi="Times New Roman" w:eastAsia="宋体" w:cs="Times New Roman"/>
                <w:b w:val="0"/>
                <w:bCs w:val="0"/>
                <w:color w:val="auto"/>
                <w:kern w:val="2"/>
                <w:sz w:val="24"/>
                <w:szCs w:val="24"/>
                <w:lang w:val="en-US" w:eastAsia="zh-CN" w:bidi="ar-SA"/>
              </w:rPr>
              <w:t>，环保投资119万元。</w:t>
            </w:r>
          </w:p>
          <w:p w14:paraId="6037262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（6）建设内容及规模：</w:t>
            </w:r>
            <w:r>
              <w:rPr>
                <w:rFonts w:hint="default" w:ascii="Times New Roman" w:hAnsi="Times New Roman" w:eastAsia="宋体" w:cs="Times New Roman"/>
                <w:b w:val="0"/>
                <w:bCs w:val="0"/>
                <w:color w:val="auto"/>
                <w:kern w:val="2"/>
                <w:sz w:val="24"/>
                <w:szCs w:val="24"/>
                <w:lang w:val="en-US" w:eastAsia="zh-CN" w:bidi="ar-SA"/>
              </w:rPr>
              <w:t>项目用地总规模</w:t>
            </w:r>
            <w:r>
              <w:rPr>
                <w:rFonts w:hint="eastAsia" w:ascii="Times New Roman" w:hAnsi="Times New Roman" w:eastAsia="宋体" w:cs="Times New Roman"/>
                <w:b w:val="0"/>
                <w:bCs w:val="0"/>
                <w:color w:val="auto"/>
                <w:kern w:val="2"/>
                <w:sz w:val="24"/>
                <w:szCs w:val="24"/>
                <w:lang w:val="en-US" w:eastAsia="zh-CN" w:bidi="ar-SA"/>
              </w:rPr>
              <w:t>约706.02亩</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项目于</w:t>
            </w:r>
            <w:r>
              <w:rPr>
                <w:rFonts w:hint="default" w:ascii="Times New Roman" w:hAnsi="Times New Roman" w:eastAsia="宋体" w:cs="Times New Roman"/>
                <w:b w:val="0"/>
                <w:bCs w:val="0"/>
                <w:color w:val="auto"/>
                <w:kern w:val="2"/>
                <w:sz w:val="24"/>
                <w:szCs w:val="24"/>
                <w:lang w:val="en-US" w:eastAsia="zh-CN" w:bidi="ar-SA"/>
              </w:rPr>
              <w:t>场址平缓山包上建设</w:t>
            </w:r>
            <w:r>
              <w:rPr>
                <w:rFonts w:hint="eastAsia" w:ascii="Times New Roman" w:hAnsi="Times New Roman" w:eastAsia="宋体" w:cs="Times New Roman"/>
                <w:b w:val="0"/>
                <w:bCs w:val="0"/>
                <w:color w:val="auto"/>
                <w:kern w:val="2"/>
                <w:sz w:val="24"/>
                <w:szCs w:val="24"/>
                <w:lang w:val="en-US" w:eastAsia="zh-CN" w:bidi="ar-SA"/>
              </w:rPr>
              <w:t>太阳能电池阵列</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项目设置11个光伏方阵。</w:t>
            </w:r>
          </w:p>
          <w:p w14:paraId="266C5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FF0000"/>
                <w:kern w:val="2"/>
                <w:sz w:val="24"/>
                <w:szCs w:val="24"/>
                <w:lang w:val="en-US" w:eastAsia="zh-CN" w:bidi="ar-SA"/>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 xml:space="preserve">本项目安装容量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30.94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MWp，额定容量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发电子方阵</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 光伏子方阵、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1个2.56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MW光伏子方阵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、7个1.92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 光伏子方阵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1个1.6MW光伏子方阵组成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全部采用655Wp双面双玻电池组件，320kW组串式逆变器，采用固定倾角运行方式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。每个</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子方阵</w:t>
            </w:r>
            <w:r>
              <w:rPr>
                <w:rFonts w:hint="eastAsia" w:ascii="Times New Roman" w:hAnsi="Times New Roman" w:eastAsia="宋体" w:cs="Times New Roman"/>
                <w:color w:val="000000"/>
                <w:kern w:val="0"/>
                <w:sz w:val="24"/>
                <w:szCs w:val="24"/>
                <w:lang w:val="en-US" w:eastAsia="zh-CN" w:bidi="ar"/>
              </w:rPr>
              <w:t xml:space="preserve">包含 </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lang w:val="en-US" w:eastAsia="zh-CN" w:bidi="ar"/>
              </w:rPr>
              <w:t xml:space="preserve">、8、6、5个 </w:t>
            </w:r>
            <w:r>
              <w:rPr>
                <w:rFonts w:hint="default" w:ascii="Times New Roman" w:hAnsi="Times New Roman" w:eastAsia="宋体" w:cs="Times New Roman"/>
                <w:color w:val="000000"/>
                <w:kern w:val="0"/>
                <w:sz w:val="24"/>
                <w:szCs w:val="24"/>
                <w:lang w:val="en-US" w:eastAsia="zh-CN" w:bidi="ar"/>
              </w:rPr>
              <w:t>320kW</w:t>
            </w:r>
            <w:r>
              <w:rPr>
                <w:rFonts w:hint="eastAsia" w:ascii="Times New Roman" w:hAnsi="Times New Roman" w:eastAsia="宋体" w:cs="Times New Roman"/>
                <w:color w:val="000000"/>
                <w:kern w:val="0"/>
                <w:sz w:val="24"/>
                <w:szCs w:val="24"/>
                <w:lang w:val="en-US" w:eastAsia="zh-CN" w:bidi="ar"/>
              </w:rPr>
              <w:t xml:space="preserve">逆变发电单元。本工程拟采用 </w:t>
            </w:r>
            <w:r>
              <w:rPr>
                <w:rFonts w:hint="default" w:ascii="Times New Roman" w:hAnsi="Times New Roman" w:eastAsia="宋体" w:cs="Times New Roman"/>
                <w:color w:val="000000"/>
                <w:kern w:val="0"/>
                <w:sz w:val="24"/>
                <w:szCs w:val="24"/>
                <w:lang w:val="en-US" w:eastAsia="zh-CN" w:bidi="ar"/>
              </w:rPr>
              <w:t xml:space="preserve">1 </w:t>
            </w:r>
            <w:r>
              <w:rPr>
                <w:rFonts w:hint="eastAsia" w:ascii="Times New Roman" w:hAnsi="Times New Roman" w:eastAsia="宋体" w:cs="Times New Roman"/>
                <w:color w:val="000000"/>
                <w:kern w:val="0"/>
                <w:sz w:val="24"/>
                <w:szCs w:val="24"/>
                <w:lang w:val="en-US" w:eastAsia="zh-CN" w:bidi="ar"/>
              </w:rPr>
              <w:t xml:space="preserve">回集电线路汇集电力送入 </w:t>
            </w:r>
            <w:r>
              <w:rPr>
                <w:rFonts w:hint="default" w:ascii="Times New Roman" w:hAnsi="Times New Roman" w:eastAsia="宋体" w:cs="Times New Roman"/>
                <w:color w:val="000000"/>
                <w:kern w:val="0"/>
                <w:sz w:val="24"/>
                <w:szCs w:val="24"/>
                <w:lang w:val="en-US" w:eastAsia="zh-CN" w:bidi="ar"/>
              </w:rPr>
              <w:t xml:space="preserve">110kV </w:t>
            </w:r>
            <w:r>
              <w:rPr>
                <w:rFonts w:hint="eastAsia" w:ascii="Times New Roman" w:hAnsi="Times New Roman" w:eastAsia="宋体" w:cs="Times New Roman"/>
                <w:color w:val="000000"/>
                <w:kern w:val="0"/>
                <w:sz w:val="24"/>
                <w:szCs w:val="24"/>
                <w:lang w:val="en-US" w:eastAsia="zh-CN" w:bidi="ar"/>
              </w:rPr>
              <w:t xml:space="preserve">江东光伏电站升压站 </w:t>
            </w:r>
            <w:r>
              <w:rPr>
                <w:rFonts w:hint="default" w:ascii="Times New Roman" w:hAnsi="Times New Roman" w:eastAsia="宋体" w:cs="Times New Roman"/>
                <w:color w:val="000000"/>
                <w:kern w:val="0"/>
                <w:sz w:val="24"/>
                <w:szCs w:val="24"/>
                <w:lang w:val="en-US" w:eastAsia="zh-CN" w:bidi="ar"/>
              </w:rPr>
              <w:t>35kV</w:t>
            </w:r>
            <w:r>
              <w:rPr>
                <w:rFonts w:hint="eastAsia" w:ascii="Times New Roman" w:hAnsi="Times New Roman" w:eastAsia="宋体" w:cs="Times New Roman"/>
                <w:color w:val="000000"/>
                <w:kern w:val="0"/>
                <w:sz w:val="24"/>
                <w:szCs w:val="24"/>
                <w:lang w:val="en-US" w:eastAsia="zh-CN" w:bidi="ar"/>
              </w:rPr>
              <w:t xml:space="preserve">侧，整个电力的汇流、汇集系统采用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电缆线路。</w:t>
            </w:r>
          </w:p>
          <w:p w14:paraId="5AF07042">
            <w:pPr>
              <w:keepNext w:val="0"/>
              <w:keepLines w:val="0"/>
              <w:suppressLineNumbers w:val="0"/>
              <w:spacing w:before="0" w:beforeAutospacing="0" w:after="0" w:afterAutospacing="0" w:line="360" w:lineRule="auto"/>
              <w:ind w:left="0" w:right="0" w:firstLine="480" w:firstLineChars="200"/>
              <w:jc w:val="left"/>
              <w:rPr>
                <w:rFonts w:hint="eastAsia"/>
                <w:lang w:val="en-US" w:eastAsia="zh-CN"/>
              </w:rPr>
            </w:pPr>
            <w:r>
              <w:rPr>
                <w:rFonts w:hint="eastAsia" w:ascii="Times New Roman" w:hAnsi="Times New Roman" w:eastAsia="宋体" w:cs="Times New Roman"/>
                <w:b w:val="0"/>
                <w:bCs w:val="0"/>
                <w:color w:val="auto"/>
                <w:sz w:val="24"/>
                <w:szCs w:val="24"/>
                <w:lang w:val="en-US" w:eastAsia="zh-CN"/>
              </w:rPr>
              <w:t>本项目不单独建设升压站，项目通过1回35kV集电线路接入芒市江东光伏电站升压站，芒市江东光伏电站升压站办理环评手续。</w:t>
            </w:r>
          </w:p>
          <w:p w14:paraId="48511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2、工程组成</w:t>
            </w:r>
          </w:p>
          <w:p w14:paraId="4C027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工程主要由主体工程光伏阵列、逆变器、集电线路</w:t>
            </w:r>
            <w:r>
              <w:rPr>
                <w:rFonts w:hint="eastAsia" w:ascii="Times New Roman" w:hAnsi="Times New Roman" w:eastAsia="宋体" w:cs="Times New Roman"/>
                <w:color w:val="auto"/>
                <w:kern w:val="0"/>
                <w:sz w:val="24"/>
                <w:szCs w:val="24"/>
                <w:lang w:eastAsia="zh-CN"/>
              </w:rPr>
              <w:t>以及</w:t>
            </w:r>
            <w:r>
              <w:rPr>
                <w:rFonts w:hint="default" w:ascii="Times New Roman" w:hAnsi="Times New Roman" w:eastAsia="宋体" w:cs="Times New Roman"/>
                <w:color w:val="auto"/>
                <w:kern w:val="0"/>
                <w:sz w:val="24"/>
                <w:szCs w:val="24"/>
              </w:rPr>
              <w:t>公辅工程</w:t>
            </w:r>
            <w:r>
              <w:rPr>
                <w:rFonts w:hint="eastAsia" w:ascii="Times New Roman" w:hAnsi="Times New Roman" w:eastAsia="宋体" w:cs="Times New Roman"/>
                <w:color w:val="auto"/>
                <w:kern w:val="0"/>
                <w:sz w:val="24"/>
                <w:szCs w:val="24"/>
                <w:lang w:eastAsia="zh-CN"/>
              </w:rPr>
              <w:t>和</w:t>
            </w:r>
            <w:r>
              <w:rPr>
                <w:rFonts w:hint="default" w:ascii="Times New Roman" w:hAnsi="Times New Roman" w:eastAsia="宋体" w:cs="Times New Roman"/>
                <w:color w:val="auto"/>
                <w:kern w:val="0"/>
                <w:sz w:val="24"/>
                <w:szCs w:val="24"/>
              </w:rPr>
              <w:t>环保工程组成。</w:t>
            </w:r>
            <w:r>
              <w:rPr>
                <w:rFonts w:hint="eastAsia" w:ascii="Times New Roman" w:hAnsi="Times New Roman" w:eastAsia="宋体" w:cs="Times New Roman"/>
                <w:color w:val="auto"/>
                <w:kern w:val="0"/>
                <w:sz w:val="24"/>
                <w:szCs w:val="24"/>
                <w:lang w:eastAsia="zh-CN"/>
              </w:rPr>
              <w:t>本项目工程组成情况详细表2-1。</w:t>
            </w:r>
          </w:p>
          <w:p w14:paraId="6263BB99">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b/>
                <w:color w:val="auto"/>
                <w:sz w:val="21"/>
                <w:szCs w:val="21"/>
              </w:rPr>
            </w:pPr>
          </w:p>
          <w:p w14:paraId="7633B891">
            <w:pPr>
              <w:keepNext w:val="0"/>
              <w:keepLines w:val="0"/>
              <w:suppressLineNumbers w:val="0"/>
              <w:adjustRightInd w:val="0"/>
              <w:snapToGrid w:val="0"/>
              <w:spacing w:before="0" w:beforeAutospacing="0" w:after="0" w:afterAutospacing="0" w:line="240" w:lineRule="auto"/>
              <w:ind w:left="0" w:right="0" w:firstLine="211" w:firstLineChars="100"/>
              <w:jc w:val="center"/>
              <w:rPr>
                <w:rFonts w:hint="default" w:ascii="Times New Roman" w:hAnsi="Times New Roman"/>
                <w:b/>
                <w:color w:val="auto"/>
                <w:sz w:val="21"/>
                <w:szCs w:val="21"/>
              </w:rPr>
            </w:pPr>
            <w:r>
              <w:rPr>
                <w:rFonts w:hint="default" w:ascii="Times New Roman" w:hAnsi="Times New Roman"/>
                <w:b/>
                <w:color w:val="auto"/>
                <w:sz w:val="21"/>
                <w:szCs w:val="21"/>
              </w:rPr>
              <w:t>表2-1  项目组成明细表</w:t>
            </w:r>
          </w:p>
          <w:tbl>
            <w:tblPr>
              <w:tblStyle w:val="26"/>
              <w:tblW w:w="78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88"/>
              <w:gridCol w:w="1018"/>
              <w:gridCol w:w="5163"/>
              <w:gridCol w:w="661"/>
            </w:tblGrid>
            <w:tr w14:paraId="28181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tcBorders>
                    <w:tl2br w:val="nil"/>
                    <w:tr2bl w:val="nil"/>
                  </w:tcBorders>
                  <w:vAlign w:val="center"/>
                </w:tcPr>
                <w:p w14:paraId="39B6A1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分类</w:t>
                  </w:r>
                </w:p>
              </w:tc>
              <w:tc>
                <w:tcPr>
                  <w:tcW w:w="6669" w:type="dxa"/>
                  <w:gridSpan w:val="3"/>
                  <w:tcBorders>
                    <w:tl2br w:val="nil"/>
                    <w:tr2bl w:val="nil"/>
                  </w:tcBorders>
                  <w:vAlign w:val="center"/>
                </w:tcPr>
                <w:p w14:paraId="55DE5E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本项目内容及规模</w:t>
                  </w:r>
                </w:p>
              </w:tc>
              <w:tc>
                <w:tcPr>
                  <w:tcW w:w="661" w:type="dxa"/>
                  <w:tcBorders>
                    <w:tl2br w:val="nil"/>
                    <w:tr2bl w:val="nil"/>
                  </w:tcBorders>
                  <w:vAlign w:val="center"/>
                </w:tcPr>
                <w:p w14:paraId="4337A3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69341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2EF757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27AC66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C4D57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77502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48A316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4BAC5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5C86C4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75A142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27FEAA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w:t>
                  </w:r>
                </w:p>
                <w:p w14:paraId="025F32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体</w:t>
                  </w:r>
                </w:p>
                <w:p w14:paraId="6C0967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w:t>
                  </w:r>
                </w:p>
                <w:p w14:paraId="5D864A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程</w:t>
                  </w:r>
                </w:p>
                <w:p w14:paraId="1BD74F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0D0F1B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371064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34B769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DC536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185C98C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2E13B6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5FF346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5A293C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277EA3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B650A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光伏组件</w:t>
                  </w:r>
                </w:p>
              </w:tc>
              <w:tc>
                <w:tcPr>
                  <w:tcW w:w="5163" w:type="dxa"/>
                  <w:tcBorders>
                    <w:tl2br w:val="nil"/>
                    <w:tr2bl w:val="nil"/>
                  </w:tcBorders>
                  <w:vAlign w:val="center"/>
                </w:tcPr>
                <w:p w14:paraId="4E7871C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本项目</w:t>
                  </w:r>
                  <w:r>
                    <w:rPr>
                      <w:rFonts w:hint="default" w:ascii="Times New Roman" w:hAnsi="Times New Roman" w:eastAsia="宋体" w:cs="Times New Roman"/>
                      <w:sz w:val="21"/>
                      <w:szCs w:val="21"/>
                      <w:lang w:val="en-US" w:eastAsia="zh-CN"/>
                    </w:rPr>
                    <w:t>安装容量</w:t>
                  </w:r>
                  <w:r>
                    <w:rPr>
                      <w:rFonts w:hint="eastAsia" w:ascii="Times New Roman" w:hAnsi="Times New Roman" w:eastAsia="宋体" w:cs="Times New Roman"/>
                      <w:sz w:val="21"/>
                      <w:szCs w:val="21"/>
                      <w:lang w:val="en-US" w:eastAsia="zh-CN"/>
                    </w:rPr>
                    <w:t>30.94</w:t>
                  </w:r>
                  <w:r>
                    <w:rPr>
                      <w:rFonts w:hint="default" w:ascii="Times New Roman" w:hAnsi="Times New Roman" w:eastAsia="宋体" w:cs="Times New Roman"/>
                      <w:sz w:val="21"/>
                      <w:szCs w:val="21"/>
                      <w:lang w:val="en-US" w:eastAsia="zh-CN"/>
                    </w:rPr>
                    <w:t>MWp，额定容量为</w:t>
                  </w: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MW</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全部采用65</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Wp双面双玻电池组件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lang w:val="en-US" w:eastAsia="zh-CN"/>
                    </w:rPr>
                    <w:t>30、14或16</w:t>
                  </w:r>
                  <w:r>
                    <w:rPr>
                      <w:rFonts w:hint="default" w:ascii="Times New Roman" w:hAnsi="Times New Roman" w:eastAsia="宋体" w:cs="Times New Roman"/>
                      <w:sz w:val="21"/>
                      <w:szCs w:val="21"/>
                      <w:lang w:val="en-US" w:eastAsia="zh-CN"/>
                    </w:rPr>
                    <w:t>块光伏组件组成</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个光伏组串，每个3.2MW光伏方阵采用2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0个光伏组串</w:t>
                  </w:r>
                  <w:r>
                    <w:rPr>
                      <w:rFonts w:hint="eastAsia" w:ascii="Times New Roman" w:hAnsi="Times New Roman" w:eastAsia="宋体" w:cs="Times New Roman"/>
                      <w:sz w:val="21"/>
                      <w:szCs w:val="21"/>
                      <w:lang w:val="en-US" w:eastAsia="zh-CN"/>
                    </w:rPr>
                    <w:t>、每个2.56</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168</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、每个1.92</w:t>
                  </w:r>
                  <w:r>
                    <w:rPr>
                      <w:rFonts w:hint="default" w:ascii="Times New Roman" w:hAnsi="Times New Roman" w:eastAsia="宋体" w:cs="Times New Roman"/>
                      <w:sz w:val="21"/>
                      <w:szCs w:val="21"/>
                      <w:lang w:val="en-US" w:eastAsia="zh-CN"/>
                    </w:rPr>
                    <w:t>MW光伏方阵采用</w:t>
                  </w:r>
                  <w:r>
                    <w:rPr>
                      <w:rFonts w:hint="eastAsia" w:ascii="Times New Roman" w:hAnsi="Times New Roman" w:eastAsia="宋体" w:cs="Times New Roman"/>
                      <w:sz w:val="21"/>
                      <w:szCs w:val="21"/>
                      <w:lang w:val="en-US" w:eastAsia="zh-CN"/>
                    </w:rPr>
                    <w:t>126</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每个1.6MW 光伏方阵采用</w:t>
                  </w:r>
                  <w:r>
                    <w:rPr>
                      <w:rFonts w:hint="eastAsia" w:ascii="Times New Roman" w:hAnsi="Times New Roman" w:eastAsia="宋体" w:cs="Times New Roman"/>
                      <w:sz w:val="21"/>
                      <w:szCs w:val="21"/>
                      <w:lang w:val="en-US" w:eastAsia="zh-CN"/>
                    </w:rPr>
                    <w:t>105</w:t>
                  </w:r>
                  <w:r>
                    <w:rPr>
                      <w:rFonts w:hint="default" w:ascii="Times New Roman" w:hAnsi="Times New Roman" w:eastAsia="宋体" w:cs="Times New Roman"/>
                      <w:sz w:val="21"/>
                      <w:szCs w:val="21"/>
                      <w:lang w:val="en-US" w:eastAsia="zh-CN"/>
                    </w:rPr>
                    <w:t>个光伏组串</w:t>
                  </w:r>
                  <w:r>
                    <w:rPr>
                      <w:rFonts w:hint="eastAsia" w:ascii="Times New Roman" w:hAnsi="Times New Roman" w:eastAsia="宋体" w:cs="Times New Roman"/>
                      <w:sz w:val="21"/>
                      <w:szCs w:val="21"/>
                      <w:lang w:val="en-US" w:eastAsia="zh-CN"/>
                    </w:rPr>
                    <w:t>。本次工程共有2个3.2MW、1个2.56MW方阵、7个1.92MW方阵、1个1.6MW方阵。</w:t>
                  </w:r>
                </w:p>
              </w:tc>
              <w:tc>
                <w:tcPr>
                  <w:tcW w:w="661" w:type="dxa"/>
                  <w:tcBorders>
                    <w:tl2br w:val="nil"/>
                    <w:tr2bl w:val="nil"/>
                  </w:tcBorders>
                  <w:vAlign w:val="center"/>
                </w:tcPr>
                <w:p w14:paraId="71BDC9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28AD8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F2AEA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8A9639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支架</w:t>
                  </w:r>
                </w:p>
              </w:tc>
              <w:tc>
                <w:tcPr>
                  <w:tcW w:w="5163" w:type="dxa"/>
                  <w:tcBorders>
                    <w:tl2br w:val="nil"/>
                    <w:tr2bl w:val="nil"/>
                  </w:tcBorders>
                  <w:vAlign w:val="center"/>
                </w:tcPr>
                <w:p w14:paraId="7C64EBF0">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lang w:val="en-US" w:eastAsia="zh-CN"/>
                    </w:rPr>
                    <w:t xml:space="preserve">光伏支架由2384mm×1303mm </w:t>
                  </w:r>
                  <w:r>
                    <w:rPr>
                      <w:rFonts w:hint="eastAsia" w:ascii="Times New Roman" w:hAnsi="Times New Roman" w:eastAsia="宋体" w:cs="Times New Roman"/>
                      <w:sz w:val="21"/>
                      <w:szCs w:val="21"/>
                      <w:lang w:val="en-US" w:eastAsia="zh-CN"/>
                    </w:rPr>
                    <w:t>双面双玻</w:t>
                  </w:r>
                  <w:r>
                    <w:rPr>
                      <w:rFonts w:hint="default" w:ascii="Times New Roman" w:hAnsi="Times New Roman" w:eastAsia="宋体" w:cs="Times New Roman"/>
                      <w:sz w:val="21"/>
                      <w:szCs w:val="21"/>
                      <w:lang w:val="en-US" w:eastAsia="zh-CN"/>
                    </w:rPr>
                    <w:t>光伏组件按 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×15（列）</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（列）</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（列）的布置方式组成一个支架单元，</w:t>
                  </w:r>
                  <w:r>
                    <w:rPr>
                      <w:rFonts w:hint="eastAsia" w:ascii="Times New Roman" w:hAnsi="Times New Roman" w:eastAsia="宋体" w:cs="Times New Roman"/>
                      <w:sz w:val="21"/>
                      <w:szCs w:val="21"/>
                      <w:lang w:val="en-US" w:eastAsia="zh-CN"/>
                    </w:rPr>
                    <w:t>固定</w:t>
                  </w:r>
                  <w:r>
                    <w:rPr>
                      <w:rFonts w:hint="default" w:ascii="Times New Roman" w:hAnsi="Times New Roman" w:eastAsia="宋体" w:cs="Times New Roman"/>
                      <w:sz w:val="21"/>
                      <w:szCs w:val="21"/>
                      <w:lang w:val="en-US" w:eastAsia="zh-CN"/>
                    </w:rPr>
                    <w:t>支架倾角为</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光伏组件最低端离地距离</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lang w:val="en-US" w:eastAsia="zh-CN"/>
                    </w:rPr>
                    <w:t>，光</w:t>
                  </w:r>
                  <w:r>
                    <w:rPr>
                      <w:rFonts w:hint="default" w:ascii="Times New Roman" w:hAnsi="Times New Roman" w:eastAsia="宋体" w:cs="Times New Roman"/>
                      <w:sz w:val="21"/>
                      <w:szCs w:val="21"/>
                      <w:lang w:val="en-US" w:eastAsia="zh-CN"/>
                    </w:rPr>
                    <w:t>伏支架采用单桩支架结构</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71409A0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1E854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D4821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24E471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逆变器</w:t>
                  </w:r>
                </w:p>
              </w:tc>
              <w:tc>
                <w:tcPr>
                  <w:tcW w:w="5163" w:type="dxa"/>
                  <w:tcBorders>
                    <w:tl2br w:val="nil"/>
                    <w:tr2bl w:val="nil"/>
                  </w:tcBorders>
                  <w:vAlign w:val="center"/>
                </w:tcPr>
                <w:p w14:paraId="78ADB64E">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光伏厂区采用</w:t>
                  </w:r>
                  <w:r>
                    <w:rPr>
                      <w:rFonts w:hint="eastAsia" w:ascii="Times New Roman" w:hAnsi="Times New Roman" w:eastAsia="宋体" w:cs="Times New Roman"/>
                      <w:sz w:val="21"/>
                      <w:szCs w:val="21"/>
                      <w:lang w:val="en-US" w:eastAsia="zh-CN"/>
                    </w:rPr>
                    <w:t>320</w:t>
                  </w:r>
                  <w:r>
                    <w:rPr>
                      <w:rFonts w:hint="default" w:ascii="Times New Roman" w:hAnsi="Times New Roman" w:eastAsia="宋体" w:cs="Times New Roman"/>
                      <w:sz w:val="21"/>
                      <w:szCs w:val="21"/>
                      <w:lang w:val="en-US" w:eastAsia="zh-CN"/>
                    </w:rPr>
                    <w:t>kW组串式逆变器，1.6MW单个子方阵采用5台320kW组串式逆变器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3.2MW单个子方阵采用10台320kW组串式逆变器</w:t>
                  </w:r>
                  <w:r>
                    <w:rPr>
                      <w:rFonts w:hint="eastAsia" w:ascii="Times New Roman" w:hAnsi="Times New Roman" w:eastAsia="宋体" w:cs="Times New Roman"/>
                      <w:sz w:val="21"/>
                      <w:szCs w:val="21"/>
                      <w:lang w:val="en-US" w:eastAsia="zh-CN"/>
                    </w:rPr>
                    <w:t>，2.56</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，1.92</w:t>
                  </w:r>
                  <w:r>
                    <w:rPr>
                      <w:rFonts w:hint="default" w:ascii="Times New Roman" w:hAnsi="Times New Roman" w:eastAsia="宋体" w:cs="Times New Roman"/>
                      <w:sz w:val="21"/>
                      <w:szCs w:val="21"/>
                      <w:lang w:val="en-US" w:eastAsia="zh-CN"/>
                    </w:rPr>
                    <w:t>MW单个子方阵采用</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台320kW组串式逆变器</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609312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2A5D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40F9D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2B69B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箱式变压器</w:t>
                  </w:r>
                </w:p>
              </w:tc>
              <w:tc>
                <w:tcPr>
                  <w:tcW w:w="5163" w:type="dxa"/>
                  <w:tcBorders>
                    <w:tl2br w:val="nil"/>
                    <w:tr2bl w:val="nil"/>
                  </w:tcBorders>
                  <w:vAlign w:val="center"/>
                </w:tcPr>
                <w:p w14:paraId="607D864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每个方阵布置35kV箱式变压器一台，</w:t>
                  </w:r>
                  <w:r>
                    <w:rPr>
                      <w:rFonts w:hint="eastAsia" w:ascii="Times New Roman" w:hAnsi="Times New Roman" w:eastAsia="宋体" w:cs="Times New Roman"/>
                      <w:sz w:val="21"/>
                      <w:szCs w:val="21"/>
                      <w:lang w:val="en-US" w:eastAsia="zh-CN"/>
                    </w:rPr>
                    <w:t>共11个箱变。分别为1个1600kVA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、1个2560kVA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、7个1920kVA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、2个3200kVA</w:t>
                  </w:r>
                  <w:r>
                    <w:rPr>
                      <w:rFonts w:hint="default" w:ascii="Times New Roman" w:hAnsi="Times New Roman" w:eastAsia="宋体" w:cs="Times New Roman"/>
                      <w:sz w:val="21"/>
                      <w:szCs w:val="21"/>
                      <w:lang w:val="en-US" w:eastAsia="zh-CN"/>
                    </w:rPr>
                    <w:t>箱式变压器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箱变与基础顶部预埋钢板焊接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061C28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A668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21FCD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102C2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35kv电缆分接箱</w:t>
                  </w:r>
                </w:p>
              </w:tc>
              <w:tc>
                <w:tcPr>
                  <w:tcW w:w="5163" w:type="dxa"/>
                  <w:tcBorders>
                    <w:tl2br w:val="nil"/>
                    <w:tr2bl w:val="nil"/>
                  </w:tcBorders>
                  <w:vAlign w:val="center"/>
                </w:tcPr>
                <w:p w14:paraId="6B059E0E">
                  <w:pPr>
                    <w:keepNext w:val="0"/>
                    <w:keepLines w:val="0"/>
                    <w:suppressLineNumbers w:val="0"/>
                    <w:tabs>
                      <w:tab w:val="left" w:pos="508"/>
                      <w:tab w:val="center" w:pos="2531"/>
                    </w:tabs>
                    <w:spacing w:before="0" w:beforeAutospacing="0" w:after="0" w:afterAutospacing="0" w:line="240" w:lineRule="auto"/>
                    <w:ind w:left="0" w:right="0"/>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w:t>
                  </w: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适当位置设置35kV电缆分接箱</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电缆分接箱与基础顶部预埋钢板焊接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73B0947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A280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66B95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2D24A412">
                  <w:pPr>
                    <w:keepNext w:val="0"/>
                    <w:keepLines w:val="0"/>
                    <w:suppressLineNumbers w:val="0"/>
                    <w:tabs>
                      <w:tab w:val="left" w:pos="508"/>
                      <w:tab w:val="center" w:pos="2531"/>
                    </w:tabs>
                    <w:spacing w:before="0" w:beforeAutospacing="0" w:after="0" w:afterAutospacing="0" w:line="240" w:lineRule="auto"/>
                    <w:ind w:left="0" w:right="0" w:firstLine="210" w:firstLineChars="1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集电线路</w:t>
                  </w:r>
                </w:p>
              </w:tc>
              <w:tc>
                <w:tcPr>
                  <w:tcW w:w="5163" w:type="dxa"/>
                  <w:tcBorders>
                    <w:tl2br w:val="nil"/>
                    <w:tr2bl w:val="nil"/>
                  </w:tcBorders>
                  <w:vAlign w:val="center"/>
                </w:tcPr>
                <w:p w14:paraId="377CB0D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项目共设1回</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集电线路，汇集电能送入11</w:t>
                  </w:r>
                  <w:r>
                    <w:rPr>
                      <w:rFonts w:hint="default" w:ascii="Times New Roman" w:hAnsi="Times New Roman" w:eastAsia="宋体" w:cs="Times New Roman"/>
                      <w:sz w:val="21"/>
                      <w:szCs w:val="21"/>
                      <w:lang w:val="en-US" w:eastAsia="zh-CN"/>
                    </w:rPr>
                    <w:t>0kV</w:t>
                  </w:r>
                  <w:r>
                    <w:rPr>
                      <w:rFonts w:hint="eastAsia" w:ascii="Times New Roman" w:hAnsi="Times New Roman" w:eastAsia="宋体" w:cs="Times New Roman"/>
                      <w:sz w:val="21"/>
                      <w:szCs w:val="21"/>
                      <w:lang w:val="en-US" w:eastAsia="zh-CN"/>
                    </w:rPr>
                    <w:t>江东光伏电站升压站35kV侧。集电线路采用</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直埋电缆敷设和架空线路混合形式。</w:t>
                  </w:r>
                </w:p>
              </w:tc>
              <w:tc>
                <w:tcPr>
                  <w:tcW w:w="661" w:type="dxa"/>
                  <w:tcBorders>
                    <w:tl2br w:val="nil"/>
                    <w:tr2bl w:val="nil"/>
                  </w:tcBorders>
                  <w:vAlign w:val="center"/>
                </w:tcPr>
                <w:p w14:paraId="76A4C4F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4DE0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486" w:type="dxa"/>
                  <w:vMerge w:val="restart"/>
                  <w:tcBorders>
                    <w:tl2br w:val="nil"/>
                    <w:tr2bl w:val="nil"/>
                  </w:tcBorders>
                  <w:vAlign w:val="center"/>
                </w:tcPr>
                <w:p w14:paraId="111174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506" w:type="dxa"/>
                  <w:gridSpan w:val="2"/>
                  <w:tcBorders>
                    <w:tl2br w:val="nil"/>
                    <w:tr2bl w:val="nil"/>
                  </w:tcBorders>
                  <w:vAlign w:val="center"/>
                </w:tcPr>
                <w:p w14:paraId="4B9F33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w:t>
                  </w:r>
                </w:p>
              </w:tc>
              <w:tc>
                <w:tcPr>
                  <w:tcW w:w="5163" w:type="dxa"/>
                  <w:tcBorders>
                    <w:tl2br w:val="nil"/>
                    <w:tr2bl w:val="nil"/>
                  </w:tcBorders>
                  <w:vAlign w:val="center"/>
                </w:tcPr>
                <w:p w14:paraId="348A959B">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场区道路，路基宽度为4.5m，路面宽度为3.5m，路面采用20cm厚泥结碎石面层。</w:t>
                  </w:r>
                </w:p>
                <w:p w14:paraId="3B0197D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场区道路改扩建长度为4.3km，新建施工道路长度约5km。在每条施工道路末端设置16mx16m的回车平台。</w:t>
                  </w:r>
                </w:p>
              </w:tc>
              <w:tc>
                <w:tcPr>
                  <w:tcW w:w="661" w:type="dxa"/>
                  <w:tcBorders>
                    <w:tl2br w:val="nil"/>
                    <w:tr2bl w:val="nil"/>
                  </w:tcBorders>
                  <w:vAlign w:val="center"/>
                </w:tcPr>
                <w:p w14:paraId="265A7E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35E15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29276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0D4236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围栏</w:t>
                  </w:r>
                </w:p>
              </w:tc>
              <w:tc>
                <w:tcPr>
                  <w:tcW w:w="5163" w:type="dxa"/>
                  <w:tcBorders>
                    <w:tl2br w:val="nil"/>
                    <w:tr2bl w:val="nil"/>
                  </w:tcBorders>
                  <w:vAlign w:val="center"/>
                </w:tcPr>
                <w:p w14:paraId="59D55FE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沿光伏发电场阵列外侧设置钢丝网围栏，围栏高度 1.8m，采用直径4mm的浸塑钢丝，网片间距为 150×75mm，立柱采用直径 50mm的浸塑钢管，立柱布置间距为3m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钢丝网围栏总长</w:t>
                  </w:r>
                  <w:r>
                    <w:rPr>
                      <w:rFonts w:hint="eastAsia" w:ascii="Times New Roman" w:hAnsi="Times New Roman" w:eastAsia="宋体" w:cs="Times New Roman"/>
                      <w:color w:val="auto"/>
                      <w:sz w:val="21"/>
                      <w:szCs w:val="21"/>
                      <w:lang w:val="en-US" w:eastAsia="zh-CN"/>
                    </w:rPr>
                    <w:t>19.41</w:t>
                  </w:r>
                  <w:r>
                    <w:rPr>
                      <w:rFonts w:hint="default" w:ascii="Times New Roman" w:hAnsi="Times New Roman" w:eastAsia="宋体" w:cs="Times New Roman"/>
                      <w:color w:val="auto"/>
                      <w:sz w:val="21"/>
                      <w:szCs w:val="21"/>
                      <w:lang w:val="en-US" w:eastAsia="zh-CN"/>
                    </w:rPr>
                    <w:t>km，其上布置安全监控设备在入口处（ 场内施工道路接入点）设置对开钢大门。</w:t>
                  </w:r>
                </w:p>
              </w:tc>
              <w:tc>
                <w:tcPr>
                  <w:tcW w:w="661" w:type="dxa"/>
                  <w:tcBorders>
                    <w:tl2br w:val="nil"/>
                    <w:tr2bl w:val="nil"/>
                  </w:tcBorders>
                  <w:vAlign w:val="center"/>
                </w:tcPr>
                <w:p w14:paraId="7248A3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09F71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1AD423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506" w:type="dxa"/>
                  <w:gridSpan w:val="2"/>
                  <w:tcBorders>
                    <w:tl2br w:val="nil"/>
                    <w:tr2bl w:val="nil"/>
                  </w:tcBorders>
                  <w:vAlign w:val="center"/>
                </w:tcPr>
                <w:p w14:paraId="7E4A37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p w14:paraId="4C36D2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6D90CD13">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可由场址附近 10kV 线路引接作为电源，距离较远处施工期及紧急备用电源采用柴油发电机供电。</w:t>
                  </w:r>
                </w:p>
              </w:tc>
              <w:tc>
                <w:tcPr>
                  <w:tcW w:w="661" w:type="dxa"/>
                  <w:tcBorders>
                    <w:tl2br w:val="nil"/>
                    <w:tr2bl w:val="nil"/>
                  </w:tcBorders>
                  <w:vAlign w:val="center"/>
                </w:tcPr>
                <w:p w14:paraId="58DB02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19E9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0090E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AC94A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供水</w:t>
                  </w:r>
                </w:p>
              </w:tc>
              <w:tc>
                <w:tcPr>
                  <w:tcW w:w="5163" w:type="dxa"/>
                  <w:tcBorders>
                    <w:tl2br w:val="nil"/>
                    <w:tr2bl w:val="nil"/>
                  </w:tcBorders>
                  <w:vAlign w:val="center"/>
                </w:tcPr>
                <w:p w14:paraId="042C0A2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施工场地内设容积为 50m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临时水池三座，供施工用水运行期生产用水、生活用水均取自站址附近村庄，运营期依托江东110kV升压站给水设施。</w:t>
                  </w:r>
                </w:p>
              </w:tc>
              <w:tc>
                <w:tcPr>
                  <w:tcW w:w="661" w:type="dxa"/>
                  <w:tcBorders>
                    <w:tl2br w:val="nil"/>
                    <w:tr2bl w:val="nil"/>
                  </w:tcBorders>
                  <w:vAlign w:val="center"/>
                </w:tcPr>
                <w:p w14:paraId="191699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66B1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C5001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701104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排水</w:t>
                  </w:r>
                </w:p>
              </w:tc>
              <w:tc>
                <w:tcPr>
                  <w:tcW w:w="5163" w:type="dxa"/>
                  <w:tcBorders>
                    <w:tl2br w:val="nil"/>
                    <w:tr2bl w:val="nil"/>
                  </w:tcBorders>
                  <w:vAlign w:val="center"/>
                </w:tcPr>
                <w:p w14:paraId="5153935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项目实行</w:t>
                  </w:r>
                  <w:r>
                    <w:rPr>
                      <w:rFonts w:hint="default" w:ascii="Times New Roman" w:hAnsi="Times New Roman" w:eastAsia="宋体" w:cs="Times New Roman"/>
                      <w:color w:val="auto"/>
                      <w:sz w:val="21"/>
                      <w:szCs w:val="21"/>
                      <w:lang w:val="en-US" w:eastAsia="zh-CN"/>
                    </w:rPr>
                    <w:t>雨污分流</w:t>
                  </w:r>
                  <w:r>
                    <w:rPr>
                      <w:rFonts w:hint="eastAsia" w:ascii="Times New Roman" w:hAnsi="Times New Roman" w:eastAsia="宋体" w:cs="Times New Roman"/>
                      <w:color w:val="auto"/>
                      <w:sz w:val="21"/>
                      <w:szCs w:val="21"/>
                      <w:lang w:val="en-US" w:eastAsia="zh-CN"/>
                    </w:rPr>
                    <w:t>制</w:t>
                  </w:r>
                  <w:r>
                    <w:rPr>
                      <w:rFonts w:hint="default" w:ascii="Times New Roman" w:hAnsi="Times New Roman" w:eastAsia="宋体" w:cs="Times New Roman"/>
                      <w:color w:val="auto"/>
                      <w:sz w:val="21"/>
                      <w:szCs w:val="21"/>
                      <w:lang w:val="en-US" w:eastAsia="zh-CN"/>
                    </w:rPr>
                    <w:t>，雨水经雨水沟排入周边箐沟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场区生活区污水</w:t>
                  </w:r>
                  <w:r>
                    <w:rPr>
                      <w:rFonts w:hint="eastAsia" w:ascii="Times New Roman" w:hAnsi="Times New Roman" w:eastAsia="宋体" w:cs="Times New Roman"/>
                      <w:color w:val="auto"/>
                      <w:sz w:val="21"/>
                      <w:szCs w:val="21"/>
                      <w:lang w:val="en-US" w:eastAsia="zh-CN"/>
                    </w:rPr>
                    <w:t>依托江东110kV升压站</w:t>
                  </w:r>
                  <w:r>
                    <w:rPr>
                      <w:rFonts w:hint="default" w:ascii="Times New Roman" w:hAnsi="Times New Roman" w:eastAsia="宋体" w:cs="Times New Roman"/>
                      <w:color w:val="auto"/>
                      <w:sz w:val="21"/>
                      <w:szCs w:val="21"/>
                      <w:lang w:val="en-US" w:eastAsia="zh-CN"/>
                    </w:rPr>
                    <w:t>隔油池、化粪池</w:t>
                  </w:r>
                  <w:r>
                    <w:rPr>
                      <w:rFonts w:hint="eastAsia" w:ascii="Times New Roman" w:hAnsi="Times New Roman" w:eastAsia="宋体" w:cs="Times New Roman"/>
                      <w:color w:val="auto"/>
                      <w:sz w:val="21"/>
                      <w:szCs w:val="21"/>
                      <w:lang w:val="en-US" w:eastAsia="zh-CN"/>
                    </w:rPr>
                    <w:t>处理后暂存于废水收集池</w:t>
                  </w:r>
                  <w:r>
                    <w:rPr>
                      <w:rFonts w:hint="default" w:ascii="Times New Roman" w:hAnsi="Times New Roman" w:eastAsia="宋体" w:cs="Times New Roman"/>
                      <w:color w:val="auto"/>
                      <w:sz w:val="21"/>
                      <w:szCs w:val="21"/>
                      <w:lang w:val="en-US" w:eastAsia="zh-CN"/>
                    </w:rPr>
                    <w:t>，用于场区绿化</w:t>
                  </w:r>
                  <w:r>
                    <w:rPr>
                      <w:rFonts w:hint="eastAsia" w:ascii="Times New Roman" w:hAnsi="Times New Roman" w:eastAsia="宋体" w:cs="Times New Roman"/>
                      <w:color w:val="auto"/>
                      <w:sz w:val="21"/>
                      <w:szCs w:val="21"/>
                      <w:lang w:val="en-US" w:eastAsia="zh-CN"/>
                    </w:rPr>
                    <w:t>施肥。</w:t>
                  </w:r>
                  <w:r>
                    <w:rPr>
                      <w:rFonts w:hint="default" w:ascii="Times New Roman" w:hAnsi="Times New Roman" w:eastAsia="宋体" w:cs="Times New Roman"/>
                      <w:color w:val="auto"/>
                      <w:kern w:val="0"/>
                      <w:sz w:val="21"/>
                      <w:szCs w:val="21"/>
                    </w:rPr>
                    <w:t>光伏阵列</w:t>
                  </w:r>
                  <w:r>
                    <w:rPr>
                      <w:rFonts w:hint="default" w:ascii="Times New Roman" w:hAnsi="Times New Roman" w:eastAsia="宋体" w:cs="Times New Roman"/>
                      <w:color w:val="auto"/>
                      <w:kern w:val="0"/>
                      <w:sz w:val="21"/>
                      <w:szCs w:val="21"/>
                      <w:lang w:val="en-US" w:eastAsia="zh-CN"/>
                    </w:rPr>
                    <w:t>产生的</w:t>
                  </w:r>
                  <w:r>
                    <w:rPr>
                      <w:rFonts w:hint="default" w:ascii="Times New Roman" w:hAnsi="Times New Roman" w:eastAsia="宋体" w:cs="Times New Roman"/>
                      <w:color w:val="auto"/>
                      <w:kern w:val="0"/>
                      <w:sz w:val="21"/>
                      <w:szCs w:val="21"/>
                    </w:rPr>
                    <w:t>清洁废水</w:t>
                  </w:r>
                  <w:r>
                    <w:rPr>
                      <w:rFonts w:hint="eastAsia" w:ascii="Times New Roman" w:hAnsi="Times New Roman" w:eastAsia="宋体" w:cs="Times New Roman"/>
                      <w:color w:val="auto"/>
                      <w:kern w:val="0"/>
                      <w:sz w:val="21"/>
                      <w:szCs w:val="21"/>
                      <w:lang w:eastAsia="zh-CN"/>
                    </w:rPr>
                    <w:t>经沉淀池处理后</w:t>
                  </w:r>
                  <w:r>
                    <w:rPr>
                      <w:rFonts w:hint="default" w:ascii="Times New Roman" w:hAnsi="Times New Roman" w:eastAsia="宋体" w:cs="Times New Roman"/>
                      <w:color w:val="auto"/>
                      <w:kern w:val="0"/>
                      <w:sz w:val="21"/>
                      <w:szCs w:val="21"/>
                    </w:rPr>
                    <w:t>用于光伏板区绿化，无废水外排</w:t>
                  </w:r>
                  <w:r>
                    <w:rPr>
                      <w:rFonts w:hint="default" w:ascii="Times New Roman" w:hAnsi="Times New Roman" w:eastAsia="宋体" w:cs="Times New Roman"/>
                      <w:color w:val="auto"/>
                      <w:kern w:val="0"/>
                      <w:sz w:val="21"/>
                      <w:szCs w:val="21"/>
                      <w:lang w:eastAsia="zh-CN"/>
                    </w:rPr>
                    <w:t>。</w:t>
                  </w:r>
                </w:p>
              </w:tc>
              <w:tc>
                <w:tcPr>
                  <w:tcW w:w="661" w:type="dxa"/>
                  <w:tcBorders>
                    <w:tl2br w:val="nil"/>
                    <w:tr2bl w:val="nil"/>
                  </w:tcBorders>
                  <w:vAlign w:val="center"/>
                </w:tcPr>
                <w:p w14:paraId="197BA0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8318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F4879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F725E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w:t>
                  </w:r>
                </w:p>
              </w:tc>
              <w:tc>
                <w:tcPr>
                  <w:tcW w:w="5163" w:type="dxa"/>
                  <w:tcBorders>
                    <w:tl2br w:val="nil"/>
                    <w:tr2bl w:val="nil"/>
                  </w:tcBorders>
                  <w:vAlign w:val="center"/>
                </w:tcPr>
                <w:p w14:paraId="095CEB83">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pacing w:val="7"/>
                      <w:sz w:val="21"/>
                      <w:szCs w:val="21"/>
                    </w:rPr>
                    <w:t>室外消火</w:t>
                  </w:r>
                  <w:r>
                    <w:rPr>
                      <w:rFonts w:hint="default" w:ascii="Times New Roman" w:hAnsi="Times New Roman" w:eastAsia="宋体" w:cs="Times New Roman"/>
                      <w:color w:val="auto"/>
                      <w:spacing w:val="2"/>
                      <w:sz w:val="21"/>
                      <w:szCs w:val="21"/>
                    </w:rPr>
                    <w:t>栓系统采用环状管网供水，</w:t>
                  </w:r>
                  <w:r>
                    <w:rPr>
                      <w:rFonts w:hint="eastAsia" w:ascii="Times New Roman" w:hAnsi="Times New Roman" w:eastAsia="宋体" w:cs="Times New Roman"/>
                      <w:color w:val="auto"/>
                      <w:spacing w:val="-8"/>
                      <w:sz w:val="21"/>
                      <w:szCs w:val="21"/>
                      <w:lang w:val="en-US" w:eastAsia="zh-CN"/>
                    </w:rPr>
                    <w:t>各建筑物内配置</w:t>
                  </w:r>
                  <w:r>
                    <w:rPr>
                      <w:rFonts w:hint="default" w:ascii="Times New Roman" w:hAnsi="Times New Roman" w:eastAsia="宋体" w:cs="Times New Roman"/>
                      <w:color w:val="auto"/>
                      <w:spacing w:val="-8"/>
                      <w:sz w:val="21"/>
                      <w:szCs w:val="21"/>
                    </w:rPr>
                    <w:t xml:space="preserve"> </w:t>
                  </w:r>
                  <w:r>
                    <w:rPr>
                      <w:rFonts w:hint="default" w:ascii="Times New Roman" w:hAnsi="Times New Roman" w:eastAsia="宋体" w:cs="Times New Roman"/>
                      <w:color w:val="auto"/>
                      <w:sz w:val="21"/>
                      <w:szCs w:val="21"/>
                    </w:rPr>
                    <w:t>MFT50推车式干粉灭火器两台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pacing w:val="-2"/>
                      <w:sz w:val="21"/>
                      <w:szCs w:val="21"/>
                    </w:rPr>
                    <w:t>消防砂箱一个</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6"/>
                      <w:sz w:val="21"/>
                      <w:szCs w:val="21"/>
                    </w:rPr>
                    <w:t>每个箱式变压器配置</w:t>
                  </w:r>
                  <w:r>
                    <w:rPr>
                      <w:rFonts w:hint="default" w:ascii="Times New Roman" w:hAnsi="Times New Roman" w:eastAsia="宋体" w:cs="Times New Roman"/>
                      <w:color w:val="auto"/>
                      <w:spacing w:val="-6"/>
                      <w:sz w:val="21"/>
                      <w:szCs w:val="21"/>
                      <w:lang w:val="en-US" w:eastAsia="zh-CN"/>
                    </w:rPr>
                    <w:t>2</w:t>
                  </w:r>
                  <w:r>
                    <w:rPr>
                      <w:rFonts w:hint="default" w:ascii="Times New Roman" w:hAnsi="Times New Roman" w:eastAsia="宋体" w:cs="Times New Roman"/>
                      <w:color w:val="auto"/>
                      <w:spacing w:val="-3"/>
                      <w:sz w:val="21"/>
                      <w:szCs w:val="21"/>
                    </w:rPr>
                    <w:t>具手提式磷</w:t>
                  </w:r>
                  <w:r>
                    <w:rPr>
                      <w:rFonts w:hint="default" w:ascii="Times New Roman" w:hAnsi="Times New Roman" w:eastAsia="宋体" w:cs="Times New Roman"/>
                      <w:color w:val="auto"/>
                      <w:spacing w:val="-7"/>
                      <w:sz w:val="21"/>
                      <w:szCs w:val="21"/>
                    </w:rPr>
                    <w:t>酸铵盐干粉灭火器</w:t>
                  </w:r>
                  <w:r>
                    <w:rPr>
                      <w:rFonts w:hint="default" w:ascii="Times New Roman" w:hAnsi="Times New Roman" w:eastAsia="宋体" w:cs="Times New Roman"/>
                      <w:color w:val="auto"/>
                      <w:spacing w:val="-7"/>
                      <w:sz w:val="21"/>
                      <w:szCs w:val="21"/>
                      <w:lang w:eastAsia="zh-CN"/>
                    </w:rPr>
                    <w:t>。</w:t>
                  </w:r>
                </w:p>
              </w:tc>
              <w:tc>
                <w:tcPr>
                  <w:tcW w:w="661" w:type="dxa"/>
                  <w:tcBorders>
                    <w:tl2br w:val="nil"/>
                    <w:tr2bl w:val="nil"/>
                  </w:tcBorders>
                  <w:vAlign w:val="center"/>
                </w:tcPr>
                <w:p w14:paraId="440AE3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BA3A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486" w:type="dxa"/>
                  <w:vMerge w:val="restart"/>
                  <w:tcBorders>
                    <w:tl2br w:val="nil"/>
                    <w:tr2bl w:val="nil"/>
                  </w:tcBorders>
                  <w:vAlign w:val="center"/>
                </w:tcPr>
                <w:p w14:paraId="720A0A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488" w:type="dxa"/>
                  <w:vMerge w:val="restart"/>
                  <w:tcBorders>
                    <w:tl2br w:val="nil"/>
                    <w:tr2bl w:val="nil"/>
                  </w:tcBorders>
                  <w:vAlign w:val="center"/>
                </w:tcPr>
                <w:p w14:paraId="6F968E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018" w:type="dxa"/>
                  <w:vMerge w:val="restart"/>
                  <w:tcBorders>
                    <w:tl2br w:val="nil"/>
                    <w:tr2bl w:val="nil"/>
                  </w:tcBorders>
                  <w:vAlign w:val="center"/>
                </w:tcPr>
                <w:p w14:paraId="23D98D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光伏阵列区</w:t>
                  </w:r>
                </w:p>
              </w:tc>
              <w:tc>
                <w:tcPr>
                  <w:tcW w:w="5163" w:type="dxa"/>
                  <w:tcBorders>
                    <w:tl2br w:val="nil"/>
                    <w:tr2bl w:val="nil"/>
                  </w:tcBorders>
                  <w:vAlign w:val="center"/>
                </w:tcPr>
                <w:p w14:paraId="145ABCAF">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集水沟：项目光伏</w:t>
                  </w:r>
                  <w:r>
                    <w:rPr>
                      <w:rFonts w:hint="default" w:ascii="Times New Roman" w:hAnsi="Times New Roman" w:eastAsia="宋体" w:cs="Times New Roman"/>
                      <w:spacing w:val="-9"/>
                      <w:sz w:val="21"/>
                      <w:szCs w:val="21"/>
                      <w:lang w:val="en-US" w:eastAsia="zh-CN"/>
                    </w:rPr>
                    <w:t>阵列区分别设置集水沟，用于收集光伏阵列区光伏板清洗废水。</w:t>
                  </w:r>
                  <w:r>
                    <w:rPr>
                      <w:rFonts w:hint="default" w:ascii="Times New Roman" w:hAnsi="Times New Roman" w:eastAsia="宋体" w:cs="Times New Roman"/>
                      <w:spacing w:val="-9"/>
                      <w:sz w:val="21"/>
                      <w:szCs w:val="21"/>
                    </w:rPr>
                    <w:t>清洗废水排水沟可结合场内雨水排水沟修建，一般宽300mm×深 400mm，材料为C25素混凝土</w:t>
                  </w:r>
                  <w:r>
                    <w:rPr>
                      <w:rFonts w:hint="eastAsia" w:ascii="Times New Roman" w:hAnsi="Times New Roman" w:eastAsia="宋体" w:cs="Times New Roman"/>
                      <w:spacing w:val="-9"/>
                      <w:sz w:val="21"/>
                      <w:szCs w:val="21"/>
                      <w:lang w:eastAsia="zh-CN"/>
                    </w:rPr>
                    <w:t>。</w:t>
                  </w:r>
                </w:p>
              </w:tc>
              <w:tc>
                <w:tcPr>
                  <w:tcW w:w="661" w:type="dxa"/>
                  <w:tcBorders>
                    <w:tl2br w:val="nil"/>
                    <w:tr2bl w:val="nil"/>
                  </w:tcBorders>
                  <w:vAlign w:val="center"/>
                </w:tcPr>
                <w:p w14:paraId="0D5386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p w14:paraId="61AC1EB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9856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B2566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16A1E2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700B6A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01ACEE1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沉淀池：</w:t>
                  </w:r>
                  <w:r>
                    <w:rPr>
                      <w:rFonts w:hint="default" w:ascii="Times New Roman" w:hAnsi="Times New Roman" w:eastAsia="宋体" w:cs="Times New Roman"/>
                      <w:spacing w:val="-9"/>
                      <w:sz w:val="21"/>
                      <w:szCs w:val="21"/>
                    </w:rPr>
                    <w:t>沉淀池同时作为绿化用水蓄水池，沉淀池的修建应结合排水沟的分区和走向，设置在排水沟尽端</w:t>
                  </w:r>
                  <w:r>
                    <w:rPr>
                      <w:rFonts w:hint="eastAsia" w:ascii="Times New Roman" w:hAnsi="Times New Roman" w:eastAsia="宋体" w:cs="Times New Roman"/>
                      <w:spacing w:val="-9"/>
                      <w:sz w:val="21"/>
                      <w:szCs w:val="21"/>
                      <w:lang w:val="en-US" w:eastAsia="zh-CN"/>
                    </w:rPr>
                    <w:t>。沉淀池总容积满足所有光伏阵列区光伏板清洗废水排放量</w:t>
                  </w:r>
                  <w:r>
                    <w:rPr>
                      <w:rFonts w:hint="eastAsia" w:ascii="Times New Roman" w:hAnsi="Times New Roman" w:eastAsia="宋体" w:cs="Times New Roman"/>
                      <w:color w:val="auto"/>
                      <w:spacing w:val="-9"/>
                      <w:sz w:val="21"/>
                      <w:szCs w:val="21"/>
                      <w:lang w:val="en-US" w:eastAsia="zh-CN"/>
                    </w:rPr>
                    <w:t>。总容积不小于200</w:t>
                  </w:r>
                  <w:r>
                    <w:rPr>
                      <w:rFonts w:hint="default" w:ascii="Times New Roman" w:hAnsi="Times New Roman" w:eastAsia="宋体" w:cs="Times New Roman"/>
                      <w:color w:val="auto"/>
                      <w:spacing w:val="-9"/>
                      <w:sz w:val="21"/>
                      <w:szCs w:val="21"/>
                      <w:lang w:val="en-US" w:eastAsia="zh-CN"/>
                    </w:rPr>
                    <w:t>m</w:t>
                  </w:r>
                  <w:r>
                    <w:rPr>
                      <w:rFonts w:hint="eastAsia" w:ascii="Times New Roman" w:hAnsi="Times New Roman" w:eastAsia="宋体" w:cs="Times New Roman"/>
                      <w:color w:val="auto"/>
                      <w:spacing w:val="-9"/>
                      <w:sz w:val="21"/>
                      <w:szCs w:val="21"/>
                      <w:vertAlign w:val="superscript"/>
                      <w:lang w:val="en-US" w:eastAsia="zh-CN"/>
                    </w:rPr>
                    <w:t>3</w:t>
                  </w:r>
                  <w:r>
                    <w:rPr>
                      <w:rFonts w:hint="eastAsia" w:ascii="Times New Roman" w:hAnsi="Times New Roman" w:eastAsia="宋体" w:cs="Times New Roman"/>
                      <w:color w:val="auto"/>
                      <w:spacing w:val="-9"/>
                      <w:sz w:val="21"/>
                      <w:szCs w:val="21"/>
                      <w:lang w:val="en-US" w:eastAsia="zh-CN"/>
                    </w:rPr>
                    <w:t>。</w:t>
                  </w:r>
                </w:p>
              </w:tc>
              <w:tc>
                <w:tcPr>
                  <w:tcW w:w="661" w:type="dxa"/>
                  <w:tcBorders>
                    <w:tl2br w:val="nil"/>
                    <w:tr2bl w:val="nil"/>
                  </w:tcBorders>
                  <w:vAlign w:val="center"/>
                </w:tcPr>
                <w:p w14:paraId="05782E2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426F6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216EE1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tcBorders>
                    <w:tl2br w:val="nil"/>
                    <w:tr2bl w:val="nil"/>
                  </w:tcBorders>
                  <w:vAlign w:val="center"/>
                </w:tcPr>
                <w:p w14:paraId="306CB6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018" w:type="dxa"/>
                  <w:tcBorders>
                    <w:tl2br w:val="nil"/>
                    <w:tr2bl w:val="nil"/>
                  </w:tcBorders>
                  <w:vAlign w:val="center"/>
                </w:tcPr>
                <w:p w14:paraId="3C0A31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厨房油烟</w:t>
                  </w:r>
                </w:p>
              </w:tc>
              <w:tc>
                <w:tcPr>
                  <w:tcW w:w="5163" w:type="dxa"/>
                  <w:tcBorders>
                    <w:tl2br w:val="nil"/>
                    <w:tr2bl w:val="nil"/>
                  </w:tcBorders>
                  <w:vAlign w:val="center"/>
                </w:tcPr>
                <w:p w14:paraId="4D8065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依托</w:t>
                  </w:r>
                  <w:bookmarkStart w:id="38" w:name="_GoBack"/>
                  <w:bookmarkEnd w:id="38"/>
                  <w:r>
                    <w:rPr>
                      <w:rFonts w:hint="eastAsia" w:ascii="Times New Roman" w:hAnsi="Times New Roman" w:eastAsia="宋体" w:cs="Times New Roman"/>
                      <w:color w:val="auto"/>
                      <w:sz w:val="21"/>
                      <w:szCs w:val="21"/>
                      <w:lang w:val="en-US" w:eastAsia="zh-CN"/>
                    </w:rPr>
                    <w:t>江东110kV升压站生活区</w:t>
                  </w:r>
                  <w:r>
                    <w:rPr>
                      <w:rFonts w:hint="default" w:ascii="Times New Roman" w:hAnsi="Times New Roman" w:eastAsia="宋体" w:cs="Times New Roman"/>
                      <w:color w:val="auto"/>
                      <w:sz w:val="21"/>
                      <w:szCs w:val="21"/>
                      <w:lang w:val="en-US" w:eastAsia="zh-CN"/>
                    </w:rPr>
                    <w:t>厨房内设置</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1套油</w:t>
                  </w:r>
                  <w:r>
                    <w:rPr>
                      <w:rFonts w:hint="eastAsia" w:ascii="Times New Roman" w:hAnsi="Times New Roman" w:eastAsia="宋体" w:cs="Times New Roman"/>
                      <w:color w:val="auto"/>
                      <w:sz w:val="21"/>
                      <w:szCs w:val="21"/>
                      <w:lang w:val="en-US" w:eastAsia="zh-CN"/>
                    </w:rPr>
                    <w:t>抽烟烟机</w:t>
                  </w:r>
                  <w:r>
                    <w:rPr>
                      <w:rFonts w:hint="default" w:ascii="Times New Roman" w:hAnsi="Times New Roman" w:eastAsia="宋体" w:cs="Times New Roman"/>
                      <w:color w:val="auto"/>
                      <w:sz w:val="21"/>
                      <w:szCs w:val="21"/>
                      <w:lang w:val="en-US" w:eastAsia="zh-CN"/>
                    </w:rPr>
                    <w:t>，厨房油烟经</w:t>
                  </w:r>
                  <w:r>
                    <w:rPr>
                      <w:rFonts w:hint="eastAsia" w:ascii="Times New Roman" w:hAnsi="Times New Roman" w:eastAsia="宋体" w:cs="Times New Roman"/>
                      <w:color w:val="auto"/>
                      <w:sz w:val="21"/>
                      <w:szCs w:val="21"/>
                      <w:lang w:val="en-US" w:eastAsia="zh-CN"/>
                    </w:rPr>
                    <w:t>抽油烟机</w:t>
                  </w:r>
                  <w:r>
                    <w:rPr>
                      <w:rFonts w:hint="default" w:ascii="Times New Roman" w:hAnsi="Times New Roman" w:eastAsia="宋体" w:cs="Times New Roman"/>
                      <w:color w:val="auto"/>
                      <w:sz w:val="21"/>
                      <w:szCs w:val="21"/>
                      <w:lang w:val="en-US" w:eastAsia="zh-CN"/>
                    </w:rPr>
                    <w:t>引至屋顶排放。</w:t>
                  </w:r>
                </w:p>
              </w:tc>
              <w:tc>
                <w:tcPr>
                  <w:tcW w:w="661" w:type="dxa"/>
                  <w:tcBorders>
                    <w:tl2br w:val="nil"/>
                    <w:tr2bl w:val="nil"/>
                  </w:tcBorders>
                  <w:vAlign w:val="center"/>
                </w:tcPr>
                <w:p w14:paraId="3F16BD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06697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8884E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194D54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018" w:type="dxa"/>
                  <w:tcBorders>
                    <w:tl2br w:val="nil"/>
                    <w:tr2bl w:val="nil"/>
                  </w:tcBorders>
                  <w:vAlign w:val="center"/>
                </w:tcPr>
                <w:p w14:paraId="0AE7FD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生活垃圾桶</w:t>
                  </w:r>
                </w:p>
              </w:tc>
              <w:tc>
                <w:tcPr>
                  <w:tcW w:w="5163" w:type="dxa"/>
                  <w:tcBorders>
                    <w:tl2br w:val="nil"/>
                    <w:tr2bl w:val="nil"/>
                  </w:tcBorders>
                  <w:vAlign w:val="center"/>
                </w:tcPr>
                <w:p w14:paraId="22620B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运营期</w:t>
                  </w:r>
                  <w:r>
                    <w:rPr>
                      <w:rFonts w:hint="eastAsia" w:ascii="Times New Roman" w:hAnsi="Times New Roman" w:eastAsia="宋体" w:cs="Times New Roman"/>
                      <w:color w:val="auto"/>
                      <w:sz w:val="21"/>
                      <w:szCs w:val="21"/>
                      <w:lang w:val="en-US" w:eastAsia="zh-CN"/>
                    </w:rPr>
                    <w:t>依托江东110kV升压站，运营人员</w:t>
                  </w:r>
                  <w:r>
                    <w:rPr>
                      <w:rFonts w:hint="default" w:ascii="Times New Roman" w:hAnsi="Times New Roman" w:eastAsia="宋体" w:cs="Times New Roman"/>
                      <w:sz w:val="21"/>
                      <w:szCs w:val="21"/>
                      <w:lang w:val="en-US" w:eastAsia="zh-CN"/>
                    </w:rPr>
                    <w:t>产生生活垃圾，</w:t>
                  </w:r>
                  <w:r>
                    <w:rPr>
                      <w:rFonts w:hint="eastAsia" w:ascii="Times New Roman" w:hAnsi="Times New Roman" w:eastAsia="宋体" w:cs="Times New Roman"/>
                      <w:sz w:val="21"/>
                      <w:szCs w:val="21"/>
                      <w:lang w:val="en-US" w:eastAsia="zh-CN"/>
                    </w:rPr>
                    <w:t>由</w:t>
                  </w:r>
                  <w:r>
                    <w:rPr>
                      <w:rFonts w:hint="default" w:ascii="Times New Roman" w:hAnsi="Times New Roman" w:eastAsia="宋体" w:cs="Times New Roman"/>
                      <w:sz w:val="21"/>
                      <w:szCs w:val="21"/>
                      <w:lang w:val="en-US" w:eastAsia="zh-CN"/>
                    </w:rPr>
                    <w:t>垃圾收集桶</w:t>
                  </w:r>
                  <w:r>
                    <w:rPr>
                      <w:rFonts w:hint="eastAsia" w:ascii="Times New Roman" w:hAnsi="Times New Roman" w:eastAsia="宋体" w:cs="Times New Roman"/>
                      <w:sz w:val="21"/>
                      <w:szCs w:val="21"/>
                      <w:lang w:val="en-US" w:eastAsia="zh-CN"/>
                    </w:rPr>
                    <w:t>收集</w:t>
                  </w:r>
                  <w:r>
                    <w:rPr>
                      <w:rFonts w:hint="default" w:ascii="Times New Roman" w:hAnsi="Times New Roman" w:eastAsia="宋体" w:cs="Times New Roman"/>
                      <w:sz w:val="21"/>
                      <w:szCs w:val="21"/>
                      <w:lang w:val="en-US" w:eastAsia="zh-CN"/>
                    </w:rPr>
                    <w:t>，及时清运至周边村子生活垃圾处理收集点，由当地环卫部门处置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45E9FF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5F6F3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85C11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0CE747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2A3C3F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废光伏板</w:t>
                  </w:r>
                </w:p>
              </w:tc>
              <w:tc>
                <w:tcPr>
                  <w:tcW w:w="5163" w:type="dxa"/>
                  <w:tcBorders>
                    <w:tl2br w:val="nil"/>
                    <w:tr2bl w:val="nil"/>
                  </w:tcBorders>
                  <w:vAlign w:val="center"/>
                </w:tcPr>
                <w:p w14:paraId="78F049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w:t>
                  </w:r>
                  <w:r>
                    <w:rPr>
                      <w:rFonts w:hint="eastAsia" w:ascii="Times New Roman" w:hAnsi="Times New Roman" w:eastAsia="宋体" w:cs="Times New Roman"/>
                      <w:color w:val="auto"/>
                      <w:sz w:val="21"/>
                      <w:szCs w:val="21"/>
                      <w:lang w:val="en-US" w:eastAsia="zh-CN"/>
                    </w:rPr>
                    <w:t>依托江东110kV升压站</w:t>
                  </w:r>
                  <w:r>
                    <w:rPr>
                      <w:rFonts w:hint="eastAsia" w:ascii="Times New Roman" w:hAnsi="Times New Roman" w:eastAsia="宋体" w:cs="Times New Roman"/>
                      <w:sz w:val="21"/>
                      <w:szCs w:val="21"/>
                      <w:lang w:val="en-US" w:eastAsia="zh-CN"/>
                    </w:rPr>
                    <w:t>用房的一般固废暂存间，</w:t>
                  </w:r>
                  <w:r>
                    <w:rPr>
                      <w:rFonts w:hint="default" w:ascii="Times New Roman" w:hAnsi="Times New Roman" w:eastAsia="宋体" w:cs="Times New Roman"/>
                      <w:sz w:val="21"/>
                      <w:szCs w:val="21"/>
                      <w:lang w:val="en-US" w:eastAsia="zh-CN"/>
                    </w:rPr>
                    <w:t>废光伏板报废后</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建设单位对废光伏板进行收集，收集后暂存于</w:t>
                  </w:r>
                  <w:r>
                    <w:rPr>
                      <w:rFonts w:hint="eastAsia" w:ascii="Times New Roman" w:hAnsi="Times New Roman" w:eastAsia="宋体" w:cs="Times New Roman"/>
                      <w:sz w:val="21"/>
                      <w:szCs w:val="21"/>
                      <w:lang w:val="en-US" w:eastAsia="zh-CN"/>
                    </w:rPr>
                    <w:t>暂存间</w:t>
                  </w:r>
                  <w:r>
                    <w:rPr>
                      <w:rFonts w:hint="default" w:ascii="Times New Roman" w:hAnsi="Times New Roman" w:eastAsia="宋体" w:cs="Times New Roman"/>
                      <w:sz w:val="21"/>
                      <w:szCs w:val="21"/>
                      <w:lang w:val="en-US" w:eastAsia="zh-CN"/>
                    </w:rPr>
                    <w:t>内，委托专业的回收厂家收购，回收处置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50BD55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5B667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D7414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364495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1EC410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5163" w:type="dxa"/>
                  <w:tcBorders>
                    <w:tl2br w:val="nil"/>
                    <w:tr2bl w:val="nil"/>
                  </w:tcBorders>
                  <w:vAlign w:val="center"/>
                </w:tcPr>
                <w:p w14:paraId="483117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废矿物油</w:t>
                  </w:r>
                  <w:r>
                    <w:rPr>
                      <w:rFonts w:hint="eastAsia" w:ascii="Times New Roman" w:hAnsi="Times New Roman" w:eastAsia="宋体" w:cs="Times New Roman"/>
                      <w:sz w:val="21"/>
                      <w:szCs w:val="21"/>
                      <w:lang w:val="en-US" w:eastAsia="zh-CN"/>
                    </w:rPr>
                    <w:t>暂存于</w:t>
                  </w:r>
                  <w:r>
                    <w:rPr>
                      <w:rFonts w:hint="eastAsia" w:ascii="Times New Roman" w:hAnsi="Times New Roman" w:eastAsia="宋体" w:cs="Times New Roman"/>
                      <w:color w:val="auto"/>
                      <w:sz w:val="21"/>
                      <w:szCs w:val="21"/>
                      <w:lang w:val="en-US" w:eastAsia="zh-CN"/>
                    </w:rPr>
                    <w:t>江东110kV升压站</w:t>
                  </w:r>
                  <w:r>
                    <w:rPr>
                      <w:rFonts w:hint="eastAsia" w:ascii="Times New Roman" w:hAnsi="Times New Roman" w:eastAsia="宋体" w:cs="Times New Roman"/>
                      <w:sz w:val="21"/>
                      <w:szCs w:val="21"/>
                      <w:lang w:val="en-US" w:eastAsia="zh-CN"/>
                    </w:rPr>
                    <w:t>危废暂存间</w:t>
                  </w:r>
                  <w:r>
                    <w:rPr>
                      <w:rFonts w:hint="default" w:ascii="Times New Roman" w:hAnsi="Times New Roman" w:eastAsia="宋体" w:cs="Times New Roman"/>
                      <w:sz w:val="21"/>
                      <w:szCs w:val="21"/>
                      <w:lang w:val="en-US" w:eastAsia="zh-CN"/>
                    </w:rPr>
                    <w:t>。与有危废处置资质的单位签订危废处置协议，由资质单位对危险废物进行</w:t>
                  </w:r>
                  <w:r>
                    <w:rPr>
                      <w:rFonts w:hint="eastAsia" w:ascii="Times New Roman" w:hAnsi="Times New Roman" w:eastAsia="宋体" w:cs="Times New Roman"/>
                      <w:sz w:val="21"/>
                      <w:szCs w:val="21"/>
                      <w:lang w:val="en-US" w:eastAsia="zh-CN"/>
                    </w:rPr>
                    <w:t>清运</w:t>
                  </w:r>
                  <w:r>
                    <w:rPr>
                      <w:rFonts w:hint="default" w:ascii="Times New Roman" w:hAnsi="Times New Roman" w:eastAsia="宋体" w:cs="Times New Roman"/>
                      <w:sz w:val="21"/>
                      <w:szCs w:val="21"/>
                      <w:lang w:val="en-US" w:eastAsia="zh-CN"/>
                    </w:rPr>
                    <w:t>处置。</w:t>
                  </w:r>
                </w:p>
              </w:tc>
              <w:tc>
                <w:tcPr>
                  <w:tcW w:w="661" w:type="dxa"/>
                  <w:tcBorders>
                    <w:tl2br w:val="nil"/>
                    <w:tr2bl w:val="nil"/>
                  </w:tcBorders>
                  <w:vAlign w:val="center"/>
                </w:tcPr>
                <w:p w14:paraId="251C98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7F09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86" w:type="dxa"/>
                  <w:vMerge w:val="continue"/>
                  <w:tcBorders>
                    <w:tl2br w:val="nil"/>
                    <w:tr2bl w:val="nil"/>
                  </w:tcBorders>
                  <w:vAlign w:val="center"/>
                </w:tcPr>
                <w:p w14:paraId="50DE08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083CD9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w:t>
                  </w:r>
                </w:p>
                <w:p w14:paraId="1FADB9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w:t>
                  </w:r>
                </w:p>
              </w:tc>
              <w:tc>
                <w:tcPr>
                  <w:tcW w:w="1018" w:type="dxa"/>
                  <w:tcBorders>
                    <w:tl2br w:val="nil"/>
                    <w:tr2bl w:val="nil"/>
                  </w:tcBorders>
                  <w:vAlign w:val="center"/>
                </w:tcPr>
                <w:p w14:paraId="40BEF4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箱变</w:t>
                  </w:r>
                </w:p>
                <w:p w14:paraId="5441DE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事故</w:t>
                  </w:r>
                </w:p>
                <w:p w14:paraId="2521CB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油收</w:t>
                  </w:r>
                </w:p>
                <w:p w14:paraId="2C9ED7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集池</w:t>
                  </w:r>
                </w:p>
                <w:p w14:paraId="25EB8C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4199C34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在每个箱变靠近油箱侧均设置一个容积为</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项目共设置11个事故池，事故池</w:t>
                  </w:r>
                  <w:r>
                    <w:rPr>
                      <w:rFonts w:hint="default" w:ascii="Times New Roman" w:hAnsi="Times New Roman" w:eastAsia="宋体" w:cs="Times New Roman"/>
                      <w:color w:val="auto"/>
                      <w:sz w:val="21"/>
                      <w:szCs w:val="21"/>
                      <w:lang w:val="en-US" w:eastAsia="zh-CN"/>
                    </w:rPr>
                    <w:t>的设计应满足《火力发电厂与变电站设计防火标准》</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GB50229-2019 中11.3.4的相关要求。</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底部和四周按照《环境影响评价技术导则地下水环境》（HJ610- 2016）提出的重点防渗区防渗技术要求落实，即防渗层为等效黏土防渗层 Mb≥6.0m，渗透系数K≤1.0×10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r>
                    <w:rPr>
                      <w:rFonts w:hint="eastAsia" w:ascii="Times New Roman" w:hAnsi="Times New Roman" w:eastAsia="宋体" w:cs="Times New Roman"/>
                      <w:color w:val="auto"/>
                      <w:sz w:val="21"/>
                      <w:szCs w:val="21"/>
                      <w:lang w:val="en-US" w:eastAsia="zh-CN"/>
                    </w:rPr>
                    <w:t>，事故池平常保持空置状态</w:t>
                  </w:r>
                  <w:r>
                    <w:rPr>
                      <w:rFonts w:hint="default"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1BDBA3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19631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4982B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3F25C2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6B1D3A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危废暂存间</w:t>
                  </w:r>
                </w:p>
              </w:tc>
              <w:tc>
                <w:tcPr>
                  <w:tcW w:w="5163" w:type="dxa"/>
                  <w:tcBorders>
                    <w:tl2br w:val="nil"/>
                    <w:tr2bl w:val="nil"/>
                  </w:tcBorders>
                  <w:vAlign w:val="center"/>
                </w:tcPr>
                <w:p w14:paraId="00C633E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依托</w:t>
                  </w:r>
                  <w:r>
                    <w:rPr>
                      <w:rFonts w:hint="eastAsia" w:ascii="Times New Roman" w:hAnsi="Times New Roman" w:eastAsia="宋体" w:cs="Times New Roman"/>
                      <w:color w:val="auto"/>
                      <w:sz w:val="21"/>
                      <w:szCs w:val="21"/>
                      <w:lang w:val="en-US" w:eastAsia="zh-CN"/>
                    </w:rPr>
                    <w:t>江东110kV升压站暂存</w:t>
                  </w:r>
                </w:p>
              </w:tc>
              <w:tc>
                <w:tcPr>
                  <w:tcW w:w="661" w:type="dxa"/>
                  <w:tcBorders>
                    <w:tl2br w:val="nil"/>
                    <w:tr2bl w:val="nil"/>
                  </w:tcBorders>
                  <w:vAlign w:val="center"/>
                </w:tcPr>
                <w:p w14:paraId="3F6720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依托</w:t>
                  </w:r>
                </w:p>
              </w:tc>
            </w:tr>
            <w:tr w14:paraId="0E01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restart"/>
                  <w:tcBorders>
                    <w:tl2br w:val="nil"/>
                    <w:tr2bl w:val="nil"/>
                  </w:tcBorders>
                  <w:vAlign w:val="center"/>
                </w:tcPr>
                <w:p w14:paraId="0AD7C5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临时工程</w:t>
                  </w:r>
                </w:p>
              </w:tc>
              <w:tc>
                <w:tcPr>
                  <w:tcW w:w="1018" w:type="dxa"/>
                  <w:tcBorders>
                    <w:tl2br w:val="nil"/>
                    <w:tr2bl w:val="nil"/>
                  </w:tcBorders>
                  <w:vAlign w:val="center"/>
                </w:tcPr>
                <w:p w14:paraId="15A7A3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施工临建设施</w:t>
                  </w:r>
                </w:p>
              </w:tc>
              <w:tc>
                <w:tcPr>
                  <w:tcW w:w="5163" w:type="dxa"/>
                  <w:tcBorders>
                    <w:tl2br w:val="nil"/>
                    <w:tr2bl w:val="nil"/>
                  </w:tcBorders>
                  <w:vAlign w:val="center"/>
                </w:tcPr>
                <w:p w14:paraId="4D3DDB3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根据工程施工特点，按集中与分散相结合原则进行施工，施工临建设施区共布置</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个工区，利用光伏下较平坦空地布置</w:t>
                  </w:r>
                  <w:r>
                    <w:rPr>
                      <w:rFonts w:hint="eastAsia" w:ascii="Times New Roman" w:hAnsi="Times New Roman" w:eastAsia="宋体" w:cs="Times New Roman"/>
                      <w:color w:val="auto"/>
                      <w:sz w:val="21"/>
                      <w:szCs w:val="21"/>
                      <w:lang w:val="en-US" w:eastAsia="zh-CN"/>
                    </w:rPr>
                    <w:t>施工生活区、综合加工厂、综合仓库</w:t>
                  </w:r>
                  <w:r>
                    <w:rPr>
                      <w:rFonts w:hint="default" w:ascii="Times New Roman" w:hAnsi="Times New Roman" w:eastAsia="宋体" w:cs="Times New Roman"/>
                      <w:color w:val="auto"/>
                      <w:sz w:val="21"/>
                      <w:szCs w:val="21"/>
                      <w:lang w:val="en-US" w:eastAsia="zh-CN"/>
                    </w:rPr>
                    <w:t>，总占地面积</w:t>
                  </w:r>
                  <w:r>
                    <w:rPr>
                      <w:rFonts w:hint="eastAsia" w:ascii="Times New Roman" w:hAnsi="Times New Roman" w:eastAsia="宋体" w:cs="Times New Roman"/>
                      <w:color w:val="auto"/>
                      <w:sz w:val="21"/>
                      <w:szCs w:val="21"/>
                      <w:lang w:val="en-US" w:eastAsia="zh-CN"/>
                    </w:rPr>
                    <w:t>约为7500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。施工结束后均拆除恢复原貌。</w:t>
                  </w:r>
                </w:p>
              </w:tc>
              <w:tc>
                <w:tcPr>
                  <w:tcW w:w="661" w:type="dxa"/>
                  <w:tcBorders>
                    <w:tl2br w:val="nil"/>
                    <w:tr2bl w:val="nil"/>
                  </w:tcBorders>
                  <w:vAlign w:val="center"/>
                </w:tcPr>
                <w:p w14:paraId="075E70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0407C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continue"/>
                  <w:tcBorders>
                    <w:tl2br w:val="nil"/>
                    <w:tr2bl w:val="nil"/>
                  </w:tcBorders>
                  <w:vAlign w:val="center"/>
                </w:tcPr>
                <w:p w14:paraId="5068D8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40E0F3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临时表土堆场</w:t>
                  </w:r>
                </w:p>
              </w:tc>
              <w:tc>
                <w:tcPr>
                  <w:tcW w:w="5163" w:type="dxa"/>
                  <w:tcBorders>
                    <w:tl2br w:val="nil"/>
                    <w:tr2bl w:val="nil"/>
                  </w:tcBorders>
                  <w:vAlign w:val="center"/>
                </w:tcPr>
                <w:p w14:paraId="58B0D8A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项目箱变、电缆分接箱、集电线路、光伏支架基础开挖产生的土石方及时回填。项目共规划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个临时表土堆场，</w:t>
                  </w:r>
                  <w:r>
                    <w:rPr>
                      <w:rFonts w:hint="eastAsia" w:ascii="Times New Roman" w:hAnsi="Times New Roman" w:eastAsia="宋体" w:cs="Times New Roman"/>
                      <w:color w:val="000000" w:themeColor="text1"/>
                      <w:kern w:val="24"/>
                      <w:sz w:val="21"/>
                      <w:szCs w:val="21"/>
                      <w:lang w:eastAsia="zh-CN"/>
                      <w14:textFill>
                        <w14:solidFill>
                          <w14:schemeClr w14:val="tx1"/>
                        </w14:solidFill>
                      </w14:textFill>
                    </w:rPr>
                    <w:t>表土堆存场位于临建设施区内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61" w:type="dxa"/>
                  <w:tcBorders>
                    <w:tl2br w:val="nil"/>
                    <w:tr2bl w:val="nil"/>
                  </w:tcBorders>
                  <w:vAlign w:val="center"/>
                </w:tcPr>
                <w:p w14:paraId="11D6D1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113CA7CF">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kern w:val="0"/>
                <w:sz w:val="24"/>
                <w:szCs w:val="24"/>
                <w:lang w:val="en-US" w:eastAsia="zh-CN" w:bidi="ar"/>
              </w:rPr>
            </w:pPr>
          </w:p>
          <w:p w14:paraId="4B7C096B">
            <w:pPr>
              <w:keepNext w:val="0"/>
              <w:keepLines w:val="0"/>
              <w:widowControl/>
              <w:numPr>
                <w:ilvl w:val="0"/>
                <w:numId w:val="0"/>
              </w:numPr>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（2）依托项目建设情况</w:t>
            </w:r>
          </w:p>
          <w:p w14:paraId="7BE9A687">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firstLine="480"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Times New Roman" w:hAnsi="Times New Roman"/>
                <w:sz w:val="24"/>
                <w:szCs w:val="24"/>
                <w:lang w:val="en-US" w:eastAsia="zh-CN"/>
              </w:rPr>
              <w:t>建设项目位于芒市江东乡河头村，根据可研报告，芒市芒东光伏电站通过1回35kV集电线路接入110kV芒市江东光伏电站升压站35kV侧间隔，其中芒东光伏电站位于110kV江东光伏电站升压站东侧，最近距离约为980m，芒市江东光伏电站已于2023年7月取得了德宏州生态环境局芒市分局</w:t>
            </w:r>
            <w:r>
              <w:rPr>
                <w:rFonts w:hint="eastAsia" w:ascii="Times New Roman" w:hAnsi="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eastAsia" w:ascii="Times New Roman" w:hAnsi="Times New Roman" w:eastAsia="宋体" w:cs="Times New Roman"/>
                <w:color w:val="000000" w:themeColor="text1"/>
                <w:sz w:val="24"/>
                <w:szCs w:val="24"/>
                <w:u w:val="none"/>
                <w14:textFill>
                  <w14:solidFill>
                    <w14:schemeClr w14:val="tx1"/>
                  </w14:solidFill>
                </w14:textFill>
              </w:rPr>
              <w:instrText xml:space="preserve"> HYPERLINK "https://www.dhms.gov.cn/hbj/Attach/2305/044XVQYUNV23052309214904C8EC34.pdf" \t "https://www.dhms.gov.cn/hbj/Web/_blank" </w:instrText>
            </w:r>
            <w:r>
              <w:rPr>
                <w:rFonts w:hint="eastAsia" w:ascii="Times New Roman" w:hAnsi="Times New Roman" w:eastAsia="宋体" w:cs="Times New Roman"/>
                <w:color w:val="000000" w:themeColor="text1"/>
                <w:sz w:val="24"/>
                <w:szCs w:val="24"/>
                <w:u w:val="none"/>
                <w14:textFill>
                  <w14:solidFill>
                    <w14:schemeClr w14:val="tx1"/>
                  </w14:solidFill>
                </w14:textFill>
              </w:rPr>
              <w:fldChar w:fldCharType="separate"/>
            </w:r>
            <w:r>
              <w:rPr>
                <w:rStyle w:val="28"/>
                <w:rFonts w:hint="eastAsia" w:ascii="Times New Roman" w:hAnsi="Times New Roman" w:eastAsia="宋体" w:cs="Times New Roman"/>
                <w:color w:val="000000" w:themeColor="text1"/>
                <w:sz w:val="24"/>
                <w:szCs w:val="24"/>
                <w:u w:val="none"/>
                <w14:textFill>
                  <w14:solidFill>
                    <w14:schemeClr w14:val="tx1"/>
                  </w14:solidFill>
                </w14:textFill>
              </w:rPr>
              <w:t>德环芒审【2023】8号芒市江东光伏发电项目</w:t>
            </w:r>
            <w:r>
              <w:rPr>
                <w:rFonts w:hint="eastAsia" w:ascii="Times New Roman" w:hAnsi="Times New Roman" w:eastAsia="宋体" w:cs="Times New Roman"/>
                <w:color w:val="000000" w:themeColor="text1"/>
                <w:sz w:val="24"/>
                <w:szCs w:val="24"/>
                <w:u w:val="none"/>
                <w14:textFill>
                  <w14:solidFill>
                    <w14:schemeClr w14:val="tx1"/>
                  </w14:solidFill>
                </w14:textFill>
              </w:rPr>
              <w:fldChar w:fldCharType="end"/>
            </w:r>
            <w:r>
              <w:rPr>
                <w:rFonts w:hint="eastAsia" w:ascii="Times New Roman" w:hAnsi="Times New Roman"/>
                <w:color w:val="000000" w:themeColor="text1"/>
                <w:sz w:val="24"/>
                <w:szCs w:val="24"/>
                <w:lang w:val="en-US" w:eastAsia="zh-CN"/>
                <w14:textFill>
                  <w14:solidFill>
                    <w14:schemeClr w14:val="tx1"/>
                  </w14:solidFill>
                </w14:textFill>
              </w:rPr>
              <w:t>》</w:t>
            </w:r>
            <w:r>
              <w:rPr>
                <w:rFonts w:hint="eastAsia" w:ascii="Times New Roman" w:hAnsi="Times New Roman"/>
                <w:sz w:val="24"/>
                <w:szCs w:val="24"/>
                <w:lang w:val="en-US" w:eastAsia="zh-CN"/>
              </w:rPr>
              <w:t>的批复，目前芒市江东光伏发电项目处于施工阶段，同时芒市芒东光伏发电项目在设计阶段已考虑将芒东光伏发电站集电项目接入江东升压站后并网送出，不会发生改变。</w:t>
            </w:r>
          </w:p>
          <w:p w14:paraId="22042F8C">
            <w:pPr>
              <w:keepNext w:val="0"/>
              <w:keepLines w:val="0"/>
              <w:widowControl/>
              <w:suppressLineNumbers w:val="0"/>
              <w:spacing w:before="0" w:beforeAutospacing="0" w:after="0" w:afterAutospacing="0" w:line="360" w:lineRule="auto"/>
              <w:ind w:left="0" w:right="0"/>
              <w:jc w:val="left"/>
              <w:rPr>
                <w:rFonts w:hint="default"/>
                <w:b/>
                <w:bCs/>
              </w:rPr>
            </w:pPr>
            <w:r>
              <w:rPr>
                <w:rFonts w:hint="eastAsia" w:ascii="宋体" w:hAnsi="宋体" w:eastAsia="宋体" w:cs="宋体"/>
                <w:b/>
                <w:bCs/>
                <w:color w:val="000000"/>
                <w:kern w:val="0"/>
                <w:sz w:val="24"/>
                <w:szCs w:val="24"/>
                <w:lang w:val="en-US" w:eastAsia="zh-CN" w:bidi="ar"/>
              </w:rPr>
              <w:t>3、项目主要技术指标。</w:t>
            </w:r>
          </w:p>
          <w:p w14:paraId="64B2E6B4">
            <w:pPr>
              <w:pStyle w:val="13"/>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default" w:ascii="Times New Roman" w:hAnsi="Times New Roman" w:eastAsia="宋体" w:cs="Times New Roman"/>
                <w:color w:val="auto"/>
                <w:kern w:val="0"/>
                <w:sz w:val="24"/>
              </w:rPr>
              <w:t>本工程特性详见表2-</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p>
          <w:p w14:paraId="5446D2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p>
          <w:p w14:paraId="3DFCFF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表2-</w:t>
            </w:r>
            <w:r>
              <w:rPr>
                <w:rFonts w:hint="eastAsia" w:ascii="Times New Roman" w:hAnsi="Times New Roman" w:eastAsia="宋体"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工程主要技术指标</w:t>
            </w:r>
          </w:p>
          <w:tbl>
            <w:tblPr>
              <w:tblStyle w:val="25"/>
              <w:tblW w:w="78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050"/>
              <w:gridCol w:w="930"/>
              <w:gridCol w:w="1262"/>
              <w:gridCol w:w="2894"/>
            </w:tblGrid>
            <w:tr w14:paraId="41591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84E0540">
                  <w:pPr>
                    <w:pStyle w:val="5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序号 </w:t>
                  </w:r>
                </w:p>
              </w:tc>
              <w:tc>
                <w:tcPr>
                  <w:tcW w:w="2050" w:type="dxa"/>
                  <w:tcBorders>
                    <w:tl2br w:val="nil"/>
                    <w:tr2bl w:val="nil"/>
                  </w:tcBorders>
                  <w:vAlign w:val="center"/>
                </w:tcPr>
                <w:p w14:paraId="696165B5">
                  <w:pPr>
                    <w:pStyle w:val="5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项目名称 </w:t>
                  </w:r>
                </w:p>
              </w:tc>
              <w:tc>
                <w:tcPr>
                  <w:tcW w:w="930" w:type="dxa"/>
                  <w:tcBorders>
                    <w:tl2br w:val="nil"/>
                    <w:tr2bl w:val="nil"/>
                  </w:tcBorders>
                  <w:vAlign w:val="center"/>
                </w:tcPr>
                <w:p w14:paraId="3A99B96E">
                  <w:pPr>
                    <w:pStyle w:val="5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单位 </w:t>
                  </w:r>
                </w:p>
              </w:tc>
              <w:tc>
                <w:tcPr>
                  <w:tcW w:w="1262" w:type="dxa"/>
                  <w:tcBorders>
                    <w:tl2br w:val="nil"/>
                    <w:tr2bl w:val="nil"/>
                  </w:tcBorders>
                  <w:vAlign w:val="center"/>
                </w:tcPr>
                <w:p w14:paraId="5828335C">
                  <w:pPr>
                    <w:pStyle w:val="5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数量 </w:t>
                  </w:r>
                </w:p>
              </w:tc>
              <w:tc>
                <w:tcPr>
                  <w:tcW w:w="2894" w:type="dxa"/>
                  <w:tcBorders>
                    <w:tl2br w:val="nil"/>
                    <w:tr2bl w:val="nil"/>
                  </w:tcBorders>
                  <w:vAlign w:val="center"/>
                </w:tcPr>
                <w:p w14:paraId="4783799C">
                  <w:pPr>
                    <w:pStyle w:val="5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01564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266DE53">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50" w:type="dxa"/>
                  <w:tcBorders>
                    <w:tl2br w:val="nil"/>
                    <w:tr2bl w:val="nil"/>
                  </w:tcBorders>
                  <w:vAlign w:val="center"/>
                </w:tcPr>
                <w:p w14:paraId="320D09B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总用地面积</w:t>
                  </w:r>
                </w:p>
              </w:tc>
              <w:tc>
                <w:tcPr>
                  <w:tcW w:w="930" w:type="dxa"/>
                  <w:tcBorders>
                    <w:tl2br w:val="nil"/>
                    <w:tr2bl w:val="nil"/>
                  </w:tcBorders>
                  <w:vAlign w:val="center"/>
                </w:tcPr>
                <w:p w14:paraId="3951138F">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亩</w:t>
                  </w:r>
                </w:p>
              </w:tc>
              <w:tc>
                <w:tcPr>
                  <w:tcW w:w="1262" w:type="dxa"/>
                  <w:tcBorders>
                    <w:tl2br w:val="nil"/>
                    <w:tr2bl w:val="nil"/>
                  </w:tcBorders>
                  <w:vAlign w:val="center"/>
                </w:tcPr>
                <w:p w14:paraId="162CA38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706.02</w:t>
                  </w:r>
                </w:p>
              </w:tc>
              <w:tc>
                <w:tcPr>
                  <w:tcW w:w="2894" w:type="dxa"/>
                  <w:tcBorders>
                    <w:tl2br w:val="nil"/>
                    <w:tr2bl w:val="nil"/>
                  </w:tcBorders>
                  <w:vAlign w:val="center"/>
                </w:tcPr>
                <w:p w14:paraId="7CA229A6">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77920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086AF81">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050" w:type="dxa"/>
                  <w:tcBorders>
                    <w:tl2br w:val="nil"/>
                    <w:tr2bl w:val="nil"/>
                  </w:tcBorders>
                  <w:vAlign w:val="center"/>
                </w:tcPr>
                <w:p w14:paraId="164E554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光伏方阵用地面积</w:t>
                  </w:r>
                </w:p>
              </w:tc>
              <w:tc>
                <w:tcPr>
                  <w:tcW w:w="930" w:type="dxa"/>
                  <w:tcBorders>
                    <w:tl2br w:val="nil"/>
                    <w:tr2bl w:val="nil"/>
                  </w:tcBorders>
                  <w:vAlign w:val="center"/>
                </w:tcPr>
                <w:p w14:paraId="6429DEA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262" w:type="dxa"/>
                  <w:tcBorders>
                    <w:tl2br w:val="nil"/>
                    <w:tr2bl w:val="nil"/>
                  </w:tcBorders>
                  <w:vAlign w:val="center"/>
                </w:tcPr>
                <w:p w14:paraId="08C1E5E9">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highlight w:val="none"/>
                      <w:lang w:val="en-US"/>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395780.85</w:t>
                  </w:r>
                </w:p>
              </w:tc>
              <w:tc>
                <w:tcPr>
                  <w:tcW w:w="2894" w:type="dxa"/>
                  <w:tcBorders>
                    <w:tl2br w:val="nil"/>
                    <w:tr2bl w:val="nil"/>
                  </w:tcBorders>
                  <w:vAlign w:val="center"/>
                </w:tcPr>
                <w:p w14:paraId="78F6D45F">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6D6CA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0A56C5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050" w:type="dxa"/>
                  <w:tcBorders>
                    <w:tl2br w:val="nil"/>
                    <w:tr2bl w:val="nil"/>
                  </w:tcBorders>
                  <w:vAlign w:val="center"/>
                </w:tcPr>
                <w:p w14:paraId="2EEADCB1">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设备基础用地面积</w:t>
                  </w:r>
                </w:p>
              </w:tc>
              <w:tc>
                <w:tcPr>
                  <w:tcW w:w="930" w:type="dxa"/>
                  <w:tcBorders>
                    <w:tl2br w:val="nil"/>
                    <w:tr2bl w:val="nil"/>
                  </w:tcBorders>
                  <w:vAlign w:val="center"/>
                </w:tcPr>
                <w:p w14:paraId="0D023DA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262" w:type="dxa"/>
                  <w:tcBorders>
                    <w:tl2br w:val="nil"/>
                    <w:tr2bl w:val="nil"/>
                  </w:tcBorders>
                  <w:vAlign w:val="center"/>
                </w:tcPr>
                <w:p w14:paraId="09B97B54">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lang w:val="en-US" w:eastAsia="zh-CN"/>
                    </w:rPr>
                  </w:pPr>
                  <w:r>
                    <w:rPr>
                      <w:rFonts w:hint="eastAsia" w:eastAsia="宋体" w:cs="Times New Roman"/>
                      <w:color w:val="auto"/>
                      <w:sz w:val="21"/>
                      <w:szCs w:val="21"/>
                      <w:lang w:val="en-US" w:eastAsia="zh-CN"/>
                    </w:rPr>
                    <w:t>1726</w:t>
                  </w:r>
                </w:p>
              </w:tc>
              <w:tc>
                <w:tcPr>
                  <w:tcW w:w="2894" w:type="dxa"/>
                  <w:tcBorders>
                    <w:tl2br w:val="nil"/>
                    <w:tr2bl w:val="nil"/>
                  </w:tcBorders>
                  <w:vAlign w:val="center"/>
                </w:tcPr>
                <w:p w14:paraId="12BE3665">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箱变基础</w:t>
                  </w:r>
                </w:p>
              </w:tc>
            </w:tr>
            <w:tr w14:paraId="7BD00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AC955F9">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50" w:type="dxa"/>
                  <w:tcBorders>
                    <w:tl2br w:val="nil"/>
                    <w:tr2bl w:val="nil"/>
                  </w:tcBorders>
                  <w:vAlign w:val="center"/>
                </w:tcPr>
                <w:p w14:paraId="26752644">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主要工程量</w:t>
                  </w:r>
                </w:p>
              </w:tc>
              <w:tc>
                <w:tcPr>
                  <w:tcW w:w="930" w:type="dxa"/>
                  <w:tcBorders>
                    <w:tl2br w:val="nil"/>
                    <w:tr2bl w:val="nil"/>
                  </w:tcBorders>
                  <w:vAlign w:val="center"/>
                </w:tcPr>
                <w:p w14:paraId="45D9FEA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262" w:type="dxa"/>
                  <w:tcBorders>
                    <w:tl2br w:val="nil"/>
                    <w:tr2bl w:val="nil"/>
                  </w:tcBorders>
                  <w:vAlign w:val="center"/>
                </w:tcPr>
                <w:p w14:paraId="1F70E01D">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331E89E6">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00E44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09F0D0F">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050" w:type="dxa"/>
                  <w:tcBorders>
                    <w:tl2br w:val="nil"/>
                    <w:tr2bl w:val="nil"/>
                  </w:tcBorders>
                  <w:vAlign w:val="center"/>
                </w:tcPr>
                <w:p w14:paraId="19154756">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组件</w:t>
                  </w:r>
                </w:p>
              </w:tc>
              <w:tc>
                <w:tcPr>
                  <w:tcW w:w="930" w:type="dxa"/>
                  <w:tcBorders>
                    <w:tl2br w:val="nil"/>
                    <w:tr2bl w:val="nil"/>
                  </w:tcBorders>
                  <w:vAlign w:val="center"/>
                </w:tcPr>
                <w:p w14:paraId="39304CA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1262" w:type="dxa"/>
                  <w:tcBorders>
                    <w:tl2br w:val="nil"/>
                    <w:tr2bl w:val="nil"/>
                  </w:tcBorders>
                  <w:vAlign w:val="center"/>
                </w:tcPr>
                <w:p w14:paraId="230399E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47250</w:t>
                  </w:r>
                </w:p>
              </w:tc>
              <w:tc>
                <w:tcPr>
                  <w:tcW w:w="2894" w:type="dxa"/>
                  <w:tcBorders>
                    <w:tl2br w:val="nil"/>
                    <w:tr2bl w:val="nil"/>
                  </w:tcBorders>
                  <w:vAlign w:val="center"/>
                </w:tcPr>
                <w:p w14:paraId="4B4C502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65</w:t>
                  </w:r>
                  <w:r>
                    <w:rPr>
                      <w:rFonts w:hint="eastAsia" w:eastAsia="宋体" w:cs="Times New Roman"/>
                      <w:color w:val="auto"/>
                      <w:sz w:val="21"/>
                      <w:szCs w:val="21"/>
                      <w:lang w:val="en-US" w:eastAsia="zh-CN" w:bidi="ar"/>
                    </w:rPr>
                    <w:t>5</w:t>
                  </w:r>
                  <w:r>
                    <w:rPr>
                      <w:rFonts w:hint="eastAsia" w:ascii="Times New Roman" w:hAnsi="Times New Roman" w:eastAsia="宋体" w:cs="Times New Roman"/>
                      <w:color w:val="auto"/>
                      <w:sz w:val="21"/>
                      <w:szCs w:val="21"/>
                      <w:lang w:val="en-US" w:eastAsia="zh-CN" w:bidi="ar"/>
                    </w:rPr>
                    <w:t>Wp双玻双面电池组件</w:t>
                  </w:r>
                </w:p>
              </w:tc>
            </w:tr>
            <w:tr w14:paraId="53169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E8B73B7">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050" w:type="dxa"/>
                  <w:tcBorders>
                    <w:tl2br w:val="nil"/>
                    <w:tr2bl w:val="nil"/>
                  </w:tcBorders>
                  <w:vAlign w:val="center"/>
                </w:tcPr>
                <w:p w14:paraId="14DA0E2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支架</w:t>
                  </w:r>
                </w:p>
              </w:tc>
              <w:tc>
                <w:tcPr>
                  <w:tcW w:w="930" w:type="dxa"/>
                  <w:tcBorders>
                    <w:tl2br w:val="nil"/>
                    <w:tr2bl w:val="nil"/>
                  </w:tcBorders>
                  <w:vAlign w:val="center"/>
                </w:tcPr>
                <w:p w14:paraId="0167BFC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262" w:type="dxa"/>
                  <w:tcBorders>
                    <w:tl2br w:val="nil"/>
                    <w:tr2bl w:val="nil"/>
                  </w:tcBorders>
                  <w:vAlign w:val="center"/>
                </w:tcPr>
                <w:p w14:paraId="05CC5E7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1575</w:t>
                  </w:r>
                </w:p>
              </w:tc>
              <w:tc>
                <w:tcPr>
                  <w:tcW w:w="2894" w:type="dxa"/>
                  <w:tcBorders>
                    <w:tl2br w:val="nil"/>
                    <w:tr2bl w:val="nil"/>
                  </w:tcBorders>
                  <w:vAlign w:val="center"/>
                </w:tcPr>
                <w:p w14:paraId="74EF588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52065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7262F7B">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050" w:type="dxa"/>
                  <w:tcBorders>
                    <w:tl2br w:val="nil"/>
                    <w:tr2bl w:val="nil"/>
                  </w:tcBorders>
                  <w:vAlign w:val="center"/>
                </w:tcPr>
                <w:p w14:paraId="17601345">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930" w:type="dxa"/>
                  <w:tcBorders>
                    <w:tl2br w:val="nil"/>
                    <w:tr2bl w:val="nil"/>
                  </w:tcBorders>
                  <w:vAlign w:val="center"/>
                </w:tcPr>
                <w:p w14:paraId="0E764DD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262" w:type="dxa"/>
                  <w:tcBorders>
                    <w:tl2br w:val="nil"/>
                    <w:tr2bl w:val="nil"/>
                  </w:tcBorders>
                  <w:vAlign w:val="center"/>
                </w:tcPr>
                <w:p w14:paraId="731E3D3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75</w:t>
                  </w:r>
                </w:p>
              </w:tc>
              <w:tc>
                <w:tcPr>
                  <w:tcW w:w="2894" w:type="dxa"/>
                  <w:tcBorders>
                    <w:tl2br w:val="nil"/>
                    <w:tr2bl w:val="nil"/>
                  </w:tcBorders>
                  <w:vAlign w:val="center"/>
                </w:tcPr>
                <w:p w14:paraId="055A6109">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320</w:t>
                  </w:r>
                  <w:r>
                    <w:rPr>
                      <w:rFonts w:hint="default" w:ascii="Times New Roman" w:hAnsi="Times New Roman" w:eastAsia="宋体" w:cs="Times New Roman"/>
                      <w:color w:val="auto"/>
                      <w:kern w:val="0"/>
                      <w:sz w:val="21"/>
                      <w:szCs w:val="21"/>
                    </w:rPr>
                    <w:t>kW组串式逆变器</w:t>
                  </w:r>
                </w:p>
              </w:tc>
            </w:tr>
            <w:tr w14:paraId="2E546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BB7311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050" w:type="dxa"/>
                  <w:tcBorders>
                    <w:tl2br w:val="nil"/>
                    <w:tr2bl w:val="nil"/>
                  </w:tcBorders>
                  <w:vAlign w:val="center"/>
                </w:tcPr>
                <w:p w14:paraId="428A9292">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箱式</w:t>
                  </w:r>
                  <w:r>
                    <w:rPr>
                      <w:rFonts w:hint="default" w:ascii="Times New Roman" w:hAnsi="Times New Roman" w:eastAsia="宋体" w:cs="Times New Roman"/>
                      <w:color w:val="auto"/>
                      <w:sz w:val="21"/>
                      <w:szCs w:val="21"/>
                    </w:rPr>
                    <w:t>升压变压器</w:t>
                  </w:r>
                </w:p>
              </w:tc>
              <w:tc>
                <w:tcPr>
                  <w:tcW w:w="930" w:type="dxa"/>
                  <w:tcBorders>
                    <w:tl2br w:val="nil"/>
                    <w:tr2bl w:val="nil"/>
                  </w:tcBorders>
                  <w:vAlign w:val="center"/>
                </w:tcPr>
                <w:p w14:paraId="22F90654">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262" w:type="dxa"/>
                  <w:tcBorders>
                    <w:tl2br w:val="nil"/>
                    <w:tr2bl w:val="nil"/>
                  </w:tcBorders>
                  <w:vAlign w:val="center"/>
                </w:tcPr>
                <w:p w14:paraId="276ED76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w:t>
                  </w:r>
                </w:p>
              </w:tc>
              <w:tc>
                <w:tcPr>
                  <w:tcW w:w="2894" w:type="dxa"/>
                  <w:tcBorders>
                    <w:tl2br w:val="nil"/>
                    <w:tr2bl w:val="nil"/>
                  </w:tcBorders>
                  <w:vAlign w:val="center"/>
                </w:tcPr>
                <w:p w14:paraId="53438ED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71519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28BA0E0">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2050" w:type="dxa"/>
                  <w:tcBorders>
                    <w:tl2br w:val="nil"/>
                    <w:tr2bl w:val="nil"/>
                  </w:tcBorders>
                  <w:vAlign w:val="center"/>
                </w:tcPr>
                <w:p w14:paraId="26624B9D">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土石方工程量</w:t>
                  </w:r>
                </w:p>
              </w:tc>
              <w:tc>
                <w:tcPr>
                  <w:tcW w:w="930" w:type="dxa"/>
                  <w:tcBorders>
                    <w:tl2br w:val="nil"/>
                    <w:tr2bl w:val="nil"/>
                  </w:tcBorders>
                  <w:vAlign w:val="center"/>
                </w:tcPr>
                <w:p w14:paraId="1361B1F9">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c>
                <w:tcPr>
                  <w:tcW w:w="1262" w:type="dxa"/>
                  <w:tcBorders>
                    <w:tl2br w:val="nil"/>
                    <w:tr2bl w:val="nil"/>
                  </w:tcBorders>
                  <w:vAlign w:val="center"/>
                </w:tcPr>
                <w:p w14:paraId="709BC5B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c>
                <w:tcPr>
                  <w:tcW w:w="2894" w:type="dxa"/>
                  <w:tcBorders>
                    <w:tl2br w:val="nil"/>
                    <w:tr2bl w:val="nil"/>
                  </w:tcBorders>
                  <w:vAlign w:val="center"/>
                </w:tcPr>
                <w:p w14:paraId="6E56B94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FF0000"/>
                      <w:sz w:val="21"/>
                      <w:szCs w:val="21"/>
                    </w:rPr>
                  </w:pPr>
                </w:p>
              </w:tc>
            </w:tr>
            <w:tr w14:paraId="4DF62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BDD1AEF">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.1</w:t>
                  </w:r>
                </w:p>
              </w:tc>
              <w:tc>
                <w:tcPr>
                  <w:tcW w:w="2050" w:type="dxa"/>
                  <w:tcBorders>
                    <w:tl2br w:val="nil"/>
                    <w:tr2bl w:val="nil"/>
                  </w:tcBorders>
                  <w:vAlign w:val="center"/>
                </w:tcPr>
                <w:p w14:paraId="28A9290A">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挖方</w:t>
                  </w:r>
                </w:p>
              </w:tc>
              <w:tc>
                <w:tcPr>
                  <w:tcW w:w="930" w:type="dxa"/>
                  <w:tcBorders>
                    <w:tl2br w:val="nil"/>
                    <w:tr2bl w:val="nil"/>
                  </w:tcBorders>
                  <w:vAlign w:val="center"/>
                </w:tcPr>
                <w:p w14:paraId="15910BC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2B4F65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bidi="ar"/>
                    </w:rPr>
                    <w:t>4.59万</w:t>
                  </w:r>
                </w:p>
              </w:tc>
              <w:tc>
                <w:tcPr>
                  <w:tcW w:w="2894" w:type="dxa"/>
                  <w:tcBorders>
                    <w:tl2br w:val="nil"/>
                    <w:tr2bl w:val="nil"/>
                  </w:tcBorders>
                  <w:vAlign w:val="center"/>
                </w:tcPr>
                <w:p w14:paraId="566DDB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含表土剥离量1.</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，场地平整开挖</w:t>
                  </w:r>
                  <w:r>
                    <w:rPr>
                      <w:rFonts w:hint="eastAsia" w:ascii="Times New Roman" w:hAnsi="Times New Roman" w:eastAsia="宋体" w:cs="Times New Roman"/>
                      <w:color w:val="auto"/>
                      <w:sz w:val="21"/>
                      <w:szCs w:val="21"/>
                      <w:lang w:val="en-US" w:eastAsia="zh-CN"/>
                    </w:rPr>
                    <w:t>2.98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，基础开挖</w:t>
                  </w:r>
                  <w:r>
                    <w:rPr>
                      <w:rFonts w:hint="eastAsia" w:ascii="Times New Roman" w:hAnsi="Times New Roman" w:eastAsia="宋体" w:cs="Times New Roman"/>
                      <w:color w:val="auto"/>
                      <w:sz w:val="21"/>
                      <w:szCs w:val="21"/>
                      <w:lang w:val="en-US" w:eastAsia="zh-CN"/>
                    </w:rPr>
                    <w:t>0.53</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r>
            <w:tr w14:paraId="0F314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F64B851">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.2</w:t>
                  </w:r>
                </w:p>
              </w:tc>
              <w:tc>
                <w:tcPr>
                  <w:tcW w:w="2050" w:type="dxa"/>
                  <w:tcBorders>
                    <w:tl2br w:val="nil"/>
                    <w:tr2bl w:val="nil"/>
                  </w:tcBorders>
                  <w:vAlign w:val="center"/>
                </w:tcPr>
                <w:p w14:paraId="5CFC007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填方</w:t>
                  </w:r>
                </w:p>
              </w:tc>
              <w:tc>
                <w:tcPr>
                  <w:tcW w:w="930" w:type="dxa"/>
                  <w:tcBorders>
                    <w:tl2br w:val="nil"/>
                    <w:tr2bl w:val="nil"/>
                  </w:tcBorders>
                  <w:vAlign w:val="center"/>
                </w:tcPr>
                <w:p w14:paraId="295AA2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080C70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bidi="ar"/>
                    </w:rPr>
                    <w:t>4.59万</w:t>
                  </w:r>
                </w:p>
              </w:tc>
              <w:tc>
                <w:tcPr>
                  <w:tcW w:w="2894" w:type="dxa"/>
                  <w:tcBorders>
                    <w:tl2br w:val="nil"/>
                    <w:tr2bl w:val="nil"/>
                  </w:tcBorders>
                  <w:vAlign w:val="center"/>
                </w:tcPr>
                <w:p w14:paraId="744EC3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含表土</w:t>
                  </w:r>
                  <w:r>
                    <w:rPr>
                      <w:rFonts w:hint="eastAsia" w:ascii="Times New Roman" w:hAnsi="Times New Roman" w:eastAsia="宋体" w:cs="Times New Roman"/>
                      <w:color w:val="auto"/>
                      <w:sz w:val="21"/>
                      <w:szCs w:val="21"/>
                      <w:lang w:val="en-US" w:eastAsia="zh-CN"/>
                    </w:rPr>
                    <w:t>回填</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，场地平整</w:t>
                  </w:r>
                  <w:r>
                    <w:rPr>
                      <w:rFonts w:hint="eastAsia" w:ascii="Times New Roman" w:hAnsi="Times New Roman" w:eastAsia="宋体" w:cs="Times New Roman"/>
                      <w:color w:val="auto"/>
                      <w:sz w:val="21"/>
                      <w:szCs w:val="21"/>
                      <w:lang w:val="en-US" w:eastAsia="zh-CN"/>
                    </w:rPr>
                    <w:t>回填2.98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，基础</w:t>
                  </w:r>
                  <w:r>
                    <w:rPr>
                      <w:rFonts w:hint="eastAsia" w:ascii="Times New Roman" w:hAnsi="Times New Roman" w:eastAsia="宋体" w:cs="Times New Roman"/>
                      <w:color w:val="auto"/>
                      <w:sz w:val="21"/>
                      <w:szCs w:val="21"/>
                      <w:lang w:val="en-US" w:eastAsia="zh-CN"/>
                    </w:rPr>
                    <w:t>回填0.53</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r>
            <w:tr w14:paraId="3036B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tcBorders>
                    <w:tl2br w:val="nil"/>
                    <w:tr2bl w:val="nil"/>
                  </w:tcBorders>
                  <w:vAlign w:val="center"/>
                </w:tcPr>
                <w:p w14:paraId="76C4650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3.3</w:t>
                  </w:r>
                </w:p>
              </w:tc>
              <w:tc>
                <w:tcPr>
                  <w:tcW w:w="2050" w:type="dxa"/>
                  <w:tcBorders>
                    <w:tl2br w:val="nil"/>
                    <w:tr2bl w:val="nil"/>
                  </w:tcBorders>
                  <w:vAlign w:val="center"/>
                </w:tcPr>
                <w:p w14:paraId="20D168B7">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余方</w:t>
                  </w:r>
                </w:p>
              </w:tc>
              <w:tc>
                <w:tcPr>
                  <w:tcW w:w="930" w:type="dxa"/>
                  <w:tcBorders>
                    <w:tl2br w:val="nil"/>
                    <w:tr2bl w:val="nil"/>
                  </w:tcBorders>
                  <w:vAlign w:val="center"/>
                </w:tcPr>
                <w:p w14:paraId="158DF1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262" w:type="dxa"/>
                  <w:tcBorders>
                    <w:tl2br w:val="nil"/>
                    <w:tr2bl w:val="nil"/>
                  </w:tcBorders>
                  <w:vAlign w:val="center"/>
                </w:tcPr>
                <w:p w14:paraId="713FD6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bidi="ar"/>
                    </w:rPr>
                    <w:t>0</w:t>
                  </w:r>
                  <w:r>
                    <w:rPr>
                      <w:rFonts w:hint="default" w:ascii="Times New Roman" w:hAnsi="Times New Roman" w:eastAsia="宋体" w:cs="Times New Roman"/>
                      <w:color w:val="auto"/>
                      <w:sz w:val="21"/>
                      <w:szCs w:val="21"/>
                      <w:lang w:bidi="ar"/>
                    </w:rPr>
                    <w:t>万</w:t>
                  </w:r>
                </w:p>
              </w:tc>
              <w:tc>
                <w:tcPr>
                  <w:tcW w:w="2894" w:type="dxa"/>
                  <w:tcBorders>
                    <w:tl2br w:val="nil"/>
                    <w:tr2bl w:val="nil"/>
                  </w:tcBorders>
                  <w:vAlign w:val="center"/>
                </w:tcPr>
                <w:p w14:paraId="0A600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r w14:paraId="2B142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AFE141A">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050" w:type="dxa"/>
                  <w:tcBorders>
                    <w:tl2br w:val="nil"/>
                    <w:tr2bl w:val="nil"/>
                  </w:tcBorders>
                  <w:vAlign w:val="center"/>
                </w:tcPr>
                <w:p w14:paraId="6DF15DDA">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围栏工程</w:t>
                  </w:r>
                </w:p>
              </w:tc>
              <w:tc>
                <w:tcPr>
                  <w:tcW w:w="930" w:type="dxa"/>
                  <w:tcBorders>
                    <w:tl2br w:val="nil"/>
                    <w:tr2bl w:val="nil"/>
                  </w:tcBorders>
                  <w:vAlign w:val="center"/>
                </w:tcPr>
                <w:p w14:paraId="1BB1470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1262" w:type="dxa"/>
                  <w:tcBorders>
                    <w:tl2br w:val="nil"/>
                    <w:tr2bl w:val="nil"/>
                  </w:tcBorders>
                  <w:vAlign w:val="center"/>
                </w:tcPr>
                <w:p w14:paraId="68C9A040">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yellow"/>
                      <w:lang w:val="en-US" w:eastAsia="zh-CN"/>
                    </w:rPr>
                  </w:pPr>
                  <w:r>
                    <w:rPr>
                      <w:rFonts w:hint="eastAsia" w:eastAsia="宋体" w:cs="Times New Roman"/>
                      <w:color w:val="auto"/>
                      <w:sz w:val="21"/>
                      <w:szCs w:val="21"/>
                      <w:lang w:val="en-US" w:eastAsia="zh-CN"/>
                    </w:rPr>
                    <w:t>19.41</w:t>
                  </w:r>
                </w:p>
              </w:tc>
              <w:tc>
                <w:tcPr>
                  <w:tcW w:w="2894" w:type="dxa"/>
                  <w:tcBorders>
                    <w:tl2br w:val="nil"/>
                    <w:tr2bl w:val="nil"/>
                  </w:tcBorders>
                  <w:vAlign w:val="center"/>
                </w:tcPr>
                <w:p w14:paraId="3D86F6CD">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高1.8m</w:t>
                  </w:r>
                </w:p>
              </w:tc>
            </w:tr>
            <w:tr w14:paraId="2315A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9AE08C2">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2050" w:type="dxa"/>
                  <w:tcBorders>
                    <w:tl2br w:val="nil"/>
                    <w:tr2bl w:val="nil"/>
                  </w:tcBorders>
                  <w:vAlign w:val="center"/>
                </w:tcPr>
                <w:p w14:paraId="4D4E5487">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装机规模</w:t>
                  </w:r>
                </w:p>
              </w:tc>
              <w:tc>
                <w:tcPr>
                  <w:tcW w:w="930" w:type="dxa"/>
                  <w:tcBorders>
                    <w:tl2br w:val="nil"/>
                    <w:tr2bl w:val="nil"/>
                  </w:tcBorders>
                  <w:vAlign w:val="center"/>
                </w:tcPr>
                <w:p w14:paraId="37A75DA5">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1262" w:type="dxa"/>
                  <w:tcBorders>
                    <w:tl2br w:val="nil"/>
                    <w:tr2bl w:val="nil"/>
                  </w:tcBorders>
                  <w:vAlign w:val="center"/>
                </w:tcPr>
                <w:p w14:paraId="4E8ED56B">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kern w:val="0"/>
                      <w:sz w:val="21"/>
                      <w:szCs w:val="21"/>
                      <w:lang w:val="en-US" w:eastAsia="zh-CN"/>
                    </w:rPr>
                    <w:t>30.94</w:t>
                  </w:r>
                </w:p>
              </w:tc>
              <w:tc>
                <w:tcPr>
                  <w:tcW w:w="2894" w:type="dxa"/>
                  <w:tcBorders>
                    <w:tl2br w:val="nil"/>
                    <w:tr2bl w:val="nil"/>
                  </w:tcBorders>
                  <w:vAlign w:val="center"/>
                </w:tcPr>
                <w:p w14:paraId="688E7F8B">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工程额定容量</w:t>
                  </w:r>
                  <w:r>
                    <w:rPr>
                      <w:rFonts w:hint="eastAsia" w:eastAsia="宋体" w:cs="Times New Roman"/>
                      <w:color w:val="auto"/>
                      <w:sz w:val="21"/>
                      <w:szCs w:val="21"/>
                      <w:lang w:val="en-US" w:eastAsia="zh-CN"/>
                    </w:rPr>
                    <w:t>24</w:t>
                  </w:r>
                  <w:r>
                    <w:rPr>
                      <w:rFonts w:hint="default" w:ascii="Times New Roman" w:hAnsi="Times New Roman" w:eastAsia="宋体" w:cs="Times New Roman"/>
                      <w:color w:val="auto"/>
                      <w:sz w:val="21"/>
                      <w:szCs w:val="21"/>
                    </w:rPr>
                    <w:t>MW</w:t>
                  </w:r>
                </w:p>
              </w:tc>
            </w:tr>
            <w:tr w14:paraId="2B183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AD9AC71">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2050" w:type="dxa"/>
                  <w:tcBorders>
                    <w:tl2br w:val="nil"/>
                    <w:tr2bl w:val="nil"/>
                  </w:tcBorders>
                  <w:vAlign w:val="center"/>
                </w:tcPr>
                <w:p w14:paraId="4B04B5FA">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年平均上网电量</w:t>
                  </w:r>
                </w:p>
              </w:tc>
              <w:tc>
                <w:tcPr>
                  <w:tcW w:w="930" w:type="dxa"/>
                  <w:tcBorders>
                    <w:tl2br w:val="nil"/>
                    <w:tr2bl w:val="nil"/>
                  </w:tcBorders>
                  <w:vAlign w:val="center"/>
                </w:tcPr>
                <w:p w14:paraId="09D39DD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W·h</w:t>
                  </w:r>
                </w:p>
              </w:tc>
              <w:tc>
                <w:tcPr>
                  <w:tcW w:w="1262" w:type="dxa"/>
                  <w:tcBorders>
                    <w:tl2br w:val="nil"/>
                    <w:tr2bl w:val="nil"/>
                  </w:tcBorders>
                  <w:vAlign w:val="center"/>
                </w:tcPr>
                <w:p w14:paraId="31ED2293">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106969.5万</w:t>
                  </w:r>
                </w:p>
              </w:tc>
              <w:tc>
                <w:tcPr>
                  <w:tcW w:w="2894" w:type="dxa"/>
                  <w:tcBorders>
                    <w:tl2br w:val="nil"/>
                    <w:tr2bl w:val="nil"/>
                  </w:tcBorders>
                  <w:vAlign w:val="center"/>
                </w:tcPr>
                <w:p w14:paraId="7A734EA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515BF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17F4E4E">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2050" w:type="dxa"/>
                  <w:tcBorders>
                    <w:tl2br w:val="nil"/>
                    <w:tr2bl w:val="nil"/>
                  </w:tcBorders>
                  <w:vAlign w:val="center"/>
                </w:tcPr>
                <w:p w14:paraId="227A474D">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年平均等效利用小时数</w:t>
                  </w:r>
                </w:p>
              </w:tc>
              <w:tc>
                <w:tcPr>
                  <w:tcW w:w="930" w:type="dxa"/>
                  <w:tcBorders>
                    <w:tl2br w:val="nil"/>
                    <w:tr2bl w:val="nil"/>
                  </w:tcBorders>
                  <w:vAlign w:val="center"/>
                </w:tcPr>
                <w:p w14:paraId="2419AA8C">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t>
                  </w:r>
                  <w:r>
                    <w:rPr>
                      <w:rFonts w:hint="eastAsia" w:eastAsia="宋体" w:cs="Times New Roman"/>
                      <w:color w:val="auto"/>
                      <w:sz w:val="21"/>
                      <w:szCs w:val="21"/>
                      <w:lang w:val="en-US" w:eastAsia="zh-CN"/>
                    </w:rPr>
                    <w:t>r</w:t>
                  </w:r>
                </w:p>
              </w:tc>
              <w:tc>
                <w:tcPr>
                  <w:tcW w:w="1262" w:type="dxa"/>
                  <w:tcBorders>
                    <w:tl2br w:val="nil"/>
                    <w:tr2bl w:val="nil"/>
                  </w:tcBorders>
                  <w:vAlign w:val="center"/>
                </w:tcPr>
                <w:p w14:paraId="092E8BA8">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1383</w:t>
                  </w:r>
                </w:p>
              </w:tc>
              <w:tc>
                <w:tcPr>
                  <w:tcW w:w="2894" w:type="dxa"/>
                  <w:tcBorders>
                    <w:tl2br w:val="nil"/>
                    <w:tr2bl w:val="nil"/>
                  </w:tcBorders>
                  <w:vAlign w:val="center"/>
                </w:tcPr>
                <w:p w14:paraId="3DB4DEB1">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21D45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37650F5">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2050" w:type="dxa"/>
                  <w:tcBorders>
                    <w:tl2br w:val="nil"/>
                    <w:tr2bl w:val="nil"/>
                  </w:tcBorders>
                  <w:vAlign w:val="center"/>
                </w:tcPr>
                <w:p w14:paraId="348C023A">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总工期</w:t>
                  </w:r>
                </w:p>
              </w:tc>
              <w:tc>
                <w:tcPr>
                  <w:tcW w:w="930" w:type="dxa"/>
                  <w:tcBorders>
                    <w:tl2br w:val="nil"/>
                    <w:tr2bl w:val="nil"/>
                  </w:tcBorders>
                  <w:vAlign w:val="center"/>
                </w:tcPr>
                <w:p w14:paraId="68B53B6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w:t>
                  </w:r>
                </w:p>
              </w:tc>
              <w:tc>
                <w:tcPr>
                  <w:tcW w:w="1262" w:type="dxa"/>
                  <w:tcBorders>
                    <w:tl2br w:val="nil"/>
                    <w:tr2bl w:val="nil"/>
                  </w:tcBorders>
                  <w:vAlign w:val="center"/>
                </w:tcPr>
                <w:p w14:paraId="6796A56C">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4" w:type="dxa"/>
                  <w:tcBorders>
                    <w:tl2br w:val="nil"/>
                    <w:tr2bl w:val="nil"/>
                  </w:tcBorders>
                  <w:vAlign w:val="center"/>
                </w:tcPr>
                <w:p w14:paraId="44C57A15">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3BF4E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1F569C5">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2050" w:type="dxa"/>
                  <w:tcBorders>
                    <w:tl2br w:val="nil"/>
                    <w:tr2bl w:val="nil"/>
                  </w:tcBorders>
                  <w:vAlign w:val="center"/>
                </w:tcPr>
                <w:p w14:paraId="7223543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生产单位定员</w:t>
                  </w:r>
                </w:p>
              </w:tc>
              <w:tc>
                <w:tcPr>
                  <w:tcW w:w="930" w:type="dxa"/>
                  <w:tcBorders>
                    <w:tl2br w:val="nil"/>
                    <w:tr2bl w:val="nil"/>
                  </w:tcBorders>
                  <w:vAlign w:val="center"/>
                </w:tcPr>
                <w:p w14:paraId="4EC3E294">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262" w:type="dxa"/>
                  <w:tcBorders>
                    <w:tl2br w:val="nil"/>
                    <w:tr2bl w:val="nil"/>
                  </w:tcBorders>
                  <w:vAlign w:val="center"/>
                </w:tcPr>
                <w:p w14:paraId="26BE8F47">
                  <w:pPr>
                    <w:pStyle w:val="5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4</w:t>
                  </w:r>
                </w:p>
              </w:tc>
              <w:tc>
                <w:tcPr>
                  <w:tcW w:w="2894" w:type="dxa"/>
                  <w:tcBorders>
                    <w:tl2br w:val="nil"/>
                    <w:tr2bl w:val="nil"/>
                  </w:tcBorders>
                  <w:vAlign w:val="center"/>
                </w:tcPr>
                <w:p w14:paraId="465402AB">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bl>
          <w:p w14:paraId="2D1B5707">
            <w:pPr>
              <w:pStyle w:val="13"/>
              <w:keepNext w:val="0"/>
              <w:keepLines w:val="0"/>
              <w:suppressLineNumbers w:val="0"/>
              <w:spacing w:before="0" w:beforeAutospacing="0" w:after="0" w:afterAutospacing="0"/>
              <w:ind w:left="0" w:right="0"/>
              <w:rPr>
                <w:rFonts w:hint="default"/>
                <w:lang w:val="en-US" w:eastAsia="zh-CN"/>
              </w:rPr>
            </w:pPr>
          </w:p>
          <w:p w14:paraId="2C243F47">
            <w:pPr>
              <w:keepNext w:val="0"/>
              <w:keepLines w:val="0"/>
              <w:widowControl/>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4、光伏发电</w:t>
            </w:r>
          </w:p>
          <w:p w14:paraId="59B9B849">
            <w:pPr>
              <w:keepNext w:val="0"/>
              <w:keepLines w:val="0"/>
              <w:widowControl/>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本项目安装容量30.94MWp，额定容量 24MW，全部采用 655Wp 双面双玻电池组件，320kW 组串式逆变器，采用固定支架运行方式。</w:t>
            </w:r>
            <w:r>
              <w:rPr>
                <w:rFonts w:hint="default"/>
                <w:spacing w:val="-4"/>
              </w:rPr>
              <w:t>本项目</w:t>
            </w:r>
            <w:r>
              <w:rPr>
                <w:rFonts w:hint="default" w:ascii="Times New Roman" w:hAnsi="Times New Roman" w:eastAsia="Times New Roman"/>
              </w:rPr>
              <w:t>25</w:t>
            </w:r>
            <w:r>
              <w:rPr>
                <w:rFonts w:hint="default"/>
                <w:spacing w:val="-1"/>
              </w:rPr>
              <w:t>年运行期内多年平均上网电量为</w:t>
            </w:r>
            <w:r>
              <w:rPr>
                <w:rFonts w:hint="default" w:ascii="Times New Roman" w:hAnsi="Times New Roman" w:eastAsia="宋体" w:cs="Times New Roman"/>
                <w:color w:val="auto"/>
                <w:sz w:val="24"/>
                <w:szCs w:val="24"/>
                <w:lang w:val="en-US" w:eastAsia="zh-CN"/>
              </w:rPr>
              <w:t>106969.5</w:t>
            </w:r>
            <w:r>
              <w:rPr>
                <w:rFonts w:hint="default"/>
                <w:spacing w:val="-25"/>
              </w:rPr>
              <w:t xml:space="preserve">万 </w:t>
            </w:r>
            <w:r>
              <w:rPr>
                <w:rFonts w:hint="default" w:ascii="Times New Roman" w:hAnsi="Times New Roman" w:eastAsia="Times New Roman"/>
              </w:rPr>
              <w:t>kW</w:t>
            </w:r>
            <w:r>
              <w:rPr>
                <w:rFonts w:hint="default"/>
              </w:rPr>
              <w:t>·</w:t>
            </w:r>
            <w:r>
              <w:rPr>
                <w:rFonts w:hint="default" w:ascii="Times New Roman" w:hAnsi="Times New Roman" w:eastAsia="Times New Roman"/>
              </w:rPr>
              <w:t>h</w:t>
            </w:r>
            <w:r>
              <w:rPr>
                <w:rFonts w:hint="default"/>
                <w:spacing w:val="-4"/>
              </w:rPr>
              <w:t xml:space="preserve">年平均满负荷利用小时数为 </w:t>
            </w:r>
            <w:r>
              <w:rPr>
                <w:rFonts w:hint="default" w:ascii="Times New Roman" w:hAnsi="Times New Roman" w:eastAsia="Times New Roman"/>
              </w:rPr>
              <w:t>13</w:t>
            </w:r>
            <w:r>
              <w:rPr>
                <w:rFonts w:hint="eastAsia" w:ascii="Times New Roman" w:hAnsi="Times New Roman" w:eastAsia="宋体"/>
                <w:lang w:val="en-US" w:eastAsia="zh-CN"/>
              </w:rPr>
              <w:t>83</w:t>
            </w:r>
            <w:r>
              <w:rPr>
                <w:rFonts w:hint="default" w:ascii="Times New Roman" w:hAnsi="Times New Roman" w:eastAsia="Times New Roman"/>
              </w:rPr>
              <w:t>hr</w:t>
            </w:r>
            <w:r>
              <w:rPr>
                <w:rFonts w:hint="eastAsia" w:ascii="Times New Roman" w:hAnsi="Times New Roman" w:eastAsia="宋体"/>
                <w:lang w:eastAsia="zh-CN"/>
              </w:rPr>
              <w:t>。</w:t>
            </w:r>
          </w:p>
          <w:p w14:paraId="2459BCFF">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4.1、光伏阵列</w:t>
            </w:r>
          </w:p>
          <w:p w14:paraId="4BE8D8B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11</w:t>
            </w:r>
            <w:r>
              <w:rPr>
                <w:rFonts w:hint="default" w:ascii="Times New Roman" w:hAnsi="Times New Roman" w:eastAsia="宋体" w:cs="Times New Roman"/>
                <w:color w:val="auto"/>
                <w:sz w:val="24"/>
                <w:szCs w:val="24"/>
                <w:lang w:val="en-US" w:eastAsia="zh-CN" w:bidi="ar"/>
              </w:rPr>
              <w:t>个光伏方阵，其中1个1.6MW</w:t>
            </w:r>
            <w:r>
              <w:rPr>
                <w:rFonts w:hint="eastAsia" w:ascii="Times New Roman" w:hAnsi="Times New Roman" w:eastAsia="宋体" w:cs="Times New Roman"/>
                <w:color w:val="auto"/>
                <w:sz w:val="24"/>
                <w:szCs w:val="24"/>
                <w:lang w:val="en-US" w:eastAsia="zh-CN" w:bidi="ar"/>
              </w:rPr>
              <w:t>、7</w:t>
            </w:r>
            <w:r>
              <w:rPr>
                <w:rFonts w:hint="default" w:ascii="Times New Roman" w:hAnsi="Times New Roman" w:eastAsia="宋体" w:cs="Times New Roman"/>
                <w:color w:val="auto"/>
                <w:sz w:val="24"/>
                <w:szCs w:val="24"/>
                <w:lang w:val="en-US" w:eastAsia="zh-CN" w:bidi="ar"/>
              </w:rPr>
              <w:t>个</w:t>
            </w:r>
            <w:r>
              <w:rPr>
                <w:rFonts w:hint="eastAsia" w:ascii="Times New Roman" w:hAnsi="Times New Roman" w:eastAsia="宋体" w:cs="Times New Roman"/>
                <w:color w:val="auto"/>
                <w:sz w:val="24"/>
                <w:szCs w:val="24"/>
                <w:lang w:val="en-US" w:eastAsia="zh-CN" w:bidi="ar"/>
              </w:rPr>
              <w:t>1.92</w:t>
            </w:r>
            <w:r>
              <w:rPr>
                <w:rFonts w:hint="default" w:ascii="Times New Roman" w:hAnsi="Times New Roman" w:eastAsia="宋体" w:cs="Times New Roman"/>
                <w:color w:val="auto"/>
                <w:sz w:val="24"/>
                <w:szCs w:val="24"/>
                <w:lang w:val="en-US" w:eastAsia="zh-CN" w:bidi="ar"/>
              </w:rPr>
              <w:t>MW</w:t>
            </w:r>
            <w:r>
              <w:rPr>
                <w:rFonts w:hint="eastAsia" w:ascii="Times New Roman" w:hAnsi="Times New Roman" w:eastAsia="宋体" w:cs="Times New Roman"/>
                <w:color w:val="auto"/>
                <w:sz w:val="24"/>
                <w:szCs w:val="24"/>
                <w:lang w:val="en-US" w:eastAsia="zh-CN" w:bidi="ar"/>
              </w:rPr>
              <w:t>、1个2.56</w:t>
            </w:r>
            <w:r>
              <w:rPr>
                <w:rFonts w:hint="default" w:ascii="Times New Roman" w:hAnsi="Times New Roman" w:eastAsia="宋体" w:cs="Times New Roman"/>
                <w:color w:val="auto"/>
                <w:sz w:val="24"/>
                <w:szCs w:val="24"/>
                <w:lang w:val="en-US" w:eastAsia="zh-CN" w:bidi="ar"/>
              </w:rPr>
              <w:t>MW</w:t>
            </w:r>
            <w:r>
              <w:rPr>
                <w:rFonts w:hint="eastAsia" w:ascii="Times New Roman" w:hAnsi="Times New Roman" w:eastAsia="宋体" w:cs="Times New Roman"/>
                <w:color w:val="auto"/>
                <w:sz w:val="24"/>
                <w:szCs w:val="24"/>
                <w:lang w:val="en-US" w:eastAsia="zh-CN" w:bidi="ar"/>
              </w:rPr>
              <w:t>、2个3.2</w:t>
            </w:r>
            <w:r>
              <w:rPr>
                <w:rFonts w:hint="default" w:ascii="Times New Roman" w:hAnsi="Times New Roman" w:eastAsia="宋体" w:cs="Times New Roman"/>
                <w:color w:val="auto"/>
                <w:sz w:val="24"/>
                <w:szCs w:val="24"/>
                <w:lang w:val="en-US" w:eastAsia="zh-CN" w:bidi="ar"/>
              </w:rPr>
              <w:t>MW方阵，</w:t>
            </w:r>
            <w:r>
              <w:rPr>
                <w:rFonts w:hint="eastAsia" w:ascii="Times New Roman" w:hAnsi="Times New Roman" w:eastAsia="宋体" w:cs="Times New Roman"/>
                <w:color w:val="auto"/>
                <w:sz w:val="24"/>
                <w:szCs w:val="24"/>
                <w:lang w:val="en-US" w:eastAsia="zh-CN" w:bidi="ar"/>
              </w:rPr>
              <w:t>每个</w:t>
            </w:r>
            <w:r>
              <w:rPr>
                <w:rFonts w:hint="default" w:ascii="Times New Roman" w:hAnsi="Times New Roman" w:eastAsia="宋体" w:cs="Times New Roman"/>
                <w:sz w:val="24"/>
                <w:szCs w:val="24"/>
                <w:lang w:val="en-US" w:eastAsia="zh-CN"/>
              </w:rPr>
              <w:t>1.6MW方阵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w:t>
            </w:r>
            <w:r>
              <w:rPr>
                <w:rFonts w:hint="default" w:ascii="Times New Roman" w:hAnsi="Times New Roman" w:eastAsia="宋体" w:cs="Times New Roman"/>
                <w:sz w:val="24"/>
                <w:szCs w:val="24"/>
                <w:lang w:val="en-US" w:eastAsia="zh-CN"/>
              </w:rPr>
              <w:t>3.2MW方阵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逆变发电单元，每个2.56</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包含8个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逆变发电单元，每个1.92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包含6个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kern w:val="0"/>
                <w:sz w:val="24"/>
                <w:szCs w:val="24"/>
              </w:rPr>
              <w:t>光伏电站通过</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回35kV集电线路汇集</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输送至110kV江东光伏电站升压站35kV侧，</w:t>
            </w:r>
            <w:r>
              <w:rPr>
                <w:rFonts w:hint="default" w:ascii="Times New Roman" w:hAnsi="Times New Roman" w:eastAsia="宋体" w:cs="Times New Roman"/>
                <w:color w:val="auto"/>
                <w:kern w:val="0"/>
                <w:sz w:val="24"/>
                <w:szCs w:val="24"/>
              </w:rPr>
              <w:t>本工程拟采用固定式支架的建设方案。</w:t>
            </w:r>
          </w:p>
          <w:p w14:paraId="1209FAE0">
            <w:pPr>
              <w:pStyle w:val="13"/>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）光伏组件</w:t>
            </w:r>
          </w:p>
          <w:p w14:paraId="06B2512F">
            <w:pPr>
              <w:keepNext w:val="0"/>
              <w:keepLines w:val="0"/>
              <w:widowControl/>
              <w:suppressLineNumbers w:val="0"/>
              <w:spacing w:before="0" w:beforeAutospacing="0" w:after="0" w:afterAutospacing="0" w:line="360" w:lineRule="auto"/>
              <w:ind w:left="0" w:right="0" w:firstLine="468" w:firstLineChars="200"/>
              <w:rPr>
                <w:rFonts w:hint="eastAsia"/>
                <w:lang w:eastAsia="zh-CN"/>
              </w:rPr>
            </w:pPr>
            <w:r>
              <w:rPr>
                <w:rFonts w:hint="default"/>
                <w:spacing w:val="-3"/>
              </w:rPr>
              <w:t xml:space="preserve">本工程采用容量为 </w:t>
            </w:r>
            <w:r>
              <w:rPr>
                <w:rFonts w:hint="default" w:ascii="Times New Roman" w:eastAsia="Times New Roman"/>
              </w:rPr>
              <w:t>65</w:t>
            </w:r>
            <w:r>
              <w:rPr>
                <w:rFonts w:hint="eastAsia" w:ascii="Times New Roman" w:eastAsia="宋体"/>
                <w:lang w:val="en-US" w:eastAsia="zh-CN"/>
              </w:rPr>
              <w:t>5</w:t>
            </w:r>
            <w:r>
              <w:rPr>
                <w:rFonts w:hint="default" w:ascii="Times New Roman" w:eastAsia="Times New Roman"/>
              </w:rPr>
              <w:t xml:space="preserve">Wp </w:t>
            </w:r>
            <w:r>
              <w:rPr>
                <w:rFonts w:hint="default"/>
              </w:rPr>
              <w:t>的双面双玻光伏组件。</w:t>
            </w:r>
            <w:r>
              <w:rPr>
                <w:rFonts w:hint="eastAsia"/>
                <w:lang w:eastAsia="zh-CN"/>
              </w:rPr>
              <w:t>主要参数入下表：</w:t>
            </w:r>
          </w:p>
          <w:p w14:paraId="3A33DABC">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2-3</w:t>
            </w:r>
            <w:r>
              <w:rPr>
                <w:rFonts w:hint="default" w:ascii="Times New Roman" w:hAnsi="Times New Roman" w:cs="Times New Roman"/>
                <w:b/>
                <w:bCs/>
                <w:sz w:val="21"/>
                <w:szCs w:val="21"/>
              </w:rPr>
              <w:tab/>
            </w:r>
            <w:r>
              <w:rPr>
                <w:rFonts w:hint="default" w:ascii="Times New Roman" w:hAnsi="Times New Roman" w:cs="Times New Roman"/>
                <w:b/>
                <w:bCs/>
                <w:sz w:val="21"/>
                <w:szCs w:val="21"/>
              </w:rPr>
              <w:t>光伏组件典型参数表</w:t>
            </w:r>
          </w:p>
          <w:tbl>
            <w:tblPr>
              <w:tblStyle w:val="25"/>
              <w:tblW w:w="781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145"/>
              <w:gridCol w:w="1931"/>
              <w:gridCol w:w="2740"/>
            </w:tblGrid>
            <w:tr w14:paraId="1334AD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33D8FB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931" w:type="dxa"/>
                  <w:tcBorders>
                    <w:tl2br w:val="nil"/>
                    <w:tr2bl w:val="nil"/>
                  </w:tcBorders>
                  <w:vAlign w:val="top"/>
                </w:tcPr>
                <w:p w14:paraId="675065A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740" w:type="dxa"/>
                  <w:tcBorders>
                    <w:tl2br w:val="nil"/>
                    <w:tr2bl w:val="nil"/>
                  </w:tcBorders>
                  <w:vAlign w:val="top"/>
                </w:tcPr>
                <w:p w14:paraId="1DB769B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Wp</w:t>
                  </w:r>
                </w:p>
              </w:tc>
            </w:tr>
            <w:tr w14:paraId="52AF93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C14499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w:t>
                  </w:r>
                </w:p>
              </w:tc>
              <w:tc>
                <w:tcPr>
                  <w:tcW w:w="1931" w:type="dxa"/>
                  <w:tcBorders>
                    <w:tl2br w:val="nil"/>
                    <w:tr2bl w:val="nil"/>
                  </w:tcBorders>
                  <w:vAlign w:val="top"/>
                </w:tcPr>
                <w:p w14:paraId="495DE8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0D74F63C">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65</w:t>
                  </w:r>
                  <w:r>
                    <w:rPr>
                      <w:rFonts w:hint="eastAsia" w:ascii="Times New Roman" w:hAnsi="Times New Roman" w:eastAsia="宋体" w:cs="Times New Roman"/>
                      <w:sz w:val="21"/>
                      <w:szCs w:val="21"/>
                      <w:lang w:val="en-US" w:eastAsia="zh-CN"/>
                    </w:rPr>
                    <w:t>5</w:t>
                  </w:r>
                </w:p>
              </w:tc>
            </w:tr>
            <w:tr w14:paraId="3E4528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A3138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输出功率公差</w:t>
                  </w:r>
                </w:p>
              </w:tc>
              <w:tc>
                <w:tcPr>
                  <w:tcW w:w="1931" w:type="dxa"/>
                  <w:tcBorders>
                    <w:tl2br w:val="nil"/>
                    <w:tr2bl w:val="nil"/>
                  </w:tcBorders>
                  <w:vAlign w:val="top"/>
                </w:tcPr>
                <w:p w14:paraId="797587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163490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14:paraId="776131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1A68B9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最大功率点的工作电压</w:t>
                  </w:r>
                </w:p>
              </w:tc>
              <w:tc>
                <w:tcPr>
                  <w:tcW w:w="1931" w:type="dxa"/>
                  <w:tcBorders>
                    <w:tl2br w:val="nil"/>
                    <w:tr2bl w:val="nil"/>
                  </w:tcBorders>
                  <w:vAlign w:val="top"/>
                </w:tcPr>
                <w:p w14:paraId="34BC2B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560BDF6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37.</w:t>
                  </w:r>
                  <w:r>
                    <w:rPr>
                      <w:rFonts w:hint="eastAsia" w:ascii="Times New Roman" w:hAnsi="Times New Roman" w:eastAsia="宋体" w:cs="Times New Roman"/>
                      <w:sz w:val="21"/>
                      <w:szCs w:val="21"/>
                      <w:lang w:val="en-US" w:eastAsia="zh-CN"/>
                    </w:rPr>
                    <w:t>9</w:t>
                  </w:r>
                </w:p>
              </w:tc>
            </w:tr>
            <w:tr w14:paraId="22EAA1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0CCE3F8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最大功率点的工作电流</w:t>
                  </w:r>
                </w:p>
              </w:tc>
              <w:tc>
                <w:tcPr>
                  <w:tcW w:w="1931" w:type="dxa"/>
                  <w:tcBorders>
                    <w:tl2br w:val="nil"/>
                    <w:tr2bl w:val="nil"/>
                  </w:tcBorders>
                  <w:vAlign w:val="top"/>
                </w:tcPr>
                <w:p w14:paraId="7785D25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7F557B1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17.</w:t>
                  </w:r>
                  <w:r>
                    <w:rPr>
                      <w:rFonts w:hint="eastAsia" w:ascii="Times New Roman" w:hAnsi="Times New Roman" w:eastAsia="宋体" w:cs="Times New Roman"/>
                      <w:sz w:val="21"/>
                      <w:szCs w:val="21"/>
                      <w:lang w:val="en-US" w:eastAsia="zh-CN"/>
                    </w:rPr>
                    <w:t>31</w:t>
                  </w:r>
                </w:p>
              </w:tc>
            </w:tr>
            <w:tr w14:paraId="1E1997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1522C0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w:t>
                  </w:r>
                </w:p>
              </w:tc>
              <w:tc>
                <w:tcPr>
                  <w:tcW w:w="1931" w:type="dxa"/>
                  <w:tcBorders>
                    <w:tl2br w:val="nil"/>
                    <w:tr2bl w:val="nil"/>
                  </w:tcBorders>
                  <w:vAlign w:val="top"/>
                </w:tcPr>
                <w:p w14:paraId="6CBC13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746FD029">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45.</w:t>
                  </w:r>
                  <w:r>
                    <w:rPr>
                      <w:rFonts w:hint="eastAsia" w:ascii="Times New Roman" w:hAnsi="Times New Roman" w:eastAsia="宋体" w:cs="Times New Roman"/>
                      <w:sz w:val="21"/>
                      <w:szCs w:val="21"/>
                      <w:lang w:val="en-US" w:eastAsia="zh-CN"/>
                    </w:rPr>
                    <w:t>7</w:t>
                  </w:r>
                </w:p>
              </w:tc>
            </w:tr>
            <w:tr w14:paraId="7BBCC2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77DDD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w:t>
                  </w:r>
                </w:p>
              </w:tc>
              <w:tc>
                <w:tcPr>
                  <w:tcW w:w="1931" w:type="dxa"/>
                  <w:tcBorders>
                    <w:tl2br w:val="nil"/>
                    <w:tr2bl w:val="nil"/>
                  </w:tcBorders>
                  <w:vAlign w:val="top"/>
                </w:tcPr>
                <w:p w14:paraId="78AF369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3F227E0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18.</w:t>
                  </w:r>
                  <w:r>
                    <w:rPr>
                      <w:rFonts w:hint="eastAsia" w:ascii="Times New Roman" w:hAnsi="Times New Roman" w:eastAsia="宋体" w:cs="Times New Roman"/>
                      <w:sz w:val="21"/>
                      <w:szCs w:val="21"/>
                      <w:lang w:val="en-US" w:eastAsia="zh-CN"/>
                    </w:rPr>
                    <w:t>40</w:t>
                  </w:r>
                </w:p>
              </w:tc>
            </w:tr>
            <w:tr w14:paraId="7A44CC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0FADC1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短路电流的温度系数</w:t>
                  </w:r>
                </w:p>
              </w:tc>
              <w:tc>
                <w:tcPr>
                  <w:tcW w:w="1931" w:type="dxa"/>
                  <w:tcBorders>
                    <w:tl2br w:val="nil"/>
                    <w:tr2bl w:val="nil"/>
                  </w:tcBorders>
                  <w:vAlign w:val="top"/>
                </w:tcPr>
                <w:p w14:paraId="5CC11B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0BC79E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r>
            <w:tr w14:paraId="3ADF77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814A70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开路电压的温度系数</w:t>
                  </w:r>
                </w:p>
              </w:tc>
              <w:tc>
                <w:tcPr>
                  <w:tcW w:w="1931" w:type="dxa"/>
                  <w:tcBorders>
                    <w:tl2br w:val="nil"/>
                    <w:tr2bl w:val="nil"/>
                  </w:tcBorders>
                  <w:vAlign w:val="top"/>
                </w:tcPr>
                <w:p w14:paraId="5DAE14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7980907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r>
            <w:tr w14:paraId="159B5D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40FD8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峰值功率的温度系数</w:t>
                  </w:r>
                </w:p>
              </w:tc>
              <w:tc>
                <w:tcPr>
                  <w:tcW w:w="1931" w:type="dxa"/>
                  <w:tcBorders>
                    <w:tl2br w:val="nil"/>
                    <w:tr2bl w:val="nil"/>
                  </w:tcBorders>
                  <w:vAlign w:val="top"/>
                </w:tcPr>
                <w:p w14:paraId="29CBC1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65779C3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-0.34</w:t>
                  </w:r>
                </w:p>
              </w:tc>
            </w:tr>
            <w:tr w14:paraId="30A2BE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0D14297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最大系统电压</w:t>
                  </w:r>
                </w:p>
              </w:tc>
              <w:tc>
                <w:tcPr>
                  <w:tcW w:w="1931" w:type="dxa"/>
                  <w:tcBorders>
                    <w:tl2br w:val="nil"/>
                    <w:tr2bl w:val="nil"/>
                  </w:tcBorders>
                  <w:vAlign w:val="top"/>
                </w:tcPr>
                <w:p w14:paraId="54C00D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21CC3A1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5478D8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292A9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尺寸（L/W/T）</w:t>
                  </w:r>
                </w:p>
              </w:tc>
              <w:tc>
                <w:tcPr>
                  <w:tcW w:w="1931" w:type="dxa"/>
                  <w:tcBorders>
                    <w:tl2br w:val="nil"/>
                    <w:tr2bl w:val="nil"/>
                  </w:tcBorders>
                  <w:vAlign w:val="top"/>
                </w:tcPr>
                <w:p w14:paraId="6CCB13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740" w:type="dxa"/>
                  <w:tcBorders>
                    <w:tl2br w:val="nil"/>
                    <w:tr2bl w:val="nil"/>
                  </w:tcBorders>
                  <w:vAlign w:val="top"/>
                </w:tcPr>
                <w:p w14:paraId="5F1F4B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2384/1303/35</w:t>
                  </w:r>
                </w:p>
              </w:tc>
            </w:tr>
            <w:tr w14:paraId="46E2B3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CC751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工作温度范围</w:t>
                  </w:r>
                </w:p>
              </w:tc>
              <w:tc>
                <w:tcPr>
                  <w:tcW w:w="1931" w:type="dxa"/>
                  <w:tcBorders>
                    <w:tl2br w:val="nil"/>
                    <w:tr2bl w:val="nil"/>
                  </w:tcBorders>
                  <w:vAlign w:val="top"/>
                </w:tcPr>
                <w:p w14:paraId="2C5FEE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40" w:type="dxa"/>
                  <w:tcBorders>
                    <w:tl2br w:val="nil"/>
                    <w:tr2bl w:val="nil"/>
                  </w:tcBorders>
                  <w:vAlign w:val="top"/>
                </w:tcPr>
                <w:p w14:paraId="5CD93E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-40～+85</w:t>
                  </w:r>
                </w:p>
              </w:tc>
            </w:tr>
          </w:tbl>
          <w:p w14:paraId="50487699">
            <w:pPr>
              <w:pStyle w:val="13"/>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p>
          <w:p w14:paraId="1AD746EC">
            <w:pPr>
              <w:pStyle w:val="13"/>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（2）逆变器</w:t>
            </w:r>
          </w:p>
          <w:p w14:paraId="702A4657">
            <w:pPr>
              <w:pStyle w:val="13"/>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2"/>
                <w:sz w:val="24"/>
                <w:szCs w:val="24"/>
                <w:lang w:val="en-US" w:eastAsia="zh-CN" w:bidi="ar"/>
              </w:rPr>
              <w:t>光伏厂区采用</w:t>
            </w:r>
            <w:r>
              <w:rPr>
                <w:rFonts w:hint="eastAsia" w:ascii="Times New Roman" w:hAnsi="Times New Roman" w:eastAsia="宋体" w:cs="Times New Roman"/>
                <w:color w:val="auto"/>
                <w:kern w:val="2"/>
                <w:sz w:val="24"/>
                <w:szCs w:val="24"/>
                <w:lang w:val="en-US" w:eastAsia="zh-CN" w:bidi="ar"/>
              </w:rPr>
              <w:t>320</w:t>
            </w:r>
            <w:r>
              <w:rPr>
                <w:rFonts w:hint="default" w:ascii="Times New Roman" w:hAnsi="Times New Roman" w:eastAsia="宋体" w:cs="Times New Roman"/>
                <w:color w:val="auto"/>
                <w:kern w:val="2"/>
                <w:sz w:val="24"/>
                <w:szCs w:val="24"/>
                <w:lang w:val="en-US" w:eastAsia="zh-CN" w:bidi="ar"/>
              </w:rPr>
              <w:t>kW组串式逆变器，</w:t>
            </w:r>
            <w:r>
              <w:rPr>
                <w:rFonts w:hint="default" w:ascii="Times New Roman" w:hAnsi="Times New Roman" w:eastAsia="宋体" w:cs="Times New Roman"/>
                <w:sz w:val="24"/>
                <w:szCs w:val="24"/>
                <w:lang w:val="en-US" w:eastAsia="zh-CN"/>
              </w:rPr>
              <w:t>1.6MW单个子方阵采用5台320kW组串式逆变器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3.2MW单个子方阵采用10台320kW组串式逆变器</w:t>
            </w:r>
            <w:r>
              <w:rPr>
                <w:rFonts w:hint="eastAsia" w:ascii="Times New Roman" w:hAnsi="Times New Roman" w:eastAsia="宋体" w:cs="Times New Roman"/>
                <w:sz w:val="24"/>
                <w:szCs w:val="24"/>
                <w:lang w:val="en-US" w:eastAsia="zh-CN"/>
              </w:rPr>
              <w:t>，2.56</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台320kW组串式逆变器</w:t>
            </w:r>
            <w:r>
              <w:rPr>
                <w:rFonts w:hint="eastAsia" w:ascii="Times New Roman" w:hAnsi="Times New Roman" w:eastAsia="宋体" w:cs="Times New Roman"/>
                <w:sz w:val="24"/>
                <w:szCs w:val="24"/>
                <w:lang w:val="en-US" w:eastAsia="zh-CN"/>
              </w:rPr>
              <w:t>，1.92</w:t>
            </w:r>
            <w:r>
              <w:rPr>
                <w:rFonts w:hint="default" w:ascii="Times New Roman" w:hAnsi="Times New Roman" w:eastAsia="宋体" w:cs="Times New Roman"/>
                <w:sz w:val="24"/>
                <w:szCs w:val="24"/>
                <w:lang w:val="en-US" w:eastAsia="zh-CN"/>
              </w:rPr>
              <w:t>MW单个子方阵采用</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台320kW组串式逆变器</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kern w:val="0"/>
                <w:sz w:val="24"/>
              </w:rPr>
              <w:t>再由逆变器汇至35kV箱变</w:t>
            </w:r>
            <w:r>
              <w:rPr>
                <w:rFonts w:hint="eastAsia" w:ascii="Times New Roman" w:hAnsi="Times New Roman" w:eastAsia="宋体" w:cs="Times New Roman"/>
                <w:color w:val="auto"/>
                <w:kern w:val="0"/>
                <w:sz w:val="24"/>
                <w:lang w:eastAsia="zh-CN"/>
              </w:rPr>
              <w:t>。</w:t>
            </w:r>
          </w:p>
          <w:p w14:paraId="6DE48852">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2-4</w:t>
            </w:r>
            <w:r>
              <w:rPr>
                <w:rFonts w:hint="default" w:ascii="Times New Roman" w:hAnsi="Times New Roman" w:cs="Times New Roman"/>
                <w:b/>
                <w:bCs/>
                <w:sz w:val="21"/>
                <w:szCs w:val="21"/>
              </w:rPr>
              <w:tab/>
            </w:r>
            <w:r>
              <w:rPr>
                <w:rFonts w:hint="default" w:ascii="Times New Roman" w:hAnsi="Times New Roman" w:cs="Times New Roman"/>
                <w:b/>
                <w:bCs/>
                <w:sz w:val="21"/>
                <w:szCs w:val="21"/>
              </w:rPr>
              <w:t>组串式逆变器主要参数</w:t>
            </w:r>
          </w:p>
          <w:tbl>
            <w:tblPr>
              <w:tblStyle w:val="25"/>
              <w:tblW w:w="78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3443"/>
              <w:gridCol w:w="3183"/>
            </w:tblGrid>
            <w:tr w14:paraId="34151A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623" w:type="dxa"/>
                  <w:gridSpan w:val="2"/>
                  <w:tcBorders>
                    <w:tl2br w:val="nil"/>
                    <w:tr2bl w:val="nil"/>
                  </w:tcBorders>
                  <w:vAlign w:val="top"/>
                </w:tcPr>
                <w:p w14:paraId="54F0EB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183" w:type="dxa"/>
                  <w:tcBorders>
                    <w:tl2br w:val="nil"/>
                    <w:tr2bl w:val="nil"/>
                  </w:tcBorders>
                  <w:vAlign w:val="top"/>
                </w:tcPr>
                <w:p w14:paraId="42BF87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320kW 逆变器</w:t>
                  </w:r>
                </w:p>
              </w:tc>
            </w:tr>
            <w:tr w14:paraId="35371A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5A99BC1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4EC9F4C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05B528B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7D35F29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5D7A6D2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输入参数</w:t>
                  </w:r>
                </w:p>
              </w:tc>
              <w:tc>
                <w:tcPr>
                  <w:tcW w:w="3443" w:type="dxa"/>
                  <w:tcBorders>
                    <w:tl2br w:val="nil"/>
                    <w:tr2bl w:val="nil"/>
                  </w:tcBorders>
                  <w:vAlign w:val="top"/>
                </w:tcPr>
                <w:p w14:paraId="104711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最大输入电压（Vdc）</w:t>
                  </w:r>
                </w:p>
              </w:tc>
              <w:tc>
                <w:tcPr>
                  <w:tcW w:w="3183" w:type="dxa"/>
                  <w:tcBorders>
                    <w:tl2br w:val="nil"/>
                    <w:tr2bl w:val="nil"/>
                  </w:tcBorders>
                  <w:vAlign w:val="top"/>
                </w:tcPr>
                <w:p w14:paraId="1C27B3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39B30A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F6180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1952A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直流输入支路数</w:t>
                  </w:r>
                </w:p>
              </w:tc>
              <w:tc>
                <w:tcPr>
                  <w:tcW w:w="3183" w:type="dxa"/>
                  <w:tcBorders>
                    <w:tl2br w:val="nil"/>
                    <w:tr2bl w:val="nil"/>
                  </w:tcBorders>
                  <w:vAlign w:val="top"/>
                </w:tcPr>
                <w:p w14:paraId="71DFDD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r>
            <w:tr w14:paraId="01A678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24F36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47E49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路数</w:t>
                  </w:r>
                </w:p>
              </w:tc>
              <w:tc>
                <w:tcPr>
                  <w:tcW w:w="3183" w:type="dxa"/>
                  <w:tcBorders>
                    <w:tl2br w:val="nil"/>
                    <w:tr2bl w:val="nil"/>
                  </w:tcBorders>
                  <w:vAlign w:val="top"/>
                </w:tcPr>
                <w:p w14:paraId="34FF804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r>
            <w:tr w14:paraId="4AAC2E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92829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FD3B7A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电压范围（Vac）</w:t>
                  </w:r>
                </w:p>
              </w:tc>
              <w:tc>
                <w:tcPr>
                  <w:tcW w:w="3183" w:type="dxa"/>
                  <w:tcBorders>
                    <w:tl2br w:val="nil"/>
                    <w:tr2bl w:val="nil"/>
                  </w:tcBorders>
                  <w:vAlign w:val="top"/>
                </w:tcPr>
                <w:p w14:paraId="5F7A8B7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500V-1500V</w:t>
                  </w:r>
                </w:p>
              </w:tc>
            </w:tr>
            <w:tr w14:paraId="77B76D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AF31C6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FB5B2D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每路 MPPT 最大输入电流（Adc）</w:t>
                  </w:r>
                </w:p>
              </w:tc>
              <w:tc>
                <w:tcPr>
                  <w:tcW w:w="3183" w:type="dxa"/>
                  <w:tcBorders>
                    <w:tl2br w:val="nil"/>
                    <w:tr2bl w:val="nil"/>
                  </w:tcBorders>
                  <w:vAlign w:val="top"/>
                </w:tcPr>
                <w:p w14:paraId="714DEA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14:paraId="29499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368FF19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C5CEB4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4FE479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6449FA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61FFA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787EBA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输出参数</w:t>
                  </w:r>
                </w:p>
              </w:tc>
              <w:tc>
                <w:tcPr>
                  <w:tcW w:w="3443" w:type="dxa"/>
                  <w:tcBorders>
                    <w:tl2br w:val="nil"/>
                    <w:tr2bl w:val="nil"/>
                  </w:tcBorders>
                  <w:vAlign w:val="top"/>
                </w:tcPr>
                <w:p w14:paraId="55DB669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额定交流输出功率（kW</w:t>
                  </w:r>
                  <w:r>
                    <w:rPr>
                      <w:rFonts w:hint="eastAsia" w:ascii="Times New Roman" w:hAnsi="Times New Roman" w:eastAsia="宋体" w:cs="Times New Roman"/>
                      <w:sz w:val="21"/>
                      <w:szCs w:val="21"/>
                      <w:lang w:eastAsia="zh-CN"/>
                    </w:rPr>
                    <w:t>）</w:t>
                  </w:r>
                </w:p>
              </w:tc>
              <w:tc>
                <w:tcPr>
                  <w:tcW w:w="3183" w:type="dxa"/>
                  <w:tcBorders>
                    <w:tl2br w:val="nil"/>
                    <w:tr2bl w:val="nil"/>
                  </w:tcBorders>
                  <w:vAlign w:val="top"/>
                </w:tcPr>
                <w:p w14:paraId="357C7BD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320</w:t>
                  </w:r>
                </w:p>
              </w:tc>
            </w:tr>
            <w:tr w14:paraId="793DD8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AE222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1C834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最大输出功率（kVA）</w:t>
                  </w:r>
                </w:p>
              </w:tc>
              <w:tc>
                <w:tcPr>
                  <w:tcW w:w="3183" w:type="dxa"/>
                  <w:tcBorders>
                    <w:tl2br w:val="nil"/>
                    <w:tr2bl w:val="nil"/>
                  </w:tcBorders>
                  <w:vAlign w:val="top"/>
                </w:tcPr>
                <w:p w14:paraId="41A1E45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352</w:t>
                  </w:r>
                </w:p>
              </w:tc>
            </w:tr>
            <w:tr w14:paraId="69945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3D92F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0166D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最大输出电流（Aac）</w:t>
                  </w:r>
                </w:p>
              </w:tc>
              <w:tc>
                <w:tcPr>
                  <w:tcW w:w="3183" w:type="dxa"/>
                  <w:tcBorders>
                    <w:tl2br w:val="nil"/>
                    <w:tr2bl w:val="nil"/>
                  </w:tcBorders>
                  <w:vAlign w:val="top"/>
                </w:tcPr>
                <w:p w14:paraId="207C14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254</w:t>
                  </w:r>
                </w:p>
              </w:tc>
            </w:tr>
            <w:tr w14:paraId="5E46E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7D0808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BB9AD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额定电网频率（Hz）</w:t>
                  </w:r>
                </w:p>
              </w:tc>
              <w:tc>
                <w:tcPr>
                  <w:tcW w:w="3183" w:type="dxa"/>
                  <w:tcBorders>
                    <w:tl2br w:val="nil"/>
                    <w:tr2bl w:val="nil"/>
                  </w:tcBorders>
                  <w:vAlign w:val="top"/>
                </w:tcPr>
                <w:p w14:paraId="5FB6C3D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14:paraId="3D814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281413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4CAAEA9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额定输出电压</w:t>
                  </w:r>
                </w:p>
              </w:tc>
              <w:tc>
                <w:tcPr>
                  <w:tcW w:w="3183" w:type="dxa"/>
                  <w:tcBorders>
                    <w:tl2br w:val="nil"/>
                    <w:tr2bl w:val="nil"/>
                  </w:tcBorders>
                  <w:vAlign w:val="top"/>
                </w:tcPr>
                <w:p w14:paraId="595952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800V，3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PE</w:t>
                  </w:r>
                </w:p>
              </w:tc>
            </w:tr>
            <w:tr w14:paraId="74EEC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EAAFF8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893ECF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功率因数</w:t>
                  </w:r>
                </w:p>
              </w:tc>
              <w:tc>
                <w:tcPr>
                  <w:tcW w:w="3183" w:type="dxa"/>
                  <w:tcBorders>
                    <w:tl2br w:val="nil"/>
                    <w:tr2bl w:val="nil"/>
                  </w:tcBorders>
                  <w:vAlign w:val="top"/>
                </w:tcPr>
                <w:p w14:paraId="28848B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0.8（超前）～0.8（滞后）</w:t>
                  </w:r>
                </w:p>
              </w:tc>
            </w:tr>
            <w:tr w14:paraId="00267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65F4A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D6D7E7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最大总谐波失真</w:t>
                  </w:r>
                </w:p>
              </w:tc>
              <w:tc>
                <w:tcPr>
                  <w:tcW w:w="3183" w:type="dxa"/>
                  <w:tcBorders>
                    <w:tl2br w:val="nil"/>
                    <w:tr2bl w:val="nil"/>
                  </w:tcBorders>
                  <w:vAlign w:val="top"/>
                </w:tcPr>
                <w:p w14:paraId="590C589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14:paraId="3507B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26A1BF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67F43C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40A2F02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2FFA55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5BD8BE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2CCB8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61834A7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396197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p w14:paraId="17E1BD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系统性能</w:t>
                  </w:r>
                </w:p>
              </w:tc>
              <w:tc>
                <w:tcPr>
                  <w:tcW w:w="3443" w:type="dxa"/>
                  <w:tcBorders>
                    <w:tl2br w:val="nil"/>
                    <w:tr2bl w:val="nil"/>
                  </w:tcBorders>
                  <w:vAlign w:val="top"/>
                </w:tcPr>
                <w:p w14:paraId="46C21F4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最大逆变器效率（%）</w:t>
                  </w:r>
                </w:p>
              </w:tc>
              <w:tc>
                <w:tcPr>
                  <w:tcW w:w="3183" w:type="dxa"/>
                  <w:tcBorders>
                    <w:tl2br w:val="nil"/>
                    <w:tr2bl w:val="nil"/>
                  </w:tcBorders>
                  <w:vAlign w:val="top"/>
                </w:tcPr>
                <w:p w14:paraId="745FBE96">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≥99.0</w:t>
                  </w:r>
                  <w:r>
                    <w:rPr>
                      <w:rFonts w:hint="eastAsia" w:ascii="Times New Roman" w:hAnsi="Times New Roman" w:eastAsia="宋体" w:cs="Times New Roman"/>
                      <w:sz w:val="21"/>
                      <w:szCs w:val="21"/>
                      <w:lang w:val="en-US" w:eastAsia="zh-CN"/>
                    </w:rPr>
                    <w:t>3</w:t>
                  </w:r>
                </w:p>
              </w:tc>
            </w:tr>
            <w:tr w14:paraId="51DA6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9C881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EF882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中国效率（%）</w:t>
                  </w:r>
                </w:p>
              </w:tc>
              <w:tc>
                <w:tcPr>
                  <w:tcW w:w="3183" w:type="dxa"/>
                  <w:tcBorders>
                    <w:tl2br w:val="nil"/>
                    <w:tr2bl w:val="nil"/>
                  </w:tcBorders>
                  <w:vAlign w:val="top"/>
                </w:tcPr>
                <w:p w14:paraId="697EC3B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≥98.52</w:t>
                  </w:r>
                </w:p>
              </w:tc>
            </w:tr>
            <w:tr w14:paraId="7A5838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043F4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1EF53C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外壳防护等级</w:t>
                  </w:r>
                </w:p>
              </w:tc>
              <w:tc>
                <w:tcPr>
                  <w:tcW w:w="3183" w:type="dxa"/>
                  <w:tcBorders>
                    <w:tl2br w:val="nil"/>
                    <w:tr2bl w:val="nil"/>
                  </w:tcBorders>
                  <w:vAlign w:val="top"/>
                </w:tcPr>
                <w:p w14:paraId="726B827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IP66</w:t>
                  </w:r>
                </w:p>
              </w:tc>
            </w:tr>
            <w:tr w14:paraId="413EC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7BE0EB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36E6B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环境温度（℃）</w:t>
                  </w:r>
                </w:p>
              </w:tc>
              <w:tc>
                <w:tcPr>
                  <w:tcW w:w="3183" w:type="dxa"/>
                  <w:tcBorders>
                    <w:tl2br w:val="nil"/>
                    <w:tr2bl w:val="nil"/>
                  </w:tcBorders>
                  <w:vAlign w:val="top"/>
                </w:tcPr>
                <w:p w14:paraId="217AE0B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-30～60</w:t>
                  </w:r>
                </w:p>
              </w:tc>
            </w:tr>
            <w:tr w14:paraId="082914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7EEB57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40BB46D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冷却方式</w:t>
                  </w:r>
                </w:p>
              </w:tc>
              <w:tc>
                <w:tcPr>
                  <w:tcW w:w="3183" w:type="dxa"/>
                  <w:tcBorders>
                    <w:tl2br w:val="nil"/>
                    <w:tr2bl w:val="nil"/>
                  </w:tcBorders>
                  <w:vAlign w:val="top"/>
                </w:tcPr>
                <w:p w14:paraId="2FB138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智能强制风冷</w:t>
                  </w:r>
                </w:p>
              </w:tc>
            </w:tr>
            <w:tr w14:paraId="6EAFE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60CA6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AD63D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相对湿度</w:t>
                  </w:r>
                </w:p>
              </w:tc>
              <w:tc>
                <w:tcPr>
                  <w:tcW w:w="3183" w:type="dxa"/>
                  <w:tcBorders>
                    <w:tl2br w:val="nil"/>
                    <w:tr2bl w:val="nil"/>
                  </w:tcBorders>
                  <w:vAlign w:val="top"/>
                </w:tcPr>
                <w:p w14:paraId="695E9B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r>
            <w:tr w14:paraId="60014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480DC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82EDE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允许最高安装海拔高度（m）</w:t>
                  </w:r>
                </w:p>
              </w:tc>
              <w:tc>
                <w:tcPr>
                  <w:tcW w:w="3183" w:type="dxa"/>
                  <w:tcBorders>
                    <w:tl2br w:val="nil"/>
                    <w:tr2bl w:val="nil"/>
                  </w:tcBorders>
                  <w:vAlign w:val="top"/>
                </w:tcPr>
                <w:p w14:paraId="6DE2214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5000m（&gt;4000m 降额）</w:t>
                  </w:r>
                </w:p>
              </w:tc>
            </w:tr>
            <w:tr w14:paraId="01EDB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2242E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7F10F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通讯方式</w:t>
                  </w:r>
                </w:p>
              </w:tc>
              <w:tc>
                <w:tcPr>
                  <w:tcW w:w="3183" w:type="dxa"/>
                  <w:tcBorders>
                    <w:tl2br w:val="nil"/>
                    <w:tr2bl w:val="nil"/>
                  </w:tcBorders>
                  <w:vAlign w:val="top"/>
                </w:tcPr>
                <w:p w14:paraId="68F1958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RS485/PLC</w:t>
                  </w:r>
                </w:p>
              </w:tc>
            </w:tr>
            <w:tr w14:paraId="70AEC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B08E5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14585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宽×高×深（mm）</w:t>
                  </w:r>
                </w:p>
              </w:tc>
              <w:tc>
                <w:tcPr>
                  <w:tcW w:w="3183" w:type="dxa"/>
                  <w:tcBorders>
                    <w:tl2br w:val="nil"/>
                    <w:tr2bl w:val="nil"/>
                  </w:tcBorders>
                  <w:vAlign w:val="top"/>
                </w:tcPr>
                <w:p w14:paraId="47E33A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×8</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0×36</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mm</w:t>
                  </w:r>
                </w:p>
              </w:tc>
            </w:tr>
            <w:tr w14:paraId="14E3E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7AF2E1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066AE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重量（含挂架）</w:t>
                  </w:r>
                </w:p>
              </w:tc>
              <w:tc>
                <w:tcPr>
                  <w:tcW w:w="3183" w:type="dxa"/>
                  <w:tcBorders>
                    <w:tl2br w:val="nil"/>
                    <w:tr2bl w:val="nil"/>
                  </w:tcBorders>
                  <w:vAlign w:val="top"/>
                </w:tcPr>
                <w:p w14:paraId="7A45A1A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kg</w:t>
                  </w:r>
                </w:p>
              </w:tc>
            </w:tr>
          </w:tbl>
          <w:p w14:paraId="2241797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箱式变压器</w:t>
            </w:r>
          </w:p>
          <w:p w14:paraId="0A4DED2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eastAsiaTheme="minorEastAsia"/>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考虑到光伏发电利用小时较低，变压器故障概率较小</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，推荐采用</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2台</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3200kVA、</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1台256</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0kVA</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、7台1920</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kVA</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、1台1600</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kVA 双绕组箱式升压变压器，每个方阵布置对应容量的箱变一台</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共计</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11</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台</w:t>
            </w:r>
            <w:r>
              <w:rPr>
                <w:rFonts w:hint="default" w:ascii="Times New Roman" w:hAnsi="Times New Roman" w:eastAsia="宋体" w:cs="Times New Roman"/>
                <w:color w:val="auto"/>
                <w:kern w:val="2"/>
                <w:sz w:val="24"/>
                <w:szCs w:val="24"/>
                <w:lang w:val="en-US" w:eastAsia="zh-CN" w:bidi="ar"/>
              </w:rPr>
              <w:t>。箱式变压器为一体化集装箱型式，箱变采用美变，就地布置在光伏方阵附近。箱变采用配置负荷开关+隔离开关，两侧采用电缆出线，箱变低压侧设置一台变压器，作为箱变内部照明、检修、加热电源</w:t>
            </w:r>
            <w:r>
              <w:rPr>
                <w:rFonts w:hint="eastAsia" w:ascii="Times New Roman" w:hAnsi="Times New Roman" w:eastAsia="宋体" w:cs="Times New Roman"/>
                <w:color w:val="auto"/>
                <w:kern w:val="2"/>
                <w:sz w:val="24"/>
                <w:szCs w:val="24"/>
                <w:lang w:val="en-US" w:eastAsia="zh-CN" w:bidi="ar"/>
              </w:rPr>
              <w:t>。</w:t>
            </w:r>
            <w:r>
              <w:rPr>
                <w:rFonts w:hint="default"/>
                <w:spacing w:val="-8"/>
              </w:rPr>
              <w:t xml:space="preserve">光伏发电系统的 </w:t>
            </w:r>
            <w:r>
              <w:rPr>
                <w:rFonts w:hint="default" w:ascii="Times New Roman" w:eastAsia="Times New Roman"/>
              </w:rPr>
              <w:t>37/0.8kV</w:t>
            </w:r>
            <w:r>
              <w:rPr>
                <w:rFonts w:hint="default"/>
              </w:rPr>
              <w:t>升压变压器高压侧采用负荷开关</w:t>
            </w:r>
            <w:r>
              <w:rPr>
                <w:rFonts w:hint="default" w:ascii="Times New Roman" w:eastAsia="Times New Roman"/>
              </w:rPr>
              <w:t>+</w:t>
            </w:r>
            <w:r>
              <w:rPr>
                <w:rFonts w:hint="default"/>
                <w:spacing w:val="-2"/>
              </w:rPr>
              <w:t>隔离开关作为主保护。</w:t>
            </w:r>
            <w:r>
              <w:rPr>
                <w:rFonts w:hint="default"/>
                <w:spacing w:val="-5"/>
              </w:rPr>
              <w:t>变压器温度、压力释放等非电量保护，作用于信号和箱变低压侧断路器的跳闸。以上保</w:t>
            </w:r>
            <w:r>
              <w:rPr>
                <w:rFonts w:hint="default"/>
                <w:spacing w:val="-8"/>
              </w:rPr>
              <w:t>护及现地控制要求与箱变一体化设计及制造，并外送空接点信号，电压、电流模拟量信号。箱变配置智能保护测控装置</w:t>
            </w:r>
            <w:r>
              <w:rPr>
                <w:rFonts w:hint="eastAsia"/>
                <w:spacing w:val="-8"/>
                <w:lang w:eastAsia="zh-CN"/>
              </w:rPr>
              <w:t>。</w:t>
            </w:r>
          </w:p>
          <w:p w14:paraId="7CE27569">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4</w:t>
            </w:r>
            <w:r>
              <w:rPr>
                <w:rFonts w:hint="default" w:ascii="Times New Roman" w:hAnsi="Times New Roman" w:eastAsia="宋体" w:cs="Times New Roman"/>
                <w:color w:val="auto"/>
                <w:kern w:val="0"/>
                <w:sz w:val="24"/>
                <w:szCs w:val="24"/>
                <w:lang w:val="en-US" w:eastAsia="zh-CN" w:bidi="en-US"/>
              </w:rPr>
              <w:t>）35kV电缆分接箱的选择</w:t>
            </w:r>
          </w:p>
          <w:p w14:paraId="4BAA1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为了便于各个光伏发电单元的电能汇集，在光伏厂区适当位置设置 35kV电缆分接箱，根据不同情况，形成合理的连接，每台电缆分接箱除出线回路不装设隔离开关外， 其余进线回路均装设隔离开关。此种连接不仅可以避免一个方阵出问题整条集电线路失电的弊端，还可以避免电缆分接箱及分接箱间电缆发生故障对整条集电线路的影响，同时使并网光伏电站各个发电单元相互独立，运行更安全，检修更方便，且影响范围更小。</w:t>
            </w:r>
          </w:p>
          <w:p w14:paraId="5C064D68">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5</w:t>
            </w:r>
            <w:r>
              <w:rPr>
                <w:rFonts w:hint="default" w:ascii="Times New Roman" w:hAnsi="Times New Roman" w:eastAsia="宋体" w:cs="Times New Roman"/>
                <w:color w:val="auto"/>
                <w:kern w:val="0"/>
                <w:sz w:val="24"/>
                <w:szCs w:val="24"/>
                <w:lang w:val="en-US" w:eastAsia="zh-CN" w:bidi="en-US"/>
              </w:rPr>
              <w:t>）光伏阵列运行方式设计</w:t>
            </w:r>
          </w:p>
          <w:p w14:paraId="307BA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本阶段根据项目地形地貌条件、项目地理纬度，推荐本工程采用固定</w:t>
            </w:r>
            <w:r>
              <w:rPr>
                <w:rFonts w:hint="eastAsia" w:ascii="Times New Roman" w:hAnsi="Times New Roman" w:eastAsia="宋体" w:cs="Times New Roman"/>
                <w:color w:val="auto"/>
                <w:kern w:val="0"/>
                <w:sz w:val="24"/>
                <w:lang w:val="en-US" w:eastAsia="zh-CN" w:bidi="en-US"/>
              </w:rPr>
              <w:t>倾角</w:t>
            </w:r>
            <w:r>
              <w:rPr>
                <w:rFonts w:hint="default" w:ascii="Times New Roman" w:hAnsi="Times New Roman" w:eastAsia="宋体" w:cs="Times New Roman"/>
                <w:color w:val="auto"/>
                <w:kern w:val="0"/>
                <w:sz w:val="24"/>
                <w:lang w:val="en-US" w:eastAsia="zh-CN" w:bidi="en-US"/>
              </w:rPr>
              <w:t>式运行方式，安装支架倾角均为</w:t>
            </w:r>
            <w:r>
              <w:rPr>
                <w:rFonts w:hint="eastAsia" w:ascii="Times New Roman" w:hAnsi="Times New Roman" w:eastAsia="宋体" w:cs="Times New Roman"/>
                <w:color w:val="auto"/>
                <w:kern w:val="0"/>
                <w:sz w:val="24"/>
                <w:lang w:val="en-US" w:eastAsia="zh-CN" w:bidi="en-US"/>
              </w:rPr>
              <w:t>22</w:t>
            </w:r>
            <w:r>
              <w:rPr>
                <w:rFonts w:hint="default" w:ascii="Times New Roman" w:hAnsi="Times New Roman" w:eastAsia="宋体" w:cs="Times New Roman"/>
                <w:color w:val="auto"/>
                <w:kern w:val="0"/>
                <w:sz w:val="24"/>
                <w:lang w:val="en-US" w:eastAsia="zh-CN" w:bidi="en-US"/>
              </w:rPr>
              <w:t>°。</w:t>
            </w:r>
          </w:p>
          <w:p w14:paraId="76B0F6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461510" cy="2160270"/>
                  <wp:effectExtent l="9525" t="9525" r="24765" b="20955"/>
                  <wp:docPr id="33" name="图片 1" descr="201101071235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20110107123508548"/>
                          <pic:cNvPicPr>
                            <a:picLocks noChangeAspect="1"/>
                          </pic:cNvPicPr>
                        </pic:nvPicPr>
                        <pic:blipFill>
                          <a:blip r:embed="rId18"/>
                          <a:stretch>
                            <a:fillRect/>
                          </a:stretch>
                        </pic:blipFill>
                        <pic:spPr>
                          <a:xfrm>
                            <a:off x="0" y="0"/>
                            <a:ext cx="4461510" cy="216027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566FF95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图2-</w:t>
            </w: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 xml:space="preserve"> 固定式安装运行方式</w:t>
            </w:r>
          </w:p>
          <w:p w14:paraId="7CBCA435">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（6）</w:t>
            </w:r>
            <w:r>
              <w:rPr>
                <w:rFonts w:hint="default" w:ascii="Times New Roman" w:hAnsi="Times New Roman" w:eastAsia="宋体" w:cs="Times New Roman"/>
                <w:color w:val="auto"/>
                <w:kern w:val="0"/>
                <w:sz w:val="24"/>
                <w:szCs w:val="24"/>
                <w:lang w:val="en-US" w:eastAsia="zh-CN" w:bidi="en-US"/>
              </w:rPr>
              <w:t>单支架光伏组串排列设计</w:t>
            </w:r>
          </w:p>
          <w:p w14:paraId="45F75A5C">
            <w:pPr>
              <w:pStyle w:val="10"/>
              <w:keepNext w:val="0"/>
              <w:keepLines w:val="0"/>
              <w:suppressLineNumbers w:val="0"/>
              <w:spacing w:beforeAutospacing="0" w:afterAutospacing="0" w:line="360" w:lineRule="auto"/>
              <w:ind w:left="0" w:firstLine="480" w:firstLineChars="200"/>
              <w:jc w:val="left"/>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本工程支架按2排、每排15个组件</w:t>
            </w:r>
            <w:r>
              <w:rPr>
                <w:rFonts w:hint="eastAsia" w:ascii="Times New Roman" w:hAnsi="Times New Roman" w:eastAsia="宋体" w:cs="Times New Roman"/>
                <w:color w:val="auto"/>
                <w:kern w:val="0"/>
                <w:sz w:val="24"/>
                <w:szCs w:val="24"/>
                <w:lang w:val="en-US" w:eastAsia="zh-CN" w:bidi="en-US"/>
              </w:rPr>
              <w:t>，2排、每排7个组件，2排、每排8个组件</w:t>
            </w:r>
            <w:r>
              <w:rPr>
                <w:rFonts w:hint="default" w:ascii="Times New Roman" w:hAnsi="Times New Roman" w:eastAsia="宋体" w:cs="Times New Roman"/>
                <w:color w:val="auto"/>
                <w:kern w:val="0"/>
                <w:sz w:val="24"/>
                <w:szCs w:val="24"/>
                <w:lang w:val="en-US" w:eastAsia="zh-CN" w:bidi="en-US"/>
              </w:rPr>
              <w:t>进行设计，即：每个支架上安装3</w:t>
            </w:r>
            <w:r>
              <w:rPr>
                <w:rFonts w:hint="eastAsia" w:ascii="Times New Roman" w:hAnsi="Times New Roman" w:eastAsia="宋体" w:cs="Times New Roman"/>
                <w:color w:val="auto"/>
                <w:kern w:val="0"/>
                <w:sz w:val="24"/>
                <w:szCs w:val="24"/>
                <w:lang w:val="en-US" w:eastAsia="zh-CN" w:bidi="en-US"/>
              </w:rPr>
              <w:t>0、14或16</w:t>
            </w:r>
            <w:r>
              <w:rPr>
                <w:rFonts w:hint="default" w:ascii="Times New Roman" w:hAnsi="Times New Roman" w:eastAsia="宋体" w:cs="Times New Roman"/>
                <w:color w:val="auto"/>
                <w:kern w:val="0"/>
                <w:sz w:val="24"/>
                <w:szCs w:val="24"/>
                <w:lang w:val="en-US" w:eastAsia="zh-CN" w:bidi="en-US"/>
              </w:rPr>
              <w:t>块双面双玻光伏组件，构成1个组串，平面尺寸约19825mm×4788mm，如图所示</w:t>
            </w:r>
            <w:r>
              <w:rPr>
                <w:rFonts w:hint="eastAsia" w:ascii="Times New Roman" w:hAnsi="Times New Roman" w:eastAsia="宋体" w:cs="Times New Roman"/>
                <w:color w:val="auto"/>
                <w:kern w:val="0"/>
                <w:sz w:val="24"/>
                <w:szCs w:val="24"/>
                <w:lang w:val="en-US" w:eastAsia="zh-CN" w:bidi="en-US"/>
              </w:rPr>
              <w:t>。</w:t>
            </w:r>
          </w:p>
          <w:p w14:paraId="6A86C103">
            <w:pPr>
              <w:keepNext w:val="0"/>
              <w:keepLines w:val="0"/>
              <w:widowControl/>
              <w:suppressLineNumbers w:val="0"/>
              <w:spacing w:before="0" w:beforeAutospacing="0" w:after="0" w:afterAutospacing="0" w:line="360" w:lineRule="auto"/>
              <w:ind w:left="0" w:right="0"/>
              <w:rPr>
                <w:rFonts w:hint="eastAsia" w:eastAsiaTheme="minorEastAsia"/>
                <w:color w:val="000000" w:themeColor="text1"/>
                <w:sz w:val="20"/>
                <w:lang w:eastAsia="zh-CN"/>
                <w14:textFill>
                  <w14:solidFill>
                    <w14:schemeClr w14:val="tx1"/>
                  </w14:solidFill>
                </w14:textFill>
              </w:rPr>
            </w:pPr>
            <w:r>
              <w:rPr>
                <w:rFonts w:hint="eastAsia" w:eastAsiaTheme="minorEastAsia"/>
                <w:color w:val="000000" w:themeColor="text1"/>
                <w:sz w:val="20"/>
                <w:lang w:eastAsia="zh-CN"/>
                <w14:textFill>
                  <w14:solidFill>
                    <w14:schemeClr w14:val="tx1"/>
                  </w14:solidFill>
                </w14:textFill>
              </w:rPr>
              <w:drawing>
                <wp:inline distT="0" distB="0" distL="114300" distR="114300">
                  <wp:extent cx="4979035" cy="1687195"/>
                  <wp:effectExtent l="0" t="0" r="12065" b="8255"/>
                  <wp:docPr id="6" name="图片 6" descr="6ce4c141b30a7297c6aa542da2d0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ce4c141b30a7297c6aa542da2d0a5e"/>
                          <pic:cNvPicPr>
                            <a:picLocks noChangeAspect="1"/>
                          </pic:cNvPicPr>
                        </pic:nvPicPr>
                        <pic:blipFill>
                          <a:blip r:embed="rId19"/>
                          <a:stretch>
                            <a:fillRect/>
                          </a:stretch>
                        </pic:blipFill>
                        <pic:spPr>
                          <a:xfrm>
                            <a:off x="0" y="0"/>
                            <a:ext cx="4979035" cy="1687195"/>
                          </a:xfrm>
                          <a:prstGeom prst="rect">
                            <a:avLst/>
                          </a:prstGeom>
                        </pic:spPr>
                      </pic:pic>
                    </a:graphicData>
                  </a:graphic>
                </wp:inline>
              </w:drawing>
            </w:r>
          </w:p>
          <w:p w14:paraId="6DB903E5">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图2-2-1  2</w:t>
            </w:r>
            <w:r>
              <w:rPr>
                <w:rFonts w:hint="eastAsia" w:ascii="微软雅黑" w:hAnsi="微软雅黑" w:eastAsia="微软雅黑" w:cs="微软雅黑"/>
                <w:color w:val="000000" w:themeColor="text1"/>
                <w:kern w:val="0"/>
                <w:sz w:val="24"/>
                <w:lang w:val="en-US" w:eastAsia="zh-CN" w:bidi="en-US"/>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15支架组件排列示意图</w:t>
            </w:r>
          </w:p>
          <w:p w14:paraId="5CCECBFE">
            <w:pPr>
              <w:pStyle w:val="30"/>
              <w:keepNext w:val="0"/>
              <w:keepLines w:val="0"/>
              <w:suppressLineNumbers w:val="0"/>
              <w:spacing w:before="0" w:beforeAutospacing="0" w:after="0" w:afterAutospacing="0"/>
              <w:ind w:left="0" w:right="0"/>
              <w:rPr>
                <w:rFonts w:hint="default"/>
                <w:lang w:val="en-US" w:eastAsia="zh-CN"/>
              </w:rPr>
            </w:pPr>
            <w:r>
              <w:rPr>
                <w:rFonts w:hint="default"/>
                <w:lang w:val="en-US" w:eastAsia="zh-CN"/>
              </w:rPr>
              <w:drawing>
                <wp:inline distT="0" distB="0" distL="114300" distR="114300">
                  <wp:extent cx="4985385" cy="1790065"/>
                  <wp:effectExtent l="0" t="0" r="5715" b="635"/>
                  <wp:docPr id="7" name="图片 7" descr="6a4cf6de60e473b653ba01b4322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4cf6de60e473b653ba01b43221eb0"/>
                          <pic:cNvPicPr>
                            <a:picLocks noChangeAspect="1"/>
                          </pic:cNvPicPr>
                        </pic:nvPicPr>
                        <pic:blipFill>
                          <a:blip r:embed="rId20"/>
                          <a:stretch>
                            <a:fillRect/>
                          </a:stretch>
                        </pic:blipFill>
                        <pic:spPr>
                          <a:xfrm>
                            <a:off x="0" y="0"/>
                            <a:ext cx="4985385" cy="1790065"/>
                          </a:xfrm>
                          <a:prstGeom prst="rect">
                            <a:avLst/>
                          </a:prstGeom>
                        </pic:spPr>
                      </pic:pic>
                    </a:graphicData>
                  </a:graphic>
                </wp:inline>
              </w:drawing>
            </w:r>
          </w:p>
          <w:p w14:paraId="68B18D03">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图2-2-2  2</w:t>
            </w:r>
            <w:r>
              <w:rPr>
                <w:rFonts w:hint="eastAsia" w:ascii="微软雅黑" w:hAnsi="微软雅黑" w:eastAsia="微软雅黑" w:cs="微软雅黑"/>
                <w:color w:val="000000" w:themeColor="text1"/>
                <w:kern w:val="0"/>
                <w:sz w:val="24"/>
                <w:lang w:val="en-US" w:eastAsia="zh-CN" w:bidi="en-US"/>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8支架组件排列示意图</w:t>
            </w:r>
          </w:p>
          <w:p w14:paraId="1D549561">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drawing>
                <wp:inline distT="0" distB="0" distL="114300" distR="114300">
                  <wp:extent cx="4983480" cy="2112010"/>
                  <wp:effectExtent l="0" t="0" r="7620" b="2540"/>
                  <wp:docPr id="8" name="图片 8" descr="072e379471546ae4c32acbaa47fc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2e379471546ae4c32acbaa47fcc07"/>
                          <pic:cNvPicPr>
                            <a:picLocks noChangeAspect="1"/>
                          </pic:cNvPicPr>
                        </pic:nvPicPr>
                        <pic:blipFill>
                          <a:blip r:embed="rId21"/>
                          <a:stretch>
                            <a:fillRect/>
                          </a:stretch>
                        </pic:blipFill>
                        <pic:spPr>
                          <a:xfrm>
                            <a:off x="0" y="0"/>
                            <a:ext cx="4983480" cy="2112010"/>
                          </a:xfrm>
                          <a:prstGeom prst="rect">
                            <a:avLst/>
                          </a:prstGeom>
                        </pic:spPr>
                      </pic:pic>
                    </a:graphicData>
                  </a:graphic>
                </wp:inline>
              </w:drawing>
            </w:r>
          </w:p>
          <w:p w14:paraId="7525C08D">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图2-2-3  2</w:t>
            </w:r>
            <w:r>
              <w:rPr>
                <w:rFonts w:hint="eastAsia" w:ascii="微软雅黑" w:hAnsi="微软雅黑" w:eastAsia="微软雅黑" w:cs="微软雅黑"/>
                <w:color w:val="000000" w:themeColor="text1"/>
                <w:kern w:val="0"/>
                <w:sz w:val="24"/>
                <w:lang w:val="en-US" w:eastAsia="zh-CN" w:bidi="en-US"/>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7支架组件排列示意图</w:t>
            </w:r>
          </w:p>
          <w:p w14:paraId="64D4832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本工程按照支架长边平行于坡面呈东西走向布置以及组件南北向倾角为</w:t>
            </w:r>
            <w:r>
              <w:rPr>
                <w:rFonts w:hint="eastAsia" w:ascii="Times New Roman" w:hAnsi="Times New Roman" w:eastAsia="宋体" w:cs="Times New Roman"/>
                <w:color w:val="auto"/>
                <w:kern w:val="0"/>
                <w:sz w:val="24"/>
                <w:lang w:val="en-US" w:eastAsia="zh-CN" w:bidi="en-US"/>
              </w:rPr>
              <w:t>22</w:t>
            </w:r>
            <w:r>
              <w:rPr>
                <w:rFonts w:hint="default" w:ascii="Times New Roman" w:hAnsi="Times New Roman" w:eastAsia="宋体" w:cs="Times New Roman"/>
                <w:color w:val="auto"/>
                <w:kern w:val="0"/>
                <w:sz w:val="24"/>
                <w:lang w:val="en-US" w:eastAsia="zh-CN" w:bidi="en-US"/>
              </w:rPr>
              <w:t>°进行安装建设。在支架安装时，必须保证不同地形条件下的支架满足确定的方位角和倾角，可以采用调整土建基础或者支架高度来完成。</w:t>
            </w:r>
          </w:p>
          <w:p w14:paraId="398C9A8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为符合云南省光伏电站占用一般耕地或其他农用地的光伏复合项目土地政策及德宏州新能源开发领导小组关于进一步做好集中式光伏发电项目开发建设管理通知，要求光伏组件最低沿应高于地面</w:t>
            </w:r>
            <w:r>
              <w:rPr>
                <w:rFonts w:hint="eastAsia" w:ascii="Times New Roman" w:hAnsi="Times New Roman" w:eastAsia="宋体" w:cs="Times New Roman"/>
                <w:color w:val="auto"/>
                <w:kern w:val="0"/>
                <w:sz w:val="24"/>
                <w:lang w:val="en-US" w:eastAsia="zh-CN" w:bidi="en-US"/>
              </w:rPr>
              <w:t>2.5</w:t>
            </w:r>
            <w:r>
              <w:rPr>
                <w:rFonts w:hint="default" w:ascii="Times New Roman" w:hAnsi="Times New Roman" w:eastAsia="宋体" w:cs="Times New Roman"/>
                <w:color w:val="auto"/>
                <w:kern w:val="0"/>
                <w:sz w:val="24"/>
                <w:lang w:val="en-US" w:eastAsia="zh-CN" w:bidi="en-US"/>
              </w:rPr>
              <w:t>m；桩基间列间距大于4m，行间距应大于6.5m</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不得破坏原有土地生产条件。</w:t>
            </w:r>
          </w:p>
          <w:p w14:paraId="7C0BBB0B">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4.2、集电线路</w:t>
            </w:r>
          </w:p>
          <w:p w14:paraId="7C4DE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本工程共布置</w:t>
            </w:r>
            <w:r>
              <w:rPr>
                <w:rFonts w:hint="eastAsia" w:ascii="Times New Roman" w:hAnsi="Times New Roman" w:eastAsia="宋体" w:cs="Times New Roman"/>
                <w:color w:val="auto"/>
                <w:kern w:val="0"/>
                <w:sz w:val="24"/>
                <w:lang w:val="en-US" w:eastAsia="zh-CN" w:bidi="en-US"/>
              </w:rPr>
              <w:t>11</w:t>
            </w:r>
            <w:r>
              <w:rPr>
                <w:rFonts w:hint="default" w:ascii="Times New Roman" w:hAnsi="Times New Roman" w:eastAsia="宋体" w:cs="Times New Roman"/>
                <w:color w:val="auto"/>
                <w:kern w:val="0"/>
                <w:sz w:val="24"/>
                <w:lang w:val="en-US" w:eastAsia="zh-CN" w:bidi="en-US"/>
              </w:rPr>
              <w:t>个光伏方阵，</w:t>
            </w:r>
            <w:r>
              <w:rPr>
                <w:rFonts w:hint="eastAsia" w:ascii="Times New Roman" w:hAnsi="Times New Roman" w:eastAsia="宋体" w:cs="Times New Roman"/>
                <w:color w:val="auto"/>
                <w:kern w:val="0"/>
                <w:sz w:val="24"/>
                <w:lang w:val="en-US" w:eastAsia="zh-CN" w:bidi="en-US"/>
              </w:rPr>
              <w:t>芒市</w:t>
            </w:r>
            <w:r>
              <w:rPr>
                <w:rFonts w:hint="eastAsia" w:ascii="Times New Roman" w:hAnsi="Times New Roman" w:eastAsia="宋体" w:cs="Times New Roman"/>
                <w:color w:val="auto"/>
                <w:kern w:val="0"/>
                <w:sz w:val="24"/>
                <w:lang w:val="en-US" w:eastAsia="zh-CN"/>
              </w:rPr>
              <w:t>芒</w:t>
            </w:r>
            <w:r>
              <w:rPr>
                <w:rFonts w:hint="default" w:ascii="Times New Roman" w:hAnsi="Times New Roman" w:eastAsia="宋体" w:cs="Times New Roman"/>
                <w:color w:val="auto"/>
                <w:kern w:val="0"/>
                <w:sz w:val="24"/>
              </w:rPr>
              <w:t>东光伏电站每个3.2MW、1.6MW</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1.92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val="en-US" w:eastAsia="zh-CN"/>
              </w:rPr>
              <w:t>、2.56</w:t>
            </w:r>
            <w:r>
              <w:rPr>
                <w:rFonts w:hint="default" w:ascii="Times New Roman" w:hAnsi="Times New Roman" w:eastAsia="宋体" w:cs="Times New Roman"/>
                <w:color w:val="auto"/>
                <w:kern w:val="0"/>
                <w:sz w:val="24"/>
              </w:rPr>
              <w:t>MW光伏子方阵经逆变升压后输出电压为35kV，在适当位置设置35kV电缆分接箱。每个3.2MW、1.6MW</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 xml:space="preserve"> </w:t>
            </w:r>
            <w:r>
              <w:rPr>
                <w:rFonts w:hint="eastAsia" w:ascii="Times New Roman" w:hAnsi="Times New Roman" w:eastAsia="宋体" w:cs="Times New Roman"/>
                <w:color w:val="auto"/>
                <w:kern w:val="0"/>
                <w:sz w:val="24"/>
                <w:lang w:val="en-US" w:eastAsia="zh-CN"/>
              </w:rPr>
              <w:t>1.92</w:t>
            </w:r>
            <w:r>
              <w:rPr>
                <w:rFonts w:hint="default" w:ascii="Times New Roman" w:hAnsi="Times New Roman" w:eastAsia="宋体" w:cs="Times New Roman"/>
                <w:color w:val="auto"/>
                <w:kern w:val="0"/>
                <w:sz w:val="24"/>
              </w:rPr>
              <w:t>MW</w:t>
            </w:r>
            <w:r>
              <w:rPr>
                <w:rFonts w:hint="eastAsia" w:ascii="Times New Roman" w:hAnsi="Times New Roman" w:eastAsia="宋体" w:cs="Times New Roman"/>
                <w:color w:val="auto"/>
                <w:kern w:val="0"/>
                <w:sz w:val="24"/>
                <w:lang w:val="en-US" w:eastAsia="zh-CN"/>
              </w:rPr>
              <w:t>、2.56</w:t>
            </w:r>
            <w:r>
              <w:rPr>
                <w:rFonts w:hint="default" w:ascii="Times New Roman" w:hAnsi="Times New Roman" w:eastAsia="宋体" w:cs="Times New Roman"/>
                <w:color w:val="auto"/>
                <w:kern w:val="0"/>
                <w:sz w:val="24"/>
              </w:rPr>
              <w:t>MW光伏方阵电力经箱变升压至35kV后，通过35kV电缆分接箱并联至35kV集电线路，集电线路汇集电力后输送至110kV</w:t>
            </w:r>
            <w:r>
              <w:rPr>
                <w:rFonts w:hint="eastAsia" w:ascii="Times New Roman" w:hAnsi="Times New Roman" w:eastAsia="宋体" w:cs="Times New Roman"/>
                <w:color w:val="auto"/>
                <w:kern w:val="0"/>
                <w:sz w:val="24"/>
                <w:lang w:val="en-US" w:eastAsia="zh-CN"/>
              </w:rPr>
              <w:t>江东光伏电站</w:t>
            </w:r>
            <w:r>
              <w:rPr>
                <w:rFonts w:hint="default" w:ascii="Times New Roman" w:hAnsi="Times New Roman" w:eastAsia="宋体" w:cs="Times New Roman"/>
                <w:color w:val="auto"/>
                <w:kern w:val="0"/>
                <w:sz w:val="24"/>
              </w:rPr>
              <w:t>升压站</w:t>
            </w:r>
            <w:r>
              <w:rPr>
                <w:rFonts w:hint="eastAsia" w:ascii="Times New Roman" w:hAnsi="Times New Roman" w:eastAsia="宋体" w:cs="Times New Roman"/>
                <w:color w:val="auto"/>
                <w:kern w:val="0"/>
                <w:sz w:val="24"/>
                <w:lang w:val="en-US" w:eastAsia="zh-CN"/>
              </w:rPr>
              <w:t>35kV侧</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bidi="en-US"/>
              </w:rPr>
              <w:t>根据布置情况分为</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东</w:t>
            </w:r>
            <w: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t>片区及</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西</w:t>
            </w:r>
            <w:r>
              <w:rPr>
                <w:rFonts w:hint="default" w:ascii="Times New Roman" w:hAnsi="Times New Roman" w:eastAsia="宋体" w:cs="Times New Roman"/>
                <w:color w:val="000000" w:themeColor="text1"/>
                <w:kern w:val="0"/>
                <w:sz w:val="24"/>
                <w:lang w:val="en-US" w:eastAsia="zh-CN" w:bidi="en-US"/>
                <w14:textFill>
                  <w14:solidFill>
                    <w14:schemeClr w14:val="tx1"/>
                  </w14:solidFill>
                </w14:textFill>
              </w:rPr>
              <w:t>片区</w:t>
            </w:r>
            <w:r>
              <w:rPr>
                <w:rFonts w:hint="default" w:ascii="Times New Roman" w:hAnsi="Times New Roman" w:eastAsia="宋体" w:cs="Times New Roman"/>
                <w:color w:val="auto"/>
                <w:kern w:val="0"/>
                <w:sz w:val="24"/>
                <w:lang w:val="en-US" w:eastAsia="zh-CN" w:bidi="en-US"/>
              </w:rPr>
              <w:t>，集电线路采用35kV直埋电缆敷设</w:t>
            </w:r>
            <w:r>
              <w:rPr>
                <w:rFonts w:hint="eastAsia" w:ascii="Times New Roman" w:hAnsi="Times New Roman" w:eastAsia="宋体" w:cs="Times New Roman"/>
                <w:color w:val="auto"/>
                <w:kern w:val="0"/>
                <w:sz w:val="24"/>
                <w:lang w:val="en-US" w:eastAsia="zh-CN" w:bidi="en-US"/>
              </w:rPr>
              <w:t>和架空线路混合</w:t>
            </w:r>
            <w:r>
              <w:rPr>
                <w:rFonts w:hint="default" w:ascii="Times New Roman" w:hAnsi="Times New Roman" w:eastAsia="宋体" w:cs="Times New Roman"/>
                <w:color w:val="auto"/>
                <w:kern w:val="0"/>
                <w:sz w:val="24"/>
                <w:lang w:val="en-US" w:eastAsia="zh-CN" w:bidi="en-US"/>
              </w:rPr>
              <w:t>形式</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分为</w:t>
            </w:r>
            <w:r>
              <w:rPr>
                <w:rFonts w:hint="eastAsia" w:ascii="Times New Roman" w:hAnsi="Times New Roman" w:eastAsia="宋体" w:cs="Times New Roman"/>
                <w:color w:val="auto"/>
                <w:kern w:val="0"/>
                <w:sz w:val="24"/>
                <w:lang w:val="en-US" w:eastAsia="zh-CN" w:bidi="en-US"/>
              </w:rPr>
              <w:t>1</w:t>
            </w:r>
            <w:r>
              <w:rPr>
                <w:rFonts w:hint="default" w:ascii="Times New Roman" w:hAnsi="Times New Roman" w:eastAsia="宋体" w:cs="Times New Roman"/>
                <w:color w:val="auto"/>
                <w:kern w:val="0"/>
                <w:sz w:val="24"/>
                <w:lang w:val="en-US" w:eastAsia="zh-CN" w:bidi="en-US"/>
              </w:rPr>
              <w:t>回集电线路。</w:t>
            </w:r>
          </w:p>
          <w:p w14:paraId="4199F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本工程架空集电线路电压等级为35kV，按</w:t>
            </w:r>
            <w:r>
              <w:rPr>
                <w:rFonts w:hint="eastAsia" w:ascii="Times New Roman" w:hAnsi="Times New Roman" w:eastAsia="宋体" w:cs="Times New Roman"/>
                <w:color w:val="auto"/>
                <w:kern w:val="0"/>
                <w:sz w:val="24"/>
                <w:lang w:val="en-US" w:eastAsia="zh-CN" w:bidi="en-US"/>
              </w:rPr>
              <w:t>5</w:t>
            </w:r>
            <w:r>
              <w:rPr>
                <w:rFonts w:hint="default" w:ascii="Times New Roman" w:hAnsi="Times New Roman" w:eastAsia="宋体" w:cs="Times New Roman"/>
                <w:color w:val="auto"/>
                <w:kern w:val="0"/>
                <w:sz w:val="24"/>
                <w:lang w:val="en-US" w:eastAsia="zh-CN" w:bidi="en-US"/>
              </w:rPr>
              <w:t>mm覆冰，25m/s基本风速设计，</w:t>
            </w:r>
            <w:r>
              <w:rPr>
                <w:rFonts w:hint="eastAsia" w:ascii="Times New Roman" w:hAnsi="Times New Roman" w:eastAsia="宋体" w:cs="Times New Roman"/>
                <w:color w:val="auto"/>
                <w:kern w:val="0"/>
                <w:sz w:val="24"/>
                <w:lang w:val="en-US" w:eastAsia="zh-CN" w:bidi="en-US"/>
              </w:rPr>
              <w:t>单回路塔形</w:t>
            </w:r>
            <w:r>
              <w:rPr>
                <w:rFonts w:hint="default" w:ascii="Times New Roman" w:hAnsi="Times New Roman" w:eastAsia="宋体" w:cs="Times New Roman"/>
                <w:color w:val="auto"/>
                <w:kern w:val="0"/>
                <w:sz w:val="24"/>
                <w:lang w:val="en-US" w:eastAsia="zh-CN" w:bidi="en-US"/>
              </w:rPr>
              <w:t>，路径总长约</w:t>
            </w:r>
            <w:r>
              <w:rPr>
                <w:rFonts w:hint="eastAsia" w:ascii="Times New Roman" w:hAnsi="Times New Roman" w:eastAsia="宋体" w:cs="Times New Roman"/>
                <w:color w:val="auto"/>
                <w:kern w:val="0"/>
                <w:sz w:val="24"/>
                <w:lang w:val="en-US" w:eastAsia="zh-CN" w:bidi="en-US"/>
              </w:rPr>
              <w:t>4</w:t>
            </w:r>
            <w:r>
              <w:rPr>
                <w:rFonts w:hint="default" w:ascii="Times New Roman" w:hAnsi="Times New Roman" w:eastAsia="宋体" w:cs="Times New Roman"/>
                <w:color w:val="auto"/>
                <w:kern w:val="0"/>
                <w:sz w:val="24"/>
                <w:lang w:val="en-US" w:eastAsia="zh-CN" w:bidi="en-US"/>
              </w:rPr>
              <w:t>km，导线为JL/G1A-240/30</w:t>
            </w:r>
            <w:r>
              <w:rPr>
                <w:rFonts w:hint="eastAsia" w:ascii="Times New Roman" w:hAnsi="Times New Roman" w:eastAsia="宋体" w:cs="Times New Roman"/>
                <w:color w:val="auto"/>
                <w:kern w:val="0"/>
                <w:sz w:val="24"/>
                <w:lang w:val="en-US" w:eastAsia="zh-CN" w:bidi="en-US"/>
              </w:rPr>
              <w:t>型</w:t>
            </w:r>
            <w:r>
              <w:rPr>
                <w:rFonts w:hint="default" w:ascii="Times New Roman" w:hAnsi="Times New Roman" w:eastAsia="宋体" w:cs="Times New Roman"/>
                <w:color w:val="auto"/>
                <w:kern w:val="0"/>
                <w:sz w:val="24"/>
                <w:lang w:val="en-US" w:eastAsia="zh-CN" w:bidi="en-US"/>
              </w:rPr>
              <w:t>钢芯铝绞线</w:t>
            </w:r>
            <w:r>
              <w:rPr>
                <w:rFonts w:hint="eastAsia" w:ascii="Times New Roman" w:hAnsi="Times New Roman" w:eastAsia="宋体" w:cs="Times New Roman"/>
                <w:color w:val="auto"/>
                <w:kern w:val="0"/>
                <w:sz w:val="24"/>
                <w:lang w:val="en-US" w:eastAsia="zh-CN" w:bidi="en-US"/>
              </w:rPr>
              <w:t>。</w:t>
            </w:r>
          </w:p>
          <w:p w14:paraId="523AE4DB">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FF0000"/>
                <w:kern w:val="0"/>
                <w:sz w:val="24"/>
                <w:lang w:val="en-US" w:eastAsia="zh-CN"/>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工程直埋电缆典型剖面如下图所示，开挖尺寸为顶宽1.6m，底宽1m，深1m。铺砂垫层后放置电缆，再铺一层细沙覆盖红砖，然后进行回填。直埋电缆沟开挖长度约5.11km，在电缆接头处设砖砌电缆井，电缆井尺寸为长×宽×高：1.2m×1.2m×1.0m、1.6m×1.6m×1.0m 两种型式。</w:t>
            </w:r>
          </w:p>
          <w:p w14:paraId="5981664E">
            <w:pPr>
              <w:pStyle w:val="13"/>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lang w:val="en-US" w:eastAsia="zh-CN"/>
              </w:rPr>
              <w:drawing>
                <wp:inline distT="0" distB="0" distL="114300" distR="114300">
                  <wp:extent cx="4810125" cy="2743200"/>
                  <wp:effectExtent l="0" t="0" r="9525" b="0"/>
                  <wp:docPr id="9" name="图片 9" descr="97a2f9f7d09ed39ec8154186a690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7a2f9f7d09ed39ec8154186a690a59"/>
                          <pic:cNvPicPr>
                            <a:picLocks noChangeAspect="1"/>
                          </pic:cNvPicPr>
                        </pic:nvPicPr>
                        <pic:blipFill>
                          <a:blip r:embed="rId22"/>
                          <a:stretch>
                            <a:fillRect/>
                          </a:stretch>
                        </pic:blipFill>
                        <pic:spPr>
                          <a:xfrm>
                            <a:off x="0" y="0"/>
                            <a:ext cx="4810125" cy="2743200"/>
                          </a:xfrm>
                          <a:prstGeom prst="rect">
                            <a:avLst/>
                          </a:prstGeom>
                        </pic:spPr>
                      </pic:pic>
                    </a:graphicData>
                  </a:graphic>
                </wp:inline>
              </w:drawing>
            </w:r>
          </w:p>
          <w:p w14:paraId="72C9CC00">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图2-3 直埋电缆典型剖面示意图</w:t>
            </w:r>
          </w:p>
          <w:p w14:paraId="404E6E1D">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color w:val="auto"/>
                <w:kern w:val="0"/>
                <w:sz w:val="24"/>
                <w:lang w:val="en-US" w:eastAsia="zh-CN"/>
              </w:rPr>
            </w:pPr>
          </w:p>
          <w:p w14:paraId="223CC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4.3电气二次</w:t>
            </w:r>
          </w:p>
          <w:p w14:paraId="36DCBC2B">
            <w:pPr>
              <w:keepNext w:val="0"/>
              <w:keepLines w:val="0"/>
              <w:numPr>
                <w:ilvl w:val="0"/>
                <w:numId w:val="0"/>
              </w:numPr>
              <w:suppressLineNumbers w:val="0"/>
              <w:adjustRightInd w:val="0"/>
              <w:snapToGrid w:val="0"/>
              <w:spacing w:before="0" w:beforeAutospacing="0" w:after="0" w:afterAutospacing="0" w:line="360" w:lineRule="auto"/>
              <w:ind w:left="0" w:right="0" w:firstLine="440" w:firstLineChars="200"/>
              <w:jc w:val="left"/>
              <w:rPr>
                <w:rFonts w:hint="eastAsia"/>
                <w:lang w:eastAsia="zh-CN"/>
              </w:rPr>
            </w:pPr>
            <w:r>
              <w:rPr>
                <w:rFonts w:hint="default"/>
                <w:spacing w:val="-10"/>
              </w:rPr>
              <w:t>本工程</w:t>
            </w:r>
            <w:r>
              <w:rPr>
                <w:rFonts w:hint="default"/>
                <w:color w:val="000000" w:themeColor="text1"/>
                <w:spacing w:val="-10"/>
                <w14:textFill>
                  <w14:solidFill>
                    <w14:schemeClr w14:val="tx1"/>
                  </w14:solidFill>
                </w14:textFill>
              </w:rPr>
              <w:t>电气二次</w:t>
            </w:r>
            <w:r>
              <w:rPr>
                <w:rFonts w:hint="default"/>
                <w:spacing w:val="-10"/>
              </w:rPr>
              <w:t xml:space="preserve">设计力求安全可靠、经济适用，设备配置和功能要求按“无人值班， </w:t>
            </w:r>
            <w:r>
              <w:rPr>
                <w:rFonts w:hint="default"/>
              </w:rPr>
              <w:t>少人值守”原则设计</w:t>
            </w:r>
            <w:r>
              <w:rPr>
                <w:rFonts w:hint="eastAsia"/>
                <w:lang w:eastAsia="zh-CN"/>
              </w:rPr>
              <w:t>，主要包括</w:t>
            </w:r>
            <w:r>
              <w:rPr>
                <w:rFonts w:hint="eastAsia" w:ascii="Times New Roman" w:hAnsi="Times New Roman" w:eastAsia="宋体" w:cs="Times New Roman"/>
                <w:color w:val="auto"/>
                <w:kern w:val="0"/>
                <w:sz w:val="24"/>
                <w:lang w:val="en-US" w:eastAsia="zh-CN" w:bidi="en-US"/>
              </w:rPr>
              <w:t>计算机监控系统、保护、测量、信号和现地控制、</w:t>
            </w:r>
            <w:r>
              <w:rPr>
                <w:rFonts w:hint="default"/>
              </w:rPr>
              <w:t>专用电压计量装置</w:t>
            </w:r>
            <w:r>
              <w:rPr>
                <w:rFonts w:hint="eastAsia"/>
                <w:lang w:eastAsia="zh-CN"/>
              </w:rPr>
              <w:t>、同步相量测量装置、操作电源、电能质量监测设备、微机五防系统、时间同步系统、AGC/AVC 系统、逆变器监测系统、箱式变监测系统、火灾报警系统、图像监视及公共报警系统、环境监测系统、光功率预测系统、电工实验设备、继电保护和故障信息子站系统、一次调频装置等。</w:t>
            </w:r>
          </w:p>
          <w:p w14:paraId="6C5F496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4.4</w:t>
            </w:r>
            <w:r>
              <w:rPr>
                <w:rFonts w:hint="default" w:ascii="Times New Roman" w:hAnsi="Times New Roman" w:eastAsia="宋体" w:cs="Times New Roman"/>
                <w:b w:val="0"/>
                <w:bCs w:val="0"/>
                <w:color w:val="auto"/>
                <w:kern w:val="2"/>
                <w:sz w:val="24"/>
                <w:szCs w:val="24"/>
                <w:lang w:val="en-US" w:eastAsia="zh-CN" w:bidi="ar-SA"/>
              </w:rPr>
              <w:t>储能装置</w:t>
            </w:r>
          </w:p>
          <w:p w14:paraId="516E6D4B">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芒市芒东</w:t>
            </w:r>
            <w:r>
              <w:rPr>
                <w:rFonts w:hint="default" w:ascii="Times New Roman" w:hAnsi="Times New Roman" w:cs="Times New Roman" w:eastAsiaTheme="minorEastAsia"/>
                <w:kern w:val="2"/>
                <w:sz w:val="24"/>
                <w:szCs w:val="24"/>
                <w:lang w:val="en-US" w:eastAsia="zh-CN" w:bidi="ar-SA"/>
              </w:rPr>
              <w:t>光伏电站项目安装容量</w:t>
            </w:r>
            <w:r>
              <w:rPr>
                <w:rFonts w:hint="eastAsia" w:ascii="Times New Roman" w:hAnsi="Times New Roman" w:cs="Times New Roman"/>
                <w:kern w:val="2"/>
                <w:sz w:val="24"/>
                <w:szCs w:val="24"/>
                <w:lang w:val="en-US" w:eastAsia="zh-CN" w:bidi="ar-SA"/>
              </w:rPr>
              <w:t>30.94</w:t>
            </w:r>
            <w:r>
              <w:rPr>
                <w:rFonts w:hint="default" w:ascii="Times New Roman" w:hAnsi="Times New Roman" w:cs="Times New Roman" w:eastAsiaTheme="minorEastAsia"/>
                <w:kern w:val="2"/>
                <w:sz w:val="24"/>
                <w:szCs w:val="24"/>
                <w:lang w:val="en-US" w:eastAsia="zh-CN" w:bidi="ar-SA"/>
              </w:rPr>
              <w:t>MWp，额定容</w:t>
            </w:r>
            <w:r>
              <w:rPr>
                <w:rFonts w:hint="eastAsia" w:ascii="Times New Roman" w:hAnsi="Times New Roman" w:cs="Times New Roman"/>
                <w:kern w:val="2"/>
                <w:sz w:val="24"/>
                <w:szCs w:val="24"/>
                <w:lang w:val="en-US" w:eastAsia="zh-CN" w:bidi="ar-SA"/>
              </w:rPr>
              <w:t>24</w:t>
            </w:r>
            <w:r>
              <w:rPr>
                <w:rFonts w:hint="default" w:ascii="Times New Roman" w:hAnsi="Times New Roman" w:cs="Times New Roman" w:eastAsiaTheme="minorEastAsia"/>
                <w:kern w:val="2"/>
                <w:sz w:val="24"/>
                <w:szCs w:val="24"/>
                <w:lang w:val="en-US" w:eastAsia="zh-CN" w:bidi="ar-SA"/>
              </w:rPr>
              <w:t>MW，结合项目本身特点，为保证供电可靠，本期工程考虑预留10%储能系统位置，实际布置10%储能位置。储能系统设置独立的逆变器和升压变压器，最终直接并入电站的35kV母线，对35kV母线上的发电单元都能进行补偿、平滑。本工程配套建设1套</w:t>
            </w:r>
            <w:r>
              <w:rPr>
                <w:rFonts w:hint="eastAsia" w:ascii="Times New Roman" w:hAnsi="Times New Roman" w:cs="Times New Roman"/>
                <w:kern w:val="2"/>
                <w:sz w:val="24"/>
                <w:szCs w:val="24"/>
                <w:lang w:val="en-US" w:eastAsia="zh-CN" w:bidi="ar-SA"/>
              </w:rPr>
              <w:t>2.5</w:t>
            </w:r>
            <w:r>
              <w:rPr>
                <w:rFonts w:hint="default" w:ascii="Times New Roman" w:hAnsi="Times New Roman" w:cs="Times New Roman" w:eastAsiaTheme="minorEastAsia"/>
                <w:kern w:val="2"/>
                <w:sz w:val="24"/>
                <w:szCs w:val="24"/>
                <w:lang w:val="en-US" w:eastAsia="zh-CN" w:bidi="ar-SA"/>
              </w:rPr>
              <w:t>MW/</w:t>
            </w:r>
            <w:r>
              <w:rPr>
                <w:rFonts w:hint="eastAsia" w:ascii="Times New Roman" w:hAnsi="Times New Roman" w:cs="Times New Roman"/>
                <w:kern w:val="2"/>
                <w:sz w:val="24"/>
                <w:szCs w:val="24"/>
                <w:lang w:val="en-US" w:eastAsia="zh-CN" w:bidi="ar-SA"/>
              </w:rPr>
              <w:t>5</w:t>
            </w:r>
            <w:r>
              <w:rPr>
                <w:rFonts w:hint="default" w:ascii="Times New Roman" w:hAnsi="Times New Roman" w:cs="Times New Roman" w:eastAsiaTheme="minorEastAsia"/>
                <w:kern w:val="2"/>
                <w:sz w:val="24"/>
                <w:szCs w:val="24"/>
                <w:lang w:val="en-US" w:eastAsia="zh-CN" w:bidi="ar-SA"/>
              </w:rPr>
              <w:t>MW·h 储能系统。储能系统需采用2台</w:t>
            </w:r>
            <w:r>
              <w:rPr>
                <w:rFonts w:hint="eastAsia" w:ascii="Times New Roman" w:hAnsi="Times New Roman" w:cs="Times New Roman"/>
                <w:kern w:val="2"/>
                <w:sz w:val="24"/>
                <w:szCs w:val="24"/>
                <w:lang w:val="en-US" w:eastAsia="zh-CN" w:bidi="ar-SA"/>
              </w:rPr>
              <w:t>SC1250UD</w:t>
            </w:r>
            <w:r>
              <w:rPr>
                <w:rFonts w:hint="default" w:ascii="Times New Roman" w:hAnsi="Times New Roman" w:cs="Times New Roman" w:eastAsiaTheme="minorEastAsia"/>
                <w:kern w:val="2"/>
                <w:sz w:val="24"/>
                <w:szCs w:val="24"/>
                <w:lang w:val="en-US" w:eastAsia="zh-CN" w:bidi="ar-SA"/>
              </w:rPr>
              <w:t>储能变流器。储能系统电能通过变流器、升压变压器将蓄电池电能逆变升压至35kV后，以35kV线路接入</w:t>
            </w:r>
            <w:r>
              <w:rPr>
                <w:rFonts w:hint="eastAsia" w:ascii="Times New Roman" w:hAnsi="Times New Roman" w:cs="Times New Roman"/>
                <w:kern w:val="2"/>
                <w:sz w:val="24"/>
                <w:szCs w:val="24"/>
                <w:lang w:val="en-US" w:eastAsia="zh-CN" w:bidi="ar-SA"/>
              </w:rPr>
              <w:t>江东</w:t>
            </w:r>
            <w:r>
              <w:rPr>
                <w:rFonts w:hint="default" w:ascii="Times New Roman" w:hAnsi="Times New Roman" w:cs="Times New Roman" w:eastAsiaTheme="minorEastAsia"/>
                <w:kern w:val="2"/>
                <w:sz w:val="24"/>
                <w:szCs w:val="24"/>
                <w:lang w:val="en-US" w:eastAsia="zh-CN" w:bidi="ar-SA"/>
              </w:rPr>
              <w:t>升压站35kV母线，本项目要采用微网方案进行设计，可以实现无人值守，全智能控制，可以自动实现对整个系统进行能量管理和控制，因此需要配置1套EMS 微电网能量管理系统。</w:t>
            </w:r>
          </w:p>
          <w:p w14:paraId="66656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pacing w:val="-7"/>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4.5蓄电池组</w:t>
            </w:r>
          </w:p>
          <w:p w14:paraId="4BAAA763">
            <w:pPr>
              <w:pStyle w:val="13"/>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芒市芒东</w:t>
            </w:r>
            <w:r>
              <w:rPr>
                <w:rFonts w:hint="default" w:ascii="Times New Roman" w:hAnsi="Times New Roman" w:cs="Times New Roman" w:eastAsiaTheme="minorEastAsia"/>
                <w:kern w:val="2"/>
                <w:sz w:val="24"/>
                <w:szCs w:val="24"/>
                <w:lang w:val="en-US" w:eastAsia="zh-CN" w:bidi="ar-SA"/>
              </w:rPr>
              <w:t>光伏电站项目安装容量</w:t>
            </w:r>
            <w:r>
              <w:rPr>
                <w:rFonts w:hint="eastAsia" w:ascii="Times New Roman" w:hAnsi="Times New Roman" w:cs="Times New Roman"/>
                <w:kern w:val="2"/>
                <w:sz w:val="24"/>
                <w:szCs w:val="24"/>
                <w:lang w:val="en-US" w:eastAsia="zh-CN" w:bidi="ar-SA"/>
              </w:rPr>
              <w:t>30.94</w:t>
            </w:r>
            <w:r>
              <w:rPr>
                <w:rFonts w:hint="default" w:ascii="Times New Roman" w:hAnsi="Times New Roman" w:cs="Times New Roman" w:eastAsiaTheme="minorEastAsia"/>
                <w:kern w:val="2"/>
                <w:sz w:val="24"/>
                <w:szCs w:val="24"/>
                <w:lang w:val="en-US" w:eastAsia="zh-CN" w:bidi="ar-SA"/>
              </w:rPr>
              <w:t>MWp，额定容量</w:t>
            </w:r>
            <w:r>
              <w:rPr>
                <w:rFonts w:hint="eastAsia" w:ascii="Times New Roman" w:hAnsi="Times New Roman" w:cs="Times New Roman"/>
                <w:kern w:val="2"/>
                <w:sz w:val="24"/>
                <w:szCs w:val="24"/>
                <w:lang w:val="en-US" w:eastAsia="zh-CN" w:bidi="ar-SA"/>
              </w:rPr>
              <w:t>24</w:t>
            </w:r>
            <w:r>
              <w:rPr>
                <w:rFonts w:hint="default" w:ascii="Times New Roman" w:hAnsi="Times New Roman" w:cs="Times New Roman" w:eastAsiaTheme="minorEastAsia"/>
                <w:kern w:val="2"/>
                <w:sz w:val="24"/>
                <w:szCs w:val="24"/>
                <w:lang w:val="en-US" w:eastAsia="zh-CN" w:bidi="ar-SA"/>
              </w:rPr>
              <w:t xml:space="preserve">MW，结合项目本身特点，为保证供电可靠。储能容量按10%左右的装机容量考虑，则储能容量为 </w:t>
            </w:r>
            <w:r>
              <w:rPr>
                <w:rFonts w:hint="eastAsia" w:ascii="Times New Roman" w:hAnsi="Times New Roman" w:cs="Times New Roman"/>
                <w:kern w:val="2"/>
                <w:sz w:val="24"/>
                <w:szCs w:val="24"/>
                <w:lang w:val="en-US" w:eastAsia="zh-CN" w:bidi="ar-SA"/>
              </w:rPr>
              <w:t>2.4</w:t>
            </w:r>
            <w:r>
              <w:rPr>
                <w:rFonts w:hint="default" w:ascii="Times New Roman" w:hAnsi="Times New Roman" w:cs="Times New Roman" w:eastAsiaTheme="minorEastAsia"/>
                <w:kern w:val="2"/>
                <w:sz w:val="24"/>
                <w:szCs w:val="24"/>
                <w:lang w:val="en-US" w:eastAsia="zh-CN" w:bidi="ar-SA"/>
              </w:rPr>
              <w:t>MW。蓄电池容量按连续供电两小时计算，负载供电需求：</w:t>
            </w:r>
            <w:r>
              <w:rPr>
                <w:rFonts w:hint="eastAsia" w:ascii="Times New Roman" w:hAnsi="Times New Roman" w:cs="Times New Roman"/>
                <w:kern w:val="2"/>
                <w:sz w:val="24"/>
                <w:szCs w:val="24"/>
                <w:lang w:val="en-US" w:eastAsia="zh-CN" w:bidi="ar-SA"/>
              </w:rPr>
              <w:t>2.4</w:t>
            </w:r>
            <w:r>
              <w:rPr>
                <w:rFonts w:hint="default" w:ascii="Times New Roman" w:hAnsi="Times New Roman" w:cs="Times New Roman" w:eastAsiaTheme="minorEastAsia"/>
                <w:kern w:val="2"/>
                <w:sz w:val="24"/>
                <w:szCs w:val="24"/>
                <w:lang w:val="en-US" w:eastAsia="zh-CN" w:bidi="ar-SA"/>
              </w:rPr>
              <w:t>×2=</w:t>
            </w:r>
            <w:r>
              <w:rPr>
                <w:rFonts w:hint="eastAsia" w:ascii="Times New Roman" w:hAnsi="Times New Roman" w:cs="Times New Roman"/>
                <w:kern w:val="2"/>
                <w:sz w:val="24"/>
                <w:szCs w:val="24"/>
                <w:lang w:val="en-US" w:eastAsia="zh-CN" w:bidi="ar-SA"/>
              </w:rPr>
              <w:t>4.8</w:t>
            </w:r>
            <w:r>
              <w:rPr>
                <w:rFonts w:hint="default" w:ascii="Times New Roman" w:hAnsi="Times New Roman" w:cs="Times New Roman" w:eastAsiaTheme="minorEastAsia"/>
                <w:kern w:val="2"/>
                <w:sz w:val="24"/>
                <w:szCs w:val="24"/>
                <w:lang w:val="en-US" w:eastAsia="zh-CN" w:bidi="ar-SA"/>
              </w:rPr>
              <w:t>MW·h</w:t>
            </w:r>
            <w:r>
              <w:rPr>
                <w:rFonts w:hint="eastAsia" w:ascii="Times New Roman" w:hAnsi="Times New Roman" w:cs="Times New Roman"/>
                <w:kern w:val="2"/>
                <w:sz w:val="24"/>
                <w:szCs w:val="24"/>
                <w:lang w:val="en-US" w:eastAsia="zh-CN" w:bidi="ar-SA"/>
              </w:rPr>
              <w:t xml:space="preserve">。 </w:t>
            </w:r>
          </w:p>
          <w:p w14:paraId="16C5B99C">
            <w:pPr>
              <w:pStyle w:val="32"/>
              <w:keepNext w:val="0"/>
              <w:keepLines w:val="0"/>
              <w:numPr>
                <w:ilvl w:val="0"/>
                <w:numId w:val="0"/>
              </w:numPr>
              <w:suppressLineNumbers w:val="0"/>
              <w:bidi w:val="0"/>
              <w:spacing w:beforeAutospacing="0" w:afterAutospacing="0"/>
              <w:ind w:left="0" w:leftChars="0" w:right="0"/>
              <w:jc w:val="left"/>
              <w:rPr>
                <w:rFonts w:hint="eastAsia"/>
                <w:b/>
                <w:bCs/>
                <w:lang w:val="en-US" w:eastAsia="zh-CN"/>
              </w:rPr>
            </w:pPr>
            <w:r>
              <w:rPr>
                <w:rFonts w:hint="eastAsia"/>
                <w:b/>
                <w:bCs/>
                <w:lang w:val="en-US" w:eastAsia="zh-CN"/>
              </w:rPr>
              <w:t xml:space="preserve">    二、公辅工程</w:t>
            </w:r>
          </w:p>
          <w:p w14:paraId="45AC0EC7">
            <w:pPr>
              <w:pStyle w:val="32"/>
              <w:keepNext w:val="0"/>
              <w:keepLines w:val="0"/>
              <w:numPr>
                <w:ilvl w:val="0"/>
                <w:numId w:val="0"/>
              </w:numPr>
              <w:suppressLineNumbers w:val="0"/>
              <w:bidi w:val="0"/>
              <w:spacing w:beforeAutospacing="0" w:afterAutospacing="0"/>
              <w:ind w:left="0" w:right="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1、</w:t>
            </w:r>
            <w:r>
              <w:rPr>
                <w:rFonts w:hint="default" w:ascii="Times New Roman" w:hAnsi="Times New Roman" w:eastAsia="宋体" w:cs="Times New Roman"/>
                <w:b/>
                <w:bCs/>
                <w:sz w:val="24"/>
                <w:szCs w:val="24"/>
                <w:lang w:val="en-US" w:eastAsia="zh-CN"/>
              </w:rPr>
              <w:t>给水</w:t>
            </w:r>
          </w:p>
          <w:p w14:paraId="1044A18F">
            <w:pPr>
              <w:pStyle w:val="32"/>
              <w:keepNext w:val="0"/>
              <w:keepLines w:val="0"/>
              <w:numPr>
                <w:ilvl w:val="0"/>
                <w:numId w:val="0"/>
              </w:numPr>
              <w:suppressLineNumbers w:val="0"/>
              <w:bidi w:val="0"/>
              <w:spacing w:beforeAutospacing="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运行期</w:t>
            </w:r>
            <w:r>
              <w:rPr>
                <w:rFonts w:hint="eastAsia" w:ascii="Times New Roman" w:hAnsi="Times New Roman" w:eastAsia="宋体" w:cs="Times New Roman"/>
                <w:color w:val="auto"/>
                <w:kern w:val="2"/>
                <w:sz w:val="24"/>
                <w:szCs w:val="24"/>
                <w:lang w:val="en-US" w:eastAsia="zh-CN" w:bidi="ar-SA"/>
              </w:rPr>
              <w:t>生产用水</w:t>
            </w:r>
            <w:r>
              <w:rPr>
                <w:rFonts w:hint="eastAsia" w:ascii="Times New Roman" w:hAnsi="Times New Roman" w:eastAsia="宋体" w:cs="Times New Roman"/>
                <w:kern w:val="2"/>
                <w:sz w:val="24"/>
                <w:szCs w:val="24"/>
                <w:lang w:val="en-US" w:eastAsia="zh-CN" w:bidi="ar-SA"/>
              </w:rPr>
              <w:t>、生活用水均依托江东光伏电站升压站生活区；施工场地内设容积为50m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临时水池三座，供施工用水。</w:t>
            </w:r>
            <w:r>
              <w:rPr>
                <w:rFonts w:hint="default" w:ascii="Times New Roman" w:hAnsi="Times New Roman" w:eastAsia="宋体" w:cs="Times New Roman"/>
                <w:kern w:val="2"/>
                <w:sz w:val="24"/>
                <w:szCs w:val="24"/>
                <w:lang w:val="en-US" w:eastAsia="zh-CN" w:bidi="ar-SA"/>
              </w:rPr>
              <w:t>定期清洗光伏组件用水采用罐车从附近水源运水至各用水点区域</w:t>
            </w:r>
            <w:r>
              <w:rPr>
                <w:rFonts w:hint="eastAsia" w:ascii="Times New Roman" w:hAnsi="Times New Roman" w:eastAsia="宋体" w:cs="Times New Roman"/>
                <w:kern w:val="2"/>
                <w:sz w:val="24"/>
                <w:szCs w:val="24"/>
                <w:lang w:val="en-US" w:eastAsia="zh-CN" w:bidi="ar-SA"/>
              </w:rPr>
              <w:t>。</w:t>
            </w:r>
          </w:p>
          <w:p w14:paraId="072FB36F">
            <w:pPr>
              <w:pStyle w:val="32"/>
              <w:keepNext w:val="0"/>
              <w:keepLines w:val="0"/>
              <w:numPr>
                <w:ilvl w:val="0"/>
                <w:numId w:val="0"/>
              </w:numPr>
              <w:suppressLineNumbers w:val="0"/>
              <w:bidi w:val="0"/>
              <w:spacing w:beforeAutospacing="0" w:afterAutospacing="0" w:line="360" w:lineRule="auto"/>
              <w:ind w:left="0" w:right="0" w:firstLine="454" w:firstLineChars="200"/>
              <w:jc w:val="left"/>
              <w:rPr>
                <w:rFonts w:hint="default" w:ascii="Times New Roman" w:hAnsi="Times New Roman" w:eastAsia="宋体" w:cs="Times New Roman"/>
                <w:b/>
                <w:bCs/>
                <w:color w:val="auto"/>
                <w:spacing w:val="-7"/>
                <w:kern w:val="2"/>
                <w:sz w:val="24"/>
                <w:szCs w:val="24"/>
                <w:lang w:val="en-US" w:eastAsia="zh-CN" w:bidi="ar-SA"/>
              </w:rPr>
            </w:pPr>
            <w:r>
              <w:rPr>
                <w:rFonts w:hint="default" w:ascii="Times New Roman" w:hAnsi="Times New Roman" w:eastAsia="宋体" w:cs="Times New Roman"/>
                <w:b/>
                <w:bCs/>
                <w:color w:val="auto"/>
                <w:spacing w:val="-7"/>
                <w:kern w:val="2"/>
                <w:sz w:val="24"/>
                <w:szCs w:val="24"/>
                <w:lang w:val="en-US" w:eastAsia="zh-CN" w:bidi="ar-SA"/>
              </w:rPr>
              <w:t>2、排水</w:t>
            </w:r>
          </w:p>
          <w:p w14:paraId="249FD2E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排水系统主要包括</w:t>
            </w:r>
            <w:r>
              <w:rPr>
                <w:rFonts w:hint="eastAsia" w:ascii="Times New Roman" w:hAnsi="Times New Roman" w:eastAsia="宋体" w:cs="Times New Roman"/>
                <w:color w:val="auto"/>
                <w:kern w:val="0"/>
                <w:sz w:val="24"/>
                <w:lang w:val="en-US" w:eastAsia="zh-CN"/>
              </w:rPr>
              <w:t>场区</w:t>
            </w:r>
            <w:r>
              <w:rPr>
                <w:rFonts w:hint="default" w:ascii="Times New Roman" w:hAnsi="Times New Roman" w:eastAsia="宋体" w:cs="Times New Roman"/>
                <w:color w:val="auto"/>
                <w:kern w:val="0"/>
                <w:sz w:val="24"/>
              </w:rPr>
              <w:t>内雨水</w:t>
            </w:r>
            <w:r>
              <w:rPr>
                <w:rFonts w:hint="eastAsia" w:ascii="Times New Roman" w:hAnsi="Times New Roman" w:eastAsia="宋体" w:cs="Times New Roman"/>
                <w:color w:val="auto"/>
                <w:kern w:val="0"/>
                <w:sz w:val="24"/>
                <w:lang w:val="en-US" w:eastAsia="zh-CN"/>
              </w:rPr>
              <w:t>排水沟、生活用水</w:t>
            </w:r>
            <w:r>
              <w:rPr>
                <w:rFonts w:hint="default" w:ascii="Times New Roman" w:hAnsi="Times New Roman" w:eastAsia="宋体" w:cs="Times New Roman"/>
                <w:color w:val="auto"/>
                <w:kern w:val="0"/>
                <w:sz w:val="24"/>
              </w:rPr>
              <w:t>。</w:t>
            </w:r>
          </w:p>
          <w:p w14:paraId="76CFE3A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其中</w:t>
            </w:r>
            <w:r>
              <w:rPr>
                <w:rFonts w:hint="default" w:ascii="Times New Roman" w:hAnsi="Times New Roman" w:eastAsia="宋体" w:cs="Times New Roman"/>
                <w:color w:val="auto"/>
                <w:sz w:val="24"/>
                <w:szCs w:val="24"/>
              </w:rPr>
              <w:t>运营期产生的生活废水经</w:t>
            </w:r>
            <w:r>
              <w:rPr>
                <w:rFonts w:hint="eastAsia" w:ascii="Times New Roman" w:hAnsi="Times New Roman" w:eastAsia="宋体" w:cs="Times New Roman"/>
                <w:color w:val="auto"/>
                <w:sz w:val="24"/>
                <w:szCs w:val="24"/>
                <w:lang w:val="en-US" w:eastAsia="zh-CN"/>
              </w:rPr>
              <w:t>江东光伏升压站的</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回用于</w:t>
            </w:r>
            <w:r>
              <w:rPr>
                <w:rFonts w:hint="eastAsia" w:ascii="Times New Roman" w:hAnsi="Times New Roman" w:eastAsia="宋体" w:cs="Times New Roman"/>
                <w:color w:val="auto"/>
                <w:sz w:val="24"/>
                <w:szCs w:val="24"/>
                <w:lang w:val="en-US" w:eastAsia="zh-CN"/>
              </w:rPr>
              <w:t>江东</w:t>
            </w:r>
            <w:r>
              <w:rPr>
                <w:rFonts w:hint="eastAsia" w:ascii="Times New Roman" w:hAnsi="Times New Roman" w:eastAsia="宋体" w:cs="Times New Roman"/>
                <w:color w:val="auto"/>
                <w:sz w:val="24"/>
                <w:szCs w:val="24"/>
                <w:lang w:eastAsia="zh-CN"/>
              </w:rPr>
              <w:t>升压站内</w:t>
            </w:r>
            <w:r>
              <w:rPr>
                <w:rFonts w:hint="default" w:ascii="Times New Roman" w:hAnsi="Times New Roman" w:eastAsia="宋体" w:cs="Times New Roman"/>
                <w:color w:val="auto"/>
                <w:sz w:val="24"/>
                <w:szCs w:val="24"/>
              </w:rPr>
              <w:t>绿化，不外排</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光伏阵列</w:t>
            </w:r>
            <w:r>
              <w:rPr>
                <w:rFonts w:hint="default"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rPr>
              <w:t>清洁废水</w:t>
            </w:r>
            <w:r>
              <w:rPr>
                <w:rFonts w:hint="eastAsia" w:ascii="Times New Roman" w:hAnsi="Times New Roman" w:eastAsia="宋体" w:cs="Times New Roman"/>
                <w:color w:val="auto"/>
                <w:kern w:val="0"/>
                <w:sz w:val="24"/>
                <w:szCs w:val="24"/>
                <w:lang w:val="en-US" w:eastAsia="zh-CN"/>
              </w:rPr>
              <w:t>和场区雨水沟收集的水</w:t>
            </w:r>
            <w:r>
              <w:rPr>
                <w:rFonts w:hint="eastAsia" w:ascii="Times New Roman" w:hAnsi="Times New Roman" w:eastAsia="宋体" w:cs="Times New Roman"/>
                <w:color w:val="auto"/>
                <w:kern w:val="0"/>
                <w:sz w:val="24"/>
                <w:szCs w:val="24"/>
                <w:lang w:eastAsia="zh-CN"/>
              </w:rPr>
              <w:t>经沉淀池处理后</w:t>
            </w:r>
            <w:r>
              <w:rPr>
                <w:rFonts w:hint="default" w:ascii="Times New Roman" w:hAnsi="Times New Roman" w:eastAsia="宋体" w:cs="Times New Roman"/>
                <w:color w:val="auto"/>
                <w:kern w:val="0"/>
                <w:sz w:val="24"/>
                <w:szCs w:val="24"/>
              </w:rPr>
              <w:t>用于光伏板区绿化，无废水外排</w:t>
            </w:r>
            <w:r>
              <w:rPr>
                <w:rFonts w:hint="default" w:ascii="Times New Roman" w:hAnsi="Times New Roman" w:eastAsia="宋体" w:cs="Times New Roman"/>
                <w:color w:val="auto"/>
                <w:kern w:val="0"/>
                <w:sz w:val="24"/>
                <w:szCs w:val="24"/>
                <w:lang w:eastAsia="zh-CN"/>
              </w:rPr>
              <w:t>。</w:t>
            </w:r>
          </w:p>
          <w:p w14:paraId="488ED131">
            <w:pPr>
              <w:pStyle w:val="8"/>
              <w:keepNext w:val="0"/>
              <w:keepLines w:val="0"/>
              <w:numPr>
                <w:ilvl w:val="0"/>
                <w:numId w:val="0"/>
              </w:numPr>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3、排油</w:t>
            </w:r>
          </w:p>
          <w:p w14:paraId="2F5BB05F">
            <w:pPr>
              <w:pStyle w:val="8"/>
              <w:keepNext w:val="0"/>
              <w:keepLines w:val="0"/>
              <w:numPr>
                <w:ilvl w:val="0"/>
                <w:numId w:val="0"/>
              </w:numPr>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在每个箱变靠近油箱侧均设置一个容积为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w:t>
            </w:r>
            <w:r>
              <w:rPr>
                <w:rFonts w:hint="eastAsia" w:ascii="Times New Roman" w:hAnsi="Times New Roman" w:eastAsia="宋体" w:cs="Times New Roman"/>
                <w:color w:val="auto"/>
                <w:sz w:val="24"/>
                <w:szCs w:val="24"/>
                <w:lang w:val="en-US" w:eastAsia="zh-CN"/>
              </w:rPr>
              <w:t>事故池</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确保能够收集箱变泄漏的油量，事故池在平时保持控制状态。</w:t>
            </w:r>
          </w:p>
          <w:p w14:paraId="3213EC19">
            <w:pPr>
              <w:pStyle w:val="8"/>
              <w:keepNext w:val="0"/>
              <w:keepLines w:val="0"/>
              <w:numPr>
                <w:ilvl w:val="0"/>
                <w:numId w:val="0"/>
              </w:numPr>
              <w:suppressLineNumbers w:val="0"/>
              <w:spacing w:before="0" w:beforeAutospacing="0" w:after="0" w:afterAutospacing="0" w:line="360" w:lineRule="auto"/>
              <w:ind w:left="480" w:leftChars="200" w:right="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4、供电      </w:t>
            </w:r>
          </w:p>
          <w:p w14:paraId="537BD11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w:t>
            </w:r>
            <w:r>
              <w:rPr>
                <w:rFonts w:hint="eastAsia" w:ascii="Times New Roman" w:hAnsi="Times New Roman" w:eastAsia="宋体" w:cs="Times New Roman"/>
                <w:color w:val="auto"/>
                <w:kern w:val="0"/>
                <w:sz w:val="24"/>
                <w:szCs w:val="24"/>
                <w:lang w:val="en-US" w:eastAsia="zh-CN" w:bidi="ar-SA"/>
              </w:rPr>
              <w:t>施工用电可由场址附近 10kV 线路引接作为电源，距离较远处施工及紧急备用电源采用柴油发电机供电。</w:t>
            </w:r>
          </w:p>
          <w:p w14:paraId="0966C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运营期：</w:t>
            </w:r>
            <w:r>
              <w:rPr>
                <w:rFonts w:hint="eastAsia" w:ascii="Times New Roman" w:hAnsi="Times New Roman" w:eastAsia="宋体" w:cs="Times New Roman"/>
                <w:color w:val="000000"/>
                <w:kern w:val="0"/>
                <w:sz w:val="24"/>
                <w:szCs w:val="24"/>
                <w:lang w:val="en-US" w:eastAsia="zh-CN" w:bidi="ar"/>
              </w:rPr>
              <w:t xml:space="preserve">储能系统设置独立的逆变器和升压变压器，最终直接并入电站的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 xml:space="preserve">母线，对 </w:t>
            </w:r>
            <w:r>
              <w:rPr>
                <w:rFonts w:hint="default" w:ascii="Times New Roman" w:hAnsi="Times New Roman" w:eastAsia="宋体" w:cs="Times New Roman"/>
                <w:color w:val="000000"/>
                <w:kern w:val="0"/>
                <w:sz w:val="24"/>
                <w:szCs w:val="24"/>
                <w:lang w:val="en-US" w:eastAsia="zh-CN" w:bidi="ar"/>
              </w:rPr>
              <w:t xml:space="preserve">35kV </w:t>
            </w:r>
            <w:r>
              <w:rPr>
                <w:rFonts w:hint="eastAsia" w:ascii="Times New Roman" w:hAnsi="Times New Roman" w:eastAsia="宋体" w:cs="Times New Roman"/>
                <w:color w:val="000000"/>
                <w:kern w:val="0"/>
                <w:sz w:val="24"/>
                <w:szCs w:val="24"/>
                <w:lang w:val="en-US" w:eastAsia="zh-CN" w:bidi="ar"/>
              </w:rPr>
              <w:t>母线上的发电单元都能进行补偿、平滑。储能系统可将动态能量及时的释放出来，平抑系统内所有交流并网类型电站的波动并增电网稳定性。</w:t>
            </w:r>
            <w:r>
              <w:rPr>
                <w:rFonts w:hint="eastAsia" w:ascii="Times New Roman" w:hAnsi="Times New Roman" w:eastAsia="宋体" w:cs="Times New Roman"/>
                <w:color w:val="auto"/>
                <w:kern w:val="0"/>
                <w:sz w:val="24"/>
                <w:szCs w:val="24"/>
                <w:lang w:val="en-US" w:eastAsia="zh-CN" w:bidi="ar-SA"/>
              </w:rPr>
              <w:t>箱变采用配置负荷开关+隔离开关，两侧采用电缆出线，箱变低压侧设置一台变压器，作为箱变内部照明、检修、加热电源。</w:t>
            </w:r>
          </w:p>
          <w:p w14:paraId="194FBD25">
            <w:pPr>
              <w:pStyle w:val="32"/>
              <w:keepNext w:val="0"/>
              <w:keepLines w:val="0"/>
              <w:numPr>
                <w:ilvl w:val="0"/>
                <w:numId w:val="0"/>
              </w:numPr>
              <w:suppressLineNumbers w:val="0"/>
              <w:bidi w:val="0"/>
              <w:spacing w:beforeAutospacing="0" w:afterAutospacing="0"/>
              <w:ind w:left="0" w:right="0" w:firstLine="482" w:firstLineChars="200"/>
              <w:jc w:val="left"/>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5、道路系统</w:t>
            </w:r>
          </w:p>
          <w:p w14:paraId="6F017F0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0"/>
                <w:sz w:val="24"/>
                <w:szCs w:val="24"/>
                <w:lang w:val="en-US" w:eastAsia="zh-CN" w:bidi="ar-SA"/>
              </w:rPr>
              <w:t>。</w:t>
            </w:r>
          </w:p>
          <w:p w14:paraId="7C124FA2">
            <w:pPr>
              <w:keepNext w:val="0"/>
              <w:keepLines w:val="0"/>
              <w:numPr>
                <w:ilvl w:val="0"/>
                <w:numId w:val="0"/>
              </w:numPr>
              <w:suppressLineNumbers w:val="0"/>
              <w:spacing w:before="0" w:beforeAutospacing="0" w:after="0" w:afterAutospacing="0" w:line="360" w:lineRule="auto"/>
              <w:ind w:left="480" w:leftChars="200" w:right="0" w:rightChars="0"/>
              <w:jc w:val="left"/>
              <w:rPr>
                <w:rFonts w:hint="default"/>
                <w:color w:val="auto"/>
                <w:lang w:val="en-US" w:eastAsia="zh-CN"/>
              </w:rPr>
            </w:pPr>
            <w:r>
              <w:rPr>
                <w:rFonts w:hint="eastAsia" w:ascii="Times New Roman" w:hAnsi="Times New Roman" w:eastAsia="宋体" w:cs="Times New Roman"/>
                <w:color w:val="auto"/>
                <w:kern w:val="0"/>
                <w:sz w:val="24"/>
                <w:szCs w:val="24"/>
                <w:lang w:val="en-US" w:eastAsia="zh-CN" w:bidi="ar-SA"/>
              </w:rPr>
              <w:t>（1）场区道路：路基宽度为4.5m，路面宽度为3.5m，路面采用20cm厚泥结碎石面层。</w:t>
            </w:r>
          </w:p>
          <w:p w14:paraId="3D955FB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eastAsia" w:ascii="Times New Roman" w:hAnsi="Times New Roman" w:eastAsia="宋体" w:cs="Times New Roman"/>
                <w:color w:val="auto"/>
                <w:kern w:val="0"/>
                <w:sz w:val="24"/>
                <w:szCs w:val="24"/>
                <w:lang w:val="en-US" w:eastAsia="zh-CN" w:bidi="ar-SA"/>
              </w:rPr>
              <w:t>（2）厂内道路改扩建长度约4.3km，新建施工道路长约5km。</w:t>
            </w:r>
          </w:p>
          <w:p w14:paraId="634B6622">
            <w:pPr>
              <w:pStyle w:val="32"/>
              <w:keepNext w:val="0"/>
              <w:keepLines w:val="0"/>
              <w:numPr>
                <w:ilvl w:val="0"/>
                <w:numId w:val="0"/>
              </w:numPr>
              <w:suppressLineNumbers w:val="0"/>
              <w:bidi w:val="0"/>
              <w:spacing w:beforeAutospacing="0" w:afterAutospacing="0"/>
              <w:ind w:left="0" w:leftChars="0" w:right="0" w:firstLine="482" w:firstLineChars="200"/>
              <w:jc w:val="left"/>
              <w:rPr>
                <w:rFonts w:hint="default"/>
                <w:lang w:val="en-US" w:eastAsia="zh-CN"/>
              </w:rPr>
            </w:pPr>
            <w:r>
              <w:rPr>
                <w:rFonts w:hint="eastAsia" w:ascii="Times New Roman" w:hAnsi="Times New Roman" w:eastAsia="宋体" w:cs="Times New Roman"/>
                <w:b/>
                <w:bCs/>
                <w:sz w:val="24"/>
                <w:szCs w:val="24"/>
                <w:lang w:val="en-US" w:eastAsia="zh-CN"/>
              </w:rPr>
              <w:t>6</w:t>
            </w:r>
            <w:r>
              <w:rPr>
                <w:rFonts w:hint="default"/>
                <w:b/>
                <w:bCs/>
                <w:lang w:val="en-US" w:eastAsia="zh-CN"/>
              </w:rPr>
              <w:t>、消防系统</w:t>
            </w:r>
          </w:p>
          <w:p w14:paraId="756E84E1">
            <w:pPr>
              <w:pStyle w:val="32"/>
              <w:keepNext w:val="0"/>
              <w:keepLines w:val="0"/>
              <w:numPr>
                <w:ilvl w:val="0"/>
                <w:numId w:val="0"/>
              </w:numPr>
              <w:suppressLineNumbers w:val="0"/>
              <w:bidi w:val="0"/>
              <w:spacing w:beforeAutospacing="0" w:afterAutospacing="0" w:line="360" w:lineRule="auto"/>
              <w:ind w:left="0" w:leftChars="0" w:right="0" w:firstLine="480" w:firstLineChars="200"/>
              <w:jc w:val="left"/>
              <w:rPr>
                <w:rFonts w:hint="eastAsia" w:ascii="宋体" w:hAnsi="宋体" w:eastAsia="宋体" w:cs="宋体"/>
                <w:color w:val="auto"/>
                <w:spacing w:val="-1"/>
                <w:sz w:val="24"/>
                <w:szCs w:val="24"/>
                <w:lang w:eastAsia="zh-CN"/>
              </w:rPr>
            </w:pPr>
            <w:r>
              <w:rPr>
                <w:rFonts w:hint="default"/>
                <w:lang w:val="en-US" w:eastAsia="zh-CN"/>
              </w:rPr>
              <w:t>消防设计贯彻“预防为主，防消结合”的方针，立足自防自救。针对不同建（构）筑物和设施，采取多种消防措施。在工艺设计、设备及材料选用、平面布置、消防通道等 均按照有关消防规定执行。光伏电站站区消防系统包括：火灾灾探测报警系统及移动式灭火设备。</w:t>
            </w:r>
            <w:r>
              <w:rPr>
                <w:rFonts w:hint="default" w:ascii="宋体" w:hAnsi="宋体" w:eastAsia="宋体" w:cs="宋体"/>
                <w:spacing w:val="-2"/>
                <w:sz w:val="24"/>
                <w:szCs w:val="24"/>
              </w:rPr>
              <w:t>在施工区及施工生活区内按照有关部门消防安全的要求，配备足够的灭火器材。对</w:t>
            </w:r>
            <w:r>
              <w:rPr>
                <w:rFonts w:hint="default" w:ascii="宋体" w:hAnsi="宋体" w:eastAsia="宋体" w:cs="宋体"/>
                <w:spacing w:val="-5"/>
                <w:sz w:val="24"/>
                <w:szCs w:val="24"/>
              </w:rPr>
              <w:t>所有的施工上岗人员进行上岗前的消防安全教育。并指定专人（安全员</w:t>
            </w:r>
            <w:r>
              <w:rPr>
                <w:rFonts w:hint="eastAsia" w:eastAsia="宋体" w:cs="宋体"/>
                <w:spacing w:val="-5"/>
                <w:sz w:val="24"/>
                <w:szCs w:val="24"/>
                <w:lang w:eastAsia="zh-CN"/>
              </w:rPr>
              <w:t>）</w:t>
            </w:r>
            <w:r>
              <w:rPr>
                <w:rFonts w:hint="default" w:ascii="宋体" w:hAnsi="宋体" w:eastAsia="宋体" w:cs="宋体"/>
                <w:spacing w:val="-5"/>
                <w:sz w:val="24"/>
                <w:szCs w:val="24"/>
              </w:rPr>
              <w:t>进行消防安全</w:t>
            </w:r>
            <w:r>
              <w:rPr>
                <w:rFonts w:hint="default" w:ascii="宋体" w:hAnsi="宋体" w:eastAsia="宋体" w:cs="宋体"/>
                <w:sz w:val="24"/>
                <w:szCs w:val="24"/>
              </w:rPr>
              <w:t xml:space="preserve"> </w:t>
            </w:r>
            <w:r>
              <w:rPr>
                <w:rFonts w:hint="default" w:ascii="宋体" w:hAnsi="宋体" w:eastAsia="宋体" w:cs="宋体"/>
                <w:spacing w:val="-1"/>
                <w:sz w:val="24"/>
                <w:szCs w:val="24"/>
              </w:rPr>
              <w:t>监督，定期对施工</w:t>
            </w:r>
            <w:r>
              <w:rPr>
                <w:rFonts w:hint="default" w:ascii="宋体" w:hAnsi="宋体" w:eastAsia="宋体" w:cs="宋体"/>
                <w:color w:val="auto"/>
                <w:spacing w:val="-1"/>
                <w:sz w:val="24"/>
                <w:szCs w:val="24"/>
              </w:rPr>
              <w:t>中存在的消防安全隐患进行排查，确保消防安全</w:t>
            </w:r>
            <w:r>
              <w:rPr>
                <w:rFonts w:hint="eastAsia" w:ascii="宋体" w:hAnsi="宋体" w:eastAsia="宋体" w:cs="宋体"/>
                <w:color w:val="auto"/>
                <w:spacing w:val="-1"/>
                <w:sz w:val="24"/>
                <w:szCs w:val="24"/>
                <w:lang w:eastAsia="zh-CN"/>
              </w:rPr>
              <w:t>。</w:t>
            </w:r>
          </w:p>
          <w:p w14:paraId="448BB778">
            <w:pPr>
              <w:pStyle w:val="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w:t>
            </w:r>
            <w:bookmarkStart w:id="10" w:name="_Toc108528783"/>
            <w:r>
              <w:rPr>
                <w:rFonts w:hint="default" w:ascii="Times New Roman" w:hAnsi="Times New Roman" w:eastAsia="宋体" w:cs="Times New Roman"/>
                <w:b/>
                <w:bCs/>
                <w:color w:val="auto"/>
                <w:sz w:val="24"/>
                <w:szCs w:val="24"/>
                <w:lang w:val="en-US" w:eastAsia="zh-CN"/>
              </w:rPr>
              <w:t>工程占地</w:t>
            </w:r>
            <w:bookmarkEnd w:id="10"/>
          </w:p>
          <w:p w14:paraId="58A586EB">
            <w:pPr>
              <w:pStyle w:val="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工程建设用地合计约</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706.02</w:t>
            </w:r>
            <w:r>
              <w:rPr>
                <w:rFonts w:hint="eastAsia" w:ascii="Times New Roman" w:hAnsi="Times New Roman" w:eastAsia="宋体" w:cs="Times New Roman"/>
                <w:b w:val="0"/>
                <w:bCs w:val="0"/>
                <w:color w:val="auto"/>
                <w:kern w:val="2"/>
                <w:sz w:val="24"/>
                <w:szCs w:val="24"/>
                <w:vertAlign w:val="baseline"/>
                <w:lang w:val="en-US" w:eastAsia="zh-CN" w:bidi="ar-SA"/>
              </w:rPr>
              <w:t>亩，</w:t>
            </w:r>
            <w:r>
              <w:rPr>
                <w:rFonts w:hint="eastAsia" w:ascii="Times New Roman" w:hAnsi="Times New Roman" w:eastAsia="宋体" w:cs="Times New Roman"/>
                <w:b w:val="0"/>
                <w:bCs w:val="0"/>
                <w:color w:val="auto"/>
                <w:kern w:val="2"/>
                <w:sz w:val="24"/>
                <w:szCs w:val="24"/>
                <w:lang w:val="en-US" w:eastAsia="zh-CN" w:bidi="ar-SA"/>
              </w:rPr>
              <w:t>分为</w:t>
            </w:r>
            <w:r>
              <w:rPr>
                <w:rFonts w:hint="default" w:ascii="Times New Roman" w:hAnsi="Times New Roman" w:eastAsia="宋体" w:cs="Times New Roman"/>
                <w:b w:val="0"/>
                <w:bCs w:val="0"/>
                <w:color w:val="auto"/>
                <w:kern w:val="2"/>
                <w:sz w:val="24"/>
                <w:szCs w:val="24"/>
                <w:lang w:val="en-US" w:eastAsia="zh-CN" w:bidi="ar-SA"/>
              </w:rPr>
              <w:t>永久用地</w:t>
            </w:r>
            <w:r>
              <w:rPr>
                <w:rFonts w:hint="eastAsia" w:ascii="Times New Roman" w:hAnsi="Times New Roman" w:eastAsia="宋体" w:cs="Times New Roman"/>
                <w:b w:val="0"/>
                <w:bCs w:val="0"/>
                <w:color w:val="auto"/>
                <w:kern w:val="2"/>
                <w:sz w:val="24"/>
                <w:szCs w:val="24"/>
                <w:lang w:val="en-US" w:eastAsia="zh-CN" w:bidi="ar-SA"/>
              </w:rPr>
              <w:t>和临时用地，均不占用永久基本农田和耕地。永久用地</w:t>
            </w:r>
            <w:r>
              <w:rPr>
                <w:rFonts w:hint="default" w:ascii="Times New Roman" w:hAnsi="Times New Roman" w:eastAsia="宋体" w:cs="Times New Roman"/>
                <w:b w:val="0"/>
                <w:bCs w:val="0"/>
                <w:color w:val="auto"/>
                <w:kern w:val="2"/>
                <w:sz w:val="24"/>
                <w:szCs w:val="24"/>
                <w:lang w:val="en-US" w:eastAsia="zh-CN" w:bidi="ar-SA"/>
              </w:rPr>
              <w:t>为</w:t>
            </w:r>
            <w:r>
              <w:rPr>
                <w:rFonts w:hint="eastAsia" w:ascii="Times New Roman" w:hAnsi="Times New Roman" w:eastAsia="宋体" w:cs="Times New Roman"/>
                <w:b w:val="0"/>
                <w:bCs w:val="0"/>
                <w:color w:val="auto"/>
                <w:kern w:val="2"/>
                <w:sz w:val="24"/>
                <w:szCs w:val="24"/>
                <w:lang w:val="en-US" w:eastAsia="zh-CN" w:bidi="ar-SA"/>
              </w:rPr>
              <w:t>逆变升压单元用地、杆塔等；临时用地包括：光伏阵列区、场区改造道路、施工临时用地等。</w:t>
            </w:r>
          </w:p>
          <w:p w14:paraId="5AE5AF59">
            <w:pPr>
              <w:pStyle w:val="8"/>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（1）永久用地包括逆变升压单元、杆塔用地总面积为：1726m</w:t>
            </w:r>
            <w:r>
              <w:rPr>
                <w:rFonts w:hint="eastAsia"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vertAlign w:val="baseline"/>
                <w:lang w:val="en-US" w:eastAsia="zh-CN" w:bidi="ar-SA"/>
              </w:rPr>
              <w:t>，约2.59亩。</w:t>
            </w:r>
          </w:p>
          <w:p w14:paraId="4BBE5485">
            <w:pPr>
              <w:pStyle w:val="8"/>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临时用地包括光伏阵列区、厂区改造道路、施工临时用地等，总面积为</w:t>
            </w:r>
            <w:r>
              <w:rPr>
                <w:rFonts w:hint="eastAsia" w:ascii="Times New Roman" w:hAnsi="Times New Roman" w:eastAsia="宋体" w:cs="Times New Roman"/>
                <w:color w:val="auto"/>
                <w:sz w:val="24"/>
                <w:szCs w:val="24"/>
                <w:vertAlign w:val="baseline"/>
                <w:lang w:val="en-US" w:eastAsia="zh-CN"/>
              </w:rPr>
              <w:t>468953.05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auto"/>
                <w:kern w:val="2"/>
                <w:sz w:val="24"/>
                <w:szCs w:val="24"/>
                <w:lang w:val="en-US" w:eastAsia="zh-CN" w:bidi="ar-SA"/>
              </w:rPr>
              <w:t>，约703.43亩。临时用地为租地。</w:t>
            </w:r>
          </w:p>
          <w:p w14:paraId="223F3D9B">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表2-5 工程用地面积表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860"/>
              <w:gridCol w:w="1647"/>
              <w:gridCol w:w="1641"/>
              <w:gridCol w:w="826"/>
            </w:tblGrid>
            <w:tr w14:paraId="73B70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0" w:type="pct"/>
                  <w:vMerge w:val="restart"/>
                  <w:tcBorders>
                    <w:tl2br w:val="nil"/>
                    <w:tr2bl w:val="nil"/>
                  </w:tcBorders>
                  <w:vAlign w:val="center"/>
                </w:tcPr>
                <w:p w14:paraId="2127C6AD">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828" w:type="pct"/>
                  <w:vMerge w:val="restart"/>
                  <w:tcBorders>
                    <w:tl2br w:val="nil"/>
                    <w:tr2bl w:val="nil"/>
                  </w:tcBorders>
                  <w:vAlign w:val="center"/>
                </w:tcPr>
                <w:p w14:paraId="36898BBA">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项目名称</w:t>
                  </w:r>
                </w:p>
              </w:tc>
              <w:tc>
                <w:tcPr>
                  <w:tcW w:w="1053" w:type="pct"/>
                  <w:tcBorders>
                    <w:tl2br w:val="nil"/>
                    <w:tr2bl w:val="nil"/>
                  </w:tcBorders>
                  <w:vAlign w:val="center"/>
                </w:tcPr>
                <w:p w14:paraId="7F2435A5">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占地面积</w:t>
                  </w:r>
                </w:p>
              </w:tc>
              <w:tc>
                <w:tcPr>
                  <w:tcW w:w="1049" w:type="pct"/>
                  <w:vMerge w:val="restart"/>
                  <w:tcBorders>
                    <w:tl2br w:val="nil"/>
                    <w:tr2bl w:val="nil"/>
                  </w:tcBorders>
                  <w:vAlign w:val="center"/>
                </w:tcPr>
                <w:p w14:paraId="3ADA28D6">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占地</w:t>
                  </w:r>
                </w:p>
              </w:tc>
              <w:tc>
                <w:tcPr>
                  <w:tcW w:w="528" w:type="pct"/>
                  <w:vMerge w:val="restart"/>
                  <w:tcBorders>
                    <w:tl2br w:val="nil"/>
                    <w:tr2bl w:val="nil"/>
                  </w:tcBorders>
                  <w:vAlign w:val="center"/>
                </w:tcPr>
                <w:p w14:paraId="3405175A">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备注</w:t>
                  </w:r>
                </w:p>
              </w:tc>
            </w:tr>
            <w:tr w14:paraId="29B92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0" w:type="pct"/>
                  <w:vMerge w:val="continue"/>
                  <w:tcBorders>
                    <w:tl2br w:val="nil"/>
                    <w:tr2bl w:val="nil"/>
                  </w:tcBorders>
                  <w:vAlign w:val="center"/>
                </w:tcPr>
                <w:p w14:paraId="5871517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c>
                <w:tcPr>
                  <w:tcW w:w="1828" w:type="pct"/>
                  <w:vMerge w:val="continue"/>
                  <w:tcBorders>
                    <w:tl2br w:val="nil"/>
                    <w:tr2bl w:val="nil"/>
                  </w:tcBorders>
                  <w:vAlign w:val="center"/>
                </w:tcPr>
                <w:p w14:paraId="41D1F72C">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c>
                <w:tcPr>
                  <w:tcW w:w="1053" w:type="pct"/>
                  <w:tcBorders>
                    <w:tl2br w:val="nil"/>
                    <w:tr2bl w:val="nil"/>
                  </w:tcBorders>
                  <w:vAlign w:val="center"/>
                </w:tcPr>
                <w:p w14:paraId="0FEBB33F">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Ascii" w:hAnsiTheme="minorAscii" w:eastAsiaTheme="minorEastAsia" w:cstheme="minorBidi"/>
                      <w:kern w:val="2"/>
                      <w:sz w:val="24"/>
                      <w:szCs w:val="24"/>
                      <w:lang w:val="en-US" w:eastAsia="zh-CN" w:bidi="ar-SA"/>
                    </w:rPr>
                  </w:pPr>
                  <w:r>
                    <w:rPr>
                      <w:rFonts w:hint="eastAsia"/>
                      <w:lang w:val="en-US" w:eastAsia="zh-CN"/>
                    </w:rPr>
                    <w:t>m</w:t>
                  </w:r>
                  <w:r>
                    <w:rPr>
                      <w:rFonts w:hint="eastAsia"/>
                      <w:vertAlign w:val="superscript"/>
                      <w:lang w:val="en-US" w:eastAsia="zh-CN"/>
                    </w:rPr>
                    <w:t>2</w:t>
                  </w:r>
                </w:p>
              </w:tc>
              <w:tc>
                <w:tcPr>
                  <w:tcW w:w="1049" w:type="pct"/>
                  <w:vMerge w:val="continue"/>
                  <w:tcBorders>
                    <w:tl2br w:val="nil"/>
                    <w:tr2bl w:val="nil"/>
                  </w:tcBorders>
                  <w:vAlign w:val="center"/>
                </w:tcPr>
                <w:p w14:paraId="1A1753B5">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Theme="minorEastAsia"/>
                      <w:lang w:val="en-US" w:eastAsia="zh-CN"/>
                    </w:rPr>
                  </w:pPr>
                </w:p>
              </w:tc>
              <w:tc>
                <w:tcPr>
                  <w:tcW w:w="528" w:type="pct"/>
                  <w:vMerge w:val="continue"/>
                  <w:tcBorders>
                    <w:tl2br w:val="nil"/>
                    <w:tr2bl w:val="nil"/>
                  </w:tcBorders>
                  <w:vAlign w:val="center"/>
                </w:tcPr>
                <w:p w14:paraId="08DD37F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rPr>
                  </w:pPr>
                </w:p>
              </w:tc>
            </w:tr>
            <w:tr w14:paraId="4C6E3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5C5506A7">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828" w:type="pct"/>
                  <w:tcBorders>
                    <w:tl2br w:val="nil"/>
                    <w:tr2bl w:val="nil"/>
                  </w:tcBorders>
                  <w:vAlign w:val="center"/>
                </w:tcPr>
                <w:p w14:paraId="7323A1DC">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4"/>
                      <w:szCs w:val="24"/>
                      <w:lang w:val="en-US" w:eastAsia="zh-CN" w:bidi="ar-SA"/>
                    </w:rPr>
                    <w:t>箱式变压器</w:t>
                  </w:r>
                </w:p>
              </w:tc>
              <w:tc>
                <w:tcPr>
                  <w:tcW w:w="1053" w:type="pct"/>
                  <w:tcBorders>
                    <w:tl2br w:val="nil"/>
                    <w:tr2bl w:val="nil"/>
                  </w:tcBorders>
                  <w:vAlign w:val="center"/>
                </w:tcPr>
                <w:p w14:paraId="1B9819D4">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330</w:t>
                  </w:r>
                </w:p>
              </w:tc>
              <w:tc>
                <w:tcPr>
                  <w:tcW w:w="1049" w:type="pct"/>
                  <w:vMerge w:val="restart"/>
                  <w:tcBorders>
                    <w:tl2br w:val="nil"/>
                    <w:tr2bl w:val="nil"/>
                  </w:tcBorders>
                  <w:vAlign w:val="center"/>
                </w:tcPr>
                <w:p w14:paraId="4E05ADD7">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永久占地</w:t>
                  </w:r>
                </w:p>
              </w:tc>
              <w:tc>
                <w:tcPr>
                  <w:tcW w:w="528" w:type="pct"/>
                  <w:vMerge w:val="restart"/>
                  <w:tcBorders>
                    <w:tl2br w:val="nil"/>
                    <w:tr2bl w:val="nil"/>
                  </w:tcBorders>
                  <w:vAlign w:val="center"/>
                </w:tcPr>
                <w:p w14:paraId="0FA695E3">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征地</w:t>
                  </w:r>
                </w:p>
              </w:tc>
            </w:tr>
            <w:tr w14:paraId="3EC60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738411F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828" w:type="pct"/>
                  <w:tcBorders>
                    <w:tl2br w:val="nil"/>
                    <w:tr2bl w:val="nil"/>
                  </w:tcBorders>
                  <w:vAlign w:val="center"/>
                </w:tcPr>
                <w:p w14:paraId="2775676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电缆分接箱</w:t>
                  </w:r>
                </w:p>
              </w:tc>
              <w:tc>
                <w:tcPr>
                  <w:tcW w:w="1053" w:type="pct"/>
                  <w:tcBorders>
                    <w:tl2br w:val="nil"/>
                    <w:tr2bl w:val="nil"/>
                  </w:tcBorders>
                  <w:vAlign w:val="center"/>
                </w:tcPr>
                <w:p w14:paraId="5CC1523F">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25</w:t>
                  </w:r>
                </w:p>
              </w:tc>
              <w:tc>
                <w:tcPr>
                  <w:tcW w:w="1049" w:type="pct"/>
                  <w:vMerge w:val="continue"/>
                  <w:tcBorders>
                    <w:tl2br w:val="nil"/>
                    <w:tr2bl w:val="nil"/>
                  </w:tcBorders>
                  <w:vAlign w:val="center"/>
                </w:tcPr>
                <w:p w14:paraId="64EE87A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74C8623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0EC05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415BB25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828" w:type="pct"/>
                  <w:tcBorders>
                    <w:tl2br w:val="nil"/>
                    <w:tr2bl w:val="nil"/>
                  </w:tcBorders>
                  <w:vAlign w:val="center"/>
                </w:tcPr>
                <w:p w14:paraId="6D21E42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电缆井</w:t>
                  </w:r>
                </w:p>
              </w:tc>
              <w:tc>
                <w:tcPr>
                  <w:tcW w:w="1053" w:type="pct"/>
                  <w:tcBorders>
                    <w:tl2br w:val="nil"/>
                    <w:tr2bl w:val="nil"/>
                  </w:tcBorders>
                  <w:vAlign w:val="center"/>
                </w:tcPr>
                <w:p w14:paraId="5B0CF69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255</w:t>
                  </w:r>
                </w:p>
              </w:tc>
              <w:tc>
                <w:tcPr>
                  <w:tcW w:w="1049" w:type="pct"/>
                  <w:vMerge w:val="continue"/>
                  <w:tcBorders>
                    <w:tl2br w:val="nil"/>
                    <w:tr2bl w:val="nil"/>
                  </w:tcBorders>
                  <w:vAlign w:val="center"/>
                </w:tcPr>
                <w:p w14:paraId="25A2498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29EFA7F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53993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4BA7FDB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828" w:type="pct"/>
                  <w:tcBorders>
                    <w:tl2br w:val="nil"/>
                    <w:tr2bl w:val="nil"/>
                  </w:tcBorders>
                  <w:vAlign w:val="center"/>
                </w:tcPr>
                <w:p w14:paraId="6311D57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铁塔</w:t>
                  </w:r>
                </w:p>
              </w:tc>
              <w:tc>
                <w:tcPr>
                  <w:tcW w:w="1053" w:type="pct"/>
                  <w:tcBorders>
                    <w:tl2br w:val="nil"/>
                    <w:tr2bl w:val="nil"/>
                  </w:tcBorders>
                  <w:vAlign w:val="center"/>
                </w:tcPr>
                <w:p w14:paraId="31B56DE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1116</w:t>
                  </w:r>
                </w:p>
              </w:tc>
              <w:tc>
                <w:tcPr>
                  <w:tcW w:w="1049" w:type="pct"/>
                  <w:vMerge w:val="continue"/>
                  <w:tcBorders>
                    <w:tl2br w:val="nil"/>
                    <w:tr2bl w:val="nil"/>
                  </w:tcBorders>
                  <w:vAlign w:val="center"/>
                </w:tcPr>
                <w:p w14:paraId="2A911B8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1BCA232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2ABE2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 w:type="pct"/>
                  <w:tcBorders>
                    <w:tl2br w:val="nil"/>
                    <w:tr2bl w:val="nil"/>
                  </w:tcBorders>
                  <w:vAlign w:val="center"/>
                </w:tcPr>
                <w:p w14:paraId="7D36AC4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828" w:type="pct"/>
                  <w:tcBorders>
                    <w:tl2br w:val="nil"/>
                    <w:tr2bl w:val="nil"/>
                  </w:tcBorders>
                  <w:vAlign w:val="center"/>
                </w:tcPr>
                <w:p w14:paraId="3AB991A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小计</w:t>
                  </w:r>
                </w:p>
              </w:tc>
              <w:tc>
                <w:tcPr>
                  <w:tcW w:w="1053" w:type="pct"/>
                  <w:tcBorders>
                    <w:tl2br w:val="nil"/>
                    <w:tr2bl w:val="nil"/>
                  </w:tcBorders>
                  <w:vAlign w:val="center"/>
                </w:tcPr>
                <w:p w14:paraId="48C36F4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1726</w:t>
                  </w:r>
                </w:p>
              </w:tc>
              <w:tc>
                <w:tcPr>
                  <w:tcW w:w="1049" w:type="pct"/>
                  <w:vMerge w:val="continue"/>
                  <w:tcBorders>
                    <w:tl2br w:val="nil"/>
                    <w:tr2bl w:val="nil"/>
                  </w:tcBorders>
                  <w:vAlign w:val="center"/>
                </w:tcPr>
                <w:p w14:paraId="0EEDA7E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4DAD182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2A23C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6535077E">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828" w:type="pct"/>
                  <w:tcBorders>
                    <w:tl2br w:val="nil"/>
                    <w:tr2bl w:val="nil"/>
                  </w:tcBorders>
                  <w:vAlign w:val="center"/>
                </w:tcPr>
                <w:p w14:paraId="49AB1557">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光伏阵列占地</w:t>
                  </w:r>
                </w:p>
              </w:tc>
              <w:tc>
                <w:tcPr>
                  <w:tcW w:w="1053" w:type="pct"/>
                  <w:tcBorders>
                    <w:tl2br w:val="nil"/>
                    <w:tr2bl w:val="nil"/>
                  </w:tcBorders>
                  <w:vAlign w:val="center"/>
                </w:tcPr>
                <w:p w14:paraId="1013A0E0">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395780.85</w:t>
                  </w:r>
                </w:p>
              </w:tc>
              <w:tc>
                <w:tcPr>
                  <w:tcW w:w="1049" w:type="pct"/>
                  <w:vMerge w:val="restart"/>
                  <w:tcBorders>
                    <w:tl2br w:val="nil"/>
                    <w:tr2bl w:val="nil"/>
                  </w:tcBorders>
                  <w:vAlign w:val="center"/>
                </w:tcPr>
                <w:p w14:paraId="36EAFBDD">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临时占地</w:t>
                  </w:r>
                </w:p>
              </w:tc>
              <w:tc>
                <w:tcPr>
                  <w:tcW w:w="528" w:type="pct"/>
                  <w:vMerge w:val="restart"/>
                  <w:tcBorders>
                    <w:tl2br w:val="nil"/>
                    <w:tr2bl w:val="nil"/>
                  </w:tcBorders>
                  <w:vAlign w:val="center"/>
                </w:tcPr>
                <w:p w14:paraId="4BC7676B">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租地</w:t>
                  </w:r>
                </w:p>
              </w:tc>
            </w:tr>
            <w:tr w14:paraId="40D48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68C53CDA">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828" w:type="pct"/>
                  <w:tcBorders>
                    <w:tl2br w:val="nil"/>
                    <w:tr2bl w:val="nil"/>
                  </w:tcBorders>
                  <w:vAlign w:val="center"/>
                </w:tcPr>
                <w:p w14:paraId="5E098224">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临时生活、生产设施及仓库</w:t>
                  </w:r>
                </w:p>
              </w:tc>
              <w:tc>
                <w:tcPr>
                  <w:tcW w:w="1053" w:type="pct"/>
                  <w:tcBorders>
                    <w:tl2br w:val="nil"/>
                    <w:tr2bl w:val="nil"/>
                  </w:tcBorders>
                  <w:vAlign w:val="center"/>
                </w:tcPr>
                <w:p w14:paraId="5F3A7CC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10000</w:t>
                  </w:r>
                </w:p>
              </w:tc>
              <w:tc>
                <w:tcPr>
                  <w:tcW w:w="1049" w:type="pct"/>
                  <w:vMerge w:val="continue"/>
                  <w:tcBorders>
                    <w:tl2br w:val="nil"/>
                    <w:tr2bl w:val="nil"/>
                  </w:tcBorders>
                  <w:vAlign w:val="center"/>
                </w:tcPr>
                <w:p w14:paraId="4F41516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67A0E66B">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2465D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3BDEF226">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828" w:type="pct"/>
                  <w:tcBorders>
                    <w:tl2br w:val="nil"/>
                    <w:tr2bl w:val="nil"/>
                  </w:tcBorders>
                  <w:vAlign w:val="center"/>
                </w:tcPr>
                <w:p w14:paraId="490B3BB6">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场内施工道路</w:t>
                  </w:r>
                </w:p>
              </w:tc>
              <w:tc>
                <w:tcPr>
                  <w:tcW w:w="1053" w:type="pct"/>
                  <w:tcBorders>
                    <w:tl2br w:val="nil"/>
                    <w:tr2bl w:val="nil"/>
                  </w:tcBorders>
                  <w:vAlign w:val="center"/>
                </w:tcPr>
                <w:p w14:paraId="0AE3E1F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63172.2</w:t>
                  </w:r>
                </w:p>
              </w:tc>
              <w:tc>
                <w:tcPr>
                  <w:tcW w:w="1049" w:type="pct"/>
                  <w:vMerge w:val="continue"/>
                  <w:tcBorders>
                    <w:tl2br w:val="nil"/>
                    <w:tr2bl w:val="nil"/>
                  </w:tcBorders>
                  <w:vAlign w:val="center"/>
                </w:tcPr>
                <w:p w14:paraId="2D2EB3D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06A27951">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1CB51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0" w:type="pct"/>
                  <w:tcBorders>
                    <w:tl2br w:val="nil"/>
                    <w:tr2bl w:val="nil"/>
                  </w:tcBorders>
                  <w:vAlign w:val="center"/>
                </w:tcPr>
                <w:p w14:paraId="2DA20B48">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828" w:type="pct"/>
                  <w:tcBorders>
                    <w:tl2br w:val="nil"/>
                    <w:tr2bl w:val="nil"/>
                  </w:tcBorders>
                  <w:vAlign w:val="center"/>
                </w:tcPr>
                <w:p w14:paraId="19DD1FDB">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小计</w:t>
                  </w:r>
                </w:p>
              </w:tc>
              <w:tc>
                <w:tcPr>
                  <w:tcW w:w="1053" w:type="pct"/>
                  <w:tcBorders>
                    <w:tl2br w:val="nil"/>
                    <w:tr2bl w:val="nil"/>
                  </w:tcBorders>
                  <w:vAlign w:val="center"/>
                </w:tcPr>
                <w:p w14:paraId="089CAA7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468953.05</w:t>
                  </w:r>
                </w:p>
              </w:tc>
              <w:tc>
                <w:tcPr>
                  <w:tcW w:w="1049" w:type="pct"/>
                  <w:vMerge w:val="continue"/>
                  <w:tcBorders>
                    <w:tl2br w:val="nil"/>
                    <w:tr2bl w:val="nil"/>
                  </w:tcBorders>
                  <w:vAlign w:val="center"/>
                </w:tcPr>
                <w:p w14:paraId="55CC4A85">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528" w:type="pct"/>
                  <w:vMerge w:val="continue"/>
                  <w:tcBorders>
                    <w:tl2br w:val="nil"/>
                    <w:tr2bl w:val="nil"/>
                  </w:tcBorders>
                  <w:vAlign w:val="center"/>
                </w:tcPr>
                <w:p w14:paraId="129578B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p>
              </w:tc>
            </w:tr>
            <w:tr w14:paraId="2B938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40" w:type="pct"/>
                  <w:tcBorders>
                    <w:tl2br w:val="nil"/>
                    <w:tr2bl w:val="nil"/>
                  </w:tcBorders>
                  <w:vAlign w:val="center"/>
                </w:tcPr>
                <w:p w14:paraId="08FA89FF">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828" w:type="pct"/>
                  <w:tcBorders>
                    <w:tl2br w:val="nil"/>
                    <w:tr2bl w:val="nil"/>
                  </w:tcBorders>
                  <w:vAlign w:val="center"/>
                </w:tcPr>
                <w:p w14:paraId="336F5E1E">
                  <w:pPr>
                    <w:pStyle w:val="8"/>
                    <w:keepNext w:val="0"/>
                    <w:keepLines w:val="0"/>
                    <w:pageBreakBefore w:val="0"/>
                    <w:widowControl w:val="0"/>
                    <w:numPr>
                      <w:ilvl w:val="0"/>
                      <w:numId w:val="0"/>
                    </w:numPr>
                    <w:suppressLineNumbers w:val="0"/>
                    <w:tabs>
                      <w:tab w:val="left" w:pos="924"/>
                      <w:tab w:val="center" w:pos="1578"/>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w:t>
                  </w:r>
                </w:p>
              </w:tc>
              <w:tc>
                <w:tcPr>
                  <w:tcW w:w="1053" w:type="pct"/>
                  <w:tcBorders>
                    <w:tl2br w:val="nil"/>
                    <w:tr2bl w:val="nil"/>
                  </w:tcBorders>
                  <w:vAlign w:val="center"/>
                </w:tcPr>
                <w:p w14:paraId="67C49F10">
                  <w:pPr>
                    <w:pStyle w:val="8"/>
                    <w:keepNext w:val="0"/>
                    <w:keepLines w:val="0"/>
                    <w:pageBreakBefore w:val="0"/>
                    <w:widowControl w:val="0"/>
                    <w:numPr>
                      <w:ilvl w:val="0"/>
                      <w:numId w:val="0"/>
                    </w:numPr>
                    <w:suppressLineNumbers w:val="0"/>
                    <w:tabs>
                      <w:tab w:val="left" w:pos="924"/>
                      <w:tab w:val="center" w:pos="1578"/>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470679.05</w:t>
                  </w:r>
                </w:p>
              </w:tc>
              <w:tc>
                <w:tcPr>
                  <w:tcW w:w="1049" w:type="pct"/>
                  <w:tcBorders>
                    <w:tl2br w:val="nil"/>
                    <w:tr2bl w:val="nil"/>
                  </w:tcBorders>
                  <w:vAlign w:val="center"/>
                </w:tcPr>
                <w:p w14:paraId="37F7FFDA">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28" w:type="pct"/>
                  <w:tcBorders>
                    <w:tl2br w:val="nil"/>
                    <w:tr2bl w:val="nil"/>
                  </w:tcBorders>
                  <w:vAlign w:val="center"/>
                </w:tcPr>
                <w:p w14:paraId="4EDF34CA">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14:paraId="0C80C857">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p>
          <w:p w14:paraId="2E4B3410">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四、运行调度 </w:t>
            </w:r>
          </w:p>
          <w:p w14:paraId="48162E5F">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（1）工作制度及劳动定员</w:t>
            </w:r>
          </w:p>
          <w:p w14:paraId="3107FE28">
            <w:pPr>
              <w:pStyle w:val="8"/>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本项目运营期劳动定员为4人，在江东升压站内食宿。工作采取8小时工作制，每日三班轮流值守，全年工作365天。</w:t>
            </w:r>
          </w:p>
          <w:p w14:paraId="0118E38B">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（2）光伏组件维护清洗</w:t>
            </w:r>
          </w:p>
          <w:p w14:paraId="2C4487E2">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为了保证光伏电站的发电效率，需定期和不定期对太阳电池组件上的积尘进行清扫和去除。</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电池组件清洗后应保持其表面干燥。</w:t>
            </w:r>
          </w:p>
          <w:p w14:paraId="5FE3A030">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根据实际情况，</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雨季时降雨冲刷太阳能电池组件表面可达到自然清洁的目的，一般不需再额外进行人工清洗；项目主要在旱季时开展组件清洗，</w:t>
            </w:r>
            <w:r>
              <w:rPr>
                <w:rFonts w:hint="default" w:ascii="Times New Roman" w:hAnsi="Times New Roman" w:eastAsia="宋体" w:cs="Times New Roman"/>
                <w:color w:val="000000" w:themeColor="text1"/>
                <w14:textFill>
                  <w14:solidFill>
                    <w14:schemeClr w14:val="tx1"/>
                  </w14:solidFill>
                </w14:textFill>
              </w:rPr>
              <w:t>其人工清洗频率为</w:t>
            </w:r>
            <w:r>
              <w:rPr>
                <w:rFonts w:hint="default" w:ascii="Times New Roman" w:hAnsi="Times New Roman" w:eastAsia="宋体" w:cs="Times New Roman"/>
                <w:color w:val="auto"/>
              </w:rPr>
              <w:t>6个月一次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一年清洗2次，</w:t>
            </w:r>
            <w:r>
              <w:rPr>
                <w:rFonts w:hint="default" w:ascii="Times New Roman" w:hAnsi="Times New Roman" w:eastAsia="宋体" w:cs="Times New Roman"/>
                <w:color w:val="000000" w:themeColor="text1"/>
                <w14:textFill>
                  <w14:solidFill>
                    <w14:schemeClr w14:val="tx1"/>
                  </w14:solidFill>
                </w14:textFill>
              </w:rPr>
              <w:t>每次清洗约1个月时间完成</w:t>
            </w:r>
            <w:r>
              <w:rPr>
                <w:rFonts w:hint="eastAsia" w:ascii="Times New Roman" w:hAnsi="Times New Roman" w:eastAsia="宋体" w:cs="Times New Roman"/>
                <w:color w:val="000000" w:themeColor="text1"/>
                <w:lang w:eastAsia="zh-CN"/>
                <w14:textFill>
                  <w14:solidFill>
                    <w14:schemeClr w14:val="tx1"/>
                  </w14:solidFill>
                </w14:textFill>
              </w:rPr>
              <w:t>。</w:t>
            </w:r>
          </w:p>
        </w:tc>
      </w:tr>
      <w:tr w14:paraId="41E9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4ABF79AC">
            <w:pPr>
              <w:keepNext w:val="0"/>
              <w:keepLines w:val="0"/>
              <w:suppressLineNumbers w:val="0"/>
              <w:bidi w:val="0"/>
              <w:spacing w:before="0" w:beforeAutospacing="0" w:after="0" w:afterAutospacing="0"/>
              <w:ind w:left="0" w:right="0"/>
              <w:jc w:val="center"/>
              <w:rPr>
                <w:rFonts w:hint="eastAsia" w:ascii="Times New Roman" w:hAnsi="Times New Roman" w:eastAsiaTheme="minorEastAsia"/>
                <w:color w:val="000000"/>
                <w:kern w:val="0"/>
                <w:sz w:val="24"/>
                <w:lang w:val="en-US" w:eastAsia="zh-CN"/>
              </w:rPr>
            </w:pPr>
            <w:r>
              <w:rPr>
                <w:rFonts w:hint="default" w:ascii="Times New Roman" w:hAnsi="Times New Roman"/>
                <w:color w:val="000000"/>
                <w:kern w:val="0"/>
                <w:sz w:val="24"/>
              </w:rPr>
              <w:t>总平面及现场布</w:t>
            </w:r>
            <w:r>
              <w:rPr>
                <w:rFonts w:hint="eastAsia" w:ascii="Times New Roman" w:hAnsi="Times New Roman"/>
                <w:color w:val="000000"/>
                <w:kern w:val="0"/>
                <w:sz w:val="24"/>
                <w:lang w:val="en-US" w:eastAsia="zh-CN"/>
              </w:rPr>
              <w:t>置</w:t>
            </w:r>
          </w:p>
        </w:tc>
        <w:tc>
          <w:tcPr>
            <w:tcW w:w="8068" w:type="dxa"/>
          </w:tcPr>
          <w:p w14:paraId="257D805C">
            <w:pPr>
              <w:keepNext w:val="0"/>
              <w:keepLines w:val="0"/>
              <w:numPr>
                <w:ilvl w:val="0"/>
                <w:numId w:val="7"/>
              </w:numPr>
              <w:suppressLineNumbers w:val="0"/>
              <w:spacing w:before="78" w:beforeAutospacing="0" w:after="0" w:afterAutospacing="0" w:line="360" w:lineRule="auto"/>
              <w:ind w:left="480" w:leftChars="0" w:right="0" w:firstLineChars="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项目工程布局</w:t>
            </w:r>
          </w:p>
          <w:p w14:paraId="28D2067D">
            <w:pPr>
              <w:pStyle w:val="8"/>
              <w:keepNext w:val="0"/>
              <w:keepLines w:val="0"/>
              <w:numPr>
                <w:ilvl w:val="0"/>
                <w:numId w:val="0"/>
              </w:numPr>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1、光伏阵列布设</w:t>
            </w:r>
          </w:p>
          <w:p w14:paraId="68FEB0BB">
            <w:pPr>
              <w:pStyle w:val="8"/>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11</w:t>
            </w:r>
            <w:r>
              <w:rPr>
                <w:rFonts w:hint="default" w:ascii="Times New Roman" w:hAnsi="Times New Roman" w:eastAsia="宋体" w:cs="Times New Roman"/>
                <w:color w:val="auto"/>
                <w:sz w:val="24"/>
                <w:szCs w:val="24"/>
                <w:lang w:val="en-US" w:eastAsia="zh-CN" w:bidi="ar"/>
              </w:rPr>
              <w:t>个光伏方阵，其中</w:t>
            </w:r>
            <w:r>
              <w:rPr>
                <w:rFonts w:hint="eastAsia" w:ascii="Times New Roman" w:hAnsi="Times New Roman" w:eastAsia="宋体" w:cs="Times New Roman"/>
                <w:sz w:val="24"/>
                <w:szCs w:val="24"/>
                <w:lang w:val="en-US" w:eastAsia="zh-CN"/>
              </w:rPr>
              <w:t>2个3.2MW、1个2.56MW方阵、7个1.92MW方阵、1个1.6MW方阵</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每个</w:t>
            </w:r>
            <w:r>
              <w:rPr>
                <w:rFonts w:hint="default" w:ascii="Times New Roman" w:hAnsi="Times New Roman" w:eastAsia="宋体" w:cs="Times New Roman"/>
                <w:sz w:val="24"/>
                <w:szCs w:val="24"/>
                <w:lang w:val="en-US" w:eastAsia="zh-CN"/>
              </w:rPr>
              <w:t>1.6MW方阵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w:t>
            </w:r>
            <w:r>
              <w:rPr>
                <w:rFonts w:hint="default" w:ascii="Times New Roman" w:hAnsi="Times New Roman" w:eastAsia="宋体" w:cs="Times New Roman"/>
                <w:sz w:val="24"/>
                <w:szCs w:val="24"/>
                <w:lang w:val="en-US" w:eastAsia="zh-CN"/>
              </w:rPr>
              <w:t>3.2MW方阵</w:t>
            </w:r>
            <w:r>
              <w:rPr>
                <w:rFonts w:hint="eastAsia" w:ascii="Times New Roman" w:hAnsi="Times New Roman" w:eastAsia="宋体" w:cs="Times New Roman"/>
                <w:sz w:val="24"/>
                <w:szCs w:val="24"/>
                <w:lang w:val="en-US" w:eastAsia="zh-CN"/>
              </w:rPr>
              <w:t>包含</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逆变发电单元，每个2.56</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包含8个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逆变发电单元，每个1.92</w:t>
            </w:r>
            <w:r>
              <w:rPr>
                <w:rFonts w:hint="default" w:ascii="Times New Roman" w:hAnsi="Times New Roman" w:eastAsia="宋体" w:cs="Times New Roman"/>
                <w:sz w:val="24"/>
                <w:szCs w:val="24"/>
                <w:lang w:val="en-US" w:eastAsia="zh-CN"/>
              </w:rPr>
              <w:t>MW方阵</w:t>
            </w:r>
            <w:r>
              <w:rPr>
                <w:rFonts w:hint="eastAsia" w:ascii="Times New Roman" w:hAnsi="Times New Roman" w:eastAsia="宋体" w:cs="Times New Roman"/>
                <w:sz w:val="24"/>
                <w:szCs w:val="24"/>
                <w:lang w:val="en-US" w:eastAsia="zh-CN"/>
              </w:rPr>
              <w:t>包含6个</w:t>
            </w:r>
            <w:r>
              <w:rPr>
                <w:rFonts w:hint="default" w:ascii="Times New Roman" w:hAnsi="Times New Roman" w:eastAsia="宋体" w:cs="Times New Roman"/>
                <w:sz w:val="24"/>
                <w:szCs w:val="24"/>
                <w:lang w:val="en-US" w:eastAsia="zh-CN"/>
              </w:rPr>
              <w:t>320kW</w:t>
            </w:r>
            <w:r>
              <w:rPr>
                <w:rFonts w:hint="eastAsia" w:ascii="Times New Roman" w:hAnsi="Times New Roman" w:eastAsia="宋体" w:cs="Times New Roman"/>
                <w:sz w:val="24"/>
                <w:szCs w:val="24"/>
                <w:lang w:val="en-US" w:eastAsia="zh-CN"/>
              </w:rPr>
              <w:t>逆变发电单元</w:t>
            </w:r>
            <w:r>
              <w:rPr>
                <w:rFonts w:hint="default"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kern w:val="0"/>
                <w:sz w:val="24"/>
                <w:szCs w:val="24"/>
              </w:rPr>
              <w:t>光伏电站通过</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回35kV集电线路汇集至</w:t>
            </w:r>
            <w:r>
              <w:rPr>
                <w:rFonts w:hint="default" w:ascii="Times New Roman" w:hAnsi="Times New Roman" w:eastAsia="宋体" w:cs="Times New Roman"/>
                <w:color w:val="auto"/>
                <w:kern w:val="0"/>
                <w:sz w:val="24"/>
              </w:rPr>
              <w:t>110kV</w:t>
            </w:r>
            <w:r>
              <w:rPr>
                <w:rFonts w:hint="eastAsia" w:ascii="Times New Roman" w:hAnsi="Times New Roman" w:eastAsia="宋体" w:cs="Times New Roman"/>
                <w:color w:val="auto"/>
                <w:kern w:val="0"/>
                <w:sz w:val="24"/>
                <w:szCs w:val="24"/>
                <w:lang w:val="en-US" w:eastAsia="zh-CN"/>
              </w:rPr>
              <w:t>江东光伏电站</w:t>
            </w:r>
            <w:r>
              <w:rPr>
                <w:rFonts w:hint="default" w:ascii="Times New Roman" w:hAnsi="Times New Roman" w:eastAsia="宋体" w:cs="Times New Roman"/>
                <w:color w:val="auto"/>
                <w:kern w:val="0"/>
                <w:sz w:val="24"/>
                <w:szCs w:val="24"/>
              </w:rPr>
              <w:t>升压站35kV</w:t>
            </w:r>
            <w:r>
              <w:rPr>
                <w:rFonts w:hint="eastAsia" w:ascii="Times New Roman" w:hAnsi="Times New Roman" w:eastAsia="宋体" w:cs="Times New Roman"/>
                <w:color w:val="auto"/>
                <w:kern w:val="0"/>
                <w:sz w:val="24"/>
                <w:szCs w:val="24"/>
                <w:lang w:val="en-US" w:eastAsia="zh-CN"/>
              </w:rPr>
              <w:t>侧</w:t>
            </w:r>
            <w:r>
              <w:rPr>
                <w:rFonts w:hint="eastAsia" w:ascii="Times New Roman" w:hAnsi="Times New Roman" w:eastAsia="宋体" w:cs="Times New Roman"/>
                <w:sz w:val="24"/>
                <w:szCs w:val="24"/>
                <w:lang w:val="en-US" w:eastAsia="zh-CN"/>
              </w:rPr>
              <w:t>。</w:t>
            </w:r>
            <w:r>
              <w:rPr>
                <w:rFonts w:hint="default"/>
              </w:rPr>
              <w:t>光伏阵列结合用地范围和地形情况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分为东片区及西片区，</w:t>
            </w:r>
            <w:r>
              <w:rPr>
                <w:rFonts w:hint="default"/>
              </w:rPr>
              <w:t>尽量避免子方阵的长宽度差异太大进行布置，以达到用地较优、节约连接电缆、日常巡查线路较短的最佳布置方案，整个布置避让了基本农田、公益林、有林地等敏感因素</w:t>
            </w:r>
            <w:r>
              <w:rPr>
                <w:rFonts w:hint="eastAsia"/>
                <w:lang w:eastAsia="zh-CN"/>
              </w:rPr>
              <w:t>。</w:t>
            </w:r>
          </w:p>
          <w:p w14:paraId="31B2E0D6">
            <w:pPr>
              <w:pStyle w:val="8"/>
              <w:keepNext w:val="0"/>
              <w:keepLines w:val="0"/>
              <w:numPr>
                <w:ilvl w:val="0"/>
                <w:numId w:val="0"/>
              </w:numPr>
              <w:suppressLineNumbers w:val="0"/>
              <w:spacing w:before="0" w:beforeAutospacing="0" w:after="0" w:afterAutospacing="0" w:line="360" w:lineRule="auto"/>
              <w:ind w:left="360" w:leftChars="0" w:right="0" w:righ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sz w:val="24"/>
                <w:szCs w:val="24"/>
                <w:lang w:val="en-US" w:eastAsia="zh-CN"/>
              </w:rPr>
              <w:t>道路布设</w:t>
            </w:r>
          </w:p>
          <w:p w14:paraId="2C9059FA">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2"/>
                <w:sz w:val="24"/>
                <w:szCs w:val="24"/>
                <w:lang w:val="en-US" w:eastAsia="zh-CN" w:bidi="ar"/>
              </w:rPr>
              <w:t>。</w:t>
            </w:r>
          </w:p>
          <w:p w14:paraId="50D3ABBD">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1B721FA4">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3823738A">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1016628D">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02EFC4AF">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06DFAC18">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194913E4">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78006DA5">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749DE2CE">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6BF5D759">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3DB17D21">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1674D983">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p>
          <w:p w14:paraId="3DCD85AE">
            <w:pPr>
              <w:pStyle w:val="8"/>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lang w:val="en-US" w:eastAsia="zh-CN" w:bidi="ar"/>
              </w:rPr>
            </w:pPr>
          </w:p>
          <w:p w14:paraId="3273F128">
            <w:pPr>
              <w:pStyle w:val="8"/>
              <w:keepNext w:val="0"/>
              <w:keepLines w:val="0"/>
              <w:numPr>
                <w:ilvl w:val="0"/>
                <w:numId w:val="0"/>
              </w:numPr>
              <w:suppressLineNumbers w:val="0"/>
              <w:spacing w:before="0" w:beforeAutospacing="0" w:after="0" w:afterAutospacing="0" w:line="360" w:lineRule="auto"/>
              <w:ind w:left="0" w:right="0"/>
              <w:rPr>
                <w:rFonts w:hint="eastAsia" w:eastAsiaTheme="minorEastAsia"/>
                <w:lang w:eastAsia="zh-CN"/>
              </w:rPr>
            </w:pPr>
            <w:r>
              <w:rPr>
                <w:rFonts w:hint="eastAsia" w:eastAsiaTheme="minorEastAsia"/>
                <w:lang w:eastAsia="zh-CN"/>
              </w:rPr>
              <w:drawing>
                <wp:inline distT="0" distB="0" distL="114300" distR="114300">
                  <wp:extent cx="4942840" cy="4498340"/>
                  <wp:effectExtent l="0" t="0" r="10160" b="16510"/>
                  <wp:docPr id="13" name="图片 13" descr="84de05bf821b2cae6037742e72de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4de05bf821b2cae6037742e72debda"/>
                          <pic:cNvPicPr>
                            <a:picLocks noChangeAspect="1"/>
                          </pic:cNvPicPr>
                        </pic:nvPicPr>
                        <pic:blipFill>
                          <a:blip r:embed="rId23"/>
                          <a:stretch>
                            <a:fillRect/>
                          </a:stretch>
                        </pic:blipFill>
                        <pic:spPr>
                          <a:xfrm>
                            <a:off x="0" y="0"/>
                            <a:ext cx="4942840" cy="4498340"/>
                          </a:xfrm>
                          <a:prstGeom prst="rect">
                            <a:avLst/>
                          </a:prstGeom>
                        </pic:spPr>
                      </pic:pic>
                    </a:graphicData>
                  </a:graphic>
                </wp:inline>
              </w:drawing>
            </w:r>
          </w:p>
          <w:p w14:paraId="696EF241">
            <w:pPr>
              <w:pStyle w:val="8"/>
              <w:keepNext w:val="0"/>
              <w:keepLines w:val="0"/>
              <w:numPr>
                <w:ilvl w:val="0"/>
                <w:numId w:val="0"/>
              </w:numPr>
              <w:suppressLineNumbers w:val="0"/>
              <w:spacing w:before="0" w:beforeAutospacing="0" w:after="0" w:afterAutospacing="0" w:line="360" w:lineRule="auto"/>
              <w:ind w:left="0" w:right="0"/>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图</w:t>
            </w:r>
            <w:r>
              <w:rPr>
                <w:rFonts w:hint="eastAsia"/>
                <w:color w:val="000000" w:themeColor="text1"/>
                <w:lang w:val="en-US" w:eastAsia="zh-CN"/>
                <w14:textFill>
                  <w14:solidFill>
                    <w14:schemeClr w14:val="tx1"/>
                  </w14:solidFill>
                </w14:textFill>
              </w:rPr>
              <w:t>2-4 项目厂区道路分布图</w:t>
            </w:r>
          </w:p>
          <w:p w14:paraId="5361150F">
            <w:pPr>
              <w:pStyle w:val="8"/>
              <w:keepNext w:val="0"/>
              <w:keepLines w:val="0"/>
              <w:numPr>
                <w:ilvl w:val="0"/>
                <w:numId w:val="0"/>
              </w:numPr>
              <w:suppressLineNumbers w:val="0"/>
              <w:spacing w:before="0" w:beforeAutospacing="0" w:after="0" w:afterAutospacing="0" w:line="360" w:lineRule="auto"/>
              <w:ind w:left="360" w:leftChars="0" w:right="0" w:rightChars="0" w:firstLine="0" w:firstLineChars="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4、集电线路</w:t>
            </w:r>
          </w:p>
          <w:p w14:paraId="1D181133">
            <w:pPr>
              <w:pStyle w:val="8"/>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本工程场区内箱变之间及箱变至35kV开关柜之间的集电线路采用35kV直埋电缆敷设形式</w:t>
            </w:r>
            <w:r>
              <w:rPr>
                <w:rFonts w:hint="eastAsia" w:ascii="Times New Roman" w:hAnsi="Times New Roman" w:eastAsia="宋体" w:cs="Times New Roman"/>
                <w:color w:val="auto"/>
                <w:kern w:val="2"/>
                <w:sz w:val="24"/>
                <w:szCs w:val="24"/>
                <w:lang w:val="en-US" w:eastAsia="zh-CN" w:bidi="ar"/>
              </w:rPr>
              <w:t>和架空线路混合形式。</w:t>
            </w:r>
          </w:p>
          <w:p w14:paraId="59A3DE50">
            <w:pPr>
              <w:pStyle w:val="8"/>
              <w:keepNext w:val="0"/>
              <w:keepLines w:val="0"/>
              <w:numPr>
                <w:ilvl w:val="0"/>
                <w:numId w:val="7"/>
              </w:numPr>
              <w:suppressLineNumbers w:val="0"/>
              <w:spacing w:before="0" w:beforeAutospacing="0" w:after="0" w:afterAutospacing="0" w:line="360" w:lineRule="auto"/>
              <w:ind w:left="480" w:leftChars="0" w:right="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施工布置</w:t>
            </w:r>
          </w:p>
          <w:p w14:paraId="20C70D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lang w:val="en-US" w:eastAsia="zh-CN"/>
              </w:rPr>
              <w:t>根据工程施工特</w:t>
            </w:r>
            <w:r>
              <w:rPr>
                <w:rFonts w:hint="default" w:ascii="Times New Roman" w:hAnsi="Times New Roman" w:eastAsia="宋体" w:cs="Times New Roman"/>
                <w:color w:val="auto"/>
                <w:lang w:val="en-US" w:eastAsia="zh-CN"/>
              </w:rPr>
              <w:t>点，按集中与分散相结合原则进行施工，施工临建设施区共布置</w:t>
            </w:r>
            <w:r>
              <w:rPr>
                <w:rFonts w:hint="default" w:ascii="Times New Roman" w:hAnsi="Times New Roman" w:eastAsia="宋体" w:cs="Times New Roman"/>
                <w:color w:val="000000" w:themeColor="text1"/>
                <w:lang w:val="en-US" w:eastAsia="zh-CN"/>
                <w14:textFill>
                  <w14:solidFill>
                    <w14:schemeClr w14:val="tx1"/>
                  </w14:solidFill>
                </w14:textFill>
              </w:rPr>
              <w:t>4个工区，利用光伏下较平坦空地布置生活设施、混凝土拌合站、</w:t>
            </w:r>
            <w:r>
              <w:rPr>
                <w:rFonts w:hint="eastAsia" w:ascii="Times New Roman" w:hAnsi="Times New Roman" w:eastAsia="宋体" w:cs="Times New Roman"/>
                <w:color w:val="000000" w:themeColor="text1"/>
                <w:lang w:val="en-US" w:eastAsia="zh-CN"/>
                <w14:textFill>
                  <w14:solidFill>
                    <w14:schemeClr w14:val="tx1"/>
                  </w14:solidFill>
                </w14:textFill>
              </w:rPr>
              <w:t>施工生活区</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综合</w:t>
            </w:r>
            <w:r>
              <w:rPr>
                <w:rFonts w:hint="default" w:ascii="Times New Roman" w:hAnsi="Times New Roman" w:eastAsia="宋体" w:cs="Times New Roman"/>
                <w:color w:val="000000" w:themeColor="text1"/>
                <w:lang w:val="en-US" w:eastAsia="zh-CN"/>
                <w14:textFill>
                  <w14:solidFill>
                    <w14:schemeClr w14:val="tx1"/>
                  </w14:solidFill>
                </w14:textFill>
              </w:rPr>
              <w:t>加工厂、</w:t>
            </w:r>
            <w:r>
              <w:rPr>
                <w:rFonts w:hint="eastAsia" w:ascii="Times New Roman" w:hAnsi="Times New Roman" w:eastAsia="宋体" w:cs="Times New Roman"/>
                <w:color w:val="000000" w:themeColor="text1"/>
                <w:lang w:val="en-US" w:eastAsia="zh-CN"/>
                <w14:textFill>
                  <w14:solidFill>
                    <w14:schemeClr w14:val="tx1"/>
                  </w14:solidFill>
                </w14:textFill>
              </w:rPr>
              <w:t>综合仓库</w:t>
            </w:r>
            <w:r>
              <w:rPr>
                <w:rFonts w:hint="default" w:ascii="Times New Roman" w:hAnsi="Times New Roman" w:eastAsia="宋体" w:cs="Times New Roman"/>
                <w:color w:val="000000" w:themeColor="text1"/>
                <w:lang w:val="en-US" w:eastAsia="zh-CN"/>
                <w14:textFill>
                  <w14:solidFill>
                    <w14:schemeClr w14:val="tx1"/>
                  </w14:solidFill>
                </w14:textFill>
              </w:rPr>
              <w:t>，总占地面积</w:t>
            </w:r>
            <w:r>
              <w:rPr>
                <w:rFonts w:hint="eastAsia" w:ascii="Times New Roman" w:hAnsi="Times New Roman" w:eastAsia="宋体" w:cs="Times New Roman"/>
                <w:color w:val="000000" w:themeColor="text1"/>
                <w:lang w:val="en-US" w:eastAsia="zh-CN"/>
                <w14:textFill>
                  <w14:solidFill>
                    <w14:schemeClr w14:val="tx1"/>
                  </w14:solidFill>
                </w14:textFill>
              </w:rPr>
              <w:t>7500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，未新增扰动面积。</w:t>
            </w:r>
          </w:p>
          <w:p w14:paraId="1DEA4CB3">
            <w:pPr>
              <w:keepNext w:val="0"/>
              <w:keepLines w:val="0"/>
              <w:suppressLineNumbers w:val="0"/>
              <w:spacing w:before="0" w:beforeAutospacing="0" w:after="0" w:afterAutospacing="0" w:line="240" w:lineRule="auto"/>
              <w:ind w:left="0" w:right="0" w:firstLine="422" w:firstLineChars="20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表2-6  施工临时建筑工程量表</w:t>
            </w:r>
          </w:p>
          <w:tbl>
            <w:tblPr>
              <w:tblStyle w:val="26"/>
              <w:tblW w:w="499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2957"/>
              <w:gridCol w:w="3208"/>
            </w:tblGrid>
            <w:tr w14:paraId="4D1D8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052" w:type="pct"/>
                  <w:vAlign w:val="center"/>
                </w:tcPr>
                <w:p w14:paraId="56F79F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工区</w:t>
                  </w:r>
                </w:p>
              </w:tc>
              <w:tc>
                <w:tcPr>
                  <w:tcW w:w="1893" w:type="pct"/>
                  <w:vAlign w:val="center"/>
                </w:tcPr>
                <w:p w14:paraId="7F900C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建筑面积（m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054" w:type="pct"/>
                  <w:vAlign w:val="center"/>
                </w:tcPr>
                <w:p w14:paraId="28CDE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占地面积（m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1FCA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7CDB23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混凝土拌合区</w:t>
                  </w:r>
                </w:p>
              </w:tc>
              <w:tc>
                <w:tcPr>
                  <w:tcW w:w="1893" w:type="pct"/>
                  <w:vAlign w:val="center"/>
                </w:tcPr>
                <w:p w14:paraId="50B571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2054" w:type="pct"/>
                  <w:vAlign w:val="center"/>
                </w:tcPr>
                <w:p w14:paraId="617D6D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r>
            <w:tr w14:paraId="6A814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6B9D9D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施工生活区</w:t>
                  </w:r>
                </w:p>
              </w:tc>
              <w:tc>
                <w:tcPr>
                  <w:tcW w:w="1893" w:type="pct"/>
                  <w:vAlign w:val="center"/>
                </w:tcPr>
                <w:p w14:paraId="323E5A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w:t>
                  </w:r>
                </w:p>
              </w:tc>
              <w:tc>
                <w:tcPr>
                  <w:tcW w:w="2054" w:type="pct"/>
                  <w:vAlign w:val="center"/>
                </w:tcPr>
                <w:p w14:paraId="1CBB9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w:t>
                  </w:r>
                </w:p>
              </w:tc>
            </w:tr>
            <w:tr w14:paraId="3FCFB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585D4B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综合</w:t>
                  </w:r>
                  <w:r>
                    <w:rPr>
                      <w:rFonts w:hint="default" w:ascii="Times New Roman" w:hAnsi="Times New Roman" w:eastAsia="宋体" w:cs="Times New Roman"/>
                      <w:color w:val="000000" w:themeColor="text1"/>
                      <w:lang w:val="en-US" w:eastAsia="zh-CN"/>
                      <w14:textFill>
                        <w14:solidFill>
                          <w14:schemeClr w14:val="tx1"/>
                        </w14:solidFill>
                      </w14:textFill>
                    </w:rPr>
                    <w:t>加工厂</w:t>
                  </w:r>
                </w:p>
              </w:tc>
              <w:tc>
                <w:tcPr>
                  <w:tcW w:w="1893" w:type="pct"/>
                  <w:vAlign w:val="center"/>
                </w:tcPr>
                <w:p w14:paraId="226CAF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2054" w:type="pct"/>
                  <w:vAlign w:val="center"/>
                </w:tcPr>
                <w:p w14:paraId="4F81B5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r>
            <w:tr w14:paraId="27C66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0CA3FD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综合仓库</w:t>
                  </w:r>
                </w:p>
              </w:tc>
              <w:tc>
                <w:tcPr>
                  <w:tcW w:w="1893" w:type="pct"/>
                  <w:vAlign w:val="center"/>
                </w:tcPr>
                <w:p w14:paraId="24F1CF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c>
                <w:tcPr>
                  <w:tcW w:w="2054" w:type="pct"/>
                  <w:vAlign w:val="center"/>
                </w:tcPr>
                <w:p w14:paraId="25BEE1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1500</w:t>
                  </w:r>
                </w:p>
              </w:tc>
            </w:tr>
            <w:tr w14:paraId="7D762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1A972B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设备堆存场</w:t>
                  </w:r>
                </w:p>
              </w:tc>
              <w:tc>
                <w:tcPr>
                  <w:tcW w:w="1893" w:type="pct"/>
                  <w:vAlign w:val="center"/>
                </w:tcPr>
                <w:p w14:paraId="0D5311B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054" w:type="pct"/>
                  <w:vAlign w:val="center"/>
                </w:tcPr>
                <w:p w14:paraId="1D8530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w:t>
                  </w:r>
                </w:p>
              </w:tc>
            </w:tr>
            <w:tr w14:paraId="5D045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0DD24D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机械停放场</w:t>
                  </w:r>
                </w:p>
              </w:tc>
              <w:tc>
                <w:tcPr>
                  <w:tcW w:w="1893" w:type="pct"/>
                  <w:vAlign w:val="center"/>
                </w:tcPr>
                <w:p w14:paraId="5D1EF4A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054" w:type="pct"/>
                  <w:vAlign w:val="center"/>
                </w:tcPr>
                <w:p w14:paraId="50AD37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600</w:t>
                  </w:r>
                </w:p>
              </w:tc>
            </w:tr>
            <w:tr w14:paraId="038B3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2" w:type="pct"/>
                  <w:vAlign w:val="center"/>
                </w:tcPr>
                <w:p w14:paraId="228CEF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1893" w:type="pct"/>
                  <w:vAlign w:val="center"/>
                </w:tcPr>
                <w:p w14:paraId="713E18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4500</w:t>
                  </w:r>
                </w:p>
              </w:tc>
              <w:tc>
                <w:tcPr>
                  <w:tcW w:w="2054" w:type="pct"/>
                  <w:vAlign w:val="center"/>
                </w:tcPr>
                <w:p w14:paraId="1FEC1C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7500</w:t>
                  </w:r>
                </w:p>
              </w:tc>
            </w:tr>
          </w:tbl>
          <w:p w14:paraId="1FA324B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（3）弃渣场</w:t>
            </w:r>
          </w:p>
          <w:p w14:paraId="1A0FEA3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未单独布设料场及弃渣场，工程所需砂石料全部外购。交通道路区场地平整及基础开挖土石方全部用于光伏列阵区改造及场地改造。工程弃渣综合利用，减少了弃渣场造成的水土流失危害，也将光伏阵列区地形变缓，增加农业的种植机会。</w:t>
            </w:r>
          </w:p>
          <w:p w14:paraId="401B4A96">
            <w:pPr>
              <w:pStyle w:val="16"/>
              <w:keepNext w:val="0"/>
              <w:keepLines w:val="0"/>
              <w:numPr>
                <w:ilvl w:val="0"/>
                <w:numId w:val="8"/>
              </w:numPr>
              <w:suppressLineNumbers w:val="0"/>
              <w:spacing w:before="0" w:beforeAutospacing="0" w:after="0" w:afterAutospacing="0"/>
              <w:ind w:left="0" w:leftChars="0" w:right="0" w:firstLine="48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项目土石方</w:t>
            </w:r>
          </w:p>
          <w:p w14:paraId="7E4DB4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项目可研和水土保持方案。箱式变压器、集电线路工程，道路工程、施工临时场地等的土石方，优先回填于光伏阵列区进行坡改梯及地面改造综合利用；道路多余土石方回填于光伏阵列区进行坡改梯及地面改造综合利用；临建设施场平土石方挖填就地平衡；光伏支架基础、集电线路直埋产生的多余土石方回填于光伏阵列区进行坡改梯及地面改造综合利用。</w:t>
            </w:r>
          </w:p>
          <w:p w14:paraId="54B992DE">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表2-7项目土石方平衡表  单位万（m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p w14:paraId="7B928AB8">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lang w:val="en-US" w:eastAsia="zh-CN"/>
                <w14:textFill>
                  <w14:solidFill>
                    <w14:schemeClr w14:val="tx1"/>
                  </w14:solidFill>
                </w14:textFill>
              </w:rPr>
            </w:pP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17"/>
              <w:gridCol w:w="632"/>
              <w:gridCol w:w="612"/>
              <w:gridCol w:w="523"/>
              <w:gridCol w:w="633"/>
              <w:gridCol w:w="629"/>
              <w:gridCol w:w="570"/>
              <w:gridCol w:w="585"/>
              <w:gridCol w:w="483"/>
              <w:gridCol w:w="567"/>
              <w:gridCol w:w="824"/>
              <w:gridCol w:w="373"/>
              <w:gridCol w:w="374"/>
            </w:tblGrid>
            <w:tr w14:paraId="385B0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vMerge w:val="restart"/>
                  <w:noWrap/>
                  <w:vAlign w:val="center"/>
                </w:tcPr>
                <w:p w14:paraId="16E7F61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分区</w:t>
                  </w:r>
                </w:p>
              </w:tc>
              <w:tc>
                <w:tcPr>
                  <w:tcW w:w="1129" w:type="pct"/>
                  <w:gridSpan w:val="3"/>
                  <w:noWrap/>
                  <w:vAlign w:val="center"/>
                </w:tcPr>
                <w:p w14:paraId="6165542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挖方</w:t>
                  </w:r>
                </w:p>
              </w:tc>
              <w:tc>
                <w:tcPr>
                  <w:tcW w:w="1171" w:type="pct"/>
                  <w:gridSpan w:val="3"/>
                  <w:noWrap/>
                  <w:vAlign w:val="center"/>
                </w:tcPr>
                <w:p w14:paraId="488C4B0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default" w:ascii="Times New Roman" w:hAnsi="Times New Roman" w:eastAsia="宋体"/>
                      <w:b/>
                      <w:bCs/>
                      <w:color w:val="auto"/>
                      <w:kern w:val="0"/>
                      <w:sz w:val="21"/>
                      <w:szCs w:val="21"/>
                    </w:rPr>
                    <w:t>回填</w:t>
                  </w:r>
                </w:p>
              </w:tc>
              <w:tc>
                <w:tcPr>
                  <w:tcW w:w="682" w:type="pct"/>
                  <w:gridSpan w:val="2"/>
                  <w:noWrap/>
                  <w:vAlign w:val="center"/>
                </w:tcPr>
                <w:p w14:paraId="7CF38F4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调入</w:t>
                  </w:r>
                </w:p>
              </w:tc>
              <w:tc>
                <w:tcPr>
                  <w:tcW w:w="889" w:type="pct"/>
                  <w:gridSpan w:val="2"/>
                  <w:noWrap/>
                  <w:vAlign w:val="center"/>
                </w:tcPr>
                <w:p w14:paraId="64C7D7F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调出</w:t>
                  </w:r>
                </w:p>
              </w:tc>
              <w:tc>
                <w:tcPr>
                  <w:tcW w:w="477" w:type="pct"/>
                  <w:gridSpan w:val="2"/>
                  <w:noWrap/>
                  <w:vAlign w:val="center"/>
                </w:tcPr>
                <w:p w14:paraId="0D2A4A3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余方</w:t>
                  </w:r>
                </w:p>
              </w:tc>
            </w:tr>
            <w:tr w14:paraId="36BFE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vMerge w:val="continue"/>
                  <w:noWrap w:val="0"/>
                  <w:vAlign w:val="center"/>
                </w:tcPr>
                <w:p w14:paraId="36CF5B2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p>
              </w:tc>
              <w:tc>
                <w:tcPr>
                  <w:tcW w:w="403" w:type="pct"/>
                  <w:noWrap/>
                  <w:vAlign w:val="center"/>
                </w:tcPr>
                <w:p w14:paraId="7999CC0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表土剥离</w:t>
                  </w:r>
                </w:p>
              </w:tc>
              <w:tc>
                <w:tcPr>
                  <w:tcW w:w="391" w:type="pct"/>
                  <w:noWrap/>
                  <w:vAlign w:val="center"/>
                </w:tcPr>
                <w:p w14:paraId="5BE25B4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eastAsia="zh-CN"/>
                    </w:rPr>
                    <w:t>一般土石方</w:t>
                  </w:r>
                </w:p>
              </w:tc>
              <w:tc>
                <w:tcPr>
                  <w:tcW w:w="334" w:type="pct"/>
                  <w:noWrap/>
                  <w:vAlign w:val="center"/>
                </w:tcPr>
                <w:p w14:paraId="778F39B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小计</w:t>
                  </w:r>
                </w:p>
              </w:tc>
              <w:tc>
                <w:tcPr>
                  <w:tcW w:w="404" w:type="pct"/>
                  <w:noWrap/>
                  <w:vAlign w:val="center"/>
                </w:tcPr>
                <w:p w14:paraId="21FF8CF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表土回覆</w:t>
                  </w:r>
                </w:p>
              </w:tc>
              <w:tc>
                <w:tcPr>
                  <w:tcW w:w="402" w:type="pct"/>
                  <w:noWrap/>
                  <w:vAlign w:val="center"/>
                </w:tcPr>
                <w:p w14:paraId="63DB86F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b/>
                      <w:bCs/>
                      <w:color w:val="auto"/>
                      <w:kern w:val="0"/>
                      <w:sz w:val="21"/>
                      <w:szCs w:val="21"/>
                      <w:lang w:eastAsia="zh-CN"/>
                    </w:rPr>
                  </w:pPr>
                  <w:r>
                    <w:rPr>
                      <w:rFonts w:hint="eastAsia" w:ascii="Times New Roman" w:hAnsi="Times New Roman" w:eastAsia="宋体"/>
                      <w:b/>
                      <w:bCs/>
                      <w:color w:val="auto"/>
                      <w:kern w:val="0"/>
                      <w:sz w:val="21"/>
                      <w:szCs w:val="21"/>
                      <w:lang w:eastAsia="zh-CN"/>
                    </w:rPr>
                    <w:t>一般土石方</w:t>
                  </w:r>
                </w:p>
              </w:tc>
              <w:tc>
                <w:tcPr>
                  <w:tcW w:w="364" w:type="pct"/>
                  <w:noWrap/>
                  <w:vAlign w:val="center"/>
                </w:tcPr>
                <w:p w14:paraId="4511EDF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小计</w:t>
                  </w:r>
                </w:p>
              </w:tc>
              <w:tc>
                <w:tcPr>
                  <w:tcW w:w="373" w:type="pct"/>
                  <w:noWrap/>
                  <w:vAlign w:val="center"/>
                </w:tcPr>
                <w:p w14:paraId="0C171FB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数量</w:t>
                  </w:r>
                </w:p>
              </w:tc>
              <w:tc>
                <w:tcPr>
                  <w:tcW w:w="308" w:type="pct"/>
                  <w:noWrap/>
                  <w:vAlign w:val="center"/>
                </w:tcPr>
                <w:p w14:paraId="281922B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来源</w:t>
                  </w:r>
                </w:p>
              </w:tc>
              <w:tc>
                <w:tcPr>
                  <w:tcW w:w="362" w:type="pct"/>
                  <w:noWrap/>
                  <w:vAlign w:val="center"/>
                </w:tcPr>
                <w:p w14:paraId="19FDF02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数量</w:t>
                  </w:r>
                </w:p>
              </w:tc>
              <w:tc>
                <w:tcPr>
                  <w:tcW w:w="526" w:type="pct"/>
                  <w:noWrap/>
                  <w:vAlign w:val="center"/>
                </w:tcPr>
                <w:p w14:paraId="61C0945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去向</w:t>
                  </w:r>
                </w:p>
              </w:tc>
              <w:tc>
                <w:tcPr>
                  <w:tcW w:w="238" w:type="pct"/>
                  <w:noWrap/>
                  <w:vAlign w:val="center"/>
                </w:tcPr>
                <w:p w14:paraId="4217C23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数量</w:t>
                  </w:r>
                </w:p>
              </w:tc>
              <w:tc>
                <w:tcPr>
                  <w:tcW w:w="239" w:type="pct"/>
                  <w:noWrap/>
                  <w:vAlign w:val="center"/>
                </w:tcPr>
                <w:p w14:paraId="690F963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去向</w:t>
                  </w:r>
                </w:p>
              </w:tc>
            </w:tr>
            <w:tr w14:paraId="29F5C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212BC72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光伏发电方阵区</w:t>
                  </w:r>
                </w:p>
              </w:tc>
              <w:tc>
                <w:tcPr>
                  <w:tcW w:w="403" w:type="pct"/>
                  <w:noWrap/>
                  <w:vAlign w:val="center"/>
                </w:tcPr>
                <w:p w14:paraId="01DC509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0.35</w:t>
                  </w:r>
                </w:p>
              </w:tc>
              <w:tc>
                <w:tcPr>
                  <w:tcW w:w="391" w:type="pct"/>
                  <w:noWrap/>
                  <w:vAlign w:val="center"/>
                </w:tcPr>
                <w:p w14:paraId="1BE8ADA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0.51</w:t>
                  </w:r>
                </w:p>
              </w:tc>
              <w:tc>
                <w:tcPr>
                  <w:tcW w:w="334" w:type="pct"/>
                  <w:noWrap/>
                  <w:vAlign w:val="center"/>
                </w:tcPr>
                <w:p w14:paraId="2D3BD1E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0.86</w:t>
                  </w:r>
                </w:p>
              </w:tc>
              <w:tc>
                <w:tcPr>
                  <w:tcW w:w="404" w:type="pct"/>
                  <w:noWrap/>
                  <w:vAlign w:val="center"/>
                </w:tcPr>
                <w:p w14:paraId="5C2064E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0.46</w:t>
                  </w:r>
                </w:p>
              </w:tc>
              <w:tc>
                <w:tcPr>
                  <w:tcW w:w="402" w:type="pct"/>
                  <w:noWrap/>
                  <w:vAlign w:val="center"/>
                </w:tcPr>
                <w:p w14:paraId="7C74389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0.51</w:t>
                  </w:r>
                </w:p>
              </w:tc>
              <w:tc>
                <w:tcPr>
                  <w:tcW w:w="364" w:type="pct"/>
                  <w:noWrap/>
                  <w:vAlign w:val="center"/>
                </w:tcPr>
                <w:p w14:paraId="15B2D2E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0.97</w:t>
                  </w:r>
                </w:p>
              </w:tc>
              <w:tc>
                <w:tcPr>
                  <w:tcW w:w="373" w:type="pct"/>
                  <w:noWrap/>
                  <w:vAlign w:val="center"/>
                </w:tcPr>
                <w:p w14:paraId="3BF3ED3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0.11</w:t>
                  </w:r>
                </w:p>
              </w:tc>
              <w:tc>
                <w:tcPr>
                  <w:tcW w:w="308" w:type="pct"/>
                  <w:noWrap/>
                  <w:vAlign w:val="center"/>
                </w:tcPr>
                <w:p w14:paraId="13DC05D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eastAsia" w:ascii="Times New Roman" w:hAnsi="Times New Roman" w:eastAsia="宋体"/>
                      <w:color w:val="auto"/>
                      <w:kern w:val="0"/>
                      <w:sz w:val="21"/>
                      <w:szCs w:val="21"/>
                    </w:rPr>
                    <w:t>道路工程区</w:t>
                  </w:r>
                </w:p>
              </w:tc>
              <w:tc>
                <w:tcPr>
                  <w:tcW w:w="362" w:type="pct"/>
                  <w:noWrap/>
                  <w:vAlign w:val="center"/>
                </w:tcPr>
                <w:p w14:paraId="09F20D9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526" w:type="pct"/>
                  <w:noWrap/>
                  <w:vAlign w:val="center"/>
                </w:tcPr>
                <w:p w14:paraId="4FF1EBE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238" w:type="pct"/>
                  <w:noWrap/>
                  <w:vAlign w:val="center"/>
                </w:tcPr>
                <w:p w14:paraId="0E0F2C5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239" w:type="pct"/>
                  <w:noWrap/>
                  <w:vAlign w:val="center"/>
                </w:tcPr>
                <w:p w14:paraId="6D12F8F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r>
            <w:tr w14:paraId="636E4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74B795F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道路工程区</w:t>
                  </w:r>
                </w:p>
              </w:tc>
              <w:tc>
                <w:tcPr>
                  <w:tcW w:w="403" w:type="pct"/>
                  <w:noWrap/>
                  <w:vAlign w:val="center"/>
                </w:tcPr>
                <w:p w14:paraId="5739338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0.52</w:t>
                  </w:r>
                </w:p>
              </w:tc>
              <w:tc>
                <w:tcPr>
                  <w:tcW w:w="391" w:type="pct"/>
                  <w:noWrap/>
                  <w:vAlign w:val="center"/>
                </w:tcPr>
                <w:p w14:paraId="642A0A4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2.46</w:t>
                  </w:r>
                </w:p>
              </w:tc>
              <w:tc>
                <w:tcPr>
                  <w:tcW w:w="334" w:type="pct"/>
                  <w:noWrap/>
                  <w:vAlign w:val="center"/>
                </w:tcPr>
                <w:p w14:paraId="2DDF68F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2.98</w:t>
                  </w:r>
                </w:p>
              </w:tc>
              <w:tc>
                <w:tcPr>
                  <w:tcW w:w="404" w:type="pct"/>
                  <w:noWrap/>
                  <w:vAlign w:val="center"/>
                </w:tcPr>
                <w:p w14:paraId="5FC3270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0.41</w:t>
                  </w:r>
                </w:p>
              </w:tc>
              <w:tc>
                <w:tcPr>
                  <w:tcW w:w="402" w:type="pct"/>
                  <w:noWrap/>
                  <w:vAlign w:val="center"/>
                </w:tcPr>
                <w:p w14:paraId="209BF6F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1.86</w:t>
                  </w:r>
                </w:p>
              </w:tc>
              <w:tc>
                <w:tcPr>
                  <w:tcW w:w="364" w:type="pct"/>
                  <w:noWrap/>
                  <w:vAlign w:val="center"/>
                </w:tcPr>
                <w:p w14:paraId="7E58771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2.27</w:t>
                  </w:r>
                </w:p>
              </w:tc>
              <w:tc>
                <w:tcPr>
                  <w:tcW w:w="373" w:type="pct"/>
                  <w:noWrap/>
                  <w:vAlign w:val="center"/>
                </w:tcPr>
                <w:p w14:paraId="0B5CE9C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308" w:type="pct"/>
                  <w:noWrap/>
                  <w:vAlign w:val="center"/>
                </w:tcPr>
                <w:p w14:paraId="6695D2E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362" w:type="pct"/>
                  <w:noWrap/>
                  <w:vAlign w:val="center"/>
                </w:tcPr>
                <w:p w14:paraId="0AFD7EF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default"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11</w:t>
                  </w:r>
                </w:p>
              </w:tc>
              <w:tc>
                <w:tcPr>
                  <w:tcW w:w="526" w:type="pct"/>
                  <w:noWrap/>
                  <w:vAlign w:val="center"/>
                </w:tcPr>
                <w:p w14:paraId="6D29F7E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光伏发电方阵区</w:t>
                  </w:r>
                </w:p>
              </w:tc>
              <w:tc>
                <w:tcPr>
                  <w:tcW w:w="238" w:type="pct"/>
                  <w:noWrap/>
                  <w:vAlign w:val="center"/>
                </w:tcPr>
                <w:p w14:paraId="5704A19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239" w:type="pct"/>
                  <w:noWrap/>
                  <w:vAlign w:val="center"/>
                </w:tcPr>
                <w:p w14:paraId="01D2B8C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sz w:val="21"/>
                      <w:szCs w:val="21"/>
                    </w:rPr>
                  </w:pPr>
                </w:p>
              </w:tc>
            </w:tr>
            <w:tr w14:paraId="7D3BB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755AD7B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集电线路区</w:t>
                  </w:r>
                </w:p>
              </w:tc>
              <w:tc>
                <w:tcPr>
                  <w:tcW w:w="403" w:type="pct"/>
                  <w:noWrap/>
                  <w:vAlign w:val="center"/>
                </w:tcPr>
                <w:p w14:paraId="0337C4C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0.21</w:t>
                  </w:r>
                </w:p>
              </w:tc>
              <w:tc>
                <w:tcPr>
                  <w:tcW w:w="391" w:type="pct"/>
                  <w:noWrap/>
                  <w:vAlign w:val="center"/>
                </w:tcPr>
                <w:p w14:paraId="13712E0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0.54</w:t>
                  </w:r>
                </w:p>
              </w:tc>
              <w:tc>
                <w:tcPr>
                  <w:tcW w:w="334" w:type="pct"/>
                  <w:noWrap/>
                  <w:vAlign w:val="center"/>
                </w:tcPr>
                <w:p w14:paraId="43EC069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0.75</w:t>
                  </w:r>
                </w:p>
              </w:tc>
              <w:tc>
                <w:tcPr>
                  <w:tcW w:w="404" w:type="pct"/>
                  <w:noWrap/>
                  <w:vAlign w:val="center"/>
                </w:tcPr>
                <w:p w14:paraId="1C01EB1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0.21</w:t>
                  </w:r>
                </w:p>
              </w:tc>
              <w:tc>
                <w:tcPr>
                  <w:tcW w:w="402" w:type="pct"/>
                  <w:noWrap/>
                  <w:vAlign w:val="center"/>
                </w:tcPr>
                <w:p w14:paraId="7F784BB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0.54</w:t>
                  </w:r>
                </w:p>
              </w:tc>
              <w:tc>
                <w:tcPr>
                  <w:tcW w:w="364" w:type="pct"/>
                  <w:noWrap/>
                  <w:vAlign w:val="center"/>
                </w:tcPr>
                <w:p w14:paraId="79B2931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0.75</w:t>
                  </w:r>
                </w:p>
              </w:tc>
              <w:tc>
                <w:tcPr>
                  <w:tcW w:w="373" w:type="pct"/>
                  <w:noWrap/>
                  <w:vAlign w:val="center"/>
                </w:tcPr>
                <w:p w14:paraId="3603CC0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308" w:type="pct"/>
                  <w:noWrap/>
                  <w:vAlign w:val="center"/>
                </w:tcPr>
                <w:p w14:paraId="016E694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362" w:type="pct"/>
                  <w:noWrap/>
                  <w:vAlign w:val="center"/>
                </w:tcPr>
                <w:p w14:paraId="172FA42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526" w:type="pct"/>
                  <w:noWrap/>
                  <w:vAlign w:val="center"/>
                </w:tcPr>
                <w:p w14:paraId="40A4831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238" w:type="pct"/>
                  <w:noWrap/>
                  <w:vAlign w:val="center"/>
                </w:tcPr>
                <w:p w14:paraId="1A393DA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c>
                <w:tcPr>
                  <w:tcW w:w="239" w:type="pct"/>
                  <w:noWrap/>
                  <w:vAlign w:val="center"/>
                </w:tcPr>
                <w:p w14:paraId="4A31FE0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r>
            <w:tr w14:paraId="38097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650" w:type="pct"/>
                  <w:noWrap/>
                  <w:vAlign w:val="center"/>
                </w:tcPr>
                <w:p w14:paraId="3947A44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合计</w:t>
                  </w:r>
                </w:p>
              </w:tc>
              <w:tc>
                <w:tcPr>
                  <w:tcW w:w="403" w:type="pct"/>
                  <w:noWrap/>
                  <w:vAlign w:val="center"/>
                </w:tcPr>
                <w:p w14:paraId="60CCC1F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1.08</w:t>
                  </w:r>
                </w:p>
              </w:tc>
              <w:tc>
                <w:tcPr>
                  <w:tcW w:w="391" w:type="pct"/>
                  <w:noWrap/>
                  <w:vAlign w:val="center"/>
                </w:tcPr>
                <w:p w14:paraId="1EC9169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3.51</w:t>
                  </w:r>
                </w:p>
              </w:tc>
              <w:tc>
                <w:tcPr>
                  <w:tcW w:w="334" w:type="pct"/>
                  <w:noWrap/>
                  <w:vAlign w:val="center"/>
                </w:tcPr>
                <w:p w14:paraId="17479B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4.59</w:t>
                  </w:r>
                </w:p>
              </w:tc>
              <w:tc>
                <w:tcPr>
                  <w:tcW w:w="404" w:type="pct"/>
                  <w:noWrap/>
                  <w:vAlign w:val="center"/>
                </w:tcPr>
                <w:p w14:paraId="0BAC9D7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1.08</w:t>
                  </w:r>
                </w:p>
              </w:tc>
              <w:tc>
                <w:tcPr>
                  <w:tcW w:w="402" w:type="pct"/>
                  <w:noWrap/>
                  <w:vAlign w:val="center"/>
                </w:tcPr>
                <w:p w14:paraId="4CA7621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3.51</w:t>
                  </w:r>
                </w:p>
              </w:tc>
              <w:tc>
                <w:tcPr>
                  <w:tcW w:w="364" w:type="pct"/>
                  <w:noWrap/>
                  <w:vAlign w:val="center"/>
                </w:tcPr>
                <w:p w14:paraId="1EE2995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4.59</w:t>
                  </w:r>
                </w:p>
              </w:tc>
              <w:tc>
                <w:tcPr>
                  <w:tcW w:w="373" w:type="pct"/>
                  <w:noWrap/>
                  <w:vAlign w:val="center"/>
                </w:tcPr>
                <w:p w14:paraId="694A469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0.11</w:t>
                  </w:r>
                </w:p>
              </w:tc>
              <w:tc>
                <w:tcPr>
                  <w:tcW w:w="308" w:type="pct"/>
                  <w:noWrap/>
                  <w:vAlign w:val="center"/>
                </w:tcPr>
                <w:p w14:paraId="3DC1676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p>
              </w:tc>
              <w:tc>
                <w:tcPr>
                  <w:tcW w:w="362" w:type="pct"/>
                  <w:noWrap/>
                  <w:vAlign w:val="center"/>
                </w:tcPr>
                <w:p w14:paraId="5485D49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lang w:val="en-US" w:eastAsia="zh-CN"/>
                    </w:rPr>
                  </w:pPr>
                </w:p>
              </w:tc>
              <w:tc>
                <w:tcPr>
                  <w:tcW w:w="526" w:type="pct"/>
                  <w:noWrap/>
                  <w:vAlign w:val="center"/>
                </w:tcPr>
                <w:p w14:paraId="5E2EC41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p>
              </w:tc>
              <w:tc>
                <w:tcPr>
                  <w:tcW w:w="238" w:type="pct"/>
                  <w:noWrap/>
                  <w:vAlign w:val="center"/>
                </w:tcPr>
                <w:p w14:paraId="2E10DB1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b/>
                      <w:bCs/>
                      <w:color w:val="auto"/>
                      <w:kern w:val="0"/>
                      <w:sz w:val="21"/>
                      <w:szCs w:val="21"/>
                    </w:rPr>
                  </w:pPr>
                </w:p>
              </w:tc>
              <w:tc>
                <w:tcPr>
                  <w:tcW w:w="239" w:type="pct"/>
                  <w:noWrap/>
                  <w:vAlign w:val="center"/>
                </w:tcPr>
                <w:p w14:paraId="1728167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olor w:val="auto"/>
                      <w:kern w:val="0"/>
                      <w:sz w:val="21"/>
                      <w:szCs w:val="21"/>
                    </w:rPr>
                  </w:pPr>
                </w:p>
              </w:tc>
            </w:tr>
          </w:tbl>
          <w:p w14:paraId="4EAE010B">
            <w:pPr>
              <w:pStyle w:val="16"/>
              <w:keepNext w:val="0"/>
              <w:keepLines w:val="0"/>
              <w:suppressLineNumbers w:val="0"/>
              <w:spacing w:before="0" w:beforeAutospacing="0" w:after="0" w:afterAutospacing="0"/>
              <w:ind w:left="0" w:right="0"/>
              <w:rPr>
                <w:rFonts w:hint="eastAsia"/>
                <w:lang w:val="en-US" w:eastAsia="zh-CN"/>
              </w:rPr>
            </w:pPr>
          </w:p>
          <w:p w14:paraId="2FB97410">
            <w:pPr>
              <w:pStyle w:val="16"/>
              <w:keepNext w:val="0"/>
              <w:keepLines w:val="0"/>
              <w:numPr>
                <w:ilvl w:val="0"/>
                <w:numId w:val="0"/>
              </w:numPr>
              <w:suppressLineNumbers w:val="0"/>
              <w:spacing w:before="0" w:beforeAutospacing="0" w:after="0" w:afterAutospacing="0"/>
              <w:ind w:left="0" w:right="0"/>
              <w:rPr>
                <w:rFonts w:hint="default"/>
                <w:lang w:val="en-US" w:eastAsia="zh-CN"/>
              </w:rPr>
            </w:pPr>
          </w:p>
        </w:tc>
      </w:tr>
    </w:tbl>
    <w:p w14:paraId="2296A43D">
      <w:pPr>
        <w:rPr>
          <w:rFonts w:hint="eastAsia"/>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
        <w:gridCol w:w="8302"/>
      </w:tblGrid>
      <w:tr w14:paraId="17F5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Pr>
          <w:p w14:paraId="359EF1F9">
            <w:pPr>
              <w:pStyle w:val="30"/>
              <w:keepNext w:val="0"/>
              <w:keepLines w:val="0"/>
              <w:suppressLineNumbers w:val="0"/>
              <w:spacing w:before="0" w:beforeAutospacing="0" w:after="0" w:afterAutospacing="0"/>
              <w:ind w:left="0" w:right="0"/>
              <w:rPr>
                <w:rFonts w:hint="eastAsia"/>
                <w:vertAlign w:val="baseline"/>
                <w:lang w:eastAsia="zh-CN"/>
              </w:rPr>
            </w:pPr>
          </w:p>
        </w:tc>
        <w:tc>
          <w:tcPr>
            <w:tcW w:w="13434" w:type="dxa"/>
          </w:tcPr>
          <w:p w14:paraId="4F1AE95A">
            <w:pPr>
              <w:keepNext w:val="0"/>
              <w:keepLines w:val="0"/>
              <w:numPr>
                <w:ilvl w:val="0"/>
                <w:numId w:val="0"/>
              </w:numPr>
              <w:suppressLineNumbers w:val="0"/>
              <w:spacing w:before="0" w:beforeAutospacing="0" w:after="0" w:afterAutospacing="0"/>
              <w:ind w:left="0" w:right="0" w:rightChars="0"/>
              <w:rPr>
                <w:rFonts w:hint="eastAsia" w:ascii="Times New Roman" w:hAnsi="Times New Roman"/>
                <w:sz w:val="24"/>
                <w:lang w:val="en-US" w:eastAsia="zh-CN"/>
              </w:rPr>
            </w:pPr>
          </w:p>
          <w:p w14:paraId="71A70953">
            <w:pPr>
              <w:keepNext w:val="0"/>
              <w:keepLines w:val="0"/>
              <w:numPr>
                <w:ilvl w:val="0"/>
                <w:numId w:val="0"/>
              </w:numPr>
              <w:suppressLineNumbers w:val="0"/>
              <w:spacing w:before="0" w:beforeAutospacing="0" w:after="0" w:afterAutospacing="0"/>
              <w:ind w:left="0" w:right="0" w:rightChars="0"/>
              <w:rPr>
                <w:rFonts w:hint="eastAsia" w:ascii="Times New Roman" w:hAnsi="Times New Roman"/>
                <w:sz w:val="24"/>
                <w:lang w:val="en-US" w:eastAsia="zh-CN"/>
              </w:rPr>
            </w:pPr>
            <w:r>
              <w:rPr>
                <w:rFonts w:hint="eastAsia" w:ascii="Times New Roman" w:hAnsi="Times New Roman"/>
                <w:sz w:val="24"/>
                <w:lang w:val="en-US" w:eastAsia="zh-CN"/>
              </w:rPr>
              <w:t>（5）表土堆场</w:t>
            </w:r>
          </w:p>
          <w:p w14:paraId="39C436E1">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24"/>
                <w:sz w:val="24"/>
                <w:szCs w:val="24"/>
              </w:rPr>
              <w:t>本项目共剥离表土</w:t>
            </w:r>
            <w:r>
              <w:rPr>
                <w:rFonts w:hint="default" w:ascii="Times New Roman" w:hAnsi="Times New Roman" w:eastAsia="宋体" w:cs="Times New Roman"/>
                <w:color w:val="auto"/>
                <w:kern w:val="24"/>
                <w:sz w:val="24"/>
                <w:szCs w:val="24"/>
              </w:rPr>
              <w:t>1.</w:t>
            </w:r>
            <w:r>
              <w:rPr>
                <w:rFonts w:hint="eastAsia" w:ascii="Times New Roman" w:hAnsi="Times New Roman" w:eastAsia="宋体" w:cs="Times New Roman"/>
                <w:color w:val="auto"/>
                <w:kern w:val="24"/>
                <w:sz w:val="24"/>
                <w:szCs w:val="24"/>
                <w:lang w:val="en-US" w:eastAsia="zh-CN"/>
              </w:rPr>
              <w:t>08</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vertAlign w:val="baseline"/>
                <w:lang w:eastAsia="zh-CN"/>
              </w:rPr>
              <w:t>，</w:t>
            </w:r>
            <w:r>
              <w:rPr>
                <w:rFonts w:hint="eastAsia" w:eastAsia="宋体" w:cs="Times New Roman"/>
                <w:color w:val="auto"/>
                <w:kern w:val="24"/>
                <w:sz w:val="24"/>
                <w:szCs w:val="24"/>
                <w:vertAlign w:val="baseline"/>
                <w:lang w:val="en-US" w:eastAsia="zh-CN"/>
              </w:rPr>
              <w:t>其中光伏发电</w:t>
            </w:r>
            <w:r>
              <w:rPr>
                <w:rFonts w:hint="default" w:ascii="Times New Roman" w:hAnsi="Times New Roman" w:eastAsia="宋体" w:cs="Times New Roman"/>
                <w:color w:val="auto"/>
                <w:sz w:val="24"/>
                <w:szCs w:val="24"/>
              </w:rPr>
              <w:t>方阵区</w:t>
            </w:r>
            <w:r>
              <w:rPr>
                <w:rFonts w:hint="eastAsia" w:eastAsia="宋体" w:cs="Times New Roman"/>
                <w:color w:val="auto"/>
                <w:sz w:val="24"/>
                <w:szCs w:val="24"/>
                <w:lang w:val="en-US" w:eastAsia="zh-CN"/>
              </w:rPr>
              <w:t>表土0.35万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r>
              <w:rPr>
                <w:rFonts w:hint="eastAsia" w:eastAsia="宋体" w:cs="Times New Roman"/>
                <w:color w:val="auto"/>
                <w:sz w:val="24"/>
                <w:szCs w:val="24"/>
                <w:lang w:val="en-US" w:eastAsia="zh-CN"/>
              </w:rPr>
              <w:t>道路工程区表土0.52万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eastAsia="宋体" w:cs="Times New Roman"/>
                <w:color w:val="auto"/>
                <w:sz w:val="24"/>
                <w:szCs w:val="24"/>
                <w:vertAlign w:val="subscript"/>
                <w:lang w:eastAsia="zh-CN"/>
              </w:rPr>
              <w:t>、</w:t>
            </w:r>
            <w:r>
              <w:rPr>
                <w:rFonts w:hint="eastAsia" w:eastAsia="宋体" w:cs="Times New Roman"/>
                <w:color w:val="auto"/>
                <w:sz w:val="24"/>
                <w:szCs w:val="24"/>
                <w:lang w:val="en-US" w:eastAsia="zh-CN"/>
              </w:rPr>
              <w:t>集电线路区表土0.21万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光伏发电方阵区、集电线路区</w:t>
            </w:r>
            <w:r>
              <w:rPr>
                <w:rFonts w:hint="default" w:ascii="Times New Roman" w:hAnsi="Times New Roman" w:eastAsia="宋体" w:cs="Times New Roman"/>
                <w:color w:val="auto"/>
                <w:sz w:val="24"/>
                <w:szCs w:val="24"/>
              </w:rPr>
              <w:t>这两部分表土剥离后沿施工作业带与底层土分层堆放，不需集中堆放在临时表土堆场；</w:t>
            </w:r>
          </w:p>
          <w:p w14:paraId="3B78D99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道路工程区剥离表土呈带状分布，</w:t>
            </w:r>
            <w:r>
              <w:rPr>
                <w:rFonts w:hint="eastAsia" w:eastAsia="宋体" w:cs="Times New Roman"/>
                <w:color w:val="auto"/>
                <w:sz w:val="24"/>
                <w:szCs w:val="24"/>
                <w:lang w:val="en-US" w:eastAsia="zh-CN"/>
              </w:rPr>
              <w:t>部分表土（0.41</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eastAsia"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临时堆存于道路一侧，</w:t>
            </w:r>
            <w:r>
              <w:rPr>
                <w:rFonts w:hint="eastAsia" w:ascii="Times New Roman" w:hAnsi="Times New Roman" w:eastAsia="宋体" w:cs="Times New Roman"/>
                <w:color w:val="auto"/>
                <w:sz w:val="24"/>
                <w:szCs w:val="24"/>
                <w:lang w:eastAsia="zh-CN"/>
              </w:rPr>
              <w:t>路基开挖结束后即对边坡区域实施覆土，</w:t>
            </w:r>
            <w:r>
              <w:rPr>
                <w:rFonts w:hint="eastAsia" w:ascii="Times New Roman" w:hAnsi="Times New Roman" w:eastAsia="宋体" w:cs="Times New Roman"/>
                <w:color w:val="auto"/>
                <w:sz w:val="24"/>
                <w:szCs w:val="24"/>
                <w:lang w:val="en-US" w:eastAsia="zh-CN"/>
              </w:rPr>
              <w:t>堆存期间需做好临时覆盖措施</w:t>
            </w:r>
            <w:r>
              <w:rPr>
                <w:rFonts w:hint="eastAsia" w:eastAsia="宋体" w:cs="Times New Roman"/>
                <w:color w:val="auto"/>
                <w:sz w:val="24"/>
                <w:szCs w:val="24"/>
                <w:lang w:val="en-US" w:eastAsia="zh-CN"/>
              </w:rPr>
              <w:t>，其余</w:t>
            </w:r>
            <w:r>
              <w:rPr>
                <w:rFonts w:hint="eastAsia" w:ascii="Times New Roman" w:hAnsi="Times New Roman" w:eastAsia="宋体" w:cs="Times New Roman"/>
                <w:color w:val="auto"/>
                <w:sz w:val="24"/>
                <w:szCs w:val="24"/>
                <w:lang w:val="en-US" w:eastAsia="zh-CN"/>
              </w:rPr>
              <w:t>表土0.</w:t>
            </w:r>
            <w:r>
              <w:rPr>
                <w:rFonts w:hint="eastAsia"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sz w:val="24"/>
                <w:szCs w:val="24"/>
              </w:rPr>
              <w:t>自然方，合松方</w:t>
            </w:r>
            <w:r>
              <w:rPr>
                <w:rFonts w:hint="eastAsia" w:ascii="Times New Roman" w:hAnsi="Times New Roman" w:eastAsia="宋体" w:cs="Times New Roman"/>
                <w:color w:val="auto"/>
                <w:sz w:val="24"/>
                <w:szCs w:val="24"/>
                <w:lang w:val="en-US" w:eastAsia="zh-CN"/>
              </w:rPr>
              <w:t>0.14</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kern w:val="24"/>
                <w:sz w:val="24"/>
                <w:szCs w:val="24"/>
              </w:rPr>
              <w:t>）</w:t>
            </w:r>
            <w:r>
              <w:rPr>
                <w:rFonts w:hint="eastAsia" w:ascii="Times New Roman" w:hAnsi="Times New Roman" w:eastAsia="宋体" w:cs="Times New Roman"/>
                <w:color w:val="auto"/>
                <w:sz w:val="24"/>
                <w:szCs w:val="24"/>
                <w:lang w:val="en-US" w:eastAsia="zh-CN"/>
              </w:rPr>
              <w:t>将集中堆存于本方案规划的表土场内，作为</w:t>
            </w:r>
            <w:r>
              <w:rPr>
                <w:rFonts w:hint="eastAsia" w:eastAsia="宋体" w:cs="Times New Roman"/>
                <w:color w:val="auto"/>
                <w:sz w:val="24"/>
                <w:szCs w:val="24"/>
                <w:lang w:val="en-US" w:eastAsia="zh-CN"/>
              </w:rPr>
              <w:t>光伏发电方阵区</w:t>
            </w:r>
            <w:r>
              <w:rPr>
                <w:rFonts w:hint="eastAsia" w:ascii="Times New Roman" w:hAnsi="Times New Roman" w:eastAsia="宋体" w:cs="Times New Roman"/>
                <w:color w:val="auto"/>
                <w:sz w:val="24"/>
                <w:szCs w:val="24"/>
                <w:lang w:val="en-US" w:eastAsia="zh-CN"/>
              </w:rPr>
              <w:t>种植覆土使用。</w:t>
            </w:r>
          </w:p>
          <w:p w14:paraId="41364142">
            <w:pPr>
              <w:pStyle w:val="59"/>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rPr>
              <w:t>本</w:t>
            </w:r>
            <w:r>
              <w:rPr>
                <w:rFonts w:hint="eastAsia" w:ascii="Times New Roman" w:hAnsi="Times New Roman" w:eastAsia="宋体" w:cs="Times New Roman"/>
                <w:color w:val="auto"/>
                <w:kern w:val="24"/>
                <w:sz w:val="24"/>
                <w:szCs w:val="24"/>
              </w:rPr>
              <w:t>方案</w:t>
            </w:r>
            <w:r>
              <w:rPr>
                <w:rFonts w:hint="default" w:ascii="Times New Roman" w:hAnsi="Times New Roman" w:eastAsia="宋体" w:cs="Times New Roman"/>
                <w:color w:val="auto"/>
                <w:kern w:val="24"/>
                <w:sz w:val="24"/>
                <w:szCs w:val="24"/>
              </w:rPr>
              <w:t>依据就近堆置的原则，共规划1个临时表土堆场，</w:t>
            </w:r>
            <w:r>
              <w:rPr>
                <w:rFonts w:hint="eastAsia" w:ascii="Times New Roman" w:hAnsi="Times New Roman" w:eastAsia="宋体" w:cs="Times New Roman"/>
                <w:color w:val="auto"/>
                <w:kern w:val="24"/>
                <w:sz w:val="24"/>
                <w:szCs w:val="24"/>
                <w:lang w:eastAsia="zh-CN"/>
              </w:rPr>
              <w:t>表土堆存场位于临建设施区内，共计占地</w:t>
            </w:r>
            <w:r>
              <w:rPr>
                <w:rFonts w:hint="eastAsia" w:ascii="Times New Roman" w:hAnsi="Times New Roman" w:eastAsia="宋体" w:cs="Times New Roman"/>
                <w:color w:val="auto"/>
                <w:kern w:val="24"/>
                <w:sz w:val="24"/>
                <w:szCs w:val="24"/>
                <w:lang w:val="en-US" w:eastAsia="zh-CN"/>
              </w:rPr>
              <w:t>0.06hm</w:t>
            </w:r>
            <w:r>
              <w:rPr>
                <w:rFonts w:hint="eastAsia" w:ascii="Times New Roman" w:hAnsi="Times New Roman" w:eastAsia="宋体" w:cs="Times New Roman"/>
                <w:color w:val="auto"/>
                <w:kern w:val="24"/>
                <w:sz w:val="24"/>
                <w:szCs w:val="24"/>
                <w:vertAlign w:val="superscript"/>
                <w:lang w:val="en-US" w:eastAsia="zh-CN"/>
              </w:rPr>
              <w:t>2</w:t>
            </w:r>
            <w:r>
              <w:rPr>
                <w:rFonts w:hint="eastAsia" w:ascii="Times New Roman" w:hAnsi="Times New Roman" w:eastAsia="宋体" w:cs="Times New Roman"/>
                <w:color w:val="auto"/>
                <w:kern w:val="24"/>
                <w:sz w:val="24"/>
                <w:szCs w:val="24"/>
                <w:lang w:val="en-US" w:eastAsia="zh-CN"/>
              </w:rPr>
              <w:t>，设计堆存容量为0.15</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，规划堆存表土0.</w:t>
            </w:r>
            <w:r>
              <w:rPr>
                <w:rFonts w:hint="eastAsia" w:ascii="Times New Roman" w:hAnsi="Times New Roman" w:eastAsia="宋体" w:cs="Times New Roman"/>
                <w:color w:val="auto"/>
                <w:kern w:val="24"/>
                <w:sz w:val="24"/>
                <w:szCs w:val="24"/>
                <w:lang w:val="en-US" w:eastAsia="zh-CN"/>
              </w:rPr>
              <w:t>11</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（自然方，合松方0.1</w:t>
            </w:r>
            <w:r>
              <w:rPr>
                <w:rFonts w:hint="eastAsia" w:ascii="Times New Roman" w:hAnsi="Times New Roman" w:eastAsia="宋体" w:cs="Times New Roman"/>
                <w:color w:val="auto"/>
                <w:kern w:val="24"/>
                <w:sz w:val="24"/>
                <w:szCs w:val="24"/>
                <w:lang w:val="en-US" w:eastAsia="zh-CN"/>
              </w:rPr>
              <w:t>4</w:t>
            </w:r>
            <w:r>
              <w:rPr>
                <w:rFonts w:hint="eastAsia" w:ascii="Times New Roman" w:hAnsi="Times New Roman" w:eastAsia="宋体" w:cs="Times New Roman"/>
                <w:color w:val="auto"/>
                <w:kern w:val="24"/>
                <w:sz w:val="24"/>
                <w:szCs w:val="24"/>
              </w:rPr>
              <w:t>万m</w:t>
            </w:r>
            <w:r>
              <w:rPr>
                <w:rFonts w:hint="eastAsia" w:ascii="Times New Roman" w:hAnsi="Times New Roman" w:eastAsia="宋体" w:cs="Times New Roman"/>
                <w:color w:val="auto"/>
                <w:kern w:val="24"/>
                <w:sz w:val="24"/>
                <w:szCs w:val="24"/>
                <w:vertAlign w:val="superscript"/>
              </w:rPr>
              <w:t>3</w:t>
            </w:r>
            <w:r>
              <w:rPr>
                <w:rFonts w:hint="eastAsia" w:ascii="Times New Roman" w:hAnsi="Times New Roman" w:eastAsia="宋体" w:cs="Times New Roman"/>
                <w:color w:val="auto"/>
                <w:kern w:val="24"/>
                <w:sz w:val="24"/>
                <w:szCs w:val="24"/>
              </w:rPr>
              <w:t>），设计最大堆存净高</w:t>
            </w:r>
            <w:r>
              <w:rPr>
                <w:rFonts w:hint="eastAsia" w:ascii="Times New Roman" w:hAnsi="Times New Roman" w:eastAsia="宋体" w:cs="Times New Roman"/>
                <w:color w:val="auto"/>
                <w:kern w:val="24"/>
                <w:sz w:val="24"/>
                <w:szCs w:val="24"/>
                <w:lang w:val="en-US" w:eastAsia="zh-CN"/>
              </w:rPr>
              <w:t>2.5</w:t>
            </w:r>
            <w:r>
              <w:rPr>
                <w:rFonts w:hint="eastAsia" w:ascii="Times New Roman" w:hAnsi="Times New Roman" w:eastAsia="宋体" w:cs="Times New Roman"/>
                <w:color w:val="auto"/>
                <w:kern w:val="24"/>
                <w:sz w:val="24"/>
                <w:szCs w:val="24"/>
              </w:rPr>
              <w:t>m。</w:t>
            </w:r>
          </w:p>
          <w:p w14:paraId="5CA80B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24"/>
                <w:sz w:val="24"/>
                <w:szCs w:val="24"/>
              </w:rPr>
            </w:pPr>
            <w:r>
              <w:rPr>
                <w:rFonts w:hint="eastAsia" w:ascii="Times New Roman" w:hAnsi="Times New Roman" w:eastAsia="宋体" w:cs="Times New Roman"/>
                <w:color w:val="000000" w:themeColor="text1"/>
                <w:lang w:val="en-US" w:eastAsia="zh-CN"/>
                <w14:textFill>
                  <w14:solidFill>
                    <w14:schemeClr w14:val="tx1"/>
                  </w14:solidFill>
                </w14:textFill>
              </w:rPr>
              <w:t>表2-8项目表土场特性表  单位万（m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909"/>
              <w:gridCol w:w="879"/>
              <w:gridCol w:w="680"/>
              <w:gridCol w:w="608"/>
              <w:gridCol w:w="959"/>
              <w:gridCol w:w="1009"/>
              <w:gridCol w:w="681"/>
              <w:gridCol w:w="970"/>
              <w:gridCol w:w="681"/>
            </w:tblGrid>
            <w:tr w14:paraId="2C287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574" w:type="pct"/>
                  <w:vMerge w:val="restart"/>
                  <w:noWrap/>
                  <w:vAlign w:val="center"/>
                </w:tcPr>
                <w:p w14:paraId="63A5CEE5">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项目名称</w:t>
                  </w:r>
                </w:p>
              </w:tc>
              <w:tc>
                <w:tcPr>
                  <w:tcW w:w="584" w:type="pct"/>
                  <w:vMerge w:val="restart"/>
                  <w:noWrap/>
                  <w:vAlign w:val="center"/>
                </w:tcPr>
                <w:p w14:paraId="400272DF">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位置</w:t>
                  </w:r>
                </w:p>
              </w:tc>
              <w:tc>
                <w:tcPr>
                  <w:tcW w:w="536" w:type="pct"/>
                  <w:vMerge w:val="restart"/>
                  <w:noWrap/>
                  <w:vAlign w:val="center"/>
                </w:tcPr>
                <w:p w14:paraId="3936B27D">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占地</w:t>
                  </w:r>
                  <w:r>
                    <w:rPr>
                      <w:rFonts w:hint="eastAsia" w:ascii="Times New Roman" w:hAnsi="Times New Roman" w:eastAsia="宋体"/>
                      <w:b/>
                      <w:bCs/>
                      <w:color w:val="auto"/>
                      <w:kern w:val="0"/>
                      <w:sz w:val="21"/>
                      <w:szCs w:val="21"/>
                    </w:rPr>
                    <w:t>（h</w:t>
                  </w:r>
                  <w:r>
                    <w:rPr>
                      <w:rFonts w:hint="default" w:ascii="Times New Roman" w:hAnsi="Times New Roman" w:eastAsia="宋体"/>
                      <w:b/>
                      <w:bCs/>
                      <w:color w:val="auto"/>
                      <w:kern w:val="0"/>
                      <w:sz w:val="21"/>
                      <w:szCs w:val="21"/>
                    </w:rPr>
                    <w:t>m</w:t>
                  </w:r>
                  <w:r>
                    <w:rPr>
                      <w:rFonts w:hint="default" w:ascii="Times New Roman" w:hAnsi="Times New Roman" w:eastAsia="宋体"/>
                      <w:b/>
                      <w:bCs/>
                      <w:color w:val="auto"/>
                      <w:kern w:val="0"/>
                      <w:sz w:val="21"/>
                      <w:szCs w:val="21"/>
                      <w:vertAlign w:val="superscript"/>
                    </w:rPr>
                    <w:t>2</w:t>
                  </w:r>
                  <w:r>
                    <w:rPr>
                      <w:rFonts w:hint="eastAsia" w:ascii="Times New Roman" w:hAnsi="Times New Roman" w:eastAsia="宋体"/>
                      <w:b/>
                      <w:bCs/>
                      <w:color w:val="auto"/>
                      <w:kern w:val="0"/>
                      <w:sz w:val="21"/>
                      <w:szCs w:val="21"/>
                    </w:rPr>
                    <w:t>）</w:t>
                  </w:r>
                </w:p>
              </w:tc>
              <w:tc>
                <w:tcPr>
                  <w:tcW w:w="991" w:type="pct"/>
                  <w:gridSpan w:val="2"/>
                  <w:noWrap/>
                  <w:vAlign w:val="center"/>
                </w:tcPr>
                <w:p w14:paraId="56CB4325">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堆放数量</w:t>
                  </w:r>
                  <w:r>
                    <w:rPr>
                      <w:rFonts w:hint="eastAsia" w:ascii="Times New Roman" w:hAnsi="Times New Roman" w:eastAsia="宋体"/>
                      <w:b/>
                      <w:bCs/>
                      <w:color w:val="auto"/>
                      <w:kern w:val="0"/>
                      <w:sz w:val="21"/>
                      <w:szCs w:val="21"/>
                    </w:rPr>
                    <w:t>（万m</w:t>
                  </w:r>
                  <w:r>
                    <w:rPr>
                      <w:rFonts w:hint="default" w:ascii="Times New Roman" w:hAnsi="Times New Roman" w:eastAsia="宋体"/>
                      <w:b/>
                      <w:bCs/>
                      <w:color w:val="auto"/>
                      <w:kern w:val="0"/>
                      <w:sz w:val="21"/>
                      <w:szCs w:val="21"/>
                      <w:vertAlign w:val="superscript"/>
                    </w:rPr>
                    <w:t>3</w:t>
                  </w:r>
                  <w:r>
                    <w:rPr>
                      <w:rFonts w:hint="eastAsia" w:ascii="Times New Roman" w:hAnsi="Times New Roman" w:eastAsia="宋体"/>
                      <w:b/>
                      <w:bCs/>
                      <w:color w:val="auto"/>
                      <w:kern w:val="0"/>
                      <w:sz w:val="21"/>
                      <w:szCs w:val="21"/>
                    </w:rPr>
                    <w:t>）</w:t>
                  </w:r>
                </w:p>
              </w:tc>
              <w:tc>
                <w:tcPr>
                  <w:tcW w:w="502" w:type="pct"/>
                  <w:vMerge w:val="restart"/>
                  <w:noWrap/>
                  <w:vAlign w:val="center"/>
                </w:tcPr>
                <w:p w14:paraId="4BCD3870">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容量</w:t>
                  </w:r>
                  <w:r>
                    <w:rPr>
                      <w:rFonts w:hint="eastAsia" w:ascii="Times New Roman" w:hAnsi="Times New Roman" w:eastAsia="宋体"/>
                      <w:b/>
                      <w:bCs/>
                      <w:color w:val="auto"/>
                      <w:kern w:val="0"/>
                      <w:sz w:val="21"/>
                      <w:szCs w:val="21"/>
                    </w:rPr>
                    <w:t>（万m</w:t>
                  </w:r>
                  <w:r>
                    <w:rPr>
                      <w:rFonts w:hint="default" w:ascii="Times New Roman" w:hAnsi="Times New Roman" w:eastAsia="宋体"/>
                      <w:b/>
                      <w:bCs/>
                      <w:color w:val="auto"/>
                      <w:kern w:val="0"/>
                      <w:sz w:val="21"/>
                      <w:szCs w:val="21"/>
                      <w:vertAlign w:val="superscript"/>
                    </w:rPr>
                    <w:t>3</w:t>
                  </w:r>
                  <w:r>
                    <w:rPr>
                      <w:rFonts w:hint="eastAsia" w:ascii="Times New Roman" w:hAnsi="Times New Roman" w:eastAsia="宋体"/>
                      <w:b/>
                      <w:bCs/>
                      <w:color w:val="auto"/>
                      <w:kern w:val="0"/>
                      <w:sz w:val="21"/>
                      <w:szCs w:val="21"/>
                    </w:rPr>
                    <w:t>）</w:t>
                  </w:r>
                </w:p>
              </w:tc>
              <w:tc>
                <w:tcPr>
                  <w:tcW w:w="457" w:type="pct"/>
                  <w:vMerge w:val="restart"/>
                  <w:noWrap/>
                  <w:vAlign w:val="center"/>
                </w:tcPr>
                <w:p w14:paraId="0431C978">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最大堆高</w:t>
                  </w:r>
                  <w:r>
                    <w:rPr>
                      <w:rFonts w:hint="eastAsia" w:ascii="Times New Roman" w:hAnsi="Times New Roman" w:eastAsia="宋体"/>
                      <w:b/>
                      <w:bCs/>
                      <w:color w:val="auto"/>
                      <w:kern w:val="0"/>
                      <w:sz w:val="21"/>
                      <w:szCs w:val="21"/>
                    </w:rPr>
                    <w:t>（m）</w:t>
                  </w:r>
                </w:p>
              </w:tc>
              <w:tc>
                <w:tcPr>
                  <w:tcW w:w="346" w:type="pct"/>
                  <w:vMerge w:val="restart"/>
                  <w:noWrap/>
                  <w:vAlign w:val="center"/>
                </w:tcPr>
                <w:p w14:paraId="61FAE867">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堆放坡率</w:t>
                  </w:r>
                </w:p>
              </w:tc>
              <w:tc>
                <w:tcPr>
                  <w:tcW w:w="451" w:type="pct"/>
                  <w:vMerge w:val="restart"/>
                  <w:noWrap/>
                  <w:vAlign w:val="center"/>
                </w:tcPr>
                <w:p w14:paraId="1479C052">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堆存时间</w:t>
                  </w:r>
                  <w:r>
                    <w:rPr>
                      <w:rFonts w:hint="eastAsia" w:ascii="Times New Roman" w:hAnsi="Times New Roman" w:eastAsia="宋体"/>
                      <w:b/>
                      <w:bCs/>
                      <w:color w:val="auto"/>
                      <w:kern w:val="0"/>
                      <w:sz w:val="21"/>
                      <w:szCs w:val="21"/>
                    </w:rPr>
                    <w:t>（</w:t>
                  </w:r>
                  <w:r>
                    <w:rPr>
                      <w:rFonts w:hint="default" w:ascii="Times New Roman" w:hAnsi="Times New Roman" w:eastAsia="宋体"/>
                      <w:b/>
                      <w:bCs/>
                      <w:color w:val="auto"/>
                      <w:kern w:val="0"/>
                      <w:sz w:val="21"/>
                      <w:szCs w:val="21"/>
                    </w:rPr>
                    <w:t>a</w:t>
                  </w:r>
                  <w:r>
                    <w:rPr>
                      <w:rFonts w:hint="eastAsia" w:ascii="Times New Roman" w:hAnsi="Times New Roman" w:eastAsia="宋体"/>
                      <w:b/>
                      <w:bCs/>
                      <w:color w:val="auto"/>
                      <w:kern w:val="0"/>
                      <w:sz w:val="21"/>
                      <w:szCs w:val="21"/>
                    </w:rPr>
                    <w:t>）</w:t>
                  </w:r>
                </w:p>
              </w:tc>
              <w:tc>
                <w:tcPr>
                  <w:tcW w:w="556" w:type="pct"/>
                  <w:vMerge w:val="restart"/>
                  <w:noWrap/>
                  <w:vAlign w:val="center"/>
                </w:tcPr>
                <w:p w14:paraId="17C0CDFE">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表土来源</w:t>
                  </w:r>
                </w:p>
              </w:tc>
            </w:tr>
            <w:tr w14:paraId="21837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jc w:val="center"/>
              </w:trPr>
              <w:tc>
                <w:tcPr>
                  <w:tcW w:w="574" w:type="pct"/>
                  <w:vMerge w:val="continue"/>
                  <w:noWrap w:val="0"/>
                  <w:vAlign w:val="center"/>
                </w:tcPr>
                <w:p w14:paraId="1EF25ED9">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84" w:type="pct"/>
                  <w:vMerge w:val="continue"/>
                  <w:noWrap w:val="0"/>
                  <w:vAlign w:val="center"/>
                </w:tcPr>
                <w:p w14:paraId="7EE380F4">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36" w:type="pct"/>
                  <w:vMerge w:val="continue"/>
                  <w:noWrap w:val="0"/>
                  <w:vAlign w:val="center"/>
                </w:tcPr>
                <w:p w14:paraId="2517F023">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28" w:type="pct"/>
                  <w:noWrap/>
                  <w:vAlign w:val="center"/>
                </w:tcPr>
                <w:p w14:paraId="4B4BA251">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自然方</w:t>
                  </w:r>
                </w:p>
              </w:tc>
              <w:tc>
                <w:tcPr>
                  <w:tcW w:w="462" w:type="pct"/>
                  <w:noWrap/>
                  <w:vAlign w:val="center"/>
                </w:tcPr>
                <w:p w14:paraId="2F51C582">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松方</w:t>
                  </w:r>
                </w:p>
              </w:tc>
              <w:tc>
                <w:tcPr>
                  <w:tcW w:w="502" w:type="pct"/>
                  <w:vMerge w:val="continue"/>
                  <w:noWrap w:val="0"/>
                  <w:vAlign w:val="center"/>
                </w:tcPr>
                <w:p w14:paraId="69489083">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457" w:type="pct"/>
                  <w:vMerge w:val="continue"/>
                  <w:noWrap w:val="0"/>
                  <w:vAlign w:val="center"/>
                </w:tcPr>
                <w:p w14:paraId="36626D75">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346" w:type="pct"/>
                  <w:vMerge w:val="continue"/>
                  <w:noWrap w:val="0"/>
                  <w:vAlign w:val="center"/>
                </w:tcPr>
                <w:p w14:paraId="6BCEDBD8">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451" w:type="pct"/>
                  <w:vMerge w:val="continue"/>
                  <w:noWrap w:val="0"/>
                  <w:vAlign w:val="center"/>
                </w:tcPr>
                <w:p w14:paraId="3D55B2E3">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56" w:type="pct"/>
                  <w:vMerge w:val="continue"/>
                  <w:noWrap w:val="0"/>
                  <w:vAlign w:val="center"/>
                </w:tcPr>
                <w:p w14:paraId="303FCC4C">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r>
            <w:tr w14:paraId="6BBC0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4" w:type="pct"/>
                  <w:noWrap/>
                  <w:vAlign w:val="center"/>
                </w:tcPr>
                <w:p w14:paraId="682E183F">
                  <w:pPr>
                    <w:keepNext w:val="0"/>
                    <w:keepLines w:val="0"/>
                    <w:widowControl/>
                    <w:suppressLineNumbers w:val="0"/>
                    <w:spacing w:before="0" w:beforeAutospacing="0" w:after="0" w:afterAutospacing="0"/>
                    <w:ind w:left="0" w:right="0"/>
                    <w:jc w:val="both"/>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表土堆场</w:t>
                  </w:r>
                </w:p>
              </w:tc>
              <w:tc>
                <w:tcPr>
                  <w:tcW w:w="584" w:type="pct"/>
                  <w:noWrap/>
                  <w:vAlign w:val="center"/>
                </w:tcPr>
                <w:p w14:paraId="6D1C8142">
                  <w:pPr>
                    <w:keepNext w:val="0"/>
                    <w:keepLines w:val="0"/>
                    <w:widowControl/>
                    <w:suppressLineNumbers w:val="0"/>
                    <w:spacing w:before="0" w:beforeAutospacing="0" w:after="0" w:afterAutospacing="0"/>
                    <w:ind w:left="0" w:right="0"/>
                    <w:jc w:val="both"/>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eastAsia="zh-CN"/>
                    </w:rPr>
                    <w:t>临建设施区内</w:t>
                  </w:r>
                </w:p>
              </w:tc>
              <w:tc>
                <w:tcPr>
                  <w:tcW w:w="536" w:type="pct"/>
                  <w:noWrap/>
                  <w:vAlign w:val="center"/>
                </w:tcPr>
                <w:p w14:paraId="56C21014">
                  <w:pPr>
                    <w:keepNext w:val="0"/>
                    <w:keepLines w:val="0"/>
                    <w:widowControl/>
                    <w:suppressLineNumbers w:val="0"/>
                    <w:spacing w:before="0" w:beforeAutospacing="0" w:after="0" w:afterAutospacing="0"/>
                    <w:ind w:left="0" w:right="0"/>
                    <w:jc w:val="both"/>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0.06</w:t>
                  </w:r>
                </w:p>
              </w:tc>
              <w:tc>
                <w:tcPr>
                  <w:tcW w:w="528" w:type="pct"/>
                  <w:noWrap/>
                  <w:vAlign w:val="center"/>
                </w:tcPr>
                <w:p w14:paraId="0449E8C9">
                  <w:pPr>
                    <w:keepNext w:val="0"/>
                    <w:keepLines w:val="0"/>
                    <w:widowControl/>
                    <w:suppressLineNumbers w:val="0"/>
                    <w:spacing w:before="0" w:beforeAutospacing="0" w:after="0" w:afterAutospacing="0"/>
                    <w:ind w:left="0" w:right="0"/>
                    <w:jc w:val="both"/>
                    <w:rPr>
                      <w:rFonts w:hint="eastAsia" w:ascii="Times New Roman" w:hAnsi="Times New Roman" w:eastAsia="宋体"/>
                      <w:color w:val="auto"/>
                      <w:kern w:val="0"/>
                      <w:sz w:val="21"/>
                      <w:szCs w:val="21"/>
                      <w:lang w:val="en-US" w:eastAsia="zh-CN"/>
                    </w:rPr>
                  </w:pPr>
                  <w:r>
                    <w:rPr>
                      <w:rFonts w:hint="default" w:ascii="Times New Roman" w:hAnsi="Times New Roman" w:eastAsia="宋体"/>
                      <w:color w:val="auto"/>
                      <w:kern w:val="0"/>
                      <w:sz w:val="21"/>
                      <w:szCs w:val="21"/>
                    </w:rPr>
                    <w:t>0.1</w:t>
                  </w:r>
                  <w:r>
                    <w:rPr>
                      <w:rFonts w:hint="eastAsia" w:ascii="Times New Roman" w:hAnsi="Times New Roman" w:eastAsia="宋体"/>
                      <w:color w:val="auto"/>
                      <w:kern w:val="0"/>
                      <w:sz w:val="21"/>
                      <w:szCs w:val="21"/>
                      <w:lang w:val="en-US" w:eastAsia="zh-CN"/>
                    </w:rPr>
                    <w:t>1</w:t>
                  </w:r>
                </w:p>
              </w:tc>
              <w:tc>
                <w:tcPr>
                  <w:tcW w:w="462" w:type="pct"/>
                  <w:noWrap/>
                  <w:vAlign w:val="center"/>
                </w:tcPr>
                <w:p w14:paraId="37299F98">
                  <w:pPr>
                    <w:keepNext w:val="0"/>
                    <w:keepLines w:val="0"/>
                    <w:widowControl/>
                    <w:suppressLineNumbers w:val="0"/>
                    <w:spacing w:before="0" w:beforeAutospacing="0" w:after="0" w:afterAutospacing="0"/>
                    <w:ind w:left="0" w:right="0"/>
                    <w:jc w:val="both"/>
                    <w:rPr>
                      <w:rFonts w:hint="eastAsia" w:ascii="Times New Roman" w:hAnsi="Times New Roman" w:eastAsia="宋体"/>
                      <w:color w:val="auto"/>
                      <w:kern w:val="0"/>
                      <w:sz w:val="21"/>
                      <w:szCs w:val="21"/>
                      <w:lang w:val="en-US" w:eastAsia="zh-CN"/>
                    </w:rPr>
                  </w:pPr>
                  <w:r>
                    <w:rPr>
                      <w:rFonts w:hint="default" w:ascii="Times New Roman" w:hAnsi="Times New Roman" w:eastAsia="宋体"/>
                      <w:color w:val="auto"/>
                      <w:kern w:val="0"/>
                      <w:sz w:val="21"/>
                      <w:szCs w:val="21"/>
                    </w:rPr>
                    <w:t>0.1</w:t>
                  </w:r>
                  <w:r>
                    <w:rPr>
                      <w:rFonts w:hint="eastAsia" w:ascii="Times New Roman" w:hAnsi="Times New Roman" w:eastAsia="宋体"/>
                      <w:color w:val="auto"/>
                      <w:kern w:val="0"/>
                      <w:sz w:val="21"/>
                      <w:szCs w:val="21"/>
                      <w:lang w:val="en-US" w:eastAsia="zh-CN"/>
                    </w:rPr>
                    <w:t>4</w:t>
                  </w:r>
                </w:p>
              </w:tc>
              <w:tc>
                <w:tcPr>
                  <w:tcW w:w="502" w:type="pct"/>
                  <w:noWrap/>
                  <w:vAlign w:val="center"/>
                </w:tcPr>
                <w:p w14:paraId="6CB2191C">
                  <w:pPr>
                    <w:keepNext w:val="0"/>
                    <w:keepLines w:val="0"/>
                    <w:widowControl/>
                    <w:suppressLineNumbers w:val="0"/>
                    <w:spacing w:before="0" w:beforeAutospacing="0" w:after="0" w:afterAutospacing="0"/>
                    <w:ind w:left="0" w:right="0"/>
                    <w:jc w:val="both"/>
                    <w:rPr>
                      <w:rFonts w:hint="eastAsia" w:ascii="Times New Roman" w:hAnsi="Times New Roman" w:eastAsia="宋体"/>
                      <w:color w:val="auto"/>
                      <w:kern w:val="0"/>
                      <w:sz w:val="21"/>
                      <w:szCs w:val="21"/>
                      <w:lang w:val="en-US" w:eastAsia="zh-CN"/>
                    </w:rPr>
                  </w:pPr>
                  <w:r>
                    <w:rPr>
                      <w:rFonts w:hint="default" w:ascii="Times New Roman" w:hAnsi="Times New Roman" w:eastAsia="宋体"/>
                      <w:color w:val="auto"/>
                      <w:kern w:val="0"/>
                      <w:sz w:val="21"/>
                      <w:szCs w:val="21"/>
                    </w:rPr>
                    <w:t>0.1</w:t>
                  </w:r>
                  <w:r>
                    <w:rPr>
                      <w:rFonts w:hint="eastAsia" w:ascii="Times New Roman" w:hAnsi="Times New Roman" w:eastAsia="宋体"/>
                      <w:color w:val="auto"/>
                      <w:kern w:val="0"/>
                      <w:sz w:val="21"/>
                      <w:szCs w:val="21"/>
                      <w:lang w:val="en-US" w:eastAsia="zh-CN"/>
                    </w:rPr>
                    <w:t>5</w:t>
                  </w:r>
                </w:p>
              </w:tc>
              <w:tc>
                <w:tcPr>
                  <w:tcW w:w="457" w:type="pct"/>
                  <w:noWrap/>
                  <w:vAlign w:val="center"/>
                </w:tcPr>
                <w:p w14:paraId="7134B142">
                  <w:pPr>
                    <w:keepNext w:val="0"/>
                    <w:keepLines w:val="0"/>
                    <w:widowControl/>
                    <w:suppressLineNumbers w:val="0"/>
                    <w:spacing w:before="0" w:beforeAutospacing="0" w:after="0" w:afterAutospacing="0"/>
                    <w:ind w:left="0" w:right="0"/>
                    <w:jc w:val="both"/>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2.5</w:t>
                  </w:r>
                </w:p>
              </w:tc>
              <w:tc>
                <w:tcPr>
                  <w:tcW w:w="346" w:type="pct"/>
                  <w:noWrap/>
                  <w:vAlign w:val="center"/>
                </w:tcPr>
                <w:p w14:paraId="65452672">
                  <w:pPr>
                    <w:keepNext w:val="0"/>
                    <w:keepLines w:val="0"/>
                    <w:widowControl/>
                    <w:suppressLineNumbers w:val="0"/>
                    <w:spacing w:before="0" w:beforeAutospacing="0" w:after="0" w:afterAutospacing="0"/>
                    <w:ind w:left="0" w:right="0"/>
                    <w:jc w:val="both"/>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1:1.8</w:t>
                  </w:r>
                </w:p>
              </w:tc>
              <w:tc>
                <w:tcPr>
                  <w:tcW w:w="451" w:type="pct"/>
                  <w:noWrap/>
                  <w:vAlign w:val="center"/>
                </w:tcPr>
                <w:p w14:paraId="5A4AC27C">
                  <w:pPr>
                    <w:keepNext w:val="0"/>
                    <w:keepLines w:val="0"/>
                    <w:widowControl/>
                    <w:suppressLineNumbers w:val="0"/>
                    <w:spacing w:before="0" w:beforeAutospacing="0" w:after="0" w:afterAutospacing="0"/>
                    <w:ind w:left="0" w:right="0"/>
                    <w:jc w:val="both"/>
                    <w:rPr>
                      <w:rFonts w:hint="default" w:ascii="Times New Roman" w:hAnsi="Times New Roman" w:eastAsia="宋体"/>
                      <w:color w:val="auto"/>
                      <w:kern w:val="0"/>
                      <w:sz w:val="21"/>
                      <w:szCs w:val="21"/>
                    </w:rPr>
                  </w:pPr>
                  <w:r>
                    <w:rPr>
                      <w:rFonts w:hint="default" w:ascii="Times New Roman" w:hAnsi="Times New Roman" w:eastAsia="宋体"/>
                      <w:color w:val="auto"/>
                      <w:kern w:val="0"/>
                      <w:sz w:val="21"/>
                      <w:szCs w:val="21"/>
                    </w:rPr>
                    <w:t>0.5</w:t>
                  </w:r>
                </w:p>
              </w:tc>
              <w:tc>
                <w:tcPr>
                  <w:tcW w:w="556" w:type="pct"/>
                  <w:noWrap/>
                  <w:vAlign w:val="center"/>
                </w:tcPr>
                <w:p w14:paraId="6FED149E">
                  <w:pPr>
                    <w:keepNext w:val="0"/>
                    <w:keepLines w:val="0"/>
                    <w:widowControl/>
                    <w:suppressLineNumbers w:val="0"/>
                    <w:spacing w:before="0" w:beforeAutospacing="0" w:after="0" w:afterAutospacing="0"/>
                    <w:ind w:left="0" w:right="0"/>
                    <w:jc w:val="both"/>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eastAsia="zh-CN"/>
                    </w:rPr>
                    <w:t>施工剥离</w:t>
                  </w:r>
                </w:p>
              </w:tc>
            </w:tr>
            <w:tr w14:paraId="32D37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4" w:type="pct"/>
                  <w:noWrap/>
                  <w:vAlign w:val="center"/>
                </w:tcPr>
                <w:p w14:paraId="608F49ED">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r>
                    <w:rPr>
                      <w:rFonts w:hint="default" w:ascii="Times New Roman" w:hAnsi="Times New Roman" w:eastAsia="宋体"/>
                      <w:b/>
                      <w:bCs/>
                      <w:color w:val="auto"/>
                      <w:kern w:val="0"/>
                      <w:sz w:val="21"/>
                      <w:szCs w:val="21"/>
                    </w:rPr>
                    <w:t>合计</w:t>
                  </w:r>
                </w:p>
              </w:tc>
              <w:tc>
                <w:tcPr>
                  <w:tcW w:w="584" w:type="pct"/>
                  <w:noWrap/>
                  <w:vAlign w:val="center"/>
                </w:tcPr>
                <w:p w14:paraId="793AE6E0">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36" w:type="pct"/>
                  <w:noWrap/>
                  <w:vAlign w:val="center"/>
                </w:tcPr>
                <w:p w14:paraId="35CFCFCE">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rPr>
                    <w:t>0</w:t>
                  </w:r>
                  <w:r>
                    <w:rPr>
                      <w:rFonts w:hint="default" w:ascii="Times New Roman" w:hAnsi="Times New Roman" w:eastAsia="宋体"/>
                      <w:b/>
                      <w:bCs/>
                      <w:color w:val="auto"/>
                      <w:kern w:val="0"/>
                      <w:sz w:val="21"/>
                      <w:szCs w:val="21"/>
                    </w:rPr>
                    <w:t>.</w:t>
                  </w:r>
                  <w:r>
                    <w:rPr>
                      <w:rFonts w:hint="eastAsia" w:ascii="Times New Roman" w:hAnsi="Times New Roman" w:eastAsia="宋体"/>
                      <w:b/>
                      <w:bCs/>
                      <w:color w:val="auto"/>
                      <w:kern w:val="0"/>
                      <w:sz w:val="21"/>
                      <w:szCs w:val="21"/>
                      <w:lang w:val="en-US" w:eastAsia="zh-CN"/>
                    </w:rPr>
                    <w:t>06</w:t>
                  </w:r>
                </w:p>
              </w:tc>
              <w:tc>
                <w:tcPr>
                  <w:tcW w:w="528" w:type="pct"/>
                  <w:noWrap/>
                  <w:vAlign w:val="center"/>
                </w:tcPr>
                <w:p w14:paraId="5DD3E79F">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0.11</w:t>
                  </w:r>
                </w:p>
              </w:tc>
              <w:tc>
                <w:tcPr>
                  <w:tcW w:w="462" w:type="pct"/>
                  <w:noWrap/>
                  <w:vAlign w:val="center"/>
                </w:tcPr>
                <w:p w14:paraId="0C081DBD">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0.14</w:t>
                  </w:r>
                </w:p>
              </w:tc>
              <w:tc>
                <w:tcPr>
                  <w:tcW w:w="502" w:type="pct"/>
                  <w:noWrap/>
                  <w:vAlign w:val="center"/>
                </w:tcPr>
                <w:p w14:paraId="64F310EF">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lang w:val="en-US" w:eastAsia="zh-CN"/>
                    </w:rPr>
                  </w:pPr>
                  <w:r>
                    <w:rPr>
                      <w:rFonts w:hint="eastAsia" w:ascii="Times New Roman" w:hAnsi="Times New Roman" w:eastAsia="宋体"/>
                      <w:b/>
                      <w:bCs/>
                      <w:color w:val="auto"/>
                      <w:kern w:val="0"/>
                      <w:sz w:val="21"/>
                      <w:szCs w:val="21"/>
                      <w:lang w:val="en-US" w:eastAsia="zh-CN"/>
                    </w:rPr>
                    <w:t>0.15</w:t>
                  </w:r>
                </w:p>
              </w:tc>
              <w:tc>
                <w:tcPr>
                  <w:tcW w:w="457" w:type="pct"/>
                  <w:noWrap/>
                  <w:vAlign w:val="center"/>
                </w:tcPr>
                <w:p w14:paraId="5FDCB312">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346" w:type="pct"/>
                  <w:noWrap/>
                  <w:vAlign w:val="center"/>
                </w:tcPr>
                <w:p w14:paraId="203B9092">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451" w:type="pct"/>
                  <w:noWrap/>
                  <w:vAlign w:val="center"/>
                </w:tcPr>
                <w:p w14:paraId="63EDAF9F">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c>
                <w:tcPr>
                  <w:tcW w:w="556" w:type="pct"/>
                  <w:noWrap/>
                  <w:vAlign w:val="center"/>
                </w:tcPr>
                <w:p w14:paraId="75E6508F">
                  <w:pPr>
                    <w:keepNext w:val="0"/>
                    <w:keepLines w:val="0"/>
                    <w:widowControl/>
                    <w:suppressLineNumbers w:val="0"/>
                    <w:spacing w:before="0" w:beforeAutospacing="0" w:after="0" w:afterAutospacing="0"/>
                    <w:ind w:left="0" w:right="0"/>
                    <w:jc w:val="both"/>
                    <w:rPr>
                      <w:rFonts w:hint="default" w:ascii="Times New Roman" w:hAnsi="Times New Roman" w:eastAsia="宋体"/>
                      <w:b/>
                      <w:bCs/>
                      <w:color w:val="auto"/>
                      <w:kern w:val="0"/>
                      <w:sz w:val="21"/>
                      <w:szCs w:val="21"/>
                    </w:rPr>
                  </w:pPr>
                </w:p>
              </w:tc>
            </w:tr>
          </w:tbl>
          <w:p w14:paraId="65E51868">
            <w:pPr>
              <w:pStyle w:val="59"/>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kern w:val="24"/>
                <w:sz w:val="24"/>
                <w:szCs w:val="24"/>
                <w:lang w:val="en-US" w:eastAsia="zh-CN"/>
              </w:rPr>
            </w:pPr>
          </w:p>
          <w:p w14:paraId="199229D8">
            <w:pPr>
              <w:pStyle w:val="30"/>
              <w:keepNext w:val="0"/>
              <w:keepLines w:val="0"/>
              <w:suppressLineNumbers w:val="0"/>
              <w:spacing w:before="0" w:beforeAutospacing="0" w:after="0" w:afterAutospacing="0"/>
              <w:ind w:left="0" w:right="0"/>
              <w:rPr>
                <w:rFonts w:hint="eastAsia"/>
                <w:vertAlign w:val="baseline"/>
                <w:lang w:eastAsia="zh-CN"/>
              </w:rPr>
            </w:pPr>
          </w:p>
        </w:tc>
      </w:tr>
    </w:tbl>
    <w:p w14:paraId="32E4302B">
      <w:pPr>
        <w:pStyle w:val="30"/>
        <w:rPr>
          <w:rFonts w:hint="eastAsia"/>
          <w:lang w:eastAsia="zh-CN"/>
        </w:rPr>
      </w:pPr>
    </w:p>
    <w:p w14:paraId="3E47729D">
      <w:pPr>
        <w:pStyle w:val="30"/>
        <w:rPr>
          <w:rFonts w:hint="eastAsia"/>
          <w:lang w:eastAsia="zh-CN"/>
        </w:rPr>
      </w:pPr>
    </w:p>
    <w:p w14:paraId="5D4E9442">
      <w:pPr>
        <w:pStyle w:val="3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26"/>
        <w:tblW w:w="0" w:type="auto"/>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121"/>
      </w:tblGrid>
      <w:tr w14:paraId="6373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0EB94A93">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6E1E0414">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0B37796A">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40A0BE6A">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328150B1">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74640705">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12460190">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6C522DEF">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7C2F3118">
            <w:pPr>
              <w:pStyle w:val="30"/>
              <w:keepNext w:val="0"/>
              <w:keepLines w:val="0"/>
              <w:suppressLineNumbers w:val="0"/>
              <w:spacing w:before="0" w:beforeAutospacing="0" w:after="0" w:afterAutospacing="0"/>
              <w:ind w:left="0" w:right="0"/>
              <w:jc w:val="both"/>
              <w:rPr>
                <w:rFonts w:hint="eastAsia" w:ascii="Times New Roman" w:hAnsi="Times New Roman"/>
                <w:color w:val="000000"/>
                <w:kern w:val="0"/>
                <w:sz w:val="24"/>
                <w:lang w:val="en-US" w:eastAsia="zh-CN"/>
              </w:rPr>
            </w:pPr>
          </w:p>
          <w:p w14:paraId="0F354F23">
            <w:pPr>
              <w:pStyle w:val="30"/>
              <w:keepNext w:val="0"/>
              <w:keepLines w:val="0"/>
              <w:suppressLineNumbers w:val="0"/>
              <w:spacing w:before="0" w:beforeAutospacing="0" w:after="0" w:afterAutospacing="0"/>
              <w:ind w:left="0" w:right="0"/>
              <w:jc w:val="both"/>
              <w:rPr>
                <w:rFonts w:hint="eastAsia"/>
                <w:vertAlign w:val="baseline"/>
                <w:lang w:eastAsia="zh-CN"/>
              </w:rPr>
            </w:pPr>
            <w:r>
              <w:rPr>
                <w:rFonts w:hint="eastAsia" w:ascii="Times New Roman" w:hAnsi="Times New Roman"/>
                <w:color w:val="000000"/>
                <w:kern w:val="0"/>
                <w:sz w:val="24"/>
                <w:lang w:val="en-US" w:eastAsia="zh-CN"/>
              </w:rPr>
              <w:t>施工方案</w:t>
            </w:r>
          </w:p>
        </w:tc>
        <w:tc>
          <w:tcPr>
            <w:tcW w:w="8121" w:type="dxa"/>
          </w:tcPr>
          <w:p w14:paraId="428ABA24">
            <w:pPr>
              <w:keepNext w:val="0"/>
              <w:keepLines w:val="0"/>
              <w:numPr>
                <w:ilvl w:val="0"/>
                <w:numId w:val="9"/>
              </w:numPr>
              <w:suppressLineNumbers w:val="0"/>
              <w:spacing w:before="0" w:beforeAutospacing="0" w:after="0" w:afterAutospacing="0" w:line="360" w:lineRule="auto"/>
              <w:ind w:left="-240" w:leftChars="0" w:right="0" w:firstLine="480" w:firstLineChars="0"/>
              <w:rPr>
                <w:rFonts w:hint="eastAsia" w:ascii="宋体" w:hAnsi="宋体" w:eastAsia="宋体" w:cs="宋体"/>
                <w:lang w:val="en-US" w:eastAsia="zh-CN"/>
              </w:rPr>
            </w:pPr>
            <w:r>
              <w:rPr>
                <w:rFonts w:hint="eastAsia" w:ascii="宋体" w:hAnsi="宋体" w:eastAsia="宋体" w:cs="宋体"/>
                <w:lang w:val="en-US" w:eastAsia="zh-CN"/>
              </w:rPr>
              <w:t>施工交通</w:t>
            </w:r>
          </w:p>
          <w:p w14:paraId="35A37532">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芒市芒东</w:t>
            </w:r>
            <w:r>
              <w:rPr>
                <w:rFonts w:hint="default" w:ascii="Times New Roman" w:hAnsi="Times New Roman" w:eastAsia="宋体" w:cs="Times New Roman"/>
                <w:color w:val="000000" w:themeColor="text1"/>
                <w:lang w:val="en-US" w:eastAsia="zh-CN"/>
                <w14:textFill>
                  <w14:solidFill>
                    <w14:schemeClr w14:val="tx1"/>
                  </w14:solidFill>
                </w14:textFill>
              </w:rPr>
              <w:t>光伏发</w:t>
            </w:r>
            <w:r>
              <w:rPr>
                <w:rFonts w:hint="default" w:ascii="Times New Roman" w:hAnsi="Times New Roman" w:eastAsia="宋体" w:cs="Times New Roman"/>
                <w:lang w:val="en-US" w:eastAsia="zh-CN"/>
              </w:rPr>
              <w:t>电项目位于云南省德宏州芒市</w:t>
            </w:r>
            <w:r>
              <w:rPr>
                <w:rFonts w:hint="eastAsia" w:ascii="Times New Roman" w:hAnsi="Times New Roman" w:eastAsia="宋体" w:cs="Times New Roman"/>
                <w:lang w:val="en-US" w:eastAsia="zh-CN"/>
              </w:rPr>
              <w:t>江东乡河头村附近</w:t>
            </w:r>
            <w:r>
              <w:rPr>
                <w:rFonts w:hint="default" w:ascii="Times New Roman" w:hAnsi="Times New Roman" w:eastAsia="宋体" w:cs="Times New Roman"/>
                <w:lang w:val="en-US" w:eastAsia="zh-CN"/>
              </w:rPr>
              <w:t>一带山脊上，场址东西</w:t>
            </w:r>
            <w:r>
              <w:rPr>
                <w:rFonts w:hint="eastAsia" w:ascii="Times New Roman" w:hAnsi="Times New Roman" w:eastAsia="宋体" w:cs="Times New Roman"/>
                <w:lang w:val="en-US" w:eastAsia="zh-CN"/>
              </w:rPr>
              <w:t>及南北</w:t>
            </w:r>
            <w:r>
              <w:rPr>
                <w:rFonts w:hint="default" w:ascii="Times New Roman" w:hAnsi="Times New Roman" w:eastAsia="宋体" w:cs="Times New Roman"/>
                <w:lang w:val="en-US" w:eastAsia="zh-CN"/>
              </w:rPr>
              <w:t>跨度约</w:t>
            </w:r>
            <w:r>
              <w:rPr>
                <w:rFonts w:hint="eastAsia" w:ascii="Times New Roman" w:hAnsi="Times New Roman" w:eastAsia="宋体" w:cs="Times New Roman"/>
                <w:lang w:val="en-US" w:eastAsia="zh-CN"/>
              </w:rPr>
              <w:t>1.5</w:t>
            </w:r>
            <w:r>
              <w:rPr>
                <w:rFonts w:hint="default" w:ascii="Times New Roman" w:hAnsi="Times New Roman" w:eastAsia="宋体" w:cs="Times New Roman"/>
                <w:lang w:val="en-US" w:eastAsia="zh-CN"/>
              </w:rPr>
              <w:t>km</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场址中心距离芒市城距离约</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km。本工程对外交通运输拟采用公路运输，具体线路如下：</w:t>
            </w:r>
          </w:p>
          <w:p w14:paraId="111DD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bookmarkStart w:id="11" w:name="_Toc9730"/>
            <w:r>
              <w:rPr>
                <w:rFonts w:hint="eastAsia" w:ascii="Times New Roman" w:hAnsi="Times New Roman" w:eastAsia="宋体" w:cs="Times New Roman"/>
                <w:color w:val="000000"/>
                <w:kern w:val="0"/>
                <w:sz w:val="24"/>
                <w:szCs w:val="24"/>
                <w:lang w:val="en-US" w:eastAsia="zh-CN" w:bidi="ar"/>
              </w:rPr>
              <w:t xml:space="preserve">昆明市→昆磨高速→杭瑞高速→芒市→芒那公路→芒那公路→乡村道路→光伏场区，全程约 </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5km</w:t>
            </w:r>
            <w:r>
              <w:rPr>
                <w:rFonts w:hint="eastAsia" w:ascii="Times New Roman" w:hAnsi="Times New Roman" w:eastAsia="宋体" w:cs="Times New Roman"/>
                <w:color w:val="000000"/>
                <w:kern w:val="0"/>
                <w:sz w:val="24"/>
                <w:szCs w:val="24"/>
                <w:lang w:val="en-US" w:eastAsia="zh-CN" w:bidi="ar"/>
              </w:rPr>
              <w:t>。</w:t>
            </w:r>
          </w:p>
          <w:p w14:paraId="6205E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二、主要材料及来源</w:t>
            </w:r>
            <w:bookmarkEnd w:id="11"/>
          </w:p>
          <w:p w14:paraId="4CB1C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bookmarkStart w:id="12" w:name="_Toc123727574"/>
            <w:bookmarkStart w:id="13" w:name="_Toc123639793"/>
            <w:bookmarkStart w:id="14" w:name="_Toc287428250"/>
            <w:bookmarkStart w:id="15" w:name="_Toc13843"/>
            <w:bookmarkStart w:id="16" w:name="_Toc89424749"/>
            <w:bookmarkStart w:id="17" w:name="_Toc89439882"/>
            <w:bookmarkStart w:id="18" w:name="_Toc380414810"/>
            <w:r>
              <w:rPr>
                <w:rFonts w:hint="default" w:ascii="Times New Roman" w:hAnsi="Times New Roman" w:eastAsia="宋体" w:cs="Times New Roman"/>
                <w:color w:val="auto"/>
                <w:kern w:val="0"/>
                <w:sz w:val="24"/>
                <w:szCs w:val="24"/>
              </w:rPr>
              <w:t>本工程所需的主要材料为</w:t>
            </w:r>
            <w:r>
              <w:rPr>
                <w:rFonts w:hint="eastAsia" w:ascii="Times New Roman" w:hAnsi="Times New Roman" w:eastAsia="宋体" w:cs="Times New Roman"/>
                <w:color w:val="000000"/>
                <w:kern w:val="0"/>
                <w:sz w:val="24"/>
                <w:szCs w:val="24"/>
                <w:lang w:val="en-US" w:eastAsia="zh-CN" w:bidi="ar"/>
              </w:rPr>
              <w:t>砌石料、砂石骨料、水泥、混凝土、钢材、木材、油料</w:t>
            </w:r>
            <w:r>
              <w:rPr>
                <w:rFonts w:hint="default" w:ascii="Times New Roman" w:hAnsi="Times New Roman" w:eastAsia="宋体" w:cs="Times New Roman"/>
                <w:color w:val="auto"/>
                <w:kern w:val="0"/>
                <w:sz w:val="24"/>
                <w:szCs w:val="24"/>
              </w:rPr>
              <w:t>等，材料的主要来源为：</w:t>
            </w:r>
          </w:p>
          <w:p w14:paraId="62FD48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000000"/>
                <w:kern w:val="0"/>
                <w:sz w:val="24"/>
                <w:szCs w:val="24"/>
                <w:lang w:val="en-US" w:eastAsia="zh-CN" w:bidi="ar"/>
              </w:rPr>
              <w:t>砌石料、砂石骨料</w:t>
            </w:r>
            <w:r>
              <w:rPr>
                <w:rFonts w:hint="default" w:ascii="Times New Roman" w:hAnsi="Times New Roman" w:eastAsia="宋体" w:cs="Times New Roman"/>
                <w:color w:val="auto"/>
                <w:kern w:val="0"/>
                <w:sz w:val="24"/>
                <w:szCs w:val="24"/>
              </w:rPr>
              <w:t>：场地范围内无较好的天然砂石料源，本工程砂石骨料需从场址附近的</w:t>
            </w:r>
            <w:r>
              <w:rPr>
                <w:rFonts w:hint="default" w:ascii="Times New Roman" w:hAnsi="Times New Roman" w:eastAsia="宋体" w:cs="Times New Roman"/>
                <w:color w:val="auto"/>
                <w:kern w:val="0"/>
                <w:sz w:val="24"/>
                <w:szCs w:val="24"/>
                <w:lang w:val="en-US" w:eastAsia="zh-CN"/>
              </w:rPr>
              <w:t>手续合法的</w:t>
            </w:r>
            <w:r>
              <w:rPr>
                <w:rFonts w:hint="default" w:ascii="Times New Roman" w:hAnsi="Times New Roman" w:eastAsia="宋体" w:cs="Times New Roman"/>
                <w:color w:val="auto"/>
                <w:kern w:val="0"/>
                <w:sz w:val="24"/>
                <w:szCs w:val="24"/>
              </w:rPr>
              <w:t>砂石</w:t>
            </w:r>
            <w:r>
              <w:rPr>
                <w:rFonts w:hint="eastAsia" w:ascii="Times New Roman" w:hAnsi="Times New Roman" w:eastAsia="宋体" w:cs="Times New Roman"/>
                <w:color w:val="auto"/>
                <w:kern w:val="0"/>
                <w:sz w:val="24"/>
                <w:szCs w:val="24"/>
                <w:lang w:val="en-US" w:eastAsia="zh-CN"/>
              </w:rPr>
              <w:t>料</w:t>
            </w:r>
            <w:r>
              <w:rPr>
                <w:rFonts w:hint="default" w:ascii="Times New Roman" w:hAnsi="Times New Roman" w:eastAsia="宋体" w:cs="Times New Roman"/>
                <w:color w:val="auto"/>
                <w:kern w:val="0"/>
                <w:sz w:val="24"/>
                <w:szCs w:val="24"/>
              </w:rPr>
              <w:t>场采购。水泥、钢筋钢材、木材、油料均从芒市及附近地区采购。</w:t>
            </w:r>
          </w:p>
          <w:p w14:paraId="3D0B2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混凝土：</w:t>
            </w:r>
            <w:r>
              <w:rPr>
                <w:rFonts w:hint="eastAsia" w:ascii="Times New Roman" w:hAnsi="Times New Roman" w:eastAsia="宋体" w:cs="Times New Roman"/>
                <w:color w:val="000000"/>
                <w:kern w:val="0"/>
                <w:sz w:val="24"/>
                <w:szCs w:val="24"/>
                <w:lang w:val="en-US" w:eastAsia="zh-CN" w:bidi="ar"/>
              </w:rPr>
              <w:t>本工程混凝土主要为箱式变压器、电缆分接箱基础及施工临时设施等混凝土。混凝土总量少、部位分散，在现场采用小型搅拌机就近拌制供应。</w:t>
            </w:r>
          </w:p>
          <w:p w14:paraId="1162EF0A">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三、水、电、通讯系统</w:t>
            </w:r>
            <w:bookmarkEnd w:id="12"/>
            <w:bookmarkEnd w:id="13"/>
            <w:bookmarkEnd w:id="14"/>
            <w:bookmarkEnd w:id="15"/>
            <w:bookmarkEnd w:id="16"/>
            <w:bookmarkEnd w:id="17"/>
            <w:bookmarkEnd w:id="18"/>
          </w:p>
          <w:p w14:paraId="760B522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bookmarkStart w:id="19" w:name="_Toc279258372"/>
            <w:r>
              <w:rPr>
                <w:rFonts w:hint="default" w:ascii="Times New Roman" w:hAnsi="Times New Roman" w:eastAsia="宋体" w:cs="Times New Roman"/>
                <w:color w:val="auto"/>
                <w:kern w:val="0"/>
                <w:sz w:val="24"/>
              </w:rPr>
              <w:t>施工用水：本工程施工用水由建筑施工用水、施工机械用水、生活用水</w:t>
            </w:r>
            <w:r>
              <w:rPr>
                <w:rFonts w:hint="eastAsia" w:ascii="Times New Roman" w:hAnsi="Times New Roman" w:eastAsia="宋体" w:cs="Times New Roman"/>
                <w:color w:val="auto"/>
                <w:kern w:val="0"/>
                <w:sz w:val="24"/>
                <w:lang w:val="en-US" w:eastAsia="zh-CN"/>
              </w:rPr>
              <w:t>和消防用水</w:t>
            </w:r>
            <w:r>
              <w:rPr>
                <w:rFonts w:hint="default" w:ascii="Times New Roman" w:hAnsi="Times New Roman" w:eastAsia="宋体" w:cs="Times New Roman"/>
                <w:color w:val="auto"/>
                <w:kern w:val="0"/>
                <w:sz w:val="24"/>
              </w:rPr>
              <w:t>等组成，</w:t>
            </w:r>
            <w:r>
              <w:rPr>
                <w:rFonts w:hint="eastAsia" w:ascii="Times New Roman" w:hAnsi="Times New Roman" w:eastAsia="宋体" w:cs="Times New Roman"/>
                <w:color w:val="auto"/>
                <w:kern w:val="0"/>
                <w:sz w:val="24"/>
                <w:lang w:val="en-US" w:eastAsia="zh-CN"/>
              </w:rPr>
              <w:t>生活用水依托于江东光伏电站取水设施；施工场地内设容积为50m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临时水池三座，供施工用水。</w:t>
            </w:r>
          </w:p>
          <w:p w14:paraId="7A2303D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施工用电：估算本工程施工用电高峰负荷约2</w:t>
            </w:r>
            <w:r>
              <w:rPr>
                <w:rFonts w:hint="eastAsia" w:ascii="Times New Roman" w:hAnsi="Times New Roman" w:eastAsia="宋体" w:cs="Times New Roman"/>
                <w:color w:val="auto"/>
                <w:kern w:val="0"/>
                <w:sz w:val="24"/>
                <w:szCs w:val="24"/>
                <w:lang w:val="en-US" w:eastAsia="zh-CN" w:bidi="ar-SA"/>
              </w:rPr>
              <w:t>50</w:t>
            </w:r>
            <w:r>
              <w:rPr>
                <w:rFonts w:hint="default" w:ascii="Times New Roman" w:hAnsi="Times New Roman" w:eastAsia="宋体" w:cs="Times New Roman"/>
                <w:color w:val="auto"/>
                <w:kern w:val="0"/>
                <w:sz w:val="24"/>
                <w:szCs w:val="24"/>
                <w:lang w:val="en-US" w:eastAsia="zh-CN" w:bidi="ar-SA"/>
              </w:rPr>
              <w:t>kW。场址附近有农网 10kV线路，施工用电可由该10kV线路引接作为电源，长度约</w:t>
            </w:r>
            <w:r>
              <w:rPr>
                <w:rFonts w:hint="eastAsia" w:ascii="Times New Roman" w:hAnsi="Times New Roman" w:eastAsia="宋体" w:cs="Times New Roman"/>
                <w:color w:val="auto"/>
                <w:kern w:val="0"/>
                <w:sz w:val="24"/>
                <w:szCs w:val="24"/>
                <w:lang w:val="en-US" w:eastAsia="zh-CN" w:bidi="ar-SA"/>
              </w:rPr>
              <w:t>3</w:t>
            </w:r>
            <w:r>
              <w:rPr>
                <w:rFonts w:hint="default" w:ascii="Times New Roman" w:hAnsi="Times New Roman" w:eastAsia="宋体" w:cs="Times New Roman"/>
                <w:color w:val="auto"/>
                <w:kern w:val="0"/>
                <w:sz w:val="24"/>
                <w:szCs w:val="24"/>
                <w:lang w:val="en-US" w:eastAsia="zh-CN" w:bidi="ar-SA"/>
              </w:rPr>
              <w:t>km，距离较远处施工及紧急备用电源采用柴油发电机供电。</w:t>
            </w:r>
          </w:p>
          <w:p w14:paraId="6C870A2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lang w:val="en-US" w:eastAsia="zh-CN"/>
              </w:rPr>
            </w:pPr>
            <w:r>
              <w:rPr>
                <w:rFonts w:hint="default" w:ascii="Times New Roman" w:hAnsi="Times New Roman" w:eastAsia="宋体" w:cs="Times New Roman"/>
                <w:color w:val="auto"/>
                <w:sz w:val="24"/>
                <w:szCs w:val="24"/>
              </w:rPr>
              <w:t>通信：施工现场有中国移动、联通等信号覆盖，对外通信主要采用移动通讯方式</w:t>
            </w:r>
            <w:bookmarkEnd w:id="19"/>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必要时也可采用有线方式。</w:t>
            </w:r>
          </w:p>
          <w:p w14:paraId="70192397">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四、施工方案</w:t>
            </w:r>
          </w:p>
          <w:p w14:paraId="4D29BC4A">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本工程土建工程及光伏阵列支架安装施工范围包括：场地平整、场内道路施工、钢筋混凝土灌注桩施工、支架安装、逆变升压单元土建施工、电缆沟开挖和衬砌、水保环保措施和防洪排涝设施施工等。</w:t>
            </w:r>
          </w:p>
          <w:p w14:paraId="3B8754F2">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主要设备安装施工范围包括：光伏组件安装、逆变升压变配电设备安装及调试、集电线路安装及调试等。</w:t>
            </w:r>
          </w:p>
          <w:p w14:paraId="0C88D2C2">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土建工程施工方案应考虑有利于先后作业之间、土建与设备安装之间的协调均衡。在施工顺序上，前期以土建为主，安装配合预留、预埋，施工中后期应以安装为主，土建配合并为安装创造条件。</w:t>
            </w:r>
          </w:p>
          <w:p w14:paraId="4C496078">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（1）建立整个施工现场的高程控制网及平面控制网，并定期复测。</w:t>
            </w:r>
          </w:p>
          <w:p w14:paraId="1D67C6AA">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（2）土建施工按照先地下、后地上的顺序，依次施工综合楼基础、光伏发电组件基础、逆变升压单元基础及其它设施。</w:t>
            </w:r>
          </w:p>
          <w:p w14:paraId="360D7CC4">
            <w:pPr>
              <w:keepNext w:val="0"/>
              <w:keepLines w:val="0"/>
              <w:suppressLineNumbers w:val="0"/>
              <w:spacing w:before="0" w:beforeAutospacing="0" w:after="0" w:afterAutospacing="0" w:line="360" w:lineRule="auto"/>
              <w:ind w:left="0" w:right="0"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（3）接地网、地下管道主线与相应的地下工程设施(给排水、消防管道、电缆沟道)同步施工，电缆管预埋与基础施工应紧密配合，防止遗漏。</w:t>
            </w:r>
          </w:p>
          <w:p w14:paraId="79C1989B">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主体工程施工按以下施工顺序进行：</w:t>
            </w:r>
          </w:p>
          <w:p w14:paraId="5A472874">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道路施工→钻孔灌注桩安装→</w:t>
            </w:r>
            <w:r>
              <w:rPr>
                <w:rFonts w:hint="eastAsia" w:ascii="Times New Roman" w:hAnsi="Times New Roman" w:eastAsia="宋体" w:cs="Times New Roman"/>
                <w:lang w:val="en-US" w:eastAsia="zh-CN"/>
              </w:rPr>
              <w:t>逆变升压单元土建施工</w:t>
            </w:r>
            <w:r>
              <w:rPr>
                <w:rFonts w:hint="default" w:ascii="Times New Roman" w:hAnsi="Times New Roman" w:eastAsia="宋体" w:cs="Times New Roman"/>
                <w:lang w:val="en-US" w:eastAsia="zh-CN"/>
              </w:rPr>
              <w:t>→光伏阵列支架安装→光伏阵列设备安装及调试、电缆數设。</w:t>
            </w:r>
          </w:p>
          <w:p w14:paraId="71610C7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w:t>
            </w:r>
            <w:r>
              <w:rPr>
                <w:rFonts w:hint="eastAsia" w:ascii="Times New Roman" w:hAnsi="Times New Roman" w:eastAsia="宋体" w:cs="Times New Roman"/>
                <w:b/>
                <w:bCs/>
                <w:lang w:val="en-US" w:eastAsia="zh-CN"/>
              </w:rPr>
              <w:t>、</w:t>
            </w:r>
            <w:r>
              <w:rPr>
                <w:rFonts w:hint="default" w:ascii="Times New Roman" w:hAnsi="Times New Roman" w:eastAsia="宋体" w:cs="Times New Roman"/>
                <w:b/>
                <w:bCs/>
                <w:lang w:val="en-US" w:eastAsia="zh-CN"/>
              </w:rPr>
              <w:t>场内道路施工</w:t>
            </w:r>
          </w:p>
          <w:p w14:paraId="161048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场内道路的施工主要以土石方开挖为主，填筑其次，首先，由人工配合机械设备清除路基面上表土、杂物，</w:t>
            </w:r>
            <w:r>
              <w:rPr>
                <w:rFonts w:hint="eastAsia" w:ascii="Times New Roman" w:hAnsi="Times New Roman" w:eastAsia="宋体" w:cs="Times New Roman"/>
                <w:lang w:val="en-US" w:eastAsia="zh-CN"/>
              </w:rPr>
              <w:t>由机械挖台阶，并将原地面翻挖压密实，对于存在不良土质的原地面层，一律作为弃渣处理；</w:t>
            </w:r>
            <w:r>
              <w:rPr>
                <w:rFonts w:hint="default" w:ascii="Times New Roman" w:hAnsi="Times New Roman" w:eastAsia="宋体" w:cs="Times New Roman"/>
                <w:lang w:val="en-US" w:eastAsia="zh-CN"/>
              </w:rPr>
              <w:t>然后，及时施工下挡墙、护脚墙，为路基填土、填石渣做准备。挖方地段要按设计要求，提前施工作好坡顶截水沟，以防止雨水损坏边坡。采用挖掘机或装载机装土，自卸汽车运土，推土机摊铺，人工配合平地机整平，振动压路机碾压密实。</w:t>
            </w:r>
          </w:p>
          <w:p w14:paraId="261578A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施工期道路施工工艺流程及产污环节具体见下图所示：</w:t>
            </w:r>
          </w:p>
          <w:p w14:paraId="79C8B22D">
            <w:pPr>
              <w:pStyle w:val="33"/>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69.2pt;width:395.05pt;" o:ole="t" filled="f" o:preferrelative="t" stroked="f" coordsize="21600,21600">
                  <v:path/>
                  <v:fill on="f" focussize="0,0"/>
                  <v:stroke on="f"/>
                  <v:imagedata r:id="rId25" o:title=""/>
                  <o:lock v:ext="edit" aspectratio="f"/>
                  <w10:wrap type="none"/>
                  <w10:anchorlock/>
                </v:shape>
                <o:OLEObject Type="Embed" ProgID="Visio.Drawing.11" ShapeID="_x0000_i1025" DrawAspect="Content" ObjectID="_1468075725" r:id="rId24">
                  <o:LockedField>false</o:LockedField>
                </o:OLEObject>
              </w:object>
            </w:r>
          </w:p>
          <w:p w14:paraId="0FD50814">
            <w:pPr>
              <w:pStyle w:val="33"/>
              <w:keepNext w:val="0"/>
              <w:keepLines w:val="0"/>
              <w:suppressLineNumbers w:val="0"/>
              <w:snapToGrid w:val="0"/>
              <w:spacing w:before="0" w:beforeAutospacing="0" w:after="0" w:afterAutospacing="0" w:line="360" w:lineRule="auto"/>
              <w:ind w:left="0" w:right="0"/>
              <w:jc w:val="center"/>
              <w:rPr>
                <w:rFonts w:hint="default"/>
                <w:lang w:val="en-US" w:eastAsia="zh-CN"/>
              </w:rPr>
            </w:pPr>
            <w:r>
              <w:rPr>
                <w:rFonts w:hint="default" w:ascii="Times New Roman" w:hAnsi="Times New Roman" w:eastAsia="宋体" w:cs="Times New Roman"/>
                <w:b/>
                <w:color w:val="auto"/>
                <w:sz w:val="21"/>
                <w:szCs w:val="21"/>
              </w:rPr>
              <w:t>图2-</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道路施工工艺流程及产污环节图</w:t>
            </w:r>
          </w:p>
          <w:p w14:paraId="70B12990">
            <w:pPr>
              <w:keepNext w:val="0"/>
              <w:keepLines w:val="0"/>
              <w:numPr>
                <w:ilvl w:val="0"/>
                <w:numId w:val="1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光伏阵列</w:t>
            </w:r>
            <w:r>
              <w:rPr>
                <w:rFonts w:hint="eastAsia" w:ascii="Times New Roman" w:hAnsi="Times New Roman" w:eastAsia="宋体" w:cs="Times New Roman"/>
                <w:b/>
                <w:bCs/>
                <w:lang w:val="en-US" w:eastAsia="zh-CN"/>
              </w:rPr>
              <w:t>区</w:t>
            </w:r>
          </w:p>
          <w:p w14:paraId="74CA53B5">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2.1、</w:t>
            </w:r>
            <w:r>
              <w:rPr>
                <w:rFonts w:hint="default" w:ascii="Times New Roman" w:hAnsi="Times New Roman" w:eastAsia="宋体" w:cs="Times New Roman"/>
                <w:b/>
                <w:bCs/>
                <w:lang w:val="en-US" w:eastAsia="zh-CN"/>
              </w:rPr>
              <w:t>基础施工</w:t>
            </w:r>
          </w:p>
          <w:p w14:paraId="5246AA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光伏阵列基础采用钻孔灌注桩形式，混凝土灌注桩基础施工包括钻孔、钢筋笼制作与安装、混凝土浇筑。</w:t>
            </w:r>
          </w:p>
          <w:p w14:paraId="65F597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（1）钻孔</w:t>
            </w:r>
          </w:p>
          <w:p w14:paraId="4AAAC0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①根据施工现场坐标控制点首先建立该区测量控制网，对桩位准确定位放线。</w:t>
            </w:r>
          </w:p>
          <w:p w14:paraId="7934FDB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②采用钻孔机械进行钻孔，钻孔应保证桩孔竖直。</w:t>
            </w:r>
          </w:p>
          <w:p w14:paraId="5F5ACF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③钻孔完成后，进行钻孔验收，验收合格后方可进行下道工序施工。</w:t>
            </w:r>
          </w:p>
          <w:p w14:paraId="65BE0B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（2）钢筋笼制作与安装</w:t>
            </w:r>
          </w:p>
          <w:p w14:paraId="32E8AD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钢筋笼所用为钢筋HRB400钢筋，通过计算拟定桩长和桩基础埋深，通过实验验证后确定；安装时应严格把控钢筋笼放入，使钢筋笼位于钻孔中心位置。</w:t>
            </w:r>
          </w:p>
          <w:p w14:paraId="689A88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（3）混凝土浇筑</w:t>
            </w:r>
          </w:p>
          <w:p w14:paraId="268A3C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应严格把控混凝土浇筑质量，浇筑时速度不宜过快，防止集料离析、分离。</w:t>
            </w:r>
          </w:p>
          <w:p w14:paraId="4E0B61F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2.2</w:t>
            </w:r>
            <w:r>
              <w:rPr>
                <w:rFonts w:hint="default" w:ascii="Times New Roman" w:hAnsi="Times New Roman" w:eastAsia="宋体" w:cs="Times New Roman"/>
                <w:b/>
                <w:bCs/>
                <w:lang w:val="en-US" w:eastAsia="zh-CN"/>
              </w:rPr>
              <w:t>、光伏阵列组件和支架安装</w:t>
            </w:r>
          </w:p>
          <w:p w14:paraId="30ABD0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支架和光伏组件进场前应做好质量验收，存放时应做好防潮、防腐蚀等防护工作。光伏组件的安装分为两部分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支架安装、光伏组件安装。</w:t>
            </w:r>
          </w:p>
          <w:p w14:paraId="236C4EE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支架安装前应对基础的水平偏差和定位轴线偏差进行查验，不合格的项目应进行整改后再进行安装。支架的安装要满足紧固度和偏差度要求。支架的焊接部位应做防腐处理。</w:t>
            </w:r>
          </w:p>
          <w:p w14:paraId="46099C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光伏组件的安装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挑选工作参数接近的组件在同</w:t>
            </w:r>
            <w:r>
              <w:rPr>
                <w:rFonts w:hint="eastAsia" w:ascii="Times New Roman" w:hAnsi="Times New Roman" w:eastAsia="宋体" w:cs="Times New Roman"/>
                <w:lang w:val="en-US" w:eastAsia="zh-CN"/>
              </w:rPr>
              <w:t>一</w:t>
            </w:r>
            <w:r>
              <w:rPr>
                <w:rFonts w:hint="default" w:ascii="Times New Roman" w:hAnsi="Times New Roman" w:eastAsia="宋体" w:cs="Times New Roman"/>
                <w:lang w:val="en-US" w:eastAsia="zh-CN"/>
              </w:rPr>
              <w:t>子方阵内，额定工作电流相等或相接近的组件进行串连，其安装角度、组件边缘高差和组件平整度应严格遵守设计文件或生产厂家的要求。严禁在雷、雨天进行组件的连线工作。</w:t>
            </w:r>
          </w:p>
          <w:p w14:paraId="2478722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2.3</w:t>
            </w:r>
            <w:r>
              <w:rPr>
                <w:rFonts w:hint="default" w:ascii="Times New Roman" w:hAnsi="Times New Roman" w:eastAsia="宋体" w:cs="Times New Roman"/>
                <w:b/>
                <w:bCs/>
                <w:lang w:val="en-US" w:eastAsia="zh-CN"/>
              </w:rPr>
              <w:t>、逆变器、箱式变压器及相关配电装置</w:t>
            </w:r>
          </w:p>
          <w:p w14:paraId="28DC43E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本工程采用组串式逆变器。</w:t>
            </w:r>
          </w:p>
          <w:p w14:paraId="432EAFE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箱式变压器、组串式逆变器及其配套电气设备通过汽车运抵安装位置附近，采用吊车、液压升降小车等设备进行安装就位。箱式变压器安装于光伏阵列路旁，其安装要求和方法参照相关安装规范以及生产厂家提供的相关安装技术要求和方法。</w:t>
            </w:r>
          </w:p>
          <w:p w14:paraId="6BAF1F8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2.4</w:t>
            </w:r>
            <w:r>
              <w:rPr>
                <w:rFonts w:hint="default" w:ascii="Times New Roman" w:hAnsi="Times New Roman" w:eastAsia="宋体" w:cs="Times New Roman"/>
                <w:b/>
                <w:bCs/>
                <w:lang w:val="en-US" w:eastAsia="zh-CN"/>
              </w:rPr>
              <w:t>、电缆敷设</w:t>
            </w:r>
          </w:p>
          <w:p w14:paraId="53C0510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65E03E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光伏发电系统施工工艺流程及产污环节具体见下图所示：</w:t>
            </w:r>
          </w:p>
          <w:p w14:paraId="4F0C468E">
            <w:pPr>
              <w:pStyle w:val="33"/>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6" o:spt="75" type="#_x0000_t75" style="height:70.85pt;width:395.25pt;" o:ole="t" filled="f" o:preferrelative="t" stroked="f" coordsize="21600,21600">
                  <v:path/>
                  <v:fill on="f" focussize="0,0"/>
                  <v:stroke on="f"/>
                  <v:imagedata r:id="rId27" o:title=""/>
                  <o:lock v:ext="edit" aspectratio="f"/>
                  <w10:wrap type="none"/>
                  <w10:anchorlock/>
                </v:shape>
                <o:OLEObject Type="Embed" ProgID="Visio.Drawing.11" ShapeID="_x0000_i1026" DrawAspect="Content" ObjectID="_1468075726" r:id="rId26">
                  <o:LockedField>false</o:LockedField>
                </o:OLEObject>
              </w:object>
            </w:r>
          </w:p>
          <w:p w14:paraId="46AC4EE0">
            <w:pPr>
              <w:pStyle w:val="33"/>
              <w:keepNext w:val="0"/>
              <w:keepLines w:val="0"/>
              <w:suppressLineNumbers w:val="0"/>
              <w:snapToGrid w:val="0"/>
              <w:spacing w:before="0" w:beforeAutospacing="0" w:after="0" w:afterAutospacing="0" w:line="360" w:lineRule="auto"/>
              <w:ind w:left="0" w:right="0"/>
              <w:jc w:val="center"/>
              <w:rPr>
                <w:rFonts w:hint="default"/>
                <w:b/>
                <w:bCs/>
                <w:lang w:val="en-US" w:eastAsia="zh-CN"/>
              </w:rPr>
            </w:pPr>
            <w:r>
              <w:rPr>
                <w:rFonts w:hint="default" w:ascii="Times New Roman" w:hAnsi="Times New Roman" w:eastAsia="宋体" w:cs="Times New Roman"/>
                <w:b/>
                <w:color w:val="auto"/>
                <w:sz w:val="21"/>
                <w:szCs w:val="21"/>
              </w:rPr>
              <w:t>图 2-</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光伏发电系统施工工艺流程及产污环节图</w:t>
            </w:r>
          </w:p>
          <w:p w14:paraId="3EAD24B3">
            <w:pPr>
              <w:pStyle w:val="13"/>
              <w:keepNext w:val="0"/>
              <w:keepLines w:val="0"/>
              <w:suppressLineNumbers w:val="0"/>
              <w:spacing w:before="0" w:beforeAutospacing="0" w:after="0" w:afterAutospacing="0"/>
              <w:ind w:left="0" w:right="0"/>
              <w:rPr>
                <w:rFonts w:hint="default"/>
                <w:lang w:val="en-US" w:eastAsia="zh-CN"/>
              </w:rPr>
            </w:pPr>
          </w:p>
          <w:p w14:paraId="5BDF90F7">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3、集电线路施工</w:t>
            </w:r>
          </w:p>
          <w:p w14:paraId="7DA5940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本工程场区内箱变之间及箱变至35kV开关柜之间的</w:t>
            </w:r>
            <w:r>
              <w:rPr>
                <w:rFonts w:hint="default" w:ascii="Times New Roman" w:hAnsi="Times New Roman" w:eastAsia="宋体" w:cs="Times New Roman"/>
                <w:color w:val="auto"/>
                <w:kern w:val="0"/>
                <w:sz w:val="24"/>
                <w:lang w:val="en-US" w:eastAsia="zh-CN" w:bidi="en-US"/>
              </w:rPr>
              <w:t>集电线路采用35kV直埋电缆敷设形式</w:t>
            </w:r>
            <w:r>
              <w:rPr>
                <w:rFonts w:hint="eastAsia" w:ascii="Times New Roman" w:hAnsi="Times New Roman" w:eastAsia="宋体" w:cs="Times New Roman"/>
                <w:color w:val="auto"/>
                <w:kern w:val="0"/>
                <w:sz w:val="24"/>
                <w:lang w:val="en-US" w:eastAsia="zh-CN" w:bidi="en-US"/>
              </w:rPr>
              <w:t>。</w:t>
            </w:r>
          </w:p>
          <w:p w14:paraId="7B07DB2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电缆敷设要先开挖电缆沟，将沟底用沙土垫平整，电缆敷设后填埋一层沙土，再用红砖压上，上部用碎石土回填夯实。电缆沟采用0.2m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反铲挖掘机配合人工开挖，开挖土石就近堆放，用于后期回填。砂土回填为人工回填，压实采用蛙式打夯机夯实。电缆沟土石方挖填可自身平衡。</w:t>
            </w:r>
          </w:p>
          <w:p w14:paraId="2685A50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7C6B8DC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w:t>
            </w:r>
            <w:r>
              <w:rPr>
                <w:rFonts w:hint="eastAsia" w:ascii="Times New Roman" w:hAnsi="Times New Roman" w:eastAsia="宋体" w:cs="Times New Roman"/>
                <w:color w:val="auto"/>
                <w:sz w:val="24"/>
                <w:lang w:eastAsia="zh-CN"/>
              </w:rPr>
              <w:t>直埋</w:t>
            </w:r>
            <w:r>
              <w:rPr>
                <w:rFonts w:hint="default" w:ascii="Times New Roman" w:hAnsi="Times New Roman" w:eastAsia="宋体" w:cs="Times New Roman"/>
                <w:color w:val="auto"/>
                <w:sz w:val="24"/>
              </w:rPr>
              <w:t>集电线路施工工艺流程及产污环节具体见下图所示：</w:t>
            </w:r>
          </w:p>
          <w:p w14:paraId="34482AA8">
            <w:pPr>
              <w:pStyle w:val="33"/>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69.2pt;width:395.05pt;" o:ole="t" filled="f" o:preferrelative="t" stroked="f" coordsize="21600,21600">
                  <v:path/>
                  <v:fill on="f" focussize="0,0"/>
                  <v:stroke on="f"/>
                  <v:imagedata r:id="rId29" o:title=""/>
                  <o:lock v:ext="edit" aspectratio="f"/>
                  <w10:wrap type="none"/>
                  <w10:anchorlock/>
                </v:shape>
                <o:OLEObject Type="Embed" ProgID="Visio.Drawing.11" ShapeID="_x0000_i1027" DrawAspect="Content" ObjectID="_1468075727" r:id="rId28">
                  <o:LockedField>false</o:LockedField>
                </o:OLEObject>
              </w:object>
            </w:r>
          </w:p>
          <w:p w14:paraId="384036FF">
            <w:pPr>
              <w:pStyle w:val="33"/>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eastAsia" w:cs="Times New Roman"/>
                <w:b/>
                <w:color w:val="auto"/>
                <w:sz w:val="21"/>
                <w:szCs w:val="21"/>
                <w:lang w:eastAsia="zh-CN"/>
              </w:rPr>
              <w:t>直埋</w:t>
            </w:r>
            <w:r>
              <w:rPr>
                <w:rFonts w:hint="default" w:ascii="Times New Roman" w:hAnsi="Times New Roman" w:eastAsia="宋体" w:cs="Times New Roman"/>
                <w:b/>
                <w:color w:val="auto"/>
                <w:sz w:val="21"/>
                <w:szCs w:val="21"/>
              </w:rPr>
              <w:t>集电线路施工工艺流程及产污环节图</w:t>
            </w:r>
          </w:p>
          <w:p w14:paraId="355A9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二、施工总进度</w:t>
            </w:r>
          </w:p>
          <w:p w14:paraId="4417F7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本工程施工建设大致可分为以下几个部分：施工准备、施工设施、交通工程（进站道路修建、场内施工道路修建）、土建工程（逆变升压单元土建工程</w:t>
            </w:r>
            <w:r>
              <w:rPr>
                <w:rFonts w:hint="eastAsia" w:ascii="Times New Roman" w:hAnsi="Times New Roman" w:eastAsia="宋体" w:cs="Times New Roman"/>
                <w:lang w:val="en-US" w:eastAsia="zh-CN"/>
              </w:rPr>
              <w:t>等</w:t>
            </w:r>
            <w:r>
              <w:rPr>
                <w:rFonts w:hint="default" w:ascii="Times New Roman" w:hAnsi="Times New Roman" w:eastAsia="宋体" w:cs="Times New Roman"/>
                <w:lang w:val="en-US" w:eastAsia="zh-CN"/>
              </w:rPr>
              <w:t>）、光伏阵列支架工程（支架灌注桩工程、支架安装、集电线路基础工程）、设备安装工程（光伏阵列设备安装及调试、逆变升压单元安装及调试、集电线路安装及调试）、联动调试及试运行、收尾工作及竣工验收。</w:t>
            </w:r>
          </w:p>
          <w:p w14:paraId="20FD65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本工程施工进度的关键线路为：场内交通工程→土建工程→光伏组件基础</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钻孔灌注桩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和支架施工→光伏阵列设备安装及调试→光伏阵列发电。其中控制性因素为光伏组件基础桩和支架施工以及光伏组件安装。</w:t>
            </w:r>
          </w:p>
          <w:p w14:paraId="47285F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经工程类比，结合本工程实际，初拟从施工准备到工程竣工，总工期6个月。具体安排如下：</w:t>
            </w:r>
          </w:p>
          <w:p w14:paraId="12566B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月1日开始施工准备；</w:t>
            </w:r>
          </w:p>
          <w:p w14:paraId="42902BD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10</w:t>
            </w:r>
            <w:r>
              <w:rPr>
                <w:rFonts w:hint="default" w:ascii="Times New Roman" w:hAnsi="Times New Roman" w:eastAsia="宋体" w:cs="Times New Roman"/>
                <w:lang w:val="en-US" w:eastAsia="zh-CN"/>
              </w:rPr>
              <w:t>月1日开始进站道路、场内改扩建、新建道路修建、</w:t>
            </w:r>
            <w:r>
              <w:rPr>
                <w:rFonts w:hint="eastAsia" w:ascii="Times New Roman" w:hAnsi="Times New Roman" w:eastAsia="宋体" w:cs="Times New Roman"/>
                <w:lang w:val="en-US" w:eastAsia="zh-CN"/>
              </w:rPr>
              <w:t>临时设施修建</w:t>
            </w:r>
            <w:r>
              <w:rPr>
                <w:rFonts w:hint="default" w:ascii="Times New Roman" w:hAnsi="Times New Roman" w:eastAsia="宋体" w:cs="Times New Roman"/>
                <w:lang w:val="en-US" w:eastAsia="zh-CN"/>
              </w:rPr>
              <w:t>；</w:t>
            </w:r>
          </w:p>
          <w:p w14:paraId="4A8C34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11</w:t>
            </w:r>
            <w:r>
              <w:rPr>
                <w:rFonts w:hint="default" w:ascii="Times New Roman" w:hAnsi="Times New Roman" w:eastAsia="宋体" w:cs="Times New Roman"/>
                <w:lang w:val="en-US" w:eastAsia="zh-CN"/>
              </w:rPr>
              <w:t>月1日开始钻孔灌注桩施工、逆变升压单元土建；</w:t>
            </w:r>
          </w:p>
          <w:p w14:paraId="438440B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12</w:t>
            </w:r>
            <w:r>
              <w:rPr>
                <w:rFonts w:hint="default" w:ascii="Times New Roman" w:hAnsi="Times New Roman" w:eastAsia="宋体" w:cs="Times New Roman"/>
                <w:lang w:val="en-US" w:eastAsia="zh-CN"/>
              </w:rPr>
              <w:t>月15日开始光伏阵列支架安装；</w:t>
            </w:r>
          </w:p>
          <w:p w14:paraId="215E23E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月1日开始集电线路基础、光伏阵列设备安装及调试；</w:t>
            </w:r>
          </w:p>
          <w:p w14:paraId="1B25AE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月15日份开始集电线路安装及调试；</w:t>
            </w:r>
          </w:p>
          <w:p w14:paraId="10A911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月1日开始全工程联动调试及试运行；</w:t>
            </w:r>
          </w:p>
          <w:p w14:paraId="3FD7DDA9">
            <w:pPr>
              <w:pStyle w:val="30"/>
              <w:keepNext w:val="0"/>
              <w:keepLines w:val="0"/>
              <w:suppressLineNumbers w:val="0"/>
              <w:spacing w:before="0" w:beforeAutospacing="0" w:after="0" w:afterAutospacing="0"/>
              <w:ind w:left="0" w:right="0" w:firstLine="480" w:firstLineChars="200"/>
              <w:rPr>
                <w:rFonts w:hint="eastAsia"/>
                <w:vertAlign w:val="baseline"/>
                <w:lang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月15开始收尾工作及竣工验收，2023年</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月底全工程完工。</w:t>
            </w:r>
          </w:p>
          <w:p w14:paraId="7E533999">
            <w:pPr>
              <w:pStyle w:val="30"/>
              <w:keepNext w:val="0"/>
              <w:keepLines w:val="0"/>
              <w:suppressLineNumbers w:val="0"/>
              <w:spacing w:before="0" w:beforeAutospacing="0" w:after="0" w:afterAutospacing="0"/>
              <w:ind w:left="0" w:right="0"/>
              <w:rPr>
                <w:rFonts w:hint="eastAsia"/>
                <w:vertAlign w:val="baseline"/>
                <w:lang w:eastAsia="zh-CN"/>
              </w:rPr>
            </w:pPr>
          </w:p>
          <w:p w14:paraId="610EC3EC">
            <w:pPr>
              <w:pStyle w:val="30"/>
              <w:keepNext w:val="0"/>
              <w:keepLines w:val="0"/>
              <w:suppressLineNumbers w:val="0"/>
              <w:spacing w:before="0" w:beforeAutospacing="0" w:after="0" w:afterAutospacing="0"/>
              <w:ind w:left="0" w:right="0"/>
              <w:rPr>
                <w:rFonts w:hint="eastAsia"/>
                <w:vertAlign w:val="baseline"/>
                <w:lang w:eastAsia="zh-CN"/>
              </w:rPr>
            </w:pPr>
          </w:p>
        </w:tc>
      </w:tr>
      <w:tr w14:paraId="6B20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2DD15807">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6C458A00">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6C1B4E2E">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3162AC1E">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248FDA2E">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736CE87C">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677208FF">
            <w:pPr>
              <w:pStyle w:val="30"/>
              <w:keepNext w:val="0"/>
              <w:keepLines w:val="0"/>
              <w:suppressLineNumbers w:val="0"/>
              <w:spacing w:before="0" w:beforeAutospacing="0" w:after="0" w:afterAutospacing="0"/>
              <w:ind w:left="0" w:right="0"/>
              <w:rPr>
                <w:rFonts w:hint="eastAsia" w:ascii="Times New Roman" w:hAnsi="Times New Roman"/>
                <w:color w:val="000000"/>
                <w:kern w:val="0"/>
                <w:sz w:val="24"/>
                <w:lang w:val="en-US" w:eastAsia="zh-CN"/>
              </w:rPr>
            </w:pPr>
          </w:p>
          <w:p w14:paraId="0A75104F">
            <w:pPr>
              <w:pStyle w:val="30"/>
              <w:keepNext w:val="0"/>
              <w:keepLines w:val="0"/>
              <w:suppressLineNumbers w:val="0"/>
              <w:spacing w:before="0" w:beforeAutospacing="0" w:after="0" w:afterAutospacing="0"/>
              <w:ind w:left="0" w:right="0"/>
              <w:rPr>
                <w:rFonts w:hint="eastAsia"/>
                <w:vertAlign w:val="baseline"/>
                <w:lang w:eastAsia="zh-CN"/>
              </w:rPr>
            </w:pPr>
            <w:r>
              <w:rPr>
                <w:rFonts w:hint="eastAsia" w:ascii="Times New Roman" w:hAnsi="Times New Roman"/>
                <w:color w:val="000000"/>
                <w:kern w:val="0"/>
                <w:sz w:val="24"/>
                <w:lang w:val="en-US" w:eastAsia="zh-CN"/>
              </w:rPr>
              <w:t>其他</w:t>
            </w:r>
          </w:p>
        </w:tc>
        <w:tc>
          <w:tcPr>
            <w:tcW w:w="8121" w:type="dxa"/>
          </w:tcPr>
          <w:p w14:paraId="3EDF3B52">
            <w:pPr>
              <w:pStyle w:val="30"/>
              <w:keepNext w:val="0"/>
              <w:keepLines w:val="0"/>
              <w:suppressLineNumbers w:val="0"/>
              <w:spacing w:before="0" w:beforeAutospacing="0" w:after="0" w:afterAutospacing="0"/>
              <w:ind w:left="0" w:right="0"/>
              <w:rPr>
                <w:rFonts w:hint="eastAsia"/>
                <w:vertAlign w:val="baseline"/>
                <w:lang w:eastAsia="zh-CN"/>
              </w:rPr>
            </w:pPr>
          </w:p>
          <w:p w14:paraId="5870890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一、方案比选</w:t>
            </w:r>
          </w:p>
          <w:p w14:paraId="424CBEF8">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1、光伏组件选型</w:t>
            </w:r>
          </w:p>
          <w:p w14:paraId="48FD1F5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目前市场主流65</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p的双面双玻光伏组件分为单面组件和双面组件。单面组件价格通常比双面组件价格略高，而双面光伏组件依靠背面发电增益提高光伏电站发电量且双面光伏组件逐年衰减率比单面光伏组件逐年衰减率低，可有效提高光伏电站年平均等效利用小时。本项目采用的光伏支架离地高度不低于</w:t>
            </w:r>
            <w:r>
              <w:rPr>
                <w:rFonts w:hint="eastAsia" w:ascii="Times New Roman" w:hAnsi="Times New Roman" w:eastAsia="宋体" w:cs="Times New Roman"/>
                <w:kern w:val="2"/>
                <w:sz w:val="24"/>
                <w:szCs w:val="24"/>
                <w:lang w:val="en-US" w:eastAsia="zh-CN" w:bidi="ar-SA"/>
              </w:rPr>
              <w:t>2.5</w:t>
            </w:r>
            <w:r>
              <w:rPr>
                <w:rFonts w:hint="default" w:ascii="Times New Roman" w:hAnsi="Times New Roman" w:eastAsia="宋体" w:cs="Times New Roman"/>
                <w:kern w:val="2"/>
                <w:sz w:val="24"/>
                <w:szCs w:val="24"/>
                <w:lang w:val="en-US" w:eastAsia="zh-CN" w:bidi="ar-SA"/>
              </w:rPr>
              <w:t>m，光伏组件背面接受的空间反射辐射不可忽略。通过采用 PVsyst 软件进行背面发电增益模拟计算</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对比单面光伏组件和双面光伏组件经济技术指标，本工程采用双面组件从度电投资及财务指标方面均较优，因此推荐本工程采用65</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Wp单晶硅双面光伏组件。</w:t>
            </w:r>
          </w:p>
          <w:p w14:paraId="5CD3FCF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优点：性价比高，</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双面光伏组件依靠背面发电增益提高光伏电站发电量且双面光伏组件逐年衰减率比单面光伏组件逐年衰减率低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4DE7695E">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2、光伏阵列的运行方式选择</w:t>
            </w:r>
          </w:p>
          <w:p w14:paraId="567AC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太阳能光伏发电系统的发电能力主要取决于光伏组件接收到的太阳辐射量，而光伏组件阵列接收的太阳辐射量主要取决于光伏组件的运行方式。目前较常见的光伏组件运行方式主要有固定式安装、倾角季度调节和自动跟踪三种。其中自动跟踪系统包括单轴跟踪系统和双轴跟踪系统。单轴跟踪系统是光伏组件平面与地面保持一定的倾角，每日从早到晚由东向西旋转跟踪太阳的轨迹；双轴跟踪系统的光伏组件平面除了每日由东向西旋转，还能随着季节的变化改变与地面的倾角，从而在最大程度上获得太阳辐射量。</w:t>
            </w:r>
          </w:p>
          <w:p w14:paraId="6690C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rPr>
            </w:pPr>
            <w:r>
              <w:rPr>
                <w:rFonts w:hint="eastAsia" w:ascii="Times New Roman" w:hAnsi="Times New Roman" w:eastAsia="宋体" w:cs="Times New Roman"/>
                <w:color w:val="000000"/>
                <w:kern w:val="0"/>
                <w:sz w:val="24"/>
                <w:szCs w:val="24"/>
                <w:lang w:val="en-US" w:eastAsia="zh-CN" w:bidi="ar"/>
              </w:rPr>
              <w:t>固定式与自动跟踪式各有优缺点：固定式初始投资较低、且支架系统基本免维护；固定式可调倾角方式后期运行支架角度调整工作量大，且操作要求高，后期投入的人力物力最大；自动跟踪式初始投资较高、需要一定的维护，但发电量较倾角最优固定式相比有较大的提高，假如能很好的控制后期维护工作增加的成本，采用自动跟踪式运行的光伏电站单位电度发电成本将有所降低。</w:t>
            </w:r>
          </w:p>
          <w:p w14:paraId="600D1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一般而言，</w:t>
            </w:r>
            <w:r>
              <w:rPr>
                <w:rFonts w:hint="eastAsia" w:ascii="Times New Roman" w:hAnsi="Times New Roman" w:eastAsia="宋体" w:cs="Times New Roman"/>
                <w:color w:val="000000"/>
                <w:kern w:val="0"/>
                <w:sz w:val="24"/>
                <w:szCs w:val="24"/>
                <w:lang w:val="en-US" w:eastAsia="zh-CN" w:bidi="ar"/>
              </w:rPr>
              <w:t>自动跟踪式系统缺乏在场址区特殊气候环境下实际应用的可靠性验证，其传动部件在风沙天气会发生沙尘侵入，增加了系统故障率，加大运行维护成本；本工程规模较大，光伏组件数目较大，为了保证自动跟踪系统的安装空间和设备追踪活动空间，其占地面积比固定式安装方式大，增加了征地费用；自动跟踪式系统装置复杂，对机电控制和机械传动构件要求较高，且自动跟踪式系统缺乏在复杂山区地形或相似特殊气候环境下的大规模实际应用经验。</w:t>
            </w:r>
            <w:r>
              <w:rPr>
                <w:rFonts w:hint="default" w:ascii="Times New Roman" w:hAnsi="Times New Roman" w:eastAsia="宋体" w:cs="Times New Roman"/>
                <w:color w:val="auto"/>
                <w:kern w:val="0"/>
                <w:sz w:val="24"/>
              </w:rPr>
              <w:t xml:space="preserve">本项目处于纬度较低的地区，支架所增加的投资与所获得的发电量比较并不经济。 </w:t>
            </w:r>
          </w:p>
          <w:p w14:paraId="621780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综合以上分析，本项目太阳电池方阵的运行方式采用固定式，即方阵支架采用固定支架。</w:t>
            </w:r>
          </w:p>
          <w:p w14:paraId="304709DC">
            <w:pPr>
              <w:pStyle w:val="30"/>
              <w:keepNext w:val="0"/>
              <w:keepLines w:val="0"/>
              <w:suppressLineNumbers w:val="0"/>
              <w:spacing w:before="0" w:beforeAutospacing="0" w:after="0" w:afterAutospacing="0" w:line="360" w:lineRule="auto"/>
              <w:ind w:left="0" w:right="0" w:firstLine="480" w:firstLineChars="200"/>
              <w:jc w:val="both"/>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0"/>
                <w:sz w:val="24"/>
                <w:lang w:eastAsia="zh-CN"/>
                <w14:textFill>
                  <w14:solidFill>
                    <w14:schemeClr w14:val="tx1"/>
                  </w14:solidFill>
                </w14:textFill>
              </w:rPr>
              <w:t>优点：占地面积小，性价比高，</w:t>
            </w:r>
            <w:r>
              <w:rPr>
                <w:rFonts w:hint="default" w:ascii="Times New Roman" w:hAnsi="Times New Roman" w:eastAsia="宋体" w:cs="Times New Roman"/>
                <w:color w:val="000000" w:themeColor="text1"/>
                <w:kern w:val="0"/>
                <w:sz w:val="24"/>
                <w14:textFill>
                  <w14:solidFill>
                    <w14:schemeClr w14:val="tx1"/>
                  </w14:solidFill>
                </w14:textFill>
              </w:rPr>
              <w:t>运营维护</w:t>
            </w:r>
            <w:r>
              <w:rPr>
                <w:rFonts w:hint="eastAsia" w:ascii="Times New Roman" w:hAnsi="Times New Roman" w:eastAsia="宋体" w:cs="Times New Roman"/>
                <w:color w:val="000000" w:themeColor="text1"/>
                <w:kern w:val="0"/>
                <w:sz w:val="24"/>
                <w:lang w:eastAsia="zh-CN"/>
                <w14:textFill>
                  <w14:solidFill>
                    <w14:schemeClr w14:val="tx1"/>
                  </w14:solidFill>
                </w14:textFill>
              </w:rPr>
              <w:t>相对简单。</w:t>
            </w:r>
          </w:p>
          <w:p w14:paraId="3543ADBD">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3、厂区集电线路比选</w:t>
            </w:r>
          </w:p>
          <w:p w14:paraId="5D04A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集电线路主要有架空导线和直埋电缆两种方式，另外一种途径为两者混用，本工程光伏场区较为分散且分布较广，</w:t>
            </w:r>
            <w:r>
              <w:rPr>
                <w:rFonts w:hint="eastAsia" w:ascii="Times New Roman" w:hAnsi="Times New Roman" w:eastAsia="宋体" w:cs="Times New Roman"/>
                <w:color w:val="auto"/>
                <w:kern w:val="0"/>
                <w:sz w:val="24"/>
                <w:lang w:val="en-US" w:eastAsia="zh-CN"/>
              </w:rPr>
              <w:t>对于高山、高差较大地区敷设难度大</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000000"/>
                <w:kern w:val="0"/>
                <w:sz w:val="24"/>
                <w:szCs w:val="24"/>
                <w:lang w:val="en-US" w:eastAsia="zh-CN" w:bidi="ar"/>
              </w:rPr>
              <w:t>架空方案相对电缆方案优点为线路整体长度大幅减少，故障点明显，易于查找，便于运行维护。</w:t>
            </w:r>
            <w:r>
              <w:rPr>
                <w:rFonts w:hint="default" w:ascii="Times New Roman" w:hAnsi="Times New Roman" w:eastAsia="宋体" w:cs="Times New Roman"/>
                <w:color w:val="auto"/>
                <w:kern w:val="0"/>
                <w:sz w:val="24"/>
              </w:rPr>
              <w:t>故本工程集电线路考虑采用</w:t>
            </w:r>
            <w:r>
              <w:rPr>
                <w:rFonts w:hint="default" w:ascii="Times New Roman" w:hAnsi="Times New Roman" w:eastAsia="宋体" w:cs="Times New Roman"/>
                <w:color w:val="auto"/>
                <w:kern w:val="0"/>
                <w:sz w:val="24"/>
                <w:lang w:val="en-US" w:eastAsia="zh-CN" w:bidi="en-US"/>
              </w:rPr>
              <w:t>35kV直埋电缆敷设及架空线路混合形式</w:t>
            </w:r>
            <w:r>
              <w:rPr>
                <w:rFonts w:hint="default" w:ascii="Times New Roman" w:hAnsi="Times New Roman" w:eastAsia="宋体" w:cs="Times New Roman"/>
                <w:color w:val="auto"/>
                <w:kern w:val="0"/>
                <w:sz w:val="24"/>
                <w:lang w:eastAsia="zh-CN"/>
              </w:rPr>
              <w:t>。</w:t>
            </w:r>
          </w:p>
          <w:p w14:paraId="462CAD6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二、退役及拆除方案</w:t>
            </w:r>
          </w:p>
          <w:p w14:paraId="01E765D1">
            <w:pPr>
              <w:pStyle w:val="30"/>
              <w:keepNext w:val="0"/>
              <w:keepLines w:val="0"/>
              <w:suppressLineNumbers w:val="0"/>
              <w:spacing w:before="0" w:beforeAutospacing="0" w:after="0" w:afterAutospacing="0" w:line="360" w:lineRule="auto"/>
              <w:ind w:left="0" w:right="0" w:firstLine="480" w:firstLineChars="200"/>
              <w:rPr>
                <w:rFonts w:hint="eastAsia"/>
                <w:vertAlign w:val="baseline"/>
                <w:lang w:eastAsia="zh-CN"/>
              </w:rPr>
            </w:pPr>
            <w:r>
              <w:rPr>
                <w:rFonts w:hint="default" w:ascii="Times New Roman" w:hAnsi="Times New Roman" w:eastAsia="宋体" w:cs="Times New Roman"/>
                <w:lang w:val="en-US" w:eastAsia="zh-CN"/>
              </w:rPr>
              <w:t>拆除方案:全部拆除该项目运行期满</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全部拆除，确定光伏电站无利用价值后，全部设施采用破坏性拆除。光伏组件由厂家负责回收及再利用，规范处置，组件支架等钢材由物资再生公司回收。所有的建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物及其基础由拆迁公司拆除、清理。拆除后的地面由电站运营商负责恢复地面植被。</w:t>
            </w:r>
          </w:p>
          <w:p w14:paraId="4D4E0512">
            <w:pPr>
              <w:pStyle w:val="30"/>
              <w:keepNext w:val="0"/>
              <w:keepLines w:val="0"/>
              <w:suppressLineNumbers w:val="0"/>
              <w:spacing w:before="0" w:beforeAutospacing="0" w:after="0" w:afterAutospacing="0"/>
              <w:ind w:left="0" w:right="0"/>
              <w:rPr>
                <w:rFonts w:hint="eastAsia"/>
                <w:vertAlign w:val="baseline"/>
                <w:lang w:eastAsia="zh-CN"/>
              </w:rPr>
            </w:pPr>
          </w:p>
          <w:p w14:paraId="541E431F">
            <w:pPr>
              <w:pStyle w:val="30"/>
              <w:keepNext w:val="0"/>
              <w:keepLines w:val="0"/>
              <w:suppressLineNumbers w:val="0"/>
              <w:spacing w:before="0" w:beforeAutospacing="0" w:after="0" w:afterAutospacing="0"/>
              <w:ind w:left="0" w:right="0"/>
              <w:rPr>
                <w:rFonts w:hint="eastAsia"/>
                <w:vertAlign w:val="baseline"/>
                <w:lang w:eastAsia="zh-CN"/>
              </w:rPr>
            </w:pPr>
          </w:p>
          <w:p w14:paraId="55F464E5">
            <w:pPr>
              <w:pStyle w:val="30"/>
              <w:keepNext w:val="0"/>
              <w:keepLines w:val="0"/>
              <w:suppressLineNumbers w:val="0"/>
              <w:spacing w:before="0" w:beforeAutospacing="0" w:after="0" w:afterAutospacing="0"/>
              <w:ind w:left="0" w:right="0"/>
              <w:rPr>
                <w:rFonts w:hint="eastAsia"/>
                <w:vertAlign w:val="baseline"/>
                <w:lang w:eastAsia="zh-CN"/>
              </w:rPr>
            </w:pPr>
          </w:p>
          <w:p w14:paraId="0A351C8E">
            <w:pPr>
              <w:pStyle w:val="30"/>
              <w:keepNext w:val="0"/>
              <w:keepLines w:val="0"/>
              <w:suppressLineNumbers w:val="0"/>
              <w:spacing w:before="0" w:beforeAutospacing="0" w:after="0" w:afterAutospacing="0"/>
              <w:ind w:left="0" w:right="0"/>
              <w:rPr>
                <w:rFonts w:hint="eastAsia"/>
                <w:vertAlign w:val="baseline"/>
                <w:lang w:eastAsia="zh-CN"/>
              </w:rPr>
            </w:pPr>
          </w:p>
          <w:p w14:paraId="2D1BA3A2">
            <w:pPr>
              <w:pStyle w:val="30"/>
              <w:keepNext w:val="0"/>
              <w:keepLines w:val="0"/>
              <w:suppressLineNumbers w:val="0"/>
              <w:spacing w:before="0" w:beforeAutospacing="0" w:after="0" w:afterAutospacing="0"/>
              <w:ind w:left="0" w:right="0"/>
              <w:rPr>
                <w:rFonts w:hint="eastAsia"/>
                <w:vertAlign w:val="baseline"/>
                <w:lang w:eastAsia="zh-CN"/>
              </w:rPr>
            </w:pPr>
          </w:p>
          <w:p w14:paraId="03593817">
            <w:pPr>
              <w:pStyle w:val="30"/>
              <w:keepNext w:val="0"/>
              <w:keepLines w:val="0"/>
              <w:suppressLineNumbers w:val="0"/>
              <w:spacing w:before="0" w:beforeAutospacing="0" w:after="0" w:afterAutospacing="0"/>
              <w:ind w:left="0" w:right="0"/>
              <w:rPr>
                <w:rFonts w:hint="eastAsia"/>
                <w:vertAlign w:val="baseline"/>
                <w:lang w:eastAsia="zh-CN"/>
              </w:rPr>
            </w:pPr>
          </w:p>
          <w:p w14:paraId="1CEF0704">
            <w:pPr>
              <w:pStyle w:val="30"/>
              <w:keepNext w:val="0"/>
              <w:keepLines w:val="0"/>
              <w:suppressLineNumbers w:val="0"/>
              <w:spacing w:before="0" w:beforeAutospacing="0" w:after="0" w:afterAutospacing="0"/>
              <w:ind w:left="0" w:right="0"/>
              <w:rPr>
                <w:rFonts w:hint="eastAsia"/>
                <w:vertAlign w:val="baseline"/>
                <w:lang w:eastAsia="zh-CN"/>
              </w:rPr>
            </w:pPr>
          </w:p>
          <w:p w14:paraId="121A8FE3">
            <w:pPr>
              <w:pStyle w:val="30"/>
              <w:keepNext w:val="0"/>
              <w:keepLines w:val="0"/>
              <w:suppressLineNumbers w:val="0"/>
              <w:spacing w:before="0" w:beforeAutospacing="0" w:after="0" w:afterAutospacing="0"/>
              <w:ind w:left="0" w:right="0"/>
              <w:rPr>
                <w:rFonts w:hint="eastAsia"/>
                <w:vertAlign w:val="baseline"/>
                <w:lang w:eastAsia="zh-CN"/>
              </w:rPr>
            </w:pPr>
          </w:p>
          <w:p w14:paraId="737FF010">
            <w:pPr>
              <w:pStyle w:val="30"/>
              <w:keepNext w:val="0"/>
              <w:keepLines w:val="0"/>
              <w:suppressLineNumbers w:val="0"/>
              <w:spacing w:before="0" w:beforeAutospacing="0" w:after="0" w:afterAutospacing="0"/>
              <w:ind w:left="0" w:right="0"/>
              <w:rPr>
                <w:rFonts w:hint="eastAsia"/>
                <w:vertAlign w:val="baseline"/>
                <w:lang w:eastAsia="zh-CN"/>
              </w:rPr>
            </w:pPr>
          </w:p>
          <w:p w14:paraId="5CAEBDE0">
            <w:pPr>
              <w:pStyle w:val="30"/>
              <w:keepNext w:val="0"/>
              <w:keepLines w:val="0"/>
              <w:suppressLineNumbers w:val="0"/>
              <w:spacing w:before="0" w:beforeAutospacing="0" w:after="0" w:afterAutospacing="0"/>
              <w:ind w:left="0" w:right="0"/>
              <w:rPr>
                <w:rFonts w:hint="eastAsia"/>
                <w:vertAlign w:val="baseline"/>
                <w:lang w:eastAsia="zh-CN"/>
              </w:rPr>
            </w:pPr>
          </w:p>
          <w:p w14:paraId="1A512C98">
            <w:pPr>
              <w:pStyle w:val="30"/>
              <w:keepNext w:val="0"/>
              <w:keepLines w:val="0"/>
              <w:suppressLineNumbers w:val="0"/>
              <w:spacing w:before="0" w:beforeAutospacing="0" w:after="0" w:afterAutospacing="0"/>
              <w:ind w:left="0" w:right="0"/>
              <w:rPr>
                <w:rFonts w:hint="eastAsia"/>
                <w:vertAlign w:val="baseline"/>
                <w:lang w:eastAsia="zh-CN"/>
              </w:rPr>
            </w:pPr>
          </w:p>
          <w:p w14:paraId="2FCCF448">
            <w:pPr>
              <w:pStyle w:val="30"/>
              <w:keepNext w:val="0"/>
              <w:keepLines w:val="0"/>
              <w:suppressLineNumbers w:val="0"/>
              <w:spacing w:before="0" w:beforeAutospacing="0" w:after="0" w:afterAutospacing="0"/>
              <w:ind w:left="0" w:right="0"/>
              <w:rPr>
                <w:rFonts w:hint="eastAsia"/>
                <w:vertAlign w:val="baseline"/>
                <w:lang w:eastAsia="zh-CN"/>
              </w:rPr>
            </w:pPr>
          </w:p>
        </w:tc>
      </w:tr>
    </w:tbl>
    <w:p w14:paraId="6E276595">
      <w:pPr>
        <w:pStyle w:val="3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1AA1A0">
      <w:pPr>
        <w:jc w:val="center"/>
        <w:outlineLvl w:val="0"/>
        <w:rPr>
          <w:rFonts w:hint="eastAsia" w:ascii="宋体" w:hAnsi="宋体" w:eastAsia="宋体" w:cs="宋体"/>
          <w:b/>
          <w:bCs/>
          <w:snapToGrid w:val="0"/>
          <w:color w:val="000000"/>
          <w:sz w:val="30"/>
          <w:szCs w:val="30"/>
        </w:rPr>
      </w:pPr>
      <w:bookmarkStart w:id="20" w:name="_Toc19991"/>
      <w:r>
        <w:rPr>
          <w:rFonts w:hint="eastAsia" w:ascii="宋体" w:hAnsi="宋体" w:eastAsia="宋体" w:cs="宋体"/>
          <w:b/>
          <w:bCs/>
          <w:snapToGrid w:val="0"/>
          <w:color w:val="000000"/>
          <w:sz w:val="30"/>
          <w:szCs w:val="30"/>
        </w:rPr>
        <w:t>三、生态环境现状、保护目标及评价标准</w:t>
      </w:r>
      <w:bookmarkEnd w:id="20"/>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352"/>
        <w:gridCol w:w="7716"/>
      </w:tblGrid>
      <w:tr w14:paraId="223E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dxa"/>
            <w:vAlign w:val="center"/>
          </w:tcPr>
          <w:p w14:paraId="2F60144F">
            <w:pPr>
              <w:keepNext w:val="0"/>
              <w:keepLines w:val="0"/>
              <w:suppressLineNumbers w:val="0"/>
              <w:spacing w:before="0" w:beforeAutospacing="0" w:after="0" w:afterAutospacing="0"/>
              <w:ind w:left="0" w:right="0"/>
              <w:jc w:val="center"/>
              <w:rPr>
                <w:rFonts w:hint="eastAsia"/>
                <w:vertAlign w:val="baseline"/>
                <w:lang w:eastAsia="zh-CN"/>
              </w:rPr>
            </w:pPr>
            <w:r>
              <w:rPr>
                <w:rFonts w:hint="default" w:ascii="Times New Roman" w:hAnsi="Times New Roman"/>
                <w:color w:val="000000"/>
                <w:kern w:val="0"/>
                <w:sz w:val="24"/>
              </w:rPr>
              <w:t>生态环境现状</w:t>
            </w:r>
          </w:p>
        </w:tc>
        <w:tc>
          <w:tcPr>
            <w:tcW w:w="8153" w:type="dxa"/>
            <w:gridSpan w:val="2"/>
          </w:tcPr>
          <w:p w14:paraId="793FFBE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rPr>
            </w:pPr>
            <w:r>
              <w:rPr>
                <w:rFonts w:hint="default" w:ascii="Times New Roman" w:hAnsi="Times New Roman" w:eastAsia="宋体" w:cs="Times New Roman"/>
                <w:b/>
                <w:bCs/>
                <w:lang w:eastAsia="zh-CN"/>
              </w:rPr>
              <w:t>一、</w:t>
            </w:r>
            <w:r>
              <w:rPr>
                <w:rFonts w:hint="default" w:ascii="Times New Roman" w:hAnsi="Times New Roman" w:eastAsia="宋体" w:cs="Times New Roman"/>
                <w:b/>
                <w:bCs/>
              </w:rPr>
              <w:t>生态环境现状</w:t>
            </w:r>
          </w:p>
          <w:p w14:paraId="75EBC52E">
            <w:pPr>
              <w:pStyle w:val="55"/>
              <w:keepNext w:val="0"/>
              <w:keepLines w:val="0"/>
              <w:suppressLineNumbers w:val="0"/>
              <w:spacing w:before="0" w:beforeAutospacing="0" w:after="0" w:afterAutospacing="0"/>
              <w:ind w:left="0" w:right="0" w:firstLine="520"/>
              <w:jc w:val="left"/>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1、</w:t>
            </w:r>
            <w:r>
              <w:rPr>
                <w:rFonts w:hint="default" w:ascii="Times New Roman" w:hAnsi="Times New Roman" w:eastAsia="宋体" w:cs="Times New Roman"/>
                <w:color w:val="auto"/>
                <w:spacing w:val="0"/>
                <w:kern w:val="2"/>
                <w:sz w:val="24"/>
                <w:szCs w:val="24"/>
                <w:lang w:val="en-US" w:eastAsia="zh-CN" w:bidi="ar-SA"/>
              </w:rPr>
              <w:t xml:space="preserve"> 生态功能区规划</w:t>
            </w:r>
          </w:p>
          <w:p w14:paraId="5549FAB1">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rPr>
              <w:t>根据《云南省生态功能区划》，</w:t>
            </w:r>
            <w:r>
              <w:rPr>
                <w:rFonts w:hint="default" w:ascii="Times New Roman" w:hAnsi="Times New Roman" w:eastAsia="宋体" w:cs="Times New Roman"/>
                <w:color w:val="auto"/>
                <w:kern w:val="0"/>
                <w:sz w:val="24"/>
                <w:szCs w:val="24"/>
              </w:rPr>
              <w:t>本项目位于德宏州芒市，属于I季风热带北缘热带雨林生态区I-3滇西南中山宽谷半常绿季雨林生态亚区I-3-1大盈江、南畹河下游中山丘陵农业生态功能区，主要生态特征为中山丘陵地貌为主，年降水量1400-1700mm，地带性植被类型为季风常绿阔叶林。地带性土壤类型为赤红壤、红壤，主要生态系统服务功能发展生态农业和以蔗糖为主热带作物、以澳洲坚果和柠檬为主的热带经济林。</w:t>
            </w:r>
          </w:p>
          <w:p w14:paraId="488CAC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土地利用类型</w:t>
            </w:r>
          </w:p>
          <w:p w14:paraId="4C0FC87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占地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总规模</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约为706.02亩，主要</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建设</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11个光伏发电子方阵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。本次生态环境评价区为光伏阵列围栏区、新建道路、改扩建道路、架空线路等工程布置外延300m的范围，评价总面积551.94hm</w:t>
            </w:r>
            <w:r>
              <w:rPr>
                <w:rFonts w:hint="eastAsia"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4EB04B39">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评价区土地利用类型包含园地、旱地、林地、草地、住宅用地、交通运输用地以及少量水域，统计结果见表3-1，详见土地利用现状图（附图7）。</w:t>
            </w:r>
          </w:p>
          <w:p w14:paraId="7D2EF295">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表3-1  评价区土地利用现状类型及面积统计表 </w:t>
            </w:r>
          </w:p>
          <w:p w14:paraId="4D3B9937">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object>
                <v:shape id="_x0000_i1028" o:spt="75" type="#_x0000_t75" style="height:185.05pt;width:387.7pt;" o:ole="t" filled="f" o:preferrelative="t" stroked="f" coordsize="21600,21600">
                  <v:path/>
                  <v:fill on="f" focussize="0,0"/>
                  <v:stroke on="f"/>
                  <v:imagedata r:id="rId31" o:title=""/>
                  <o:lock v:ext="edit" aspectratio="f"/>
                  <w10:wrap type="none"/>
                  <w10:anchorlock/>
                </v:shape>
                <o:OLEObject Type="Embed" ProgID="Excel.Sheet.12" ShapeID="_x0000_i1028" DrawAspect="Content" ObjectID="_1468075728" r:id="rId30">
                  <o:LockedField>false</o:LockedField>
                </o:OLEObject>
              </w:object>
            </w:r>
          </w:p>
          <w:p w14:paraId="398A90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bookmarkStart w:id="21" w:name="_Toc380414836"/>
            <w:r>
              <w:rPr>
                <w:rFonts w:hint="default" w:ascii="Times New Roman" w:hAnsi="Times New Roman" w:eastAsia="宋体" w:cs="Times New Roman"/>
                <w:color w:val="auto"/>
              </w:rPr>
              <w:t>项目区水土流失现状</w:t>
            </w:r>
            <w:bookmarkEnd w:id="21"/>
          </w:p>
          <w:p w14:paraId="7175E92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kern w:val="0"/>
                <w:sz w:val="24"/>
                <w:szCs w:val="24"/>
                <w:lang w:val="en-US" w:eastAsia="zh-CN" w:bidi="ar-SA"/>
              </w:rPr>
              <w:t>《云南省 2004 年土壤侵蚀现状遥感调查报告》，工程所在的芒市水土流失面积以轻度和中度侵蚀为主， 极强度和剧烈侵蚀所占比重很少。根据水利部办公厅文件〔2013〕188 号公告《全国水土保持规划国家级水</w:t>
            </w:r>
            <w:r>
              <w:rPr>
                <w:rFonts w:hint="eastAsia" w:ascii="Times New Roman" w:hAnsi="Times New Roman" w:eastAsia="宋体" w:cs="Times New Roman"/>
                <w:color w:val="auto"/>
                <w:kern w:val="0"/>
                <w:sz w:val="24"/>
                <w:szCs w:val="24"/>
                <w:lang w:val="en-US" w:eastAsia="zh-CN" w:bidi="ar-SA"/>
              </w:rPr>
              <w:t>土</w:t>
            </w:r>
            <w:r>
              <w:rPr>
                <w:rFonts w:hint="default" w:ascii="Times New Roman" w:hAnsi="Times New Roman" w:eastAsia="宋体" w:cs="Times New Roman"/>
                <w:color w:val="auto"/>
                <w:kern w:val="0"/>
                <w:sz w:val="24"/>
                <w:szCs w:val="24"/>
                <w:lang w:val="en-US" w:eastAsia="zh-CN" w:bidi="ar-SA"/>
              </w:rPr>
              <w:t>流失重点预防区和重点治理区复核划分成果》，本项目所在的芒市不属于国家级水</w:t>
            </w:r>
            <w:r>
              <w:rPr>
                <w:rFonts w:hint="default" w:ascii="Times New Roman" w:hAnsi="Times New Roman" w:eastAsia="宋体" w:cs="Times New Roman"/>
                <w:lang w:val="en-US" w:eastAsia="zh-CN"/>
              </w:rPr>
              <w:t>土流失重点预防区和重点治理区，同时根据</w:t>
            </w:r>
            <w:r>
              <w:rPr>
                <w:rFonts w:hint="default" w:ascii="Times New Roman" w:hAnsi="Times New Roman" w:eastAsia="宋体" w:cs="Times New Roman"/>
                <w:color w:val="000000" w:themeColor="text1"/>
                <w:lang w:val="en-US" w:eastAsia="zh-CN"/>
                <w14:textFill>
                  <w14:solidFill>
                    <w14:schemeClr w14:val="tx1"/>
                  </w14:solidFill>
                </w14:textFill>
              </w:rPr>
              <w:t>《云南省人民政府关于划分水土流失重点防治区的公告》(云政发〔2007〕165 号），项目区属云南省水土保持重点治理区。</w:t>
            </w:r>
          </w:p>
          <w:p w14:paraId="167201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芒市水土流失区域主要分布在山区、半山区交界地带，这些地带地形起伏大，山坡陡峻。沟谷深切，倾斜度较大。水土流失类型以水力侵蚀为主，主要表现为面蚀、沟蚀。</w:t>
            </w:r>
          </w:p>
          <w:p w14:paraId="428784A8">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调查分析表明，本工程建设区天然状态下平均土壤侵蚀模数为483t/km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w:t>
            </w:r>
            <w:r>
              <w:rPr>
                <w:rFonts w:hint="default" w:ascii="Times New Roman" w:hAnsi="Times New Roman" w:eastAsia="宋体" w:cs="Times New Roman"/>
                <w:lang w:val="en-US" w:eastAsia="zh-CN"/>
              </w:rPr>
              <w:t>的水土保持设施为林地、草地，植被覆盖较好，具有较好的水土保持功能。</w:t>
            </w:r>
          </w:p>
          <w:p w14:paraId="611664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生态现状</w:t>
            </w:r>
          </w:p>
          <w:p w14:paraId="3C6FF9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.1 评价范围</w:t>
            </w:r>
          </w:p>
          <w:p w14:paraId="4515E3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FF0000"/>
              </w:rPr>
            </w:pPr>
            <w:r>
              <w:rPr>
                <w:rFonts w:hint="default" w:ascii="Times New Roman" w:hAnsi="Times New Roman" w:eastAsia="宋体" w:cs="Times New Roman"/>
                <w:color w:val="auto"/>
              </w:rPr>
              <w:t>本次陆生生态评价根据工程方案确定调查范围和调查线路，光伏区占地范围线内及外延300m的区域。</w:t>
            </w:r>
          </w:p>
          <w:p w14:paraId="0145E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.2 调查方法</w:t>
            </w:r>
          </w:p>
          <w:p w14:paraId="113A72D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（1）植物植被</w:t>
            </w:r>
          </w:p>
          <w:p w14:paraId="0AFEBB8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植被、植物的调查主要采用线路调查法，沿现有道路调查评价区范围内的植被及植物分布情况，记录沿途目力范围内发现的植被类型和植物种类，重点关注评价区内的古树名木、保护植物、地方特有种。</w:t>
            </w:r>
          </w:p>
          <w:p w14:paraId="0E7E94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向当地相关部门收集该地区地方志、保护区科学考察报告和林业资源二类调查报告等地方资料；同时参考《云南植被》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《云南森林》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《云南植物志》、《中国植物志》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《Flora ofChina》等文献中记录于该区域的资料，以及区域重大工程环评生态现状调查资料。</w:t>
            </w:r>
          </w:p>
          <w:p w14:paraId="7A84182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（2）陆栖脊椎动物调查方法</w:t>
            </w:r>
          </w:p>
          <w:p w14:paraId="267BA42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陆栖脊椎动物调查以野外现场调查、访问调查和查阅文献资料相结合的方式进行。</w:t>
            </w:r>
          </w:p>
          <w:p w14:paraId="59BE7B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访问调查则对评价区内放牧的村民进行了访问记录，通过指认《中国鸟类野外手册》等常用工具书中的动物图片，记录了体形较大、特征较明显的群众易分辨种类。</w:t>
            </w:r>
          </w:p>
          <w:p w14:paraId="45466A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文献资料以《中国哺乳动物分布》《中国哺乳动物物种和亚种分类名录与分布大全》《云南鸟类志》《云南鸟类名录》《云南两栖爬行动物》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《云南两栖类志》等记载的该区的各类群动物。同时，根据国家重点保护野生动物名录、云南省重点保护野生动物名录、《中国生物多样性红色名录•脊椎动物卷》（2015）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《濒危野生动植物种国际贸易公约》（CITES）附录 I、附录 II，以及《中国生物多样性红色名录•脊椎动物卷》（2015），确定动物的特有种和保护物种。</w:t>
            </w:r>
          </w:p>
          <w:p w14:paraId="19CDDB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.3 植物植被现状</w:t>
            </w:r>
          </w:p>
          <w:p w14:paraId="4101D4C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根据实地调查，评价区内植被包括自然植被和人工植被两大类别，</w:t>
            </w:r>
            <w:r>
              <w:rPr>
                <w:rFonts w:hint="default" w:ascii="Times New Roman" w:hAnsi="Times New Roman" w:eastAsia="宋体" w:cs="Times New Roman"/>
                <w:color w:val="auto"/>
                <w:sz w:val="24"/>
              </w:rPr>
              <w:t>自然植被是未经人为种植而自然形成的植被类型，人工植被是由人工种植形成的植被。</w:t>
            </w:r>
          </w:p>
          <w:p w14:paraId="1AD8D319">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z w:val="24"/>
              </w:rPr>
              <w:t>根据《云南植被》中的分区，该区域的植被区划属于：</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热带季雨林，雨林区域，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A西部（偏干性）季雨林、雨林区域，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Ai季风热带北缘季节雨林、半常绿季雨林区，</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Ai-1滇南、滇西南间山盆地季节雨林、常绿季雨林，</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Ai-1c滇西南中山宽高山榕、麻栎林亚区。</w:t>
            </w:r>
            <w:r>
              <w:rPr>
                <w:rFonts w:hint="default" w:ascii="Times New Roman" w:hAnsi="Times New Roman" w:eastAsia="宋体" w:cs="Times New Roman"/>
                <w:color w:val="auto"/>
                <w:kern w:val="0"/>
                <w:sz w:val="24"/>
              </w:rPr>
              <w:t>高程在2300m～2600m之间，</w:t>
            </w:r>
            <w:r>
              <w:rPr>
                <w:rFonts w:hint="default" w:ascii="Times New Roman" w:hAnsi="Times New Roman" w:eastAsia="宋体" w:cs="Times New Roman"/>
                <w:color w:val="auto"/>
                <w:szCs w:val="22"/>
                <w:lang w:val="en-US" w:eastAsia="zh-CN"/>
              </w:rPr>
              <w:t>由于长时间的人为活动影响，评价区目前的植被类型已经发生了许多变化，原生植被已大量遭受破坏，仅在沟谷两侧及山顶有少量残存，次生植被及人工植被大量增加。人工植被主要为</w:t>
            </w:r>
            <w:r>
              <w:rPr>
                <w:rFonts w:hint="eastAsia" w:ascii="Times New Roman" w:hAnsi="Times New Roman" w:eastAsia="宋体" w:cs="Times New Roman"/>
                <w:color w:val="auto"/>
                <w:szCs w:val="22"/>
                <w:lang w:val="en-US" w:eastAsia="zh-CN"/>
              </w:rPr>
              <w:t>杉木林</w:t>
            </w:r>
            <w:r>
              <w:rPr>
                <w:rFonts w:hint="default" w:ascii="Times New Roman" w:hAnsi="Times New Roman" w:eastAsia="宋体" w:cs="Times New Roman"/>
                <w:color w:val="auto"/>
                <w:szCs w:val="22"/>
                <w:lang w:val="en-US" w:eastAsia="zh-CN"/>
              </w:rPr>
              <w:t>。</w:t>
            </w:r>
          </w:p>
          <w:p w14:paraId="14BC5C7C">
            <w:pPr>
              <w:pStyle w:val="57"/>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①自然植被</w:t>
            </w:r>
          </w:p>
          <w:p w14:paraId="04D0A4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评价区自然植被包括</w:t>
            </w:r>
            <w:r>
              <w:rPr>
                <w:rFonts w:hint="default" w:ascii="Times New Roman" w:hAnsi="Times New Roman" w:eastAsia="宋体" w:cs="Times New Roman"/>
                <w:color w:val="auto"/>
                <w:sz w:val="24"/>
                <w:szCs w:val="24"/>
              </w:rPr>
              <w:t>季风常绿</w:t>
            </w:r>
            <w:r>
              <w:rPr>
                <w:rFonts w:hint="default" w:ascii="Times New Roman" w:hAnsi="Times New Roman" w:eastAsia="宋体" w:cs="Times New Roman"/>
                <w:color w:val="auto"/>
                <w:sz w:val="24"/>
              </w:rPr>
              <w:t>阔叶林、</w:t>
            </w:r>
            <w:r>
              <w:rPr>
                <w:rFonts w:hint="eastAsia" w:ascii="Times New Roman" w:hAnsi="Times New Roman" w:eastAsia="宋体" w:cs="Times New Roman"/>
                <w:color w:val="auto"/>
                <w:sz w:val="24"/>
                <w:lang w:val="en-US" w:eastAsia="zh-CN"/>
              </w:rPr>
              <w:t>竹林</w:t>
            </w:r>
            <w:r>
              <w:rPr>
                <w:rFonts w:hint="default" w:ascii="Times New Roman" w:hAnsi="Times New Roman" w:eastAsia="宋体" w:cs="Times New Roman"/>
                <w:color w:val="auto"/>
                <w:sz w:val="24"/>
              </w:rPr>
              <w:t>和</w:t>
            </w:r>
            <w:r>
              <w:rPr>
                <w:rFonts w:hint="eastAsia" w:ascii="Times New Roman" w:hAnsi="Times New Roman" w:eastAsia="宋体" w:cs="Times New Roman"/>
                <w:color w:val="auto"/>
                <w:sz w:val="24"/>
                <w:lang w:val="en-US" w:eastAsia="zh-CN"/>
              </w:rPr>
              <w:t>暖</w:t>
            </w:r>
            <w:r>
              <w:rPr>
                <w:rFonts w:hint="default" w:ascii="Times New Roman" w:hAnsi="Times New Roman" w:eastAsia="宋体" w:cs="Times New Roman"/>
                <w:color w:val="auto"/>
                <w:sz w:val="24"/>
              </w:rPr>
              <w:t>热性稀树灌草丛三种植被型。</w:t>
            </w:r>
          </w:p>
          <w:p w14:paraId="6F21CF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A、</w:t>
            </w:r>
            <w:r>
              <w:rPr>
                <w:rFonts w:hint="default" w:ascii="Times New Roman" w:hAnsi="Times New Roman" w:eastAsia="宋体" w:cs="Times New Roman"/>
                <w:color w:val="auto"/>
                <w:sz w:val="24"/>
                <w:szCs w:val="24"/>
              </w:rPr>
              <w:t>季风常绿阔叶林</w:t>
            </w:r>
          </w:p>
          <w:p w14:paraId="47CF467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评价区的季风常绿阔叶林</w:t>
            </w:r>
            <w:r>
              <w:rPr>
                <w:rFonts w:hint="eastAsia" w:ascii="Times New Roman" w:hAnsi="Times New Roman" w:eastAsia="宋体" w:cs="Times New Roman"/>
                <w:color w:val="auto"/>
                <w:sz w:val="24"/>
                <w:szCs w:val="24"/>
                <w:lang w:val="en-US" w:eastAsia="zh-CN"/>
              </w:rPr>
              <w:t>主要分布于项目区北部</w:t>
            </w:r>
            <w:r>
              <w:rPr>
                <w:rFonts w:hint="default" w:ascii="Times New Roman" w:hAnsi="Times New Roman" w:eastAsia="宋体" w:cs="Times New Roman"/>
                <w:color w:val="auto"/>
                <w:sz w:val="24"/>
                <w:szCs w:val="24"/>
              </w:rPr>
              <w:t>，受人为砍伐、种地等影响，具有明显的次生性质。乔木层高12~18m，层盖度约为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％，植物种类有以壳斗科的刺栲</w:t>
            </w:r>
            <w:r>
              <w:rPr>
                <w:rFonts w:hint="default" w:ascii="Times New Roman" w:hAnsi="Times New Roman" w:eastAsia="宋体" w:cs="Times New Roman"/>
                <w:i/>
                <w:color w:val="auto"/>
                <w:sz w:val="24"/>
                <w:szCs w:val="24"/>
              </w:rPr>
              <w:t>Castanopsis hystrix</w:t>
            </w:r>
            <w:r>
              <w:rPr>
                <w:rFonts w:hint="default" w:ascii="Times New Roman" w:hAnsi="Times New Roman" w:eastAsia="宋体" w:cs="Times New Roman"/>
                <w:color w:val="auto"/>
                <w:sz w:val="24"/>
                <w:szCs w:val="24"/>
              </w:rPr>
              <w:t>和山茶科的红木荷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，以及桦木科的西南桦</w:t>
            </w:r>
            <w:r>
              <w:rPr>
                <w:rFonts w:hint="default" w:ascii="Times New Roman" w:hAnsi="Times New Roman" w:eastAsia="宋体" w:cs="Times New Roman"/>
                <w:i/>
                <w:color w:val="auto"/>
                <w:sz w:val="24"/>
                <w:szCs w:val="24"/>
              </w:rPr>
              <w:t>Betula alnoides</w:t>
            </w:r>
            <w:r>
              <w:rPr>
                <w:rFonts w:hint="default" w:ascii="Times New Roman" w:hAnsi="Times New Roman" w:eastAsia="宋体" w:cs="Times New Roman"/>
                <w:color w:val="auto"/>
                <w:sz w:val="24"/>
                <w:szCs w:val="24"/>
              </w:rPr>
              <w:t>和旱冬瓜</w:t>
            </w:r>
            <w:r>
              <w:rPr>
                <w:rFonts w:hint="default" w:ascii="Times New Roman" w:hAnsi="Times New Roman" w:eastAsia="宋体" w:cs="Times New Roman"/>
                <w:i/>
                <w:iCs/>
                <w:color w:val="auto"/>
                <w:sz w:val="24"/>
                <w:szCs w:val="24"/>
              </w:rPr>
              <w:t>Alnus nepalensis</w:t>
            </w:r>
            <w:r>
              <w:rPr>
                <w:rFonts w:hint="default" w:ascii="Times New Roman" w:hAnsi="Times New Roman" w:eastAsia="宋体" w:cs="Times New Roman"/>
                <w:color w:val="auto"/>
                <w:sz w:val="24"/>
                <w:szCs w:val="24"/>
              </w:rPr>
              <w:t> 为优势，其它常见的种有野漆</w:t>
            </w:r>
            <w:r>
              <w:rPr>
                <w:rFonts w:hint="default" w:ascii="Times New Roman" w:hAnsi="Times New Roman" w:eastAsia="宋体" w:cs="Times New Roman"/>
                <w:i/>
                <w:color w:val="auto"/>
                <w:sz w:val="24"/>
                <w:szCs w:val="24"/>
              </w:rPr>
              <w:t>Toxicodendron succedaneum</w:t>
            </w:r>
            <w:r>
              <w:rPr>
                <w:rFonts w:hint="default" w:ascii="Times New Roman" w:hAnsi="Times New Roman" w:eastAsia="宋体" w:cs="Times New Roman"/>
                <w:color w:val="auto"/>
                <w:sz w:val="24"/>
                <w:szCs w:val="24"/>
              </w:rPr>
              <w:t>、银柴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、云南厚壳桂</w:t>
            </w:r>
            <w:r>
              <w:rPr>
                <w:rFonts w:hint="default" w:ascii="Times New Roman" w:hAnsi="Times New Roman" w:eastAsia="宋体" w:cs="Times New Roman"/>
                <w:i/>
                <w:color w:val="auto"/>
                <w:sz w:val="24"/>
                <w:szCs w:val="24"/>
              </w:rPr>
              <w:t>Cryptocarya yunnanensis</w:t>
            </w:r>
            <w:r>
              <w:rPr>
                <w:rFonts w:hint="default" w:ascii="Times New Roman" w:hAnsi="Times New Roman" w:eastAsia="宋体" w:cs="Times New Roman"/>
                <w:color w:val="auto"/>
                <w:sz w:val="24"/>
                <w:szCs w:val="24"/>
              </w:rPr>
              <w:t>、杨翠木</w:t>
            </w:r>
            <w:r>
              <w:rPr>
                <w:rFonts w:hint="default" w:ascii="Times New Roman" w:hAnsi="Times New Roman" w:eastAsia="宋体" w:cs="Times New Roman"/>
                <w:i/>
                <w:color w:val="auto"/>
                <w:sz w:val="24"/>
                <w:szCs w:val="24"/>
              </w:rPr>
              <w:t>Pittosporum kerrii</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、印度栲</w:t>
            </w:r>
            <w:r>
              <w:rPr>
                <w:rFonts w:hint="default" w:ascii="Times New Roman" w:hAnsi="Times New Roman" w:eastAsia="宋体" w:cs="Times New Roman"/>
                <w:i/>
                <w:color w:val="auto"/>
                <w:sz w:val="24"/>
                <w:szCs w:val="24"/>
              </w:rPr>
              <w:t>Castanopsis indica</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Eurya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、鱼尾葵</w:t>
            </w:r>
            <w:r>
              <w:rPr>
                <w:rFonts w:hint="default" w:ascii="Times New Roman" w:hAnsi="Times New Roman" w:eastAsia="宋体" w:cs="Times New Roman"/>
                <w:i/>
                <w:color w:val="auto"/>
                <w:sz w:val="24"/>
                <w:szCs w:val="24"/>
              </w:rPr>
              <w:t>Caryota ochlandra</w:t>
            </w:r>
            <w:r>
              <w:rPr>
                <w:rFonts w:hint="default" w:ascii="Times New Roman" w:hAnsi="Times New Roman" w:eastAsia="宋体" w:cs="Times New Roman"/>
                <w:color w:val="auto"/>
                <w:sz w:val="24"/>
                <w:szCs w:val="24"/>
              </w:rPr>
              <w:t>、柄果海桐</w:t>
            </w:r>
            <w:r>
              <w:rPr>
                <w:rFonts w:hint="default" w:ascii="Times New Roman" w:hAnsi="Times New Roman" w:eastAsia="宋体" w:cs="Times New Roman"/>
                <w:i/>
                <w:color w:val="auto"/>
                <w:sz w:val="24"/>
                <w:szCs w:val="24"/>
              </w:rPr>
              <w:t>Pittosporum podocarpum</w:t>
            </w:r>
            <w:r>
              <w:rPr>
                <w:rFonts w:hint="default" w:ascii="Times New Roman" w:hAnsi="Times New Roman" w:eastAsia="宋体" w:cs="Times New Roman"/>
                <w:color w:val="auto"/>
                <w:sz w:val="24"/>
                <w:szCs w:val="24"/>
              </w:rPr>
              <w:t>等。</w:t>
            </w:r>
          </w:p>
          <w:p w14:paraId="2442DED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灌木层种类丰富，层盖度约为30％~40%，主要的种类银柴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、三桠苦</w:t>
            </w:r>
            <w:r>
              <w:rPr>
                <w:rFonts w:hint="default" w:ascii="Times New Roman" w:hAnsi="Times New Roman" w:eastAsia="宋体" w:cs="Times New Roman"/>
                <w:i/>
                <w:color w:val="auto"/>
                <w:sz w:val="24"/>
                <w:szCs w:val="24"/>
              </w:rPr>
              <w:t>Euodia lepta</w:t>
            </w:r>
            <w:r>
              <w:rPr>
                <w:rFonts w:hint="default" w:ascii="Times New Roman" w:hAnsi="Times New Roman" w:eastAsia="宋体" w:cs="Times New Roman"/>
                <w:color w:val="auto"/>
                <w:sz w:val="24"/>
                <w:szCs w:val="24"/>
              </w:rPr>
              <w:t>、假杜鹃</w:t>
            </w:r>
            <w:r>
              <w:rPr>
                <w:rFonts w:hint="default" w:ascii="Times New Roman" w:hAnsi="Times New Roman" w:eastAsia="宋体" w:cs="Times New Roman"/>
                <w:i/>
                <w:color w:val="auto"/>
                <w:sz w:val="24"/>
                <w:szCs w:val="24"/>
              </w:rPr>
              <w:t>Barleria cristata</w:t>
            </w:r>
            <w:r>
              <w:rPr>
                <w:rFonts w:hint="default" w:ascii="Times New Roman" w:hAnsi="Times New Roman" w:eastAsia="宋体" w:cs="Times New Roman"/>
                <w:color w:val="auto"/>
                <w:sz w:val="24"/>
                <w:szCs w:val="24"/>
              </w:rPr>
              <w:t>、毛果算盘子</w:t>
            </w:r>
            <w:r>
              <w:rPr>
                <w:rFonts w:hint="default" w:ascii="Times New Roman" w:hAnsi="Times New Roman" w:eastAsia="宋体" w:cs="Times New Roman"/>
                <w:i/>
                <w:color w:val="auto"/>
                <w:sz w:val="24"/>
                <w:szCs w:val="24"/>
              </w:rPr>
              <w:t>Glochidion eriocarpum</w:t>
            </w:r>
            <w:r>
              <w:rPr>
                <w:rFonts w:hint="default" w:ascii="Times New Roman" w:hAnsi="Times New Roman" w:eastAsia="宋体" w:cs="Times New Roman"/>
                <w:color w:val="auto"/>
                <w:sz w:val="24"/>
                <w:szCs w:val="24"/>
              </w:rPr>
              <w:t>、红花三台</w:t>
            </w:r>
            <w:r>
              <w:rPr>
                <w:rFonts w:hint="default" w:ascii="Times New Roman" w:hAnsi="Times New Roman" w:eastAsia="宋体" w:cs="Times New Roman"/>
                <w:i/>
                <w:color w:val="auto"/>
                <w:sz w:val="24"/>
                <w:szCs w:val="24"/>
              </w:rPr>
              <w:t>Clerodendrum serratum</w:t>
            </w:r>
            <w:r>
              <w:rPr>
                <w:rFonts w:hint="default" w:ascii="Times New Roman" w:hAnsi="Times New Roman" w:eastAsia="宋体" w:cs="Times New Roman"/>
                <w:color w:val="auto"/>
                <w:sz w:val="24"/>
                <w:szCs w:val="24"/>
              </w:rPr>
              <w:t>、臭牡丹</w:t>
            </w:r>
            <w:r>
              <w:rPr>
                <w:rFonts w:hint="default" w:ascii="Times New Roman" w:hAnsi="Times New Roman" w:eastAsia="宋体" w:cs="Times New Roman"/>
                <w:i/>
                <w:color w:val="auto"/>
                <w:sz w:val="24"/>
                <w:szCs w:val="24"/>
              </w:rPr>
              <w:t>Clerodendron bungei</w:t>
            </w:r>
            <w:r>
              <w:rPr>
                <w:rFonts w:hint="default" w:ascii="Times New Roman" w:hAnsi="Times New Roman" w:eastAsia="宋体" w:cs="Times New Roman"/>
                <w:color w:val="auto"/>
                <w:sz w:val="24"/>
                <w:szCs w:val="24"/>
              </w:rPr>
              <w:t>、杜茎山</w:t>
            </w:r>
            <w:r>
              <w:rPr>
                <w:rFonts w:hint="default" w:ascii="Times New Roman" w:hAnsi="Times New Roman" w:eastAsia="宋体" w:cs="Times New Roman"/>
                <w:i/>
                <w:color w:val="auto"/>
                <w:sz w:val="24"/>
                <w:szCs w:val="24"/>
              </w:rPr>
              <w:t>Maesa japonica</w:t>
            </w:r>
            <w:r>
              <w:rPr>
                <w:rFonts w:hint="default" w:ascii="Times New Roman" w:hAnsi="Times New Roman" w:eastAsia="宋体" w:cs="Times New Roman"/>
                <w:color w:val="auto"/>
                <w:sz w:val="24"/>
                <w:szCs w:val="24"/>
              </w:rPr>
              <w:t>、粗叶榕</w:t>
            </w:r>
            <w:r>
              <w:rPr>
                <w:rFonts w:hint="default" w:ascii="Times New Roman" w:hAnsi="Times New Roman" w:eastAsia="宋体" w:cs="Times New Roman"/>
                <w:i/>
                <w:color w:val="auto"/>
                <w:sz w:val="24"/>
                <w:szCs w:val="24"/>
              </w:rPr>
              <w:t>Ficus hirta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、展毛野牡丹</w:t>
            </w:r>
            <w:r>
              <w:rPr>
                <w:rFonts w:hint="default" w:ascii="Times New Roman" w:hAnsi="Times New Roman" w:eastAsia="宋体" w:cs="Times New Roman"/>
                <w:i/>
                <w:color w:val="auto"/>
                <w:sz w:val="24"/>
                <w:szCs w:val="24"/>
              </w:rPr>
              <w:t>Melastoma normale</w:t>
            </w:r>
            <w:r>
              <w:rPr>
                <w:rFonts w:hint="default" w:ascii="Times New Roman" w:hAnsi="Times New Roman" w:eastAsia="宋体" w:cs="Times New Roman"/>
                <w:color w:val="auto"/>
                <w:sz w:val="24"/>
                <w:szCs w:val="24"/>
              </w:rPr>
              <w:t>、五月茶</w:t>
            </w:r>
            <w:r>
              <w:rPr>
                <w:rFonts w:hint="default" w:ascii="Times New Roman" w:hAnsi="Times New Roman" w:eastAsia="宋体" w:cs="Times New Roman"/>
                <w:i/>
                <w:color w:val="auto"/>
                <w:sz w:val="24"/>
                <w:szCs w:val="24"/>
              </w:rPr>
              <w:t>Antidesma bunius</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 xml:space="preserve">Eurya groffii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、小芸木</w:t>
            </w:r>
            <w:r>
              <w:rPr>
                <w:rFonts w:hint="default" w:ascii="Times New Roman" w:hAnsi="Times New Roman" w:eastAsia="宋体" w:cs="Times New Roman"/>
                <w:i/>
                <w:color w:val="auto"/>
                <w:sz w:val="24"/>
                <w:szCs w:val="24"/>
              </w:rPr>
              <w:t>Micromelum integerrimum</w:t>
            </w:r>
            <w:r>
              <w:rPr>
                <w:rFonts w:hint="default" w:ascii="Times New Roman" w:hAnsi="Times New Roman" w:eastAsia="宋体" w:cs="Times New Roman"/>
                <w:color w:val="auto"/>
                <w:sz w:val="24"/>
                <w:szCs w:val="24"/>
              </w:rPr>
              <w:t>、地桃花</w:t>
            </w:r>
            <w:r>
              <w:rPr>
                <w:rFonts w:hint="default" w:ascii="Times New Roman" w:hAnsi="Times New Roman" w:eastAsia="宋体" w:cs="Times New Roman"/>
                <w:i/>
                <w:color w:val="auto"/>
                <w:sz w:val="24"/>
                <w:szCs w:val="24"/>
              </w:rPr>
              <w:t>Urena lobata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、鳔冠花</w:t>
            </w:r>
            <w:r>
              <w:rPr>
                <w:rFonts w:hint="default" w:ascii="Times New Roman" w:hAnsi="Times New Roman" w:eastAsia="宋体" w:cs="Times New Roman"/>
                <w:i/>
                <w:color w:val="auto"/>
                <w:sz w:val="24"/>
                <w:szCs w:val="24"/>
              </w:rPr>
              <w:t>Cystacanthus paniculantus</w:t>
            </w:r>
            <w:r>
              <w:rPr>
                <w:rFonts w:hint="default" w:ascii="Times New Roman" w:hAnsi="Times New Roman" w:eastAsia="宋体" w:cs="Times New Roman"/>
                <w:color w:val="auto"/>
                <w:sz w:val="24"/>
                <w:szCs w:val="24"/>
              </w:rPr>
              <w:t>、苦丁茶</w:t>
            </w:r>
            <w:r>
              <w:rPr>
                <w:rFonts w:hint="default" w:ascii="Times New Roman" w:hAnsi="Times New Roman" w:eastAsia="宋体" w:cs="Times New Roman"/>
                <w:i/>
                <w:color w:val="auto"/>
                <w:sz w:val="24"/>
                <w:szCs w:val="24"/>
              </w:rPr>
              <w:t>Cratoxylum formosum</w:t>
            </w:r>
            <w:r>
              <w:rPr>
                <w:rFonts w:hint="default" w:ascii="Times New Roman" w:hAnsi="Times New Roman" w:eastAsia="宋体" w:cs="Times New Roman"/>
                <w:color w:val="auto"/>
                <w:sz w:val="24"/>
                <w:szCs w:val="24"/>
              </w:rPr>
              <w:t xml:space="preserve"> ssp.</w:t>
            </w:r>
            <w:r>
              <w:rPr>
                <w:rFonts w:hint="default" w:ascii="Times New Roman" w:hAnsi="Times New Roman" w:eastAsia="宋体" w:cs="Times New Roman"/>
                <w:i/>
                <w:color w:val="auto"/>
                <w:sz w:val="24"/>
                <w:szCs w:val="24"/>
              </w:rPr>
              <w:t xml:space="preserve"> pruniflorum</w:t>
            </w:r>
            <w:r>
              <w:rPr>
                <w:rFonts w:hint="default" w:ascii="Times New Roman" w:hAnsi="Times New Roman" w:eastAsia="宋体" w:cs="Times New Roman"/>
                <w:color w:val="auto"/>
                <w:sz w:val="24"/>
                <w:szCs w:val="24"/>
              </w:rPr>
              <w:t>等。此外，还有大叶鼠刺</w:t>
            </w:r>
            <w:r>
              <w:rPr>
                <w:rFonts w:hint="default" w:ascii="Times New Roman" w:hAnsi="Times New Roman" w:eastAsia="宋体" w:cs="Times New Roman"/>
                <w:i/>
                <w:color w:val="auto"/>
                <w:sz w:val="24"/>
                <w:szCs w:val="24"/>
              </w:rPr>
              <w:t>Itea macrophylla</w:t>
            </w:r>
            <w:r>
              <w:rPr>
                <w:rFonts w:hint="default" w:ascii="Times New Roman" w:hAnsi="Times New Roman" w:eastAsia="宋体" w:cs="Times New Roman"/>
                <w:color w:val="auto"/>
                <w:sz w:val="24"/>
                <w:szCs w:val="24"/>
              </w:rPr>
              <w:t>、龙陵栲</w:t>
            </w:r>
            <w:r>
              <w:rPr>
                <w:rFonts w:hint="default" w:ascii="Times New Roman" w:hAnsi="Times New Roman" w:eastAsia="宋体" w:cs="Times New Roman"/>
                <w:i/>
                <w:color w:val="auto"/>
                <w:sz w:val="24"/>
                <w:szCs w:val="24"/>
              </w:rPr>
              <w:t>Castanopsis rockii</w:t>
            </w:r>
            <w:r>
              <w:rPr>
                <w:rFonts w:hint="default" w:ascii="Times New Roman" w:hAnsi="Times New Roman" w:eastAsia="宋体" w:cs="Times New Roman"/>
                <w:color w:val="auto"/>
                <w:sz w:val="24"/>
                <w:szCs w:val="24"/>
              </w:rPr>
              <w:t>、粗糠柴</w:t>
            </w:r>
            <w:r>
              <w:rPr>
                <w:rFonts w:hint="default" w:ascii="Times New Roman" w:hAnsi="Times New Roman" w:eastAsia="宋体" w:cs="Times New Roman"/>
                <w:i/>
                <w:color w:val="auto"/>
                <w:sz w:val="24"/>
                <w:szCs w:val="24"/>
              </w:rPr>
              <w:t>Mallotus philippensis</w:t>
            </w:r>
            <w:r>
              <w:rPr>
                <w:rFonts w:hint="default" w:ascii="Times New Roman" w:hAnsi="Times New Roman" w:eastAsia="宋体" w:cs="Times New Roman"/>
                <w:color w:val="auto"/>
                <w:sz w:val="24"/>
                <w:szCs w:val="24"/>
              </w:rPr>
              <w:t>、柴桂</w:t>
            </w:r>
            <w:r>
              <w:rPr>
                <w:rFonts w:hint="default" w:ascii="Times New Roman" w:hAnsi="Times New Roman" w:eastAsia="宋体" w:cs="Times New Roman"/>
                <w:i/>
                <w:color w:val="auto"/>
                <w:sz w:val="24"/>
                <w:szCs w:val="24"/>
              </w:rPr>
              <w:t>Cinnamomum tamala</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、艾胶算盘子</w:t>
            </w:r>
            <w:r>
              <w:rPr>
                <w:rFonts w:hint="default" w:ascii="Times New Roman" w:hAnsi="Times New Roman" w:eastAsia="宋体" w:cs="Times New Roman"/>
                <w:i/>
                <w:color w:val="auto"/>
                <w:sz w:val="24"/>
                <w:szCs w:val="24"/>
              </w:rPr>
              <w:t>Glochidion lanceolarium</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、合果木</w:t>
            </w:r>
            <w:r>
              <w:rPr>
                <w:rFonts w:hint="default" w:ascii="Times New Roman" w:hAnsi="Times New Roman" w:eastAsia="宋体" w:cs="Times New Roman"/>
                <w:i/>
                <w:color w:val="auto"/>
                <w:sz w:val="24"/>
                <w:szCs w:val="24"/>
              </w:rPr>
              <w:t>Paramichelia baillonii</w:t>
            </w:r>
            <w:r>
              <w:rPr>
                <w:rFonts w:hint="default" w:ascii="Times New Roman" w:hAnsi="Times New Roman" w:eastAsia="宋体" w:cs="Times New Roman"/>
                <w:color w:val="auto"/>
                <w:sz w:val="24"/>
                <w:szCs w:val="24"/>
              </w:rPr>
              <w:t>、海南蒲桃</w:t>
            </w:r>
            <w:r>
              <w:rPr>
                <w:rFonts w:hint="default" w:ascii="Times New Roman" w:hAnsi="Times New Roman" w:eastAsia="宋体" w:cs="Times New Roman"/>
                <w:i/>
                <w:color w:val="auto"/>
                <w:sz w:val="24"/>
                <w:szCs w:val="24"/>
              </w:rPr>
              <w:t>Syzygium cumini</w:t>
            </w:r>
            <w:r>
              <w:rPr>
                <w:rFonts w:hint="default" w:ascii="Times New Roman" w:hAnsi="Times New Roman" w:eastAsia="宋体" w:cs="Times New Roman"/>
                <w:color w:val="auto"/>
                <w:sz w:val="24"/>
                <w:szCs w:val="24"/>
              </w:rPr>
              <w:t>等乔木树种的幼树。</w:t>
            </w:r>
          </w:p>
          <w:p w14:paraId="6B16E9B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草本层植物种类较少，层盖度大，约为70%，高度约1m左右，主要种类有红豆蔻</w:t>
            </w:r>
            <w:r>
              <w:rPr>
                <w:rFonts w:hint="default" w:ascii="Times New Roman" w:hAnsi="Times New Roman" w:eastAsia="宋体" w:cs="Times New Roman"/>
                <w:i/>
                <w:color w:val="auto"/>
                <w:sz w:val="24"/>
                <w:szCs w:val="24"/>
              </w:rPr>
              <w:t>Alpinia bracteata</w:t>
            </w:r>
            <w:r>
              <w:rPr>
                <w:rFonts w:hint="default" w:ascii="Times New Roman" w:hAnsi="Times New Roman" w:eastAsia="宋体" w:cs="Times New Roman"/>
                <w:color w:val="auto"/>
                <w:sz w:val="24"/>
                <w:szCs w:val="24"/>
              </w:rPr>
              <w:t>、金发草</w:t>
            </w:r>
            <w:r>
              <w:rPr>
                <w:rFonts w:hint="default" w:ascii="Times New Roman" w:hAnsi="Times New Roman" w:eastAsia="宋体" w:cs="Times New Roman"/>
                <w:i/>
                <w:color w:val="auto"/>
                <w:sz w:val="24"/>
                <w:szCs w:val="24"/>
              </w:rPr>
              <w:t>Pogonatherum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paniceum</w:t>
            </w:r>
            <w:r>
              <w:rPr>
                <w:rFonts w:hint="default" w:ascii="Times New Roman" w:hAnsi="Times New Roman" w:eastAsia="宋体" w:cs="Times New Roman"/>
                <w:color w:val="auto"/>
                <w:sz w:val="24"/>
                <w:szCs w:val="24"/>
              </w:rPr>
              <w:t>、棕叶芦</w:t>
            </w:r>
            <w:r>
              <w:rPr>
                <w:rFonts w:hint="default" w:ascii="Times New Roman" w:hAnsi="Times New Roman" w:eastAsia="宋体" w:cs="Times New Roman"/>
                <w:i/>
                <w:color w:val="auto"/>
                <w:sz w:val="24"/>
                <w:szCs w:val="24"/>
              </w:rPr>
              <w:t>Thysanolaena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maxima</w:t>
            </w:r>
            <w:r>
              <w:rPr>
                <w:rFonts w:hint="default" w:ascii="Times New Roman" w:hAnsi="Times New Roman" w:eastAsia="宋体" w:cs="Times New Roman"/>
                <w:color w:val="auto"/>
                <w:sz w:val="24"/>
                <w:szCs w:val="24"/>
              </w:rPr>
              <w:t>、盈江砂仁</w:t>
            </w:r>
            <w:r>
              <w:rPr>
                <w:rFonts w:hint="default" w:ascii="Times New Roman" w:hAnsi="Times New Roman" w:eastAsia="宋体" w:cs="Times New Roman"/>
                <w:i/>
                <w:color w:val="auto"/>
                <w:sz w:val="24"/>
                <w:szCs w:val="24"/>
              </w:rPr>
              <w:t>Amomum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yingjiangense</w:t>
            </w:r>
            <w:r>
              <w:rPr>
                <w:rFonts w:hint="default" w:ascii="Times New Roman" w:hAnsi="Times New Roman" w:eastAsia="宋体" w:cs="Times New Roman"/>
                <w:color w:val="auto"/>
                <w:sz w:val="24"/>
                <w:szCs w:val="24"/>
              </w:rPr>
              <w:t>、凤尾蕨</w:t>
            </w:r>
            <w:r>
              <w:rPr>
                <w:rFonts w:hint="default" w:ascii="Times New Roman" w:hAnsi="Times New Roman" w:eastAsia="宋体" w:cs="Times New Roman"/>
                <w:i/>
                <w:color w:val="auto"/>
                <w:sz w:val="24"/>
                <w:szCs w:val="24"/>
              </w:rPr>
              <w:t>Pteris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nervosa</w:t>
            </w:r>
            <w:r>
              <w:rPr>
                <w:rFonts w:hint="default" w:ascii="Times New Roman" w:hAnsi="Times New Roman" w:eastAsia="宋体" w:cs="Times New Roman"/>
                <w:color w:val="auto"/>
                <w:sz w:val="24"/>
                <w:szCs w:val="24"/>
              </w:rPr>
              <w:t>、红球姜</w:t>
            </w:r>
            <w:r>
              <w:rPr>
                <w:rFonts w:hint="default" w:ascii="Times New Roman" w:hAnsi="Times New Roman" w:eastAsia="宋体" w:cs="Times New Roman"/>
                <w:i/>
                <w:color w:val="auto"/>
                <w:sz w:val="24"/>
                <w:szCs w:val="24"/>
              </w:rPr>
              <w:t>Zingiber</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zerumbet</w:t>
            </w:r>
            <w:r>
              <w:rPr>
                <w:rFonts w:hint="default" w:ascii="Times New Roman" w:hAnsi="Times New Roman" w:eastAsia="宋体" w:cs="Times New Roman"/>
                <w:color w:val="auto"/>
                <w:sz w:val="24"/>
                <w:szCs w:val="24"/>
              </w:rPr>
              <w:t>、沼兰</w:t>
            </w:r>
            <w:r>
              <w:rPr>
                <w:rFonts w:hint="default" w:ascii="Times New Roman" w:hAnsi="Times New Roman" w:eastAsia="宋体" w:cs="Times New Roman"/>
                <w:i/>
                <w:color w:val="auto"/>
                <w:sz w:val="24"/>
                <w:szCs w:val="24"/>
              </w:rPr>
              <w:t>Malaxis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monophyllos</w:t>
            </w:r>
            <w:r>
              <w:rPr>
                <w:rFonts w:hint="default" w:ascii="Times New Roman" w:hAnsi="Times New Roman" w:eastAsia="宋体" w:cs="Times New Roman"/>
                <w:color w:val="auto"/>
                <w:sz w:val="24"/>
                <w:szCs w:val="24"/>
              </w:rPr>
              <w:t>、火炭母</w:t>
            </w:r>
            <w:r>
              <w:rPr>
                <w:rFonts w:hint="default" w:ascii="Times New Roman" w:hAnsi="Times New Roman" w:eastAsia="宋体" w:cs="Times New Roman"/>
                <w:i/>
                <w:color w:val="auto"/>
                <w:sz w:val="24"/>
                <w:szCs w:val="24"/>
              </w:rPr>
              <w:t>Polygonum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chinense</w:t>
            </w:r>
            <w:r>
              <w:rPr>
                <w:rFonts w:hint="default" w:ascii="Times New Roman" w:hAnsi="Times New Roman" w:eastAsia="宋体" w:cs="Times New Roman"/>
                <w:color w:val="auto"/>
                <w:sz w:val="24"/>
                <w:szCs w:val="24"/>
              </w:rPr>
              <w:t>、柳叶斑鸠菊</w:t>
            </w:r>
            <w:r>
              <w:rPr>
                <w:rFonts w:hint="default" w:ascii="Times New Roman" w:hAnsi="Times New Roman" w:eastAsia="宋体" w:cs="Times New Roman"/>
                <w:i/>
                <w:color w:val="auto"/>
                <w:sz w:val="24"/>
                <w:szCs w:val="24"/>
              </w:rPr>
              <w:t>Vernonia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saligna</w:t>
            </w:r>
            <w:r>
              <w:rPr>
                <w:rFonts w:hint="default" w:ascii="Times New Roman" w:hAnsi="Times New Roman" w:eastAsia="宋体" w:cs="Times New Roman"/>
                <w:color w:val="auto"/>
                <w:sz w:val="24"/>
                <w:szCs w:val="24"/>
              </w:rPr>
              <w:t>、畦畔莎草</w:t>
            </w:r>
            <w:r>
              <w:rPr>
                <w:rFonts w:hint="default" w:ascii="Times New Roman" w:hAnsi="Times New Roman" w:eastAsia="宋体" w:cs="Times New Roman"/>
                <w:i/>
                <w:color w:val="auto"/>
                <w:sz w:val="24"/>
                <w:szCs w:val="24"/>
              </w:rPr>
              <w:t>Cyperus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haspan</w:t>
            </w:r>
            <w:r>
              <w:rPr>
                <w:rFonts w:hint="default" w:ascii="Times New Roman" w:hAnsi="Times New Roman" w:eastAsia="宋体" w:cs="Times New Roman"/>
                <w:color w:val="auto"/>
                <w:sz w:val="24"/>
                <w:szCs w:val="24"/>
              </w:rPr>
              <w:t>、大将军</w:t>
            </w:r>
            <w:r>
              <w:rPr>
                <w:rFonts w:hint="default" w:ascii="Times New Roman" w:hAnsi="Times New Roman" w:eastAsia="宋体" w:cs="Times New Roman"/>
                <w:i/>
                <w:color w:val="auto"/>
                <w:sz w:val="24"/>
                <w:szCs w:val="24"/>
              </w:rPr>
              <w:t>Lobelia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clavata</w:t>
            </w:r>
            <w:r>
              <w:rPr>
                <w:rFonts w:hint="default" w:ascii="Times New Roman" w:hAnsi="Times New Roman" w:eastAsia="宋体" w:cs="Times New Roman"/>
                <w:color w:val="auto"/>
                <w:sz w:val="24"/>
                <w:szCs w:val="24"/>
              </w:rPr>
              <w:t>等。</w:t>
            </w:r>
          </w:p>
          <w:p w14:paraId="7699A2C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群落中有一些附生和藤本植物，海金沙</w:t>
            </w:r>
            <w:r>
              <w:rPr>
                <w:rFonts w:hint="default" w:ascii="Times New Roman" w:hAnsi="Times New Roman" w:eastAsia="宋体" w:cs="Times New Roman"/>
                <w:i/>
                <w:color w:val="auto"/>
                <w:sz w:val="24"/>
                <w:szCs w:val="24"/>
              </w:rPr>
              <w:t>Lygodium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japonicum</w:t>
            </w:r>
            <w:r>
              <w:rPr>
                <w:rFonts w:hint="default" w:ascii="Times New Roman" w:hAnsi="Times New Roman" w:eastAsia="宋体" w:cs="Times New Roman"/>
                <w:color w:val="auto"/>
                <w:sz w:val="24"/>
                <w:szCs w:val="24"/>
              </w:rPr>
              <w:t>、灯油藤</w:t>
            </w:r>
            <w:r>
              <w:rPr>
                <w:rFonts w:hint="default" w:ascii="Times New Roman" w:hAnsi="Times New Roman" w:eastAsia="宋体" w:cs="Times New Roman"/>
                <w:i/>
                <w:color w:val="auto"/>
                <w:sz w:val="24"/>
                <w:szCs w:val="24"/>
              </w:rPr>
              <w:t>Celastrus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paniculatus</w:t>
            </w:r>
            <w:r>
              <w:rPr>
                <w:rFonts w:hint="default" w:ascii="Times New Roman" w:hAnsi="Times New Roman" w:eastAsia="宋体" w:cs="Times New Roman"/>
                <w:color w:val="auto"/>
                <w:sz w:val="24"/>
                <w:szCs w:val="24"/>
              </w:rPr>
              <w:t>、玉叶金花</w:t>
            </w:r>
            <w:r>
              <w:rPr>
                <w:rFonts w:hint="default" w:ascii="Times New Roman" w:hAnsi="Times New Roman" w:eastAsia="宋体" w:cs="Times New Roman"/>
                <w:i/>
                <w:color w:val="auto"/>
                <w:sz w:val="24"/>
                <w:szCs w:val="24"/>
              </w:rPr>
              <w:t>Mussaenda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esquirolii</w:t>
            </w:r>
            <w:r>
              <w:rPr>
                <w:rFonts w:hint="default" w:ascii="Times New Roman" w:hAnsi="Times New Roman" w:eastAsia="宋体" w:cs="Times New Roman"/>
                <w:color w:val="auto"/>
                <w:sz w:val="24"/>
                <w:szCs w:val="24"/>
              </w:rPr>
              <w:t>、青紫葛</w:t>
            </w:r>
            <w:r>
              <w:rPr>
                <w:rFonts w:hint="default" w:ascii="Times New Roman" w:hAnsi="Times New Roman" w:eastAsia="宋体" w:cs="Times New Roman"/>
                <w:i/>
                <w:color w:val="auto"/>
                <w:sz w:val="24"/>
                <w:szCs w:val="24"/>
              </w:rPr>
              <w:t>Cissus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javana</w:t>
            </w:r>
            <w:r>
              <w:rPr>
                <w:rFonts w:hint="default" w:ascii="Times New Roman" w:hAnsi="Times New Roman" w:eastAsia="宋体" w:cs="Times New Roman"/>
                <w:color w:val="auto"/>
                <w:sz w:val="24"/>
                <w:szCs w:val="24"/>
              </w:rPr>
              <w:t>、含羞草叶黄檀</w:t>
            </w:r>
            <w:r>
              <w:rPr>
                <w:rFonts w:hint="default" w:ascii="Times New Roman" w:hAnsi="Times New Roman" w:eastAsia="宋体" w:cs="Times New Roman"/>
                <w:i/>
                <w:color w:val="auto"/>
                <w:sz w:val="24"/>
                <w:szCs w:val="24"/>
              </w:rPr>
              <w:t>Dalbergia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mimosoides</w:t>
            </w:r>
            <w:r>
              <w:rPr>
                <w:rFonts w:hint="default" w:ascii="Times New Roman" w:hAnsi="Times New Roman" w:eastAsia="宋体" w:cs="Times New Roman"/>
                <w:color w:val="auto"/>
                <w:sz w:val="24"/>
                <w:szCs w:val="24"/>
              </w:rPr>
              <w:t>、多花酸藤子</w:t>
            </w:r>
            <w:r>
              <w:rPr>
                <w:rFonts w:hint="default" w:ascii="Times New Roman" w:hAnsi="Times New Roman" w:eastAsia="宋体" w:cs="Times New Roman"/>
                <w:i/>
                <w:color w:val="auto"/>
                <w:sz w:val="24"/>
                <w:szCs w:val="24"/>
              </w:rPr>
              <w:t>Embelia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floribunda</w:t>
            </w:r>
            <w:r>
              <w:rPr>
                <w:rFonts w:hint="default" w:ascii="Times New Roman" w:hAnsi="Times New Roman" w:eastAsia="宋体" w:cs="Times New Roman"/>
                <w:color w:val="auto"/>
                <w:sz w:val="24"/>
                <w:szCs w:val="24"/>
              </w:rPr>
              <w:t>、买麻藤</w:t>
            </w:r>
            <w:r>
              <w:rPr>
                <w:rFonts w:hint="default" w:ascii="Times New Roman" w:hAnsi="Times New Roman" w:eastAsia="宋体" w:cs="Times New Roman"/>
                <w:i/>
                <w:color w:val="auto"/>
                <w:sz w:val="24"/>
                <w:szCs w:val="24"/>
              </w:rPr>
              <w:t>Gnetum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montanum</w:t>
            </w:r>
            <w:r>
              <w:rPr>
                <w:rFonts w:hint="default" w:ascii="Times New Roman" w:hAnsi="Times New Roman" w:eastAsia="宋体" w:cs="Times New Roman"/>
                <w:color w:val="auto"/>
                <w:sz w:val="24"/>
                <w:szCs w:val="24"/>
              </w:rPr>
              <w:t>、多毛叶薯蓣</w:t>
            </w:r>
            <w:r>
              <w:rPr>
                <w:rFonts w:hint="default" w:ascii="Times New Roman" w:hAnsi="Times New Roman" w:eastAsia="宋体" w:cs="Times New Roman"/>
                <w:i/>
                <w:color w:val="auto"/>
                <w:sz w:val="24"/>
                <w:szCs w:val="24"/>
              </w:rPr>
              <w:t>Dioscorea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decipiens</w:t>
            </w:r>
            <w:r>
              <w:rPr>
                <w:rFonts w:hint="default" w:ascii="Times New Roman" w:hAnsi="Times New Roman" w:eastAsia="宋体" w:cs="Times New Roman"/>
                <w:color w:val="auto"/>
                <w:sz w:val="24"/>
                <w:szCs w:val="24"/>
              </w:rPr>
              <w:t>、土茯苓Smilax glabra等。</w:t>
            </w:r>
          </w:p>
          <w:p w14:paraId="05FF0692">
            <w:pPr>
              <w:pStyle w:val="57"/>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4"/>
                <w:lang w:eastAsia="zh-TW"/>
              </w:rPr>
              <w:t>B、</w:t>
            </w:r>
            <w:r>
              <w:rPr>
                <w:rFonts w:hint="eastAsia" w:cs="Times New Roman"/>
                <w:color w:val="auto"/>
                <w:lang w:val="en-US" w:eastAsia="zh-CN"/>
              </w:rPr>
              <w:t>竹林</w:t>
            </w:r>
          </w:p>
          <w:p w14:paraId="4516EE2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该植被类型</w:t>
            </w:r>
            <w:r>
              <w:rPr>
                <w:rFonts w:hint="eastAsia" w:ascii="Times New Roman" w:hAnsi="Times New Roman" w:eastAsia="宋体" w:cs="Times New Roman"/>
                <w:color w:val="auto"/>
                <w:sz w:val="24"/>
                <w:szCs w:val="24"/>
                <w:lang w:val="en-US" w:eastAsia="zh-CN"/>
              </w:rPr>
              <w:t>零散分布于项目区中部、东部</w:t>
            </w:r>
            <w:r>
              <w:rPr>
                <w:rFonts w:hint="default" w:ascii="Times New Roman" w:hAnsi="Times New Roman" w:eastAsia="宋体" w:cs="Times New Roman"/>
                <w:color w:val="auto"/>
                <w:sz w:val="24"/>
                <w:szCs w:val="24"/>
              </w:rPr>
              <w:t>，具有次生性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高度5-15m。</w:t>
            </w:r>
          </w:p>
          <w:p w14:paraId="621F9148">
            <w:pPr>
              <w:pStyle w:val="57"/>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C、</w:t>
            </w:r>
            <w:r>
              <w:rPr>
                <w:rFonts w:hint="eastAsia" w:cs="Times New Roman"/>
                <w:color w:val="auto"/>
                <w:szCs w:val="24"/>
                <w:lang w:val="en-US" w:eastAsia="zh-CN"/>
              </w:rPr>
              <w:t>暖</w:t>
            </w:r>
            <w:r>
              <w:rPr>
                <w:rFonts w:hint="default" w:ascii="Times New Roman" w:hAnsi="Times New Roman" w:eastAsia="宋体" w:cs="Times New Roman"/>
                <w:color w:val="auto"/>
              </w:rPr>
              <w:t>热性稀树灌草丛</w:t>
            </w:r>
          </w:p>
          <w:p w14:paraId="5F03289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评价区内的稀树灌草丛主要位于项目</w:t>
            </w:r>
            <w:r>
              <w:rPr>
                <w:rFonts w:hint="eastAsia" w:ascii="Times New Roman" w:hAnsi="Times New Roman" w:eastAsia="宋体" w:cs="Times New Roman"/>
                <w:color w:val="auto"/>
                <w:sz w:val="24"/>
                <w:szCs w:val="24"/>
                <w:lang w:val="en-US" w:eastAsia="zh-CN"/>
              </w:rPr>
              <w:t>南部</w:t>
            </w:r>
            <w:r>
              <w:rPr>
                <w:rFonts w:hint="default" w:ascii="Times New Roman" w:hAnsi="Times New Roman" w:eastAsia="宋体" w:cs="Times New Roman"/>
                <w:color w:val="auto"/>
                <w:sz w:val="24"/>
                <w:szCs w:val="24"/>
              </w:rPr>
              <w:t>及</w:t>
            </w:r>
            <w:r>
              <w:rPr>
                <w:rFonts w:hint="eastAsia" w:ascii="Times New Roman" w:hAnsi="Times New Roman" w:eastAsia="宋体" w:cs="Times New Roman"/>
                <w:color w:val="auto"/>
                <w:sz w:val="24"/>
                <w:szCs w:val="24"/>
                <w:lang w:val="en-US" w:eastAsia="zh-CN"/>
              </w:rPr>
              <w:t>中部</w:t>
            </w:r>
            <w:r>
              <w:rPr>
                <w:rFonts w:hint="default" w:ascii="Times New Roman" w:hAnsi="Times New Roman" w:eastAsia="宋体" w:cs="Times New Roman"/>
                <w:color w:val="auto"/>
                <w:sz w:val="24"/>
                <w:szCs w:val="24"/>
              </w:rPr>
              <w:t>部，群落中乔木极少，以灌木为主，稀树灌草</w:t>
            </w:r>
            <w:r>
              <w:rPr>
                <w:rFonts w:hint="eastAsia" w:ascii="Times New Roman" w:hAnsi="Times New Roman" w:eastAsia="宋体" w:cs="Times New Roman"/>
                <w:color w:val="auto"/>
                <w:sz w:val="24"/>
                <w:szCs w:val="24"/>
                <w:lang w:val="en-US" w:eastAsia="zh-CN"/>
              </w:rPr>
              <w:t>较多的地方</w:t>
            </w:r>
            <w:r>
              <w:rPr>
                <w:rFonts w:hint="default" w:ascii="Times New Roman" w:hAnsi="Times New Roman" w:eastAsia="宋体" w:cs="Times New Roman"/>
                <w:color w:val="auto"/>
                <w:sz w:val="24"/>
                <w:szCs w:val="24"/>
              </w:rPr>
              <w:t>灌木层盖度约为20%，稀树灌草</w:t>
            </w:r>
            <w:r>
              <w:rPr>
                <w:rFonts w:hint="eastAsia" w:ascii="Times New Roman" w:hAnsi="Times New Roman" w:eastAsia="宋体" w:cs="Times New Roman"/>
                <w:color w:val="auto"/>
                <w:sz w:val="24"/>
                <w:szCs w:val="24"/>
                <w:lang w:val="en-US" w:eastAsia="zh-CN"/>
              </w:rPr>
              <w:t>较少的地方</w:t>
            </w:r>
            <w:r>
              <w:rPr>
                <w:rFonts w:hint="default" w:ascii="Times New Roman" w:hAnsi="Times New Roman" w:eastAsia="宋体" w:cs="Times New Roman"/>
                <w:color w:val="auto"/>
                <w:sz w:val="24"/>
                <w:szCs w:val="24"/>
              </w:rPr>
              <w:t>灌木层盖度约为</w:t>
            </w:r>
            <w:r>
              <w:rPr>
                <w:rFonts w:hint="eastAsia"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高度2~5m，灌木种类不多，主要以红木荷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白穗石栎</w:t>
            </w:r>
            <w:r>
              <w:rPr>
                <w:rFonts w:hint="default" w:ascii="Times New Roman" w:hAnsi="Times New Roman" w:eastAsia="宋体" w:cs="Times New Roman"/>
                <w:i/>
                <w:iCs/>
                <w:color w:val="auto"/>
                <w:kern w:val="0"/>
                <w:sz w:val="24"/>
                <w:szCs w:val="24"/>
              </w:rPr>
              <w:t>Lithocarpus craibianus</w:t>
            </w:r>
            <w:r>
              <w:rPr>
                <w:rFonts w:hint="default" w:ascii="Times New Roman" w:hAnsi="Times New Roman" w:eastAsia="宋体" w:cs="Times New Roman"/>
                <w:color w:val="auto"/>
                <w:sz w:val="24"/>
                <w:szCs w:val="24"/>
              </w:rPr>
              <w:t>为优势种，也有七里香</w:t>
            </w:r>
            <w:r>
              <w:rPr>
                <w:rFonts w:hint="default" w:ascii="Times New Roman" w:hAnsi="Times New Roman" w:eastAsia="宋体" w:cs="Times New Roman"/>
                <w:i/>
                <w:color w:val="auto"/>
                <w:sz w:val="24"/>
                <w:szCs w:val="24"/>
              </w:rPr>
              <w:t>Buddleja asiatica</w:t>
            </w:r>
            <w:r>
              <w:rPr>
                <w:rFonts w:hint="default" w:ascii="Times New Roman" w:hAnsi="Times New Roman" w:eastAsia="宋体" w:cs="Times New Roman"/>
                <w:color w:val="auto"/>
                <w:sz w:val="24"/>
                <w:szCs w:val="24"/>
              </w:rPr>
              <w:t>、水茄</w:t>
            </w:r>
            <w:r>
              <w:rPr>
                <w:rFonts w:hint="default" w:ascii="Times New Roman" w:hAnsi="Times New Roman" w:eastAsia="宋体" w:cs="Times New Roman"/>
                <w:i/>
                <w:color w:val="auto"/>
                <w:sz w:val="24"/>
                <w:szCs w:val="24"/>
              </w:rPr>
              <w:t>Solanum torvum</w:t>
            </w:r>
            <w:r>
              <w:rPr>
                <w:rFonts w:hint="default" w:ascii="Times New Roman" w:hAnsi="Times New Roman" w:eastAsia="宋体" w:cs="Times New Roman"/>
                <w:color w:val="auto"/>
                <w:sz w:val="24"/>
                <w:szCs w:val="24"/>
              </w:rPr>
              <w:t>、洗碗叶</w:t>
            </w:r>
            <w:r>
              <w:rPr>
                <w:rFonts w:hint="default" w:ascii="Times New Roman" w:hAnsi="Times New Roman" w:eastAsia="宋体" w:cs="Times New Roman"/>
                <w:i/>
                <w:color w:val="auto"/>
                <w:sz w:val="24"/>
                <w:szCs w:val="24"/>
              </w:rPr>
              <w:t>Solanum verbascifolium</w:t>
            </w:r>
            <w:r>
              <w:rPr>
                <w:rFonts w:hint="default" w:ascii="Times New Roman" w:hAnsi="Times New Roman" w:eastAsia="宋体" w:cs="Times New Roman"/>
                <w:color w:val="auto"/>
                <w:sz w:val="24"/>
                <w:szCs w:val="24"/>
              </w:rPr>
              <w:t>等。</w:t>
            </w:r>
          </w:p>
          <w:p w14:paraId="38C1A5C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i/>
                <w:color w:val="auto"/>
                <w:sz w:val="24"/>
                <w:szCs w:val="24"/>
              </w:rPr>
            </w:pPr>
            <w:r>
              <w:rPr>
                <w:rFonts w:hint="default" w:ascii="Times New Roman" w:hAnsi="Times New Roman" w:eastAsia="宋体" w:cs="Times New Roman"/>
                <w:color w:val="auto"/>
                <w:sz w:val="24"/>
                <w:szCs w:val="24"/>
              </w:rPr>
              <w:t>草本层十分茂盛，层盖度达到100%，种类相对较单一，高度0.5~2m，主要是以外来紫茎泽兰</w:t>
            </w:r>
            <w:r>
              <w:rPr>
                <w:rFonts w:hint="default" w:ascii="Times New Roman" w:hAnsi="Times New Roman" w:eastAsia="宋体" w:cs="Times New Roman"/>
                <w:i/>
                <w:color w:val="auto"/>
                <w:sz w:val="24"/>
                <w:szCs w:val="24"/>
              </w:rPr>
              <w:t>Ageratina adenophora</w:t>
            </w:r>
            <w:r>
              <w:rPr>
                <w:rFonts w:hint="default" w:ascii="Times New Roman" w:hAnsi="Times New Roman" w:eastAsia="宋体" w:cs="Times New Roman"/>
                <w:color w:val="auto"/>
                <w:sz w:val="24"/>
                <w:szCs w:val="24"/>
              </w:rPr>
              <w:t>和香泽兰</w:t>
            </w:r>
            <w:r>
              <w:rPr>
                <w:rFonts w:hint="default" w:ascii="Times New Roman" w:hAnsi="Times New Roman" w:eastAsia="宋体" w:cs="Times New Roman"/>
                <w:i/>
                <w:color w:val="auto"/>
                <w:sz w:val="24"/>
                <w:szCs w:val="24"/>
              </w:rPr>
              <w:t>Chromolaena odorata</w:t>
            </w:r>
            <w:r>
              <w:rPr>
                <w:rFonts w:hint="default" w:ascii="Times New Roman" w:hAnsi="Times New Roman" w:eastAsia="宋体" w:cs="Times New Roman"/>
                <w:color w:val="auto"/>
                <w:sz w:val="24"/>
                <w:szCs w:val="24"/>
              </w:rPr>
              <w:t>为优势，肿柄菊尤其多，说明当地原生植被破坏十分严重，导致外来种入侵。其他种类还有棕叶芦</w:t>
            </w:r>
            <w:r>
              <w:rPr>
                <w:rFonts w:hint="default" w:ascii="Times New Roman" w:hAnsi="Times New Roman" w:eastAsia="宋体" w:cs="Times New Roman"/>
                <w:i/>
                <w:color w:val="auto"/>
                <w:sz w:val="24"/>
                <w:szCs w:val="24"/>
              </w:rPr>
              <w:t>Thysanolaena maxima</w:t>
            </w:r>
            <w:r>
              <w:rPr>
                <w:rFonts w:hint="default" w:ascii="Times New Roman" w:hAnsi="Times New Roman" w:eastAsia="宋体" w:cs="Times New Roman"/>
                <w:color w:val="auto"/>
                <w:sz w:val="24"/>
                <w:szCs w:val="24"/>
              </w:rPr>
              <w:t>、白花苋</w:t>
            </w:r>
            <w:r>
              <w:rPr>
                <w:rFonts w:hint="default" w:ascii="Times New Roman" w:hAnsi="Times New Roman" w:eastAsia="宋体" w:cs="Times New Roman"/>
                <w:i/>
                <w:color w:val="auto"/>
                <w:sz w:val="24"/>
                <w:szCs w:val="24"/>
              </w:rPr>
              <w:t>Aerva sanguinolenta</w:t>
            </w:r>
            <w:r>
              <w:rPr>
                <w:rFonts w:hint="default" w:ascii="Times New Roman" w:hAnsi="Times New Roman" w:eastAsia="宋体" w:cs="Times New Roman"/>
                <w:color w:val="auto"/>
                <w:sz w:val="24"/>
                <w:szCs w:val="24"/>
              </w:rPr>
              <w:t>、三叶鬼针草</w:t>
            </w:r>
            <w:r>
              <w:rPr>
                <w:rFonts w:hint="default" w:ascii="Times New Roman" w:hAnsi="Times New Roman" w:eastAsia="宋体" w:cs="Times New Roman"/>
                <w:i/>
                <w:color w:val="auto"/>
                <w:sz w:val="24"/>
                <w:szCs w:val="24"/>
              </w:rPr>
              <w:t xml:space="preserve">Bidens pilosa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radiata</w:t>
            </w:r>
            <w:r>
              <w:rPr>
                <w:rFonts w:hint="default" w:ascii="Times New Roman" w:hAnsi="Times New Roman" w:eastAsia="宋体" w:cs="Times New Roman"/>
                <w:color w:val="auto"/>
                <w:sz w:val="24"/>
                <w:szCs w:val="24"/>
              </w:rPr>
              <w:t>、飞蓬</w:t>
            </w:r>
            <w:r>
              <w:rPr>
                <w:rFonts w:hint="default" w:ascii="Times New Roman" w:hAnsi="Times New Roman" w:eastAsia="宋体" w:cs="Times New Roman"/>
                <w:i/>
                <w:color w:val="auto"/>
                <w:sz w:val="24"/>
                <w:szCs w:val="24"/>
              </w:rPr>
              <w:t>Conyza canadensis</w:t>
            </w:r>
            <w:r>
              <w:rPr>
                <w:rFonts w:hint="default" w:ascii="Times New Roman" w:hAnsi="Times New Roman" w:eastAsia="宋体" w:cs="Times New Roman"/>
                <w:color w:val="auto"/>
                <w:sz w:val="24"/>
                <w:szCs w:val="24"/>
              </w:rPr>
              <w:t>、球穗香薷</w:t>
            </w:r>
            <w:r>
              <w:rPr>
                <w:rFonts w:hint="default" w:ascii="Times New Roman" w:hAnsi="Times New Roman" w:eastAsia="宋体" w:cs="Times New Roman"/>
                <w:i/>
                <w:color w:val="auto"/>
                <w:sz w:val="24"/>
                <w:szCs w:val="24"/>
              </w:rPr>
              <w:t>Elsholtzia strobilifera</w:t>
            </w:r>
            <w:r>
              <w:rPr>
                <w:rFonts w:hint="default" w:ascii="Times New Roman" w:hAnsi="Times New Roman" w:eastAsia="宋体" w:cs="Times New Roman"/>
                <w:color w:val="auto"/>
                <w:sz w:val="24"/>
                <w:szCs w:val="24"/>
              </w:rPr>
              <w:t>、臭灵丹</w:t>
            </w:r>
            <w:r>
              <w:rPr>
                <w:rFonts w:hint="default" w:ascii="Times New Roman" w:hAnsi="Times New Roman" w:eastAsia="宋体" w:cs="Times New Roman"/>
                <w:i/>
                <w:color w:val="auto"/>
                <w:sz w:val="24"/>
                <w:szCs w:val="24"/>
              </w:rPr>
              <w:t>Laggera alata</w:t>
            </w:r>
            <w:r>
              <w:rPr>
                <w:rFonts w:hint="default" w:ascii="Times New Roman" w:hAnsi="Times New Roman" w:eastAsia="宋体" w:cs="Times New Roman"/>
                <w:color w:val="auto"/>
                <w:sz w:val="24"/>
                <w:szCs w:val="24"/>
              </w:rPr>
              <w:t>等，但数量很少。</w:t>
            </w:r>
          </w:p>
          <w:p w14:paraId="0C4ACCC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由于受人为破坏强度大，群落中缺少大型木质藤本植物和附生植物，仅有两种草质藤本植物，即虫豆</w:t>
            </w:r>
            <w:r>
              <w:rPr>
                <w:rFonts w:hint="default" w:ascii="Times New Roman" w:hAnsi="Times New Roman" w:eastAsia="宋体" w:cs="Times New Roman"/>
                <w:i/>
                <w:color w:val="auto"/>
                <w:sz w:val="24"/>
                <w:szCs w:val="24"/>
              </w:rPr>
              <w:t>Atylosia mollis</w:t>
            </w:r>
            <w:r>
              <w:rPr>
                <w:rFonts w:hint="default" w:ascii="Times New Roman" w:hAnsi="Times New Roman" w:eastAsia="宋体" w:cs="Times New Roman"/>
                <w:color w:val="auto"/>
                <w:sz w:val="24"/>
                <w:szCs w:val="24"/>
              </w:rPr>
              <w:t>、飞蛾藤</w:t>
            </w:r>
            <w:r>
              <w:rPr>
                <w:rFonts w:hint="default" w:ascii="Times New Roman" w:hAnsi="Times New Roman" w:eastAsia="宋体" w:cs="Times New Roman"/>
                <w:i/>
                <w:color w:val="auto"/>
                <w:sz w:val="24"/>
                <w:szCs w:val="24"/>
              </w:rPr>
              <w:t>Porana racemosa</w:t>
            </w:r>
            <w:r>
              <w:rPr>
                <w:rFonts w:hint="default" w:ascii="Times New Roman" w:hAnsi="Times New Roman" w:eastAsia="宋体" w:cs="Times New Roman"/>
                <w:color w:val="auto"/>
                <w:sz w:val="24"/>
                <w:szCs w:val="24"/>
              </w:rPr>
              <w:t>。</w:t>
            </w:r>
          </w:p>
          <w:p w14:paraId="4B2DD1F3">
            <w:pPr>
              <w:pStyle w:val="57"/>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②人工植被</w:t>
            </w:r>
          </w:p>
          <w:p w14:paraId="47D1324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评价区的人工植被可主要为</w:t>
            </w:r>
            <w:r>
              <w:rPr>
                <w:rFonts w:hint="default" w:ascii="Times New Roman" w:hAnsi="Times New Roman" w:eastAsia="宋体" w:cs="Times New Roman"/>
                <w:color w:val="000000" w:themeColor="text1"/>
                <w:sz w:val="24"/>
                <w:szCs w:val="24"/>
                <w:lang w:eastAsia="zh-CN"/>
                <w14:textFill>
                  <w14:solidFill>
                    <w14:schemeClr w14:val="tx1"/>
                  </w14:solidFill>
                </w14:textFill>
              </w:rPr>
              <w:t>茶树、杉木</w:t>
            </w:r>
            <w:r>
              <w:rPr>
                <w:rFonts w:hint="default" w:ascii="Times New Roman" w:hAnsi="Times New Roman" w:eastAsia="宋体" w:cs="Times New Roman"/>
                <w:color w:val="auto"/>
                <w:sz w:val="24"/>
                <w:szCs w:val="24"/>
              </w:rPr>
              <w:t>，人工植被由其生产目标所确定，首先，人工植被是单优的人工群落，通常其培育树种的密度较大，林下物种和数量较少；其次，由于每年一次或多次不断的进行人为管理活动，包括砍灌、除草、施肥等，使本来不多的物种和及数量，变得更少了。因此上述各种人工林下的生物多样性都是十分贫乏的。</w:t>
            </w:r>
          </w:p>
          <w:p w14:paraId="3FC2793A">
            <w:pPr>
              <w:pStyle w:val="57"/>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③珍稀物种</w:t>
            </w:r>
          </w:p>
          <w:p w14:paraId="79D21E20">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经调查，评价区范围内未发现野生的国家或省级珍稀保护植物物种。</w:t>
            </w:r>
          </w:p>
          <w:p w14:paraId="36480DD1">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根据调查，项目区受人为活动的长期影响，原生植被已大量遭受破坏，次生植被及人工植被大量增加。自然植被主要为季风常绿阔叶林、旱冬瓜灌丛、热性稀树灌木草丛，人工植被主要为茶园及旱地植被。评价区范围内未发现野生的国家或省级珍稀保护植物物种、地方特有种及名木古树。</w:t>
            </w:r>
          </w:p>
          <w:p w14:paraId="1A3349EA">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通过现场调查，项目场地现状植被发育良好，类型为常绿针叶林以及草甸，地被植物为黑麦草和白三叶等，低矮灌木有金丝桃等，乔木为华山松等。乔木层覆盖度约为</w:t>
            </w:r>
            <w:r>
              <w:rPr>
                <w:rFonts w:hint="eastAsia" w:ascii="Times New Roman" w:hAnsi="Times New Roman" w:eastAsia="宋体" w:cs="Times New Roman"/>
                <w:snapToGrid w:val="0"/>
                <w:color w:val="auto"/>
                <w:spacing w:val="-1"/>
                <w:szCs w:val="21"/>
                <w:lang w:val="en-US" w:eastAsia="zh-CN" w:bidi="ar"/>
              </w:rPr>
              <w:t>30~</w:t>
            </w:r>
            <w:r>
              <w:rPr>
                <w:rFonts w:hint="default" w:ascii="Times New Roman" w:hAnsi="Times New Roman" w:eastAsia="宋体" w:cs="Times New Roman"/>
                <w:snapToGrid w:val="0"/>
                <w:color w:val="auto"/>
                <w:spacing w:val="-1"/>
                <w:szCs w:val="21"/>
                <w:lang w:val="en-US" w:eastAsia="zh-CN" w:bidi="ar"/>
              </w:rPr>
              <w:t>40%，灌木层覆盖度</w:t>
            </w:r>
            <w:r>
              <w:rPr>
                <w:rFonts w:hint="eastAsia" w:ascii="Times New Roman" w:hAnsi="Times New Roman" w:eastAsia="宋体" w:cs="Times New Roman"/>
                <w:snapToGrid w:val="0"/>
                <w:color w:val="auto"/>
                <w:spacing w:val="-1"/>
                <w:szCs w:val="21"/>
                <w:lang w:val="en-US" w:eastAsia="zh-CN" w:bidi="ar"/>
              </w:rPr>
              <w:t>5~</w:t>
            </w:r>
            <w:r>
              <w:rPr>
                <w:rFonts w:hint="default" w:ascii="Times New Roman" w:hAnsi="Times New Roman" w:eastAsia="宋体" w:cs="Times New Roman"/>
                <w:snapToGrid w:val="0"/>
                <w:color w:val="auto"/>
                <w:spacing w:val="-1"/>
                <w:szCs w:val="21"/>
                <w:lang w:val="en-US" w:eastAsia="zh-CN" w:bidi="ar"/>
              </w:rPr>
              <w:t>30%</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草本层</w:t>
            </w:r>
            <w:r>
              <w:rPr>
                <w:rFonts w:hint="eastAsia" w:ascii="Times New Roman" w:hAnsi="Times New Roman" w:eastAsia="宋体" w:cs="Times New Roman"/>
                <w:snapToGrid w:val="0"/>
                <w:color w:val="auto"/>
                <w:spacing w:val="-1"/>
                <w:szCs w:val="21"/>
                <w:lang w:val="en-US" w:eastAsia="zh-CN" w:bidi="ar"/>
              </w:rPr>
              <w:t>覆盖</w:t>
            </w:r>
            <w:r>
              <w:rPr>
                <w:rFonts w:hint="default" w:ascii="Times New Roman" w:hAnsi="Times New Roman" w:eastAsia="宋体" w:cs="Times New Roman"/>
                <w:snapToGrid w:val="0"/>
                <w:color w:val="auto"/>
                <w:spacing w:val="-1"/>
                <w:szCs w:val="21"/>
                <w:lang w:val="en-US" w:eastAsia="zh-CN" w:bidi="ar"/>
              </w:rPr>
              <w:t>度大，约为70</w:t>
            </w:r>
            <w:r>
              <w:rPr>
                <w:rFonts w:hint="eastAsia" w:ascii="Times New Roman" w:hAnsi="Times New Roman" w:eastAsia="宋体" w:cs="Times New Roman"/>
                <w:snapToGrid w:val="0"/>
                <w:color w:val="auto"/>
                <w:spacing w:val="-1"/>
                <w:szCs w:val="21"/>
                <w:lang w:val="en-US" w:eastAsia="zh-CN" w:bidi="ar"/>
              </w:rPr>
              <w:t>~100</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整个区域内生物多样性一般。项目建设用地区域范围不属于自然保护区、风景名胜区。</w:t>
            </w:r>
          </w:p>
          <w:p w14:paraId="04D7A0FD">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1666" w:firstLineChars="700"/>
              <w:jc w:val="both"/>
              <w:rPr>
                <w:rFonts w:hint="eastAsia" w:ascii="Times New Roman" w:hAnsi="Times New Roman" w:eastAsia="宋体" w:cs="Times New Roman"/>
                <w:snapToGrid w:val="0"/>
                <w:color w:val="auto"/>
                <w:spacing w:val="-1"/>
                <w:szCs w:val="21"/>
                <w:lang w:val="en-US" w:eastAsia="zh-CN" w:bidi="ar"/>
              </w:rPr>
            </w:pPr>
            <w:r>
              <w:rPr>
                <w:rFonts w:hint="eastAsia" w:ascii="Times New Roman" w:hAnsi="Times New Roman" w:eastAsia="宋体" w:cs="Times New Roman"/>
                <w:snapToGrid w:val="0"/>
                <w:color w:val="auto"/>
                <w:spacing w:val="-1"/>
                <w:szCs w:val="21"/>
                <w:lang w:val="en-US" w:eastAsia="zh-CN" w:bidi="ar"/>
              </w:rPr>
              <w:t>评价区植被类型及统计面积见表3-2。</w:t>
            </w:r>
          </w:p>
          <w:p w14:paraId="48F48E11">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object>
                <v:shape id="_x0000_i1029" o:spt="75" type="#_x0000_t75" style="height:219pt;width:381.2pt;" o:ole="t" filled="f" o:preferrelative="t" stroked="f" coordsize="21600,21600">
                  <v:path/>
                  <v:fill on="f" focussize="0,0"/>
                  <v:stroke on="f"/>
                  <v:imagedata r:id="rId33" o:title=""/>
                  <o:lock v:ext="edit" aspectratio="f"/>
                  <w10:wrap type="none"/>
                  <w10:anchorlock/>
                </v:shape>
                <o:OLEObject Type="Embed" ProgID="Excel.Sheet.12" ShapeID="_x0000_i1029" DrawAspect="Content" ObjectID="_1468075729" r:id="rId32">
                  <o:LockedField>false</o:LockedField>
                </o:OLEObject>
              </w:object>
            </w:r>
          </w:p>
          <w:p w14:paraId="20BA4D7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r>
              <w:rPr>
                <w:rFonts w:hint="default" w:ascii="Times New Roman" w:hAnsi="Times New Roman" w:eastAsia="宋体" w:cs="Times New Roman"/>
                <w:color w:val="auto"/>
                <w:lang w:val="en-US" w:eastAsia="zh-CN"/>
              </w:rPr>
              <w:t xml:space="preserve"> 陆生脊椎动物现状</w:t>
            </w:r>
          </w:p>
          <w:p w14:paraId="0E803082">
            <w:pPr>
              <w:pStyle w:val="24"/>
              <w:keepNext w:val="0"/>
              <w:keepLines w:val="0"/>
              <w:widowControl w:val="0"/>
              <w:suppressLineNumbers w:val="0"/>
              <w:tabs>
                <w:tab w:val="center" w:pos="3968"/>
              </w:tabs>
              <w:autoSpaceDE w:val="0"/>
              <w:autoSpaceDN w:val="0"/>
              <w:adjustRightInd w:val="0"/>
              <w:snapToGrid w:val="0"/>
              <w:spacing w:before="0" w:beforeAutospacing="0" w:after="0" w:afterAutospacing="0" w:line="360" w:lineRule="auto"/>
              <w:ind w:left="0" w:right="0" w:firstLine="472"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snapToGrid w:val="0"/>
                <w:color w:val="auto"/>
                <w:spacing w:val="-2"/>
                <w:szCs w:val="21"/>
                <w:lang w:val="en-US" w:eastAsia="zh-CN" w:bidi="ar"/>
              </w:rPr>
              <w:t>①</w:t>
            </w:r>
            <w:r>
              <w:rPr>
                <w:rFonts w:hint="default" w:ascii="Times New Roman" w:hAnsi="Times New Roman" w:eastAsia="宋体" w:cs="Times New Roman"/>
                <w:color w:val="auto"/>
                <w:spacing w:val="-4"/>
                <w:szCs w:val="22"/>
                <w:lang w:val="en-US" w:eastAsia="zh-CN" w:bidi="ar"/>
              </w:rPr>
              <w:t>爬行类</w:t>
            </w:r>
            <w:r>
              <w:rPr>
                <w:rFonts w:hint="eastAsia" w:ascii="Times New Roman" w:hAnsi="Times New Roman" w:eastAsia="宋体" w:cs="Times New Roman"/>
                <w:color w:val="auto"/>
                <w:spacing w:val="-4"/>
                <w:szCs w:val="22"/>
                <w:lang w:val="en-US" w:eastAsia="zh-CN" w:bidi="ar"/>
              </w:rPr>
              <w:tab/>
            </w:r>
          </w:p>
          <w:p w14:paraId="1A197D38">
            <w:pPr>
              <w:keepNext w:val="0"/>
              <w:keepLines w:val="0"/>
              <w:suppressLineNumbers w:val="0"/>
              <w:spacing w:before="0" w:beforeAutospacing="0" w:after="0" w:afterAutospacing="0" w:line="360" w:lineRule="auto"/>
              <w:ind w:left="0" w:right="0" w:firstLine="472" w:firstLineChars="200"/>
              <w:jc w:val="left"/>
              <w:rPr>
                <w:rFonts w:hint="default" w:ascii="Times New Roman" w:hAnsi="Times New Roman" w:eastAsia="宋体" w:cs="Times New Roman"/>
                <w:snapToGrid w:val="0"/>
                <w:color w:val="FF0000"/>
                <w:spacing w:val="-2"/>
                <w:szCs w:val="21"/>
                <w:lang w:val="en-US" w:eastAsia="zh-CN" w:bidi="ar"/>
              </w:rPr>
            </w:pPr>
            <w:r>
              <w:rPr>
                <w:rFonts w:hint="default" w:ascii="Times New Roman" w:hAnsi="Times New Roman" w:eastAsia="宋体" w:cs="Times New Roman"/>
                <w:snapToGrid w:val="0"/>
                <w:color w:val="auto"/>
                <w:spacing w:val="-2"/>
                <w:kern w:val="0"/>
                <w:sz w:val="24"/>
                <w:szCs w:val="21"/>
                <w:lang w:bidi="ar"/>
              </w:rPr>
              <w:t>根据调查，评价</w:t>
            </w:r>
            <w:r>
              <w:rPr>
                <w:rFonts w:hint="default" w:ascii="Times New Roman" w:hAnsi="Times New Roman" w:eastAsia="宋体" w:cs="Times New Roman"/>
                <w:snapToGrid w:val="0"/>
                <w:color w:val="auto"/>
                <w:spacing w:val="-1"/>
                <w:kern w:val="0"/>
                <w:sz w:val="24"/>
                <w:szCs w:val="21"/>
                <w:lang w:bidi="ar"/>
              </w:rPr>
              <w:t>区内分布的</w:t>
            </w:r>
            <w:r>
              <w:rPr>
                <w:rFonts w:hint="default" w:ascii="Times New Roman" w:hAnsi="Times New Roman" w:eastAsia="宋体" w:cs="Times New Roman"/>
                <w:snapToGrid w:val="0"/>
                <w:color w:val="auto"/>
                <w:spacing w:val="-2"/>
                <w:kern w:val="0"/>
                <w:sz w:val="24"/>
                <w:szCs w:val="21"/>
                <w:lang w:bidi="ar"/>
              </w:rPr>
              <w:t>爬行类主要有大壁虎</w:t>
            </w:r>
            <w:r>
              <w:rPr>
                <w:rFonts w:hint="default" w:ascii="Times New Roman" w:hAnsi="Times New Roman" w:eastAsia="宋体" w:cs="Times New Roman"/>
                <w:i/>
                <w:color w:val="auto"/>
                <w:kern w:val="2"/>
                <w:sz w:val="24"/>
                <w:szCs w:val="24"/>
                <w:lang w:val="en-US" w:eastAsia="zh-CN" w:bidi="ar-SA"/>
              </w:rPr>
              <w:t>Gekko gecko</w:t>
            </w:r>
            <w:r>
              <w:rPr>
                <w:rFonts w:hint="default" w:ascii="Times New Roman" w:hAnsi="Times New Roman" w:eastAsia="宋体" w:cs="Times New Roman"/>
                <w:snapToGrid w:val="0"/>
                <w:color w:val="auto"/>
                <w:spacing w:val="-2"/>
                <w:kern w:val="0"/>
                <w:sz w:val="24"/>
                <w:szCs w:val="21"/>
                <w:lang w:bidi="ar"/>
              </w:rPr>
              <w:t>、滇西蛇</w:t>
            </w:r>
            <w:r>
              <w:rPr>
                <w:rFonts w:hint="default" w:ascii="Times New Roman" w:hAnsi="Times New Roman" w:eastAsia="宋体" w:cs="Times New Roman"/>
                <w:i/>
                <w:color w:val="auto"/>
                <w:kern w:val="2"/>
                <w:sz w:val="24"/>
                <w:szCs w:val="24"/>
                <w:lang w:val="en-US" w:eastAsia="zh-CN" w:bidi="ar-SA"/>
              </w:rPr>
              <w:t>Atretium yunnanensis</w:t>
            </w:r>
            <w:r>
              <w:rPr>
                <w:rFonts w:hint="default" w:ascii="Times New Roman" w:hAnsi="Times New Roman" w:eastAsia="宋体" w:cs="Times New Roman"/>
                <w:snapToGrid w:val="0"/>
                <w:color w:val="auto"/>
                <w:spacing w:val="-2"/>
                <w:kern w:val="0"/>
                <w:sz w:val="24"/>
                <w:szCs w:val="21"/>
                <w:lang w:bidi="ar"/>
              </w:rPr>
              <w:t>、过树蛇</w:t>
            </w:r>
            <w:r>
              <w:rPr>
                <w:rFonts w:hint="default" w:ascii="Times New Roman" w:hAnsi="Times New Roman" w:eastAsia="宋体" w:cs="Times New Roman"/>
                <w:i/>
                <w:color w:val="auto"/>
                <w:kern w:val="2"/>
                <w:sz w:val="24"/>
                <w:szCs w:val="24"/>
                <w:lang w:val="en-US" w:eastAsia="zh-CN" w:bidi="ar-SA"/>
              </w:rPr>
              <w:t>Dendrelaphis pictus</w:t>
            </w:r>
            <w:r>
              <w:rPr>
                <w:rFonts w:hint="default" w:ascii="Times New Roman" w:hAnsi="Times New Roman" w:eastAsia="宋体" w:cs="Times New Roman"/>
                <w:snapToGrid w:val="0"/>
                <w:color w:val="auto"/>
                <w:spacing w:val="-2"/>
                <w:kern w:val="0"/>
                <w:sz w:val="24"/>
                <w:szCs w:val="21"/>
                <w:lang w:bidi="ar"/>
              </w:rPr>
              <w:t>等，</w:t>
            </w:r>
            <w:r>
              <w:rPr>
                <w:rFonts w:hint="default" w:ascii="Times New Roman" w:hAnsi="Times New Roman" w:eastAsia="宋体" w:cs="Times New Roman"/>
                <w:bCs/>
                <w:color w:val="auto"/>
                <w:kern w:val="0"/>
                <w:sz w:val="24"/>
                <w:szCs w:val="24"/>
                <w:lang w:bidi="ar"/>
              </w:rPr>
              <w:t>其分布范围主要为</w:t>
            </w:r>
            <w:r>
              <w:rPr>
                <w:rFonts w:hint="default" w:ascii="Times New Roman" w:hAnsi="Times New Roman" w:eastAsia="宋体" w:cs="Times New Roman"/>
                <w:bCs/>
                <w:color w:val="000000" w:themeColor="text1"/>
                <w:kern w:val="0"/>
                <w:sz w:val="24"/>
                <w:szCs w:val="24"/>
                <w:lang w:bidi="ar"/>
                <w14:textFill>
                  <w14:solidFill>
                    <w14:schemeClr w14:val="tx1"/>
                  </w14:solidFill>
                </w14:textFill>
              </w:rPr>
              <w:t>林地、</w:t>
            </w:r>
            <w:r>
              <w:rPr>
                <w:rFonts w:hint="default" w:ascii="Times New Roman" w:hAnsi="Times New Roman" w:eastAsia="宋体" w:cs="Times New Roman"/>
                <w:bCs/>
                <w:color w:val="auto"/>
                <w:kern w:val="0"/>
                <w:sz w:val="24"/>
                <w:szCs w:val="24"/>
                <w:lang w:bidi="ar"/>
              </w:rPr>
              <w:t>灌丛、草丛等。</w:t>
            </w:r>
          </w:p>
          <w:p w14:paraId="23A1FE35">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②鸟类</w:t>
            </w:r>
          </w:p>
          <w:p w14:paraId="79045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jc w:val="left"/>
              <w:textAlignment w:val="auto"/>
              <w:rPr>
                <w:rFonts w:hint="default" w:ascii="Times New Roman" w:hAnsi="Times New Roman" w:eastAsia="宋体" w:cs="Times New Roman"/>
                <w:bCs w:val="0"/>
                <w:color w:val="auto"/>
                <w:sz w:val="24"/>
                <w:szCs w:val="24"/>
              </w:rPr>
            </w:pPr>
            <w:r>
              <w:rPr>
                <w:rFonts w:hint="default" w:ascii="Times New Roman" w:hAnsi="Times New Roman" w:eastAsia="宋体" w:cs="Times New Roman"/>
                <w:bCs w:val="0"/>
                <w:snapToGrid w:val="0"/>
                <w:color w:val="auto"/>
                <w:spacing w:val="-2"/>
                <w:sz w:val="24"/>
                <w:szCs w:val="24"/>
                <w:lang w:val="en-US" w:eastAsia="zh-CN" w:bidi="ar"/>
              </w:rPr>
              <w:t>根据调查，评价</w:t>
            </w:r>
            <w:r>
              <w:rPr>
                <w:rFonts w:hint="default" w:ascii="Times New Roman" w:hAnsi="Times New Roman" w:eastAsia="宋体" w:cs="Times New Roman"/>
                <w:bCs w:val="0"/>
                <w:snapToGrid w:val="0"/>
                <w:color w:val="auto"/>
                <w:spacing w:val="-1"/>
                <w:sz w:val="24"/>
                <w:szCs w:val="24"/>
                <w:lang w:val="en-US" w:eastAsia="zh-CN" w:bidi="ar"/>
              </w:rPr>
              <w:t>区内分布的</w:t>
            </w:r>
            <w:r>
              <w:rPr>
                <w:rFonts w:hint="default" w:ascii="Times New Roman" w:hAnsi="Times New Roman" w:eastAsia="宋体" w:cs="Times New Roman"/>
                <w:bCs w:val="0"/>
                <w:snapToGrid w:val="0"/>
                <w:color w:val="auto"/>
                <w:spacing w:val="-2"/>
                <w:sz w:val="24"/>
                <w:szCs w:val="24"/>
                <w:lang w:val="en-US" w:eastAsia="zh-CN" w:bidi="ar"/>
              </w:rPr>
              <w:t>鸟类主要有</w:t>
            </w:r>
            <w:r>
              <w:rPr>
                <w:rFonts w:hint="default" w:ascii="Times New Roman" w:hAnsi="Times New Roman" w:eastAsia="宋体" w:cs="Times New Roman"/>
                <w:bCs w:val="0"/>
                <w:i w:val="0"/>
                <w:iCs w:val="0"/>
                <w:caps w:val="0"/>
                <w:color w:val="333333"/>
                <w:spacing w:val="0"/>
                <w:sz w:val="24"/>
                <w:szCs w:val="24"/>
                <w:shd w:val="clear" w:fill="FFFFFF"/>
              </w:rPr>
              <w:t>黑翅鸢</w:t>
            </w:r>
            <w:r>
              <w:rPr>
                <w:rFonts w:hint="default" w:ascii="Times New Roman" w:hAnsi="Times New Roman" w:eastAsia="宋体" w:cs="Times New Roman"/>
                <w:bCs w:val="0"/>
                <w:i w:val="0"/>
                <w:iCs w:val="0"/>
                <w:caps w:val="0"/>
                <w:color w:val="000000"/>
                <w:spacing w:val="0"/>
                <w:sz w:val="24"/>
                <w:szCs w:val="24"/>
                <w:shd w:val="clear" w:fill="FFFFFF"/>
              </w:rPr>
              <w:t>Elanus caeruleus</w:t>
            </w:r>
            <w:r>
              <w:rPr>
                <w:rFonts w:hint="default" w:ascii="Times New Roman" w:hAnsi="Times New Roman" w:eastAsia="宋体" w:cs="Times New Roman"/>
                <w:bCs w:val="0"/>
                <w:snapToGrid w:val="0"/>
                <w:color w:val="auto"/>
                <w:spacing w:val="-2"/>
                <w:sz w:val="24"/>
                <w:szCs w:val="24"/>
                <w:lang w:val="en-US" w:eastAsia="zh-CN" w:bidi="ar"/>
              </w:rPr>
              <w:t>、</w:t>
            </w:r>
            <w:r>
              <w:rPr>
                <w:rFonts w:hint="eastAsia" w:ascii="Times New Roman" w:hAnsi="Times New Roman" w:eastAsia="宋体" w:cs="Times New Roman"/>
                <w:bCs w:val="0"/>
                <w:color w:val="000000"/>
                <w:kern w:val="0"/>
                <w:sz w:val="24"/>
                <w:szCs w:val="24"/>
                <w:lang w:val="en-US" w:eastAsia="zh-CN" w:bidi="ar"/>
              </w:rPr>
              <w:t>鸢</w:t>
            </w:r>
            <w:r>
              <w:rPr>
                <w:rFonts w:hint="default" w:ascii="Times New Roman" w:hAnsi="Times New Roman" w:eastAsia="宋体" w:cs="Times New Roman"/>
                <w:bCs w:val="0"/>
                <w:i w:val="0"/>
                <w:iCs w:val="0"/>
                <w:caps w:val="0"/>
                <w:color w:val="000000"/>
                <w:spacing w:val="0"/>
                <w:sz w:val="24"/>
                <w:szCs w:val="24"/>
                <w:shd w:val="clear" w:fill="FFFFFF"/>
              </w:rPr>
              <w:t>Aquila</w:t>
            </w:r>
            <w:r>
              <w:rPr>
                <w:rFonts w:hint="default" w:ascii="Times New Roman" w:hAnsi="Times New Roman" w:eastAsia="宋体" w:cs="Times New Roman"/>
                <w:bCs w:val="0"/>
                <w:snapToGrid w:val="0"/>
                <w:color w:val="auto"/>
                <w:spacing w:val="-2"/>
                <w:sz w:val="24"/>
                <w:szCs w:val="24"/>
                <w:lang w:val="en-US" w:eastAsia="zh-CN" w:bidi="ar"/>
              </w:rPr>
              <w:t>、</w:t>
            </w:r>
            <w:r>
              <w:rPr>
                <w:rFonts w:hint="eastAsia" w:ascii="Times New Roman" w:hAnsi="Times New Roman" w:eastAsia="宋体" w:cs="Times New Roman"/>
                <w:bCs w:val="0"/>
                <w:color w:val="000000"/>
                <w:kern w:val="0"/>
                <w:sz w:val="24"/>
                <w:szCs w:val="24"/>
                <w:lang w:val="en-US" w:eastAsia="zh-CN" w:bidi="ar"/>
              </w:rPr>
              <w:t>松雀鹰</w:t>
            </w:r>
            <w:r>
              <w:rPr>
                <w:rFonts w:hint="default" w:ascii="Times New Roman" w:hAnsi="Times New Roman" w:eastAsia="宋体" w:cs="Times New Roman"/>
                <w:bCs w:val="0"/>
                <w:i w:val="0"/>
                <w:iCs w:val="0"/>
                <w:caps w:val="0"/>
                <w:color w:val="000000"/>
                <w:spacing w:val="0"/>
                <w:sz w:val="24"/>
                <w:szCs w:val="24"/>
                <w:shd w:val="clear" w:fill="FFFFFF"/>
              </w:rPr>
              <w:t>Accipiter virgatus</w:t>
            </w:r>
            <w:r>
              <w:rPr>
                <w:rFonts w:hint="default" w:ascii="Times New Roman" w:hAnsi="Times New Roman" w:eastAsia="宋体" w:cs="Times New Roman"/>
                <w:bCs w:val="0"/>
                <w:snapToGrid w:val="0"/>
                <w:color w:val="auto"/>
                <w:spacing w:val="-2"/>
                <w:sz w:val="24"/>
                <w:szCs w:val="24"/>
                <w:lang w:val="en-US" w:eastAsia="zh-CN" w:bidi="ar"/>
              </w:rPr>
              <w:t>、</w:t>
            </w:r>
            <w:r>
              <w:rPr>
                <w:rFonts w:hint="eastAsia" w:ascii="Times New Roman" w:hAnsi="Times New Roman" w:eastAsia="宋体" w:cs="Times New Roman"/>
                <w:bCs w:val="0"/>
                <w:color w:val="000000"/>
                <w:kern w:val="0"/>
                <w:sz w:val="24"/>
                <w:szCs w:val="24"/>
                <w:lang w:val="en-US" w:eastAsia="zh-CN" w:bidi="ar"/>
              </w:rPr>
              <w:t>普通鵟</w:t>
            </w:r>
            <w:r>
              <w:rPr>
                <w:rFonts w:hint="default" w:ascii="Times New Roman" w:hAnsi="Times New Roman" w:eastAsia="宋体" w:cs="Times New Roman"/>
                <w:bCs w:val="0"/>
                <w:i w:val="0"/>
                <w:iCs w:val="0"/>
                <w:caps w:val="0"/>
                <w:color w:val="000000"/>
                <w:spacing w:val="0"/>
                <w:sz w:val="24"/>
                <w:szCs w:val="24"/>
                <w:shd w:val="clear" w:fill="FFFFFF"/>
              </w:rPr>
              <w:t>Buteo buteo</w:t>
            </w:r>
            <w:r>
              <w:rPr>
                <w:rFonts w:hint="eastAsia" w:ascii="Times New Roman" w:hAnsi="Times New Roman" w:eastAsia="宋体" w:cs="Times New Roman"/>
                <w:bCs w:val="0"/>
                <w:i w:val="0"/>
                <w:iCs w:val="0"/>
                <w:caps w:val="0"/>
                <w:color w:val="000000"/>
                <w:spacing w:val="0"/>
                <w:sz w:val="24"/>
                <w:szCs w:val="24"/>
                <w:shd w:val="clear" w:fill="FFFFFF"/>
                <w:lang w:eastAsia="zh-CN"/>
              </w:rPr>
              <w:t>、</w:t>
            </w:r>
            <w:r>
              <w:rPr>
                <w:rFonts w:hint="eastAsia" w:ascii="Times New Roman" w:hAnsi="Times New Roman" w:eastAsia="宋体" w:cs="Times New Roman"/>
                <w:bCs w:val="0"/>
                <w:color w:val="000000"/>
                <w:kern w:val="0"/>
                <w:sz w:val="24"/>
                <w:szCs w:val="24"/>
                <w:lang w:val="en-US" w:eastAsia="zh-CN" w:bidi="ar"/>
              </w:rPr>
              <w:t>红隼</w:t>
            </w:r>
            <w:r>
              <w:rPr>
                <w:rFonts w:hint="default" w:ascii="Times New Roman" w:hAnsi="Times New Roman" w:eastAsia="宋体" w:cs="Times New Roman"/>
                <w:bCs w:val="0"/>
                <w:i w:val="0"/>
                <w:iCs w:val="0"/>
                <w:caps w:val="0"/>
                <w:color w:val="000000"/>
                <w:spacing w:val="0"/>
                <w:sz w:val="24"/>
                <w:szCs w:val="24"/>
                <w:shd w:val="clear" w:fill="FFFFFF"/>
              </w:rPr>
              <w:t>Falco tinnunculus</w:t>
            </w:r>
            <w:r>
              <w:rPr>
                <w:rFonts w:hint="eastAsia" w:ascii="Times New Roman" w:hAnsi="Times New Roman" w:eastAsia="宋体" w:cs="Times New Roman"/>
                <w:bCs w:val="0"/>
                <w:i w:val="0"/>
                <w:iCs w:val="0"/>
                <w:caps w:val="0"/>
                <w:color w:val="000000"/>
                <w:spacing w:val="0"/>
                <w:sz w:val="24"/>
                <w:szCs w:val="24"/>
                <w:shd w:val="clear" w:fill="FFFFFF"/>
                <w:lang w:eastAsia="zh-CN"/>
              </w:rPr>
              <w:t>、</w:t>
            </w:r>
            <w:r>
              <w:rPr>
                <w:rFonts w:hint="eastAsia" w:ascii="Times New Roman" w:hAnsi="Times New Roman" w:eastAsia="宋体" w:cs="Times New Roman"/>
                <w:bCs w:val="0"/>
                <w:color w:val="000000"/>
                <w:kern w:val="0"/>
                <w:sz w:val="24"/>
                <w:szCs w:val="24"/>
                <w:lang w:val="en-US" w:eastAsia="zh-CN" w:bidi="ar"/>
              </w:rPr>
              <w:t>斑头鸺鹠</w:t>
            </w:r>
            <w:r>
              <w:rPr>
                <w:rFonts w:hint="default" w:ascii="Times New Roman" w:hAnsi="Times New Roman" w:eastAsia="宋体" w:cs="Times New Roman"/>
                <w:bCs w:val="0"/>
                <w:i w:val="0"/>
                <w:iCs w:val="0"/>
                <w:caps w:val="0"/>
                <w:color w:val="000000"/>
                <w:spacing w:val="0"/>
                <w:sz w:val="24"/>
                <w:szCs w:val="24"/>
                <w:shd w:val="clear" w:fill="FFFFFF"/>
              </w:rPr>
              <w:t>Glaucidium cuculoides</w:t>
            </w:r>
            <w:r>
              <w:rPr>
                <w:rFonts w:hint="default" w:ascii="Times New Roman" w:hAnsi="Times New Roman" w:eastAsia="宋体" w:cs="Times New Roman"/>
                <w:bCs w:val="0"/>
                <w:snapToGrid w:val="0"/>
                <w:color w:val="auto"/>
                <w:spacing w:val="-2"/>
                <w:sz w:val="24"/>
                <w:szCs w:val="24"/>
                <w:lang w:val="en-US" w:eastAsia="zh-CN" w:bidi="ar"/>
              </w:rPr>
              <w:t>等。</w:t>
            </w:r>
            <w:r>
              <w:rPr>
                <w:rFonts w:hint="default" w:ascii="Times New Roman" w:hAnsi="Times New Roman" w:eastAsia="宋体" w:cs="Times New Roman"/>
                <w:bCs w:val="0"/>
                <w:color w:val="auto"/>
                <w:sz w:val="24"/>
                <w:szCs w:val="24"/>
                <w:lang w:val="en-US" w:eastAsia="zh-CN" w:bidi="ar"/>
              </w:rPr>
              <w:t>其分布范围主要为林地、稀树灌木草丛、灌丛等。</w:t>
            </w:r>
          </w:p>
          <w:p w14:paraId="3B832B84">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64"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pacing w:val="-4"/>
                <w:szCs w:val="22"/>
                <w:lang w:val="en-US" w:eastAsia="zh-CN" w:bidi="ar"/>
              </w:rPr>
              <w:t>③哺乳类</w:t>
            </w:r>
          </w:p>
          <w:p w14:paraId="0B408B66">
            <w:pPr>
              <w:pStyle w:val="24"/>
              <w:keepNext w:val="0"/>
              <w:keepLines w:val="0"/>
              <w:widowControl w:val="0"/>
              <w:suppressLineNumbers w:val="0"/>
              <w:autoSpaceDE w:val="0"/>
              <w:autoSpaceDN w:val="0"/>
              <w:adjustRightInd w:val="0"/>
              <w:snapToGrid w:val="0"/>
              <w:spacing w:before="0" w:beforeAutospacing="0" w:after="0" w:afterAutospacing="0" w:line="360" w:lineRule="auto"/>
              <w:ind w:left="0" w:right="0" w:firstLine="472"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2"/>
                <w:szCs w:val="21"/>
                <w:lang w:val="en-US" w:eastAsia="zh-CN" w:bidi="ar"/>
              </w:rPr>
              <w:t>根据调查，评价区内分布的哺乳类主要有</w:t>
            </w:r>
            <w:r>
              <w:rPr>
                <w:rFonts w:hint="eastAsia" w:ascii="Times New Roman" w:hAnsi="Times New Roman" w:eastAsia="宋体" w:cs="Times New Roman"/>
                <w:snapToGrid w:val="0"/>
                <w:color w:val="auto"/>
                <w:spacing w:val="-2"/>
                <w:szCs w:val="21"/>
                <w:lang w:val="en-US" w:eastAsia="zh-CN" w:bidi="ar"/>
              </w:rPr>
              <w:t>褐家鼠</w:t>
            </w:r>
            <w:r>
              <w:rPr>
                <w:rFonts w:hint="eastAsia" w:ascii="Times New Roman" w:hAnsi="Times New Roman" w:eastAsia="宋体" w:cs="Times New Roman"/>
                <w:i/>
                <w:color w:val="auto"/>
                <w:kern w:val="2"/>
                <w:sz w:val="24"/>
                <w:szCs w:val="24"/>
                <w:lang w:val="en-US" w:eastAsia="zh-CN" w:bidi="ar-SA"/>
              </w:rPr>
              <w:t>Rattus norvegicus</w:t>
            </w:r>
            <w:r>
              <w:rPr>
                <w:rFonts w:hint="default" w:ascii="Times New Roman" w:hAnsi="Times New Roman" w:eastAsia="宋体" w:cs="Times New Roman"/>
                <w:snapToGrid w:val="0"/>
                <w:color w:val="auto"/>
                <w:spacing w:val="-2"/>
                <w:szCs w:val="21"/>
                <w:lang w:val="en-US" w:eastAsia="zh-CN" w:bidi="ar"/>
              </w:rPr>
              <w:t>、</w:t>
            </w:r>
            <w:r>
              <w:rPr>
                <w:rFonts w:hint="eastAsia" w:ascii="Times New Roman" w:hAnsi="Times New Roman" w:eastAsia="宋体" w:cs="Times New Roman"/>
                <w:snapToGrid w:val="0"/>
                <w:color w:val="auto"/>
                <w:spacing w:val="-2"/>
                <w:szCs w:val="21"/>
                <w:lang w:val="en-US" w:eastAsia="zh-CN" w:bidi="ar"/>
              </w:rPr>
              <w:t>小家鼠</w:t>
            </w:r>
            <w:r>
              <w:rPr>
                <w:rFonts w:hint="eastAsia" w:ascii="Times New Roman" w:hAnsi="Times New Roman" w:eastAsia="宋体" w:cs="Times New Roman"/>
                <w:i/>
                <w:color w:val="auto"/>
                <w:kern w:val="2"/>
                <w:sz w:val="24"/>
                <w:szCs w:val="24"/>
                <w:lang w:val="en-US" w:eastAsia="zh-CN" w:bidi="ar-SA"/>
              </w:rPr>
              <w:t>Mus musculus</w:t>
            </w:r>
            <w:r>
              <w:rPr>
                <w:rFonts w:hint="default" w:ascii="Times New Roman" w:hAnsi="Times New Roman" w:eastAsia="宋体" w:cs="Times New Roman"/>
                <w:snapToGrid w:val="0"/>
                <w:color w:val="auto"/>
                <w:spacing w:val="-2"/>
                <w:szCs w:val="21"/>
                <w:lang w:val="en-US" w:eastAsia="zh-CN" w:bidi="ar"/>
              </w:rPr>
              <w:t>等啮齿类小型动物等</w:t>
            </w:r>
            <w:r>
              <w:rPr>
                <w:rFonts w:hint="default" w:ascii="Times New Roman" w:hAnsi="Times New Roman" w:eastAsia="宋体" w:cs="Times New Roman"/>
                <w:bCs/>
                <w:color w:val="auto"/>
                <w:szCs w:val="24"/>
                <w:lang w:val="en-US" w:eastAsia="zh-CN" w:bidi="ar"/>
              </w:rPr>
              <w:t>，其分布范围主要为林地、稀树灌木草丛、灌丛等</w:t>
            </w:r>
            <w:r>
              <w:rPr>
                <w:rFonts w:hint="default" w:ascii="Times New Roman" w:hAnsi="Times New Roman" w:eastAsia="宋体" w:cs="Times New Roman"/>
                <w:snapToGrid w:val="0"/>
                <w:color w:val="auto"/>
                <w:spacing w:val="-2"/>
                <w:szCs w:val="21"/>
                <w:lang w:val="en-US" w:eastAsia="zh-CN" w:bidi="ar"/>
              </w:rPr>
              <w:t>。</w:t>
            </w:r>
          </w:p>
          <w:p w14:paraId="1B3D1C1B">
            <w:pPr>
              <w:keepNext w:val="0"/>
              <w:keepLines w:val="0"/>
              <w:suppressLineNumbers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spacing w:val="-2"/>
                <w:szCs w:val="21"/>
                <w:lang w:val="en-US" w:eastAsia="zh-CN" w:bidi="ar"/>
              </w:rPr>
              <w:t>经调查</w:t>
            </w:r>
            <w:r>
              <w:rPr>
                <w:rFonts w:hint="eastAsia" w:ascii="Times New Roman" w:hAnsi="Times New Roman" w:eastAsia="宋体" w:cs="Times New Roman"/>
                <w:color w:val="auto"/>
                <w:kern w:val="0"/>
                <w:szCs w:val="22"/>
                <w:lang w:val="en-US" w:eastAsia="zh-CN"/>
              </w:rPr>
              <w:t>，</w:t>
            </w:r>
            <w:r>
              <w:rPr>
                <w:rFonts w:hint="default" w:ascii="Times New Roman" w:hAnsi="Times New Roman" w:eastAsia="宋体" w:cs="Times New Roman"/>
                <w:color w:val="auto"/>
                <w:lang w:val="en-US" w:eastAsia="zh-CN"/>
              </w:rPr>
              <w:t>在评价区内未发现国家级和省级保护哺乳动物，也未发现仅分布于评价区的狭域分布物种。</w:t>
            </w:r>
          </w:p>
          <w:p w14:paraId="2432ECF6">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环境质量现状</w:t>
            </w:r>
          </w:p>
          <w:p w14:paraId="7AB163DB">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6.1环境空气质量现状</w:t>
            </w:r>
          </w:p>
          <w:p w14:paraId="420DCC5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lang w:val="en-US" w:eastAsia="zh-CN"/>
              </w:rPr>
              <w:t>据现场调查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项目区为</w:t>
            </w:r>
            <w:r>
              <w:rPr>
                <w:rFonts w:hint="default" w:ascii="Times New Roman" w:hAnsi="Times New Roman" w:eastAsia="宋体" w:cs="Times New Roman"/>
                <w:color w:val="auto"/>
                <w:lang w:val="en-US" w:eastAsia="zh-CN"/>
              </w:rPr>
              <w:t>农村区域</w:t>
            </w:r>
            <w:r>
              <w:rPr>
                <w:rFonts w:hint="default" w:ascii="Times New Roman" w:hAnsi="Times New Roman" w:eastAsia="宋体" w:cs="Times New Roman"/>
                <w:lang w:val="en-US" w:eastAsia="zh-CN"/>
              </w:rPr>
              <w:t>，项目周边无工业企业。环境空气质量功能区划属于二类区，区域环境空气质量执行《环境空气质量标准》      （GB3095-2012）二级标准。根据</w:t>
            </w:r>
            <w:r>
              <w:rPr>
                <w:rFonts w:hint="eastAsia" w:ascii="Times New Roman" w:hAnsi="Times New Roman" w:eastAsia="宋体" w:cs="Times New Roman"/>
                <w:lang w:val="en-US" w:eastAsia="zh-CN"/>
              </w:rPr>
              <w:t>《2022年德宏州生态环境状况公报》，</w:t>
            </w:r>
            <w:r>
              <w:rPr>
                <w:rFonts w:hint="default" w:ascii="Times New Roman" w:hAnsi="Times New Roman" w:eastAsia="宋体" w:cs="Times New Roman"/>
                <w:lang w:val="en-US" w:eastAsia="zh-CN"/>
              </w:rPr>
              <w:t>芒市环境空气质量</w:t>
            </w:r>
            <w:r>
              <w:rPr>
                <w:rFonts w:hint="eastAsia" w:ascii="Times New Roman" w:hAnsi="Times New Roman" w:eastAsia="宋体" w:cs="Times New Roman"/>
                <w:lang w:val="en-US" w:eastAsia="zh-CN"/>
              </w:rPr>
              <w:t>NO</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、CO相应百分位数达到一级标准，SO</w:t>
            </w:r>
            <w:r>
              <w:rPr>
                <w:rFonts w:hint="eastAsia" w:ascii="Times New Roman" w:hAnsi="Times New Roman" w:eastAsia="宋体" w:cs="Times New Roman"/>
                <w:vertAlign w:val="subscript"/>
                <w:lang w:val="en-US" w:eastAsia="zh-CN"/>
              </w:rPr>
              <w:t>2</w:t>
            </w:r>
            <w:r>
              <w:rPr>
                <w:rFonts w:hint="eastAsia" w:ascii="Times New Roman" w:hAnsi="Times New Roman" w:eastAsia="宋体" w:cs="Times New Roman"/>
                <w:lang w:val="en-US" w:eastAsia="zh-CN"/>
              </w:rPr>
              <w:t>、</w:t>
            </w:r>
            <w:r>
              <w:rPr>
                <w:rFonts w:hint="default" w:ascii="Times New Roman" w:hAnsi="Times New Roman" w:eastAsia="宋体" w:cs="Times New Roman"/>
                <w:color w:val="000000" w:themeColor="text1"/>
                <w:lang w:val="en-US" w:eastAsia="zh-CN"/>
                <w14:textFill>
                  <w14:solidFill>
                    <w14:schemeClr w14:val="tx1"/>
                  </w14:solidFill>
                </w14:textFill>
              </w:rPr>
              <w:t>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lang w:val="en-US" w:eastAsia="zh-CN"/>
                <w14:textFill>
                  <w14:solidFill>
                    <w14:schemeClr w14:val="tx1"/>
                  </w14:solidFill>
                </w14:textFill>
              </w:rPr>
              <w:t>、O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3</w:t>
            </w:r>
            <w:r>
              <w:rPr>
                <w:rFonts w:hint="eastAsia" w:ascii="Times New Roman" w:hAnsi="Times New Roman" w:eastAsia="宋体" w:cs="Times New Roman"/>
                <w:lang w:val="en-US" w:eastAsia="zh-CN"/>
              </w:rPr>
              <w:t>相应百分位数达到二级标准</w:t>
            </w:r>
            <w:r>
              <w:rPr>
                <w:rFonts w:hint="default" w:ascii="Times New Roman" w:hAnsi="Times New Roman" w:eastAsia="宋体" w:cs="Times New Roman"/>
                <w:color w:val="000000" w:themeColor="text1"/>
                <w:lang w:val="en-US" w:eastAsia="zh-CN"/>
                <w14:textFill>
                  <w14:solidFill>
                    <w14:schemeClr w14:val="tx1"/>
                  </w14:solidFill>
                </w14:textFill>
              </w:rPr>
              <w:t>。</w:t>
            </w:r>
          </w:p>
          <w:p w14:paraId="3607D04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202</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14:textFill>
                  <w14:solidFill>
                    <w14:schemeClr w14:val="tx1"/>
                  </w14:solidFill>
                </w14:textFill>
              </w:rPr>
              <w:t>年德宏州</w:t>
            </w:r>
            <w:r>
              <w:rPr>
                <w:rFonts w:hint="default" w:ascii="Times New Roman" w:hAnsi="Times New Roman" w:cs="Times New Roman"/>
                <w:b/>
                <w:bCs/>
                <w:color w:val="000000" w:themeColor="text1"/>
                <w:sz w:val="21"/>
                <w:szCs w:val="21"/>
                <w:lang w:val="en-US" w:eastAsia="zh-CN"/>
                <w14:textFill>
                  <w14:solidFill>
                    <w14:schemeClr w14:val="tx1"/>
                  </w14:solidFill>
                </w14:textFill>
              </w:rPr>
              <w:t>芒</w:t>
            </w:r>
            <w:r>
              <w:rPr>
                <w:rFonts w:hint="default" w:ascii="Times New Roman" w:hAnsi="Times New Roman" w:cs="Times New Roman"/>
                <w:b/>
                <w:bCs/>
                <w:color w:val="000000" w:themeColor="text1"/>
                <w:sz w:val="21"/>
                <w:szCs w:val="21"/>
                <w14:textFill>
                  <w14:solidFill>
                    <w14:schemeClr w14:val="tx1"/>
                  </w14:solidFill>
                </w14:textFill>
              </w:rPr>
              <w:t>市城市空气监测结果</w:t>
            </w:r>
          </w:p>
          <w:tbl>
            <w:tblPr>
              <w:tblStyle w:val="25"/>
              <w:tblW w:w="4997"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Layout w:type="autofit"/>
              <w:tblCellMar>
                <w:top w:w="15" w:type="dxa"/>
                <w:left w:w="15" w:type="dxa"/>
                <w:bottom w:w="15" w:type="dxa"/>
                <w:right w:w="15" w:type="dxa"/>
              </w:tblCellMar>
            </w:tblPr>
            <w:tblGrid>
              <w:gridCol w:w="675"/>
              <w:gridCol w:w="639"/>
              <w:gridCol w:w="724"/>
              <w:gridCol w:w="598"/>
              <w:gridCol w:w="598"/>
              <w:gridCol w:w="598"/>
              <w:gridCol w:w="598"/>
              <w:gridCol w:w="598"/>
              <w:gridCol w:w="611"/>
              <w:gridCol w:w="792"/>
              <w:gridCol w:w="793"/>
              <w:gridCol w:w="623"/>
            </w:tblGrid>
            <w:tr w14:paraId="50FCD8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430"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131179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 </w:t>
                  </w:r>
                </w:p>
                <w:p w14:paraId="07705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城市</w:t>
                  </w:r>
                </w:p>
              </w:tc>
              <w:tc>
                <w:tcPr>
                  <w:tcW w:w="868"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79E050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二氧化硫</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529A23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二氧化氮</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513F50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可吸入颗</w:t>
                  </w:r>
                </w:p>
                <w:p w14:paraId="41B6D5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粒物</w:t>
                  </w:r>
                </w:p>
              </w:tc>
              <w:tc>
                <w:tcPr>
                  <w:tcW w:w="770"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63968F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细颗粒物</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02E5C4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一氧</w:t>
                  </w:r>
                </w:p>
                <w:p w14:paraId="0DA9E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化碳</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74833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臭氧</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79A627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达标</w:t>
                  </w:r>
                </w:p>
                <w:p w14:paraId="5538A8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情况</w:t>
                  </w:r>
                </w:p>
              </w:tc>
            </w:tr>
            <w:tr w14:paraId="7520C31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56F7D945">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rPr>
                  </w:pP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73278C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年均值</w:t>
                  </w:r>
                </w:p>
              </w:tc>
              <w:tc>
                <w:tcPr>
                  <w:tcW w:w="460" w:type="pct"/>
                  <w:tcBorders>
                    <w:top w:val="single" w:color="auto" w:sz="8" w:space="0"/>
                    <w:left w:val="single" w:color="auto" w:sz="8" w:space="0"/>
                    <w:bottom w:val="single" w:color="auto" w:sz="8" w:space="0"/>
                    <w:right w:val="single" w:color="auto" w:sz="8" w:space="0"/>
                  </w:tcBorders>
                  <w:shd w:val="clear" w:color="auto" w:fill="F7F7F7"/>
                  <w:vAlign w:val="center"/>
                </w:tcPr>
                <w:p w14:paraId="423899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98</w:t>
                  </w:r>
                </w:p>
                <w:p w14:paraId="777C05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31194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8A8E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98百分位数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416E1A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77EFFB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95百分位数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CADCD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年均值</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1A54EE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95</w:t>
                  </w:r>
                </w:p>
                <w:p w14:paraId="00F929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百分位数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5158A2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95</w:t>
                  </w:r>
                </w:p>
                <w:p w14:paraId="7A4EEB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百分</w:t>
                  </w:r>
                </w:p>
                <w:p w14:paraId="271509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790041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90</w:t>
                  </w:r>
                </w:p>
                <w:p w14:paraId="17D6B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百分</w:t>
                  </w:r>
                </w:p>
                <w:p w14:paraId="0A146F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位数</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0E71ED7F">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rPr>
                  </w:pPr>
                </w:p>
              </w:tc>
            </w:tr>
            <w:tr w14:paraId="13ADA2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08EFE7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芒市</w:t>
                  </w: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4CFC43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9</w:t>
                  </w:r>
                </w:p>
              </w:tc>
              <w:tc>
                <w:tcPr>
                  <w:tcW w:w="460" w:type="pct"/>
                  <w:tcBorders>
                    <w:top w:val="single" w:color="auto" w:sz="8" w:space="0"/>
                    <w:left w:val="single" w:color="auto" w:sz="8" w:space="0"/>
                    <w:bottom w:val="single" w:color="auto" w:sz="8" w:space="0"/>
                    <w:right w:val="single" w:color="auto" w:sz="8" w:space="0"/>
                  </w:tcBorders>
                  <w:shd w:val="clear" w:color="auto" w:fill="F7F7F7"/>
                  <w:vAlign w:val="center"/>
                </w:tcPr>
                <w:p w14:paraId="7F652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21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1705C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12</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4A7FD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26</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65DA2B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41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2E06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85</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ACA70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22</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1BE503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48</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66DF7D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0.9</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09DBD1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118</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636AA8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bottom"/>
                    <w:rPr>
                      <w:rFonts w:hint="eastAsia" w:ascii="宋体" w:hAnsi="宋体" w:eastAsia="宋体" w:cs="宋体"/>
                      <w:sz w:val="24"/>
                      <w:szCs w:val="24"/>
                    </w:rPr>
                  </w:pPr>
                  <w:r>
                    <w:rPr>
                      <w:rFonts w:hint="eastAsia" w:ascii="宋体" w:hAnsi="宋体" w:eastAsia="宋体" w:cs="宋体"/>
                      <w:i w:val="0"/>
                      <w:caps w:val="0"/>
                      <w:color w:val="666666"/>
                      <w:spacing w:val="0"/>
                      <w:kern w:val="0"/>
                      <w:sz w:val="24"/>
                      <w:szCs w:val="24"/>
                      <w:lang w:val="en-US" w:eastAsia="zh-CN" w:bidi="ar"/>
                    </w:rPr>
                    <w:t>二级</w:t>
                  </w:r>
                </w:p>
              </w:tc>
            </w:tr>
            <w:tr w14:paraId="019CC0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c>
                <w:tcPr>
                  <w:tcW w:w="430"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3A3808DE">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rPr>
                  </w:pPr>
                </w:p>
              </w:tc>
              <w:tc>
                <w:tcPr>
                  <w:tcW w:w="407" w:type="pct"/>
                  <w:tcBorders>
                    <w:top w:val="outset" w:color="auto" w:sz="6" w:space="0"/>
                    <w:left w:val="nil"/>
                    <w:bottom w:val="outset" w:color="auto" w:sz="6" w:space="0"/>
                    <w:right w:val="outset" w:color="auto" w:sz="6" w:space="0"/>
                  </w:tcBorders>
                  <w:shd w:val="clear" w:color="auto" w:fill="F7F7F7"/>
                  <w:vAlign w:val="center"/>
                </w:tcPr>
                <w:p w14:paraId="0F6FFD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一级</w:t>
                  </w:r>
                </w:p>
              </w:tc>
              <w:tc>
                <w:tcPr>
                  <w:tcW w:w="460" w:type="pct"/>
                  <w:tcBorders>
                    <w:top w:val="outset" w:color="auto" w:sz="6" w:space="0"/>
                    <w:left w:val="nil"/>
                    <w:bottom w:val="outset" w:color="auto" w:sz="6" w:space="0"/>
                    <w:right w:val="outset" w:color="auto" w:sz="6" w:space="0"/>
                  </w:tcBorders>
                  <w:shd w:val="clear" w:color="auto" w:fill="F7F7F7"/>
                  <w:vAlign w:val="center"/>
                </w:tcPr>
                <w:p w14:paraId="0C27E0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582EF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3391D7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E2254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590950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676787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389" w:type="pct"/>
                  <w:tcBorders>
                    <w:top w:val="outset" w:color="auto" w:sz="6" w:space="0"/>
                    <w:left w:val="nil"/>
                    <w:bottom w:val="outset" w:color="auto" w:sz="6" w:space="0"/>
                    <w:right w:val="outset" w:color="auto" w:sz="6" w:space="0"/>
                  </w:tcBorders>
                  <w:shd w:val="clear" w:color="auto" w:fill="F7F7F7"/>
                  <w:vAlign w:val="center"/>
                </w:tcPr>
                <w:p w14:paraId="38BA63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6C78D1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一级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6C13F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i w:val="0"/>
                      <w:caps w:val="0"/>
                      <w:color w:val="666666"/>
                      <w:spacing w:val="0"/>
                      <w:sz w:val="24"/>
                      <w:szCs w:val="24"/>
                    </w:rPr>
                  </w:pPr>
                  <w:r>
                    <w:rPr>
                      <w:rFonts w:hint="eastAsia" w:ascii="宋体" w:hAnsi="宋体" w:eastAsia="宋体" w:cs="宋体"/>
                      <w:i w:val="0"/>
                      <w:caps w:val="0"/>
                      <w:color w:val="666666"/>
                      <w:spacing w:val="0"/>
                      <w:kern w:val="0"/>
                      <w:sz w:val="24"/>
                      <w:szCs w:val="24"/>
                      <w:lang w:val="en-US" w:eastAsia="zh-CN" w:bidi="ar"/>
                    </w:rPr>
                    <w:t>二级</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4856A18E">
                  <w:pPr>
                    <w:keepNext w:val="0"/>
                    <w:keepLines w:val="0"/>
                    <w:suppressLineNumbers w:val="0"/>
                    <w:spacing w:before="0" w:beforeAutospacing="0" w:after="0" w:afterAutospacing="0" w:line="240" w:lineRule="auto"/>
                    <w:ind w:left="0" w:right="0"/>
                    <w:rPr>
                      <w:rFonts w:hint="eastAsia" w:ascii="宋体" w:hAnsi="宋体" w:eastAsia="宋体" w:cs="宋体"/>
                      <w:i w:val="0"/>
                      <w:caps w:val="0"/>
                      <w:color w:val="666666"/>
                      <w:spacing w:val="0"/>
                      <w:sz w:val="24"/>
                      <w:szCs w:val="24"/>
                    </w:rPr>
                  </w:pPr>
                </w:p>
              </w:tc>
            </w:tr>
          </w:tbl>
          <w:p w14:paraId="62ABB5F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p>
          <w:p w14:paraId="07814F0D">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根据上表，芒市环境空气质量能</w:t>
            </w:r>
            <w:r>
              <w:rPr>
                <w:rFonts w:hint="default" w:ascii="Times New Roman" w:hAnsi="Times New Roman" w:eastAsia="宋体" w:cs="Times New Roman"/>
                <w:color w:val="000000" w:themeColor="text1"/>
                <w:lang w:val="en-US" w:eastAsia="zh-CN"/>
                <w14:textFill>
                  <w14:solidFill>
                    <w14:schemeClr w14:val="tx1"/>
                  </w14:solidFill>
                </w14:textFill>
              </w:rPr>
              <w:t>满足《环境空气质量标准》（GB3095-2012）二级标准要求</w:t>
            </w:r>
            <w:r>
              <w:rPr>
                <w:rFonts w:hint="eastAsia" w:ascii="Times New Roman" w:hAnsi="Times New Roman" w:eastAsia="宋体" w:cs="Times New Roman"/>
                <w:color w:val="000000" w:themeColor="text1"/>
                <w:lang w:val="en-US" w:eastAsia="zh-CN"/>
                <w14:textFill>
                  <w14:solidFill>
                    <w14:schemeClr w14:val="tx1"/>
                  </w14:solidFill>
                </w14:textFill>
              </w:rPr>
              <w:t>，属于达标区</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FFD63E6">
            <w:pPr>
              <w:keepNext w:val="0"/>
              <w:keepLines w:val="0"/>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eastAsia="宋体" w:cs="Times New Roman"/>
                <w:lang w:val="en-US" w:eastAsia="zh-CN"/>
              </w:rPr>
              <w:t>本项目地处地</w:t>
            </w:r>
            <w:r>
              <w:rPr>
                <w:rFonts w:hint="eastAsia" w:ascii="Times New Roman" w:hAnsi="Times New Roman" w:eastAsia="宋体" w:cs="Times New Roman"/>
                <w:color w:val="auto"/>
                <w:lang w:val="en-US" w:eastAsia="zh-CN"/>
              </w:rPr>
              <w:t>山区</w:t>
            </w:r>
            <w:r>
              <w:rPr>
                <w:rFonts w:hint="default" w:ascii="Times New Roman" w:hAnsi="Times New Roman" w:eastAsia="宋体" w:cs="Times New Roman"/>
                <w:lang w:val="en-US" w:eastAsia="zh-CN"/>
              </w:rPr>
              <w:t>，周边没有大的环境空气污染源，项目区域内环境空气质量良好，项目区能满足《环境空气质量标准》（GB3095-2012）二级标准要求。</w:t>
            </w:r>
          </w:p>
          <w:p w14:paraId="18B4659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6.2 </w:t>
            </w:r>
            <w:r>
              <w:rPr>
                <w:rFonts w:hint="default" w:ascii="Times New Roman" w:hAnsi="Times New Roman" w:eastAsia="宋体" w:cs="Times New Roman"/>
                <w:b/>
                <w:bCs/>
                <w:lang w:val="en-US" w:eastAsia="zh-CN"/>
              </w:rPr>
              <w:t>地表水环境质量现状</w:t>
            </w:r>
          </w:p>
          <w:p w14:paraId="6289A5E5">
            <w:pPr>
              <w:keepNext w:val="0"/>
              <w:keepLines w:val="0"/>
              <w:suppressLineNumbers w:val="0"/>
              <w:spacing w:before="10" w:beforeAutospacing="0" w:after="0" w:afterAutospacing="0" w:line="360" w:lineRule="auto"/>
              <w:ind w:left="0" w:right="18" w:firstLine="480" w:firstLineChars="200"/>
              <w:jc w:val="left"/>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江东乡河头村</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项目最近地表水体为南哈河、南朗河最终汇入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w:t>
            </w:r>
            <w:r>
              <w:rPr>
                <w:rFonts w:hint="default" w:ascii="宋体" w:hAnsi="宋体" w:eastAsia="宋体" w:cs="宋体"/>
                <w:b w:val="0"/>
                <w:bCs w:val="0"/>
                <w:color w:val="auto"/>
                <w:spacing w:val="0"/>
                <w:kern w:val="2"/>
                <w:sz w:val="24"/>
                <w:szCs w:val="24"/>
                <w:lang w:val="en-US" w:eastAsia="zh-CN" w:bidi="ar-SA"/>
              </w:rPr>
              <w:t>木康</w:t>
            </w:r>
            <w:r>
              <w:rPr>
                <w:rFonts w:hint="eastAsia" w:ascii="宋体" w:hAnsi="宋体" w:eastAsia="宋体" w:cs="宋体"/>
                <w:b w:val="0"/>
                <w:bCs w:val="0"/>
                <w:color w:val="auto"/>
                <w:spacing w:val="0"/>
                <w:kern w:val="2"/>
                <w:sz w:val="24"/>
                <w:szCs w:val="24"/>
                <w:lang w:val="en-US" w:eastAsia="zh-CN" w:bidi="ar-SA"/>
              </w:rPr>
              <w:t>水文站—等戛水文站</w:t>
            </w:r>
            <w:r>
              <w:rPr>
                <w:rFonts w:hint="default" w:ascii="宋体" w:hAnsi="宋体" w:eastAsia="宋体" w:cs="宋体"/>
                <w:b w:val="0"/>
                <w:bCs w:val="0"/>
                <w:color w:val="auto"/>
                <w:spacing w:val="0"/>
                <w:kern w:val="2"/>
                <w:sz w:val="24"/>
                <w:szCs w:val="24"/>
                <w:lang w:val="en-US" w:eastAsia="zh-CN" w:bidi="ar-SA"/>
              </w:rPr>
              <w:t>水环境功能为</w:t>
            </w:r>
            <w:r>
              <w:rPr>
                <w:rFonts w:hint="eastAsia" w:ascii="宋体" w:hAnsi="宋体" w:eastAsia="宋体" w:cs="宋体"/>
                <w:b w:val="0"/>
                <w:bCs w:val="0"/>
                <w:color w:val="auto"/>
                <w:spacing w:val="0"/>
                <w:kern w:val="2"/>
                <w:sz w:val="24"/>
                <w:szCs w:val="24"/>
                <w:lang w:val="en-US" w:eastAsia="zh-CN" w:bidi="ar-SA"/>
              </w:rPr>
              <w:t>工业、农业用水</w:t>
            </w:r>
            <w:r>
              <w:rPr>
                <w:rFonts w:hint="default" w:ascii="宋体" w:hAnsi="宋体" w:eastAsia="宋体" w:cs="宋体"/>
                <w:b w:val="0"/>
                <w:bCs w:val="0"/>
                <w:color w:val="auto"/>
                <w:spacing w:val="0"/>
                <w:kern w:val="2"/>
                <w:sz w:val="24"/>
                <w:szCs w:val="24"/>
                <w:lang w:val="en-US" w:eastAsia="zh-CN" w:bidi="ar-SA"/>
              </w:rPr>
              <w:t>，</w:t>
            </w:r>
            <w:r>
              <w:rPr>
                <w:rFonts w:hint="eastAsia" w:ascii="宋体" w:hAnsi="宋体" w:eastAsia="宋体" w:cs="宋体"/>
                <w:b w:val="0"/>
                <w:bCs w:val="0"/>
                <w:color w:val="auto"/>
                <w:spacing w:val="0"/>
                <w:kern w:val="2"/>
                <w:sz w:val="24"/>
                <w:szCs w:val="24"/>
                <w:lang w:val="en-US" w:eastAsia="zh-CN" w:bidi="ar-SA"/>
              </w:rPr>
              <w:t>到2030年水质目标为</w:t>
            </w:r>
            <w:r>
              <w:rPr>
                <w:rFonts w:hint="default" w:ascii="Times New Roman" w:hAnsi="Times New Roman" w:eastAsia="宋体" w:cs="Times New Roman"/>
                <w:b w:val="0"/>
                <w:bCs w:val="0"/>
                <w:color w:val="auto"/>
                <w:spacing w:val="0"/>
                <w:kern w:val="2"/>
                <w:sz w:val="24"/>
                <w:szCs w:val="24"/>
                <w:lang w:val="en-US" w:eastAsia="zh-CN" w:bidi="ar-SA"/>
              </w:rPr>
              <w:t>Ⅲ</w:t>
            </w:r>
            <w:r>
              <w:rPr>
                <w:rFonts w:hint="default" w:ascii="宋体" w:hAnsi="宋体" w:eastAsia="宋体" w:cs="宋体"/>
                <w:b w:val="0"/>
                <w:bCs w:val="0"/>
                <w:color w:val="auto"/>
                <w:spacing w:val="0"/>
                <w:kern w:val="2"/>
                <w:sz w:val="24"/>
                <w:szCs w:val="24"/>
                <w:lang w:val="en-US" w:eastAsia="zh-CN" w:bidi="ar-SA"/>
              </w:rPr>
              <w:t>类，水质执行《地表水环境质量标准》（</w:t>
            </w:r>
            <w:r>
              <w:rPr>
                <w:rFonts w:hint="default" w:ascii="Times New Roman" w:hAnsi="Times New Roman" w:eastAsia="宋体" w:cs="Times New Roman"/>
                <w:b w:val="0"/>
                <w:bCs w:val="0"/>
                <w:color w:val="auto"/>
                <w:spacing w:val="0"/>
                <w:kern w:val="2"/>
                <w:sz w:val="24"/>
                <w:szCs w:val="24"/>
                <w:lang w:val="en-US" w:eastAsia="zh-CN" w:bidi="ar-SA"/>
              </w:rPr>
              <w:t>GB3838－2002）Ⅲ类</w:t>
            </w:r>
            <w:r>
              <w:rPr>
                <w:rFonts w:hint="default" w:ascii="Times New Roman" w:hAnsi="Times New Roman" w:eastAsia="宋体" w:cs="Times New Roman"/>
                <w:b w:val="0"/>
                <w:bCs w:val="0"/>
                <w:spacing w:val="0"/>
                <w:kern w:val="2"/>
                <w:sz w:val="24"/>
                <w:szCs w:val="24"/>
                <w:lang w:val="en-US" w:eastAsia="zh-CN" w:bidi="ar-SA"/>
              </w:rPr>
              <w:t>标准要求。根据支流不低于干流的原则，项目地表水执行《地表水环境质量标准》（GB3838-2002）标准中的</w:t>
            </w:r>
            <w:r>
              <w:rPr>
                <w:rFonts w:hint="default" w:ascii="Times New Roman" w:hAnsi="Times New Roman" w:eastAsia="宋体" w:cs="Times New Roman"/>
                <w:b w:val="0"/>
                <w:bCs w:val="0"/>
                <w:color w:val="auto"/>
                <w:spacing w:val="0"/>
                <w:kern w:val="2"/>
                <w:sz w:val="24"/>
                <w:szCs w:val="24"/>
                <w:lang w:val="en-US" w:eastAsia="zh-CN" w:bidi="ar-SA"/>
              </w:rPr>
              <w:t>Ⅲ类水</w:t>
            </w:r>
            <w:r>
              <w:rPr>
                <w:rFonts w:hint="default" w:ascii="Times New Roman" w:hAnsi="Times New Roman" w:eastAsia="宋体" w:cs="Times New Roman"/>
                <w:b w:val="0"/>
                <w:bCs w:val="0"/>
                <w:spacing w:val="0"/>
                <w:kern w:val="2"/>
                <w:sz w:val="24"/>
                <w:szCs w:val="24"/>
                <w:lang w:val="en-US" w:eastAsia="zh-CN" w:bidi="ar-SA"/>
              </w:rPr>
              <w:t>质标准。</w:t>
            </w:r>
          </w:p>
          <w:p w14:paraId="2DC36B86">
            <w:pPr>
              <w:keepNext w:val="0"/>
              <w:keepLines w:val="0"/>
              <w:suppressLineNumbers w:val="0"/>
              <w:spacing w:before="10" w:beforeAutospacing="0" w:after="0" w:afterAutospacing="0" w:line="360" w:lineRule="auto"/>
              <w:ind w:left="110" w:right="18" w:firstLine="478"/>
              <w:rPr>
                <w:rFonts w:hint="eastAsia" w:ascii="Times New Roman" w:hAnsi="Times New Roman" w:eastAsia="宋体" w:cs="Times New Roman"/>
                <w:spacing w:val="-2"/>
                <w:sz w:val="24"/>
                <w:szCs w:val="24"/>
                <w:lang w:val="en-US" w:eastAsia="zh-CN"/>
              </w:rPr>
            </w:pPr>
            <w:r>
              <w:rPr>
                <w:rFonts w:hint="default" w:ascii="Times New Roman" w:hAnsi="Times New Roman" w:eastAsia="宋体" w:cs="Times New Roman"/>
                <w:spacing w:val="-1"/>
                <w:sz w:val="24"/>
                <w:szCs w:val="24"/>
              </w:rPr>
              <w:t>根据</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2022年德宏州生态环境状况公报</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芒市大河3个监测断面为2个Ⅱ类、1个Ⅲ类。故项目地表水芒市大河水质满足《地表水环境质量标准》（GB3838-2002）标准中的Ⅲ类水质标准</w:t>
            </w:r>
            <w:r>
              <w:rPr>
                <w:rFonts w:hint="eastAsia" w:ascii="宋体" w:hAnsi="宋体" w:eastAsia="宋体" w:cs="宋体"/>
                <w:b w:val="0"/>
                <w:bCs w:val="0"/>
                <w:spacing w:val="0"/>
                <w:kern w:val="2"/>
                <w:sz w:val="24"/>
                <w:szCs w:val="24"/>
                <w:lang w:val="en-US" w:eastAsia="zh-CN" w:bidi="ar-SA"/>
              </w:rPr>
              <w:t>。</w:t>
            </w:r>
          </w:p>
          <w:p w14:paraId="5B16CF8C">
            <w:pPr>
              <w:keepNext w:val="0"/>
              <w:keepLines w:val="0"/>
              <w:suppressLineNumbers w:val="0"/>
              <w:spacing w:before="0" w:beforeAutospacing="0" w:after="0" w:afterAutospacing="0" w:line="360" w:lineRule="auto"/>
              <w:ind w:left="0" w:right="0" w:firstLine="723" w:firstLineChars="3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6.3声环境质量现状 </w:t>
            </w:r>
          </w:p>
          <w:p w14:paraId="1315848F">
            <w:pPr>
              <w:keepNext w:val="0"/>
              <w:keepLines w:val="0"/>
              <w:suppressLineNumbers w:val="0"/>
              <w:spacing w:before="10" w:beforeAutospacing="0" w:after="0" w:afterAutospacing="0" w:line="360" w:lineRule="auto"/>
              <w:ind w:left="110" w:right="18" w:firstLine="478"/>
              <w:rPr>
                <w:rFonts w:hint="default" w:ascii="Times New Roman" w:hAnsi="Times New Roman" w:eastAsia="宋体" w:cs="Times New Roman"/>
                <w:color w:val="auto"/>
                <w:spacing w:val="-11"/>
                <w:sz w:val="24"/>
                <w:szCs w:val="24"/>
                <w:lang w:val="en-US" w:eastAsia="zh-CN"/>
              </w:rPr>
            </w:pPr>
            <w:r>
              <w:rPr>
                <w:rFonts w:hint="default" w:ascii="Times New Roman" w:hAnsi="Times New Roman" w:eastAsia="宋体" w:cs="Times New Roman"/>
                <w:spacing w:val="-14"/>
                <w:sz w:val="24"/>
                <w:szCs w:val="24"/>
              </w:rPr>
              <w:t>本项目地处山区，</w:t>
            </w:r>
            <w:r>
              <w:rPr>
                <w:rFonts w:hint="default" w:ascii="Times New Roman" w:hAnsi="Times New Roman" w:eastAsia="宋体" w:cs="Times New Roman"/>
                <w:color w:val="auto"/>
                <w:kern w:val="0"/>
                <w:sz w:val="24"/>
                <w:szCs w:val="24"/>
                <w:lang w:bidi="ar"/>
              </w:rPr>
              <w:t>根据《芒市声环境功能区划分（2019~2029）》</w:t>
            </w:r>
            <w:r>
              <w:rPr>
                <w:rFonts w:hint="default" w:ascii="Times New Roman" w:hAnsi="Times New Roman" w:eastAsia="宋体" w:cs="Times New Roman"/>
                <w:bCs/>
                <w:color w:val="auto"/>
                <w:sz w:val="24"/>
                <w:szCs w:val="24"/>
                <w:lang w:bidi="ar"/>
              </w:rPr>
              <w:t>项目所在地区规划为</w:t>
            </w:r>
            <w:r>
              <w:rPr>
                <w:rFonts w:hint="eastAsia" w:ascii="Times New Roman" w:hAnsi="Times New Roman" w:eastAsia="宋体" w:cs="Times New Roman"/>
                <w:bCs/>
                <w:color w:val="auto"/>
                <w:sz w:val="24"/>
                <w:szCs w:val="24"/>
                <w:lang w:val="en-US" w:eastAsia="zh-CN" w:bidi="ar"/>
              </w:rPr>
              <w:t>1</w:t>
            </w:r>
            <w:r>
              <w:rPr>
                <w:rFonts w:hint="default" w:ascii="Times New Roman" w:hAnsi="Times New Roman" w:eastAsia="宋体" w:cs="Times New Roman"/>
                <w:bCs/>
                <w:color w:val="auto"/>
                <w:sz w:val="24"/>
                <w:szCs w:val="24"/>
                <w:lang w:bidi="ar"/>
              </w:rPr>
              <w:t>类声环境功能区，执行《声环境质量标准》（GB3096-2008）中的</w:t>
            </w:r>
            <w:r>
              <w:rPr>
                <w:rFonts w:hint="eastAsia" w:ascii="Times New Roman" w:hAnsi="Times New Roman" w:eastAsia="宋体" w:cs="Times New Roman"/>
                <w:bCs/>
                <w:color w:val="auto"/>
                <w:sz w:val="24"/>
                <w:szCs w:val="24"/>
                <w:lang w:val="en-US" w:eastAsia="zh-CN" w:bidi="ar"/>
              </w:rPr>
              <w:t>1</w:t>
            </w:r>
            <w:r>
              <w:rPr>
                <w:rFonts w:hint="default" w:ascii="Times New Roman" w:hAnsi="Times New Roman" w:eastAsia="宋体" w:cs="Times New Roman"/>
                <w:bCs/>
                <w:color w:val="auto"/>
                <w:sz w:val="24"/>
                <w:szCs w:val="24"/>
                <w:lang w:bidi="ar"/>
              </w:rPr>
              <w:t>类声环境功能区环境噪声限值标准</w:t>
            </w:r>
            <w:r>
              <w:rPr>
                <w:rFonts w:hint="default" w:ascii="Times New Roman" w:hAnsi="Times New Roman" w:eastAsia="宋体" w:cs="Times New Roman"/>
                <w:spacing w:val="-1"/>
                <w:sz w:val="24"/>
                <w:szCs w:val="24"/>
              </w:rPr>
              <w:t>。</w:t>
            </w:r>
            <w:r>
              <w:rPr>
                <w:rFonts w:hint="default" w:ascii="Times New Roman" w:hAnsi="Times New Roman" w:eastAsia="宋体" w:cs="Times New Roman"/>
                <w:color w:val="auto"/>
                <w:spacing w:val="-1"/>
                <w:sz w:val="24"/>
                <w:szCs w:val="24"/>
              </w:rPr>
              <w:t>为了解项目区域声环境质量现状，</w:t>
            </w:r>
            <w:r>
              <w:rPr>
                <w:rFonts w:hint="eastAsia" w:ascii="Times New Roman" w:hAnsi="Times New Roman" w:eastAsia="宋体" w:cs="Times New Roman"/>
                <w:color w:val="auto"/>
                <w:spacing w:val="-1"/>
                <w:sz w:val="24"/>
                <w:szCs w:val="24"/>
                <w:lang w:val="en-US" w:eastAsia="zh-CN"/>
              </w:rPr>
              <w:t>引用《芒市江东光伏发电项目环境质量现状检测》内容，江东光伏电站位于项目西侧980m，其监测在江东升压站和升压站外村落进行的监测布点，于2022年11月30日进行监测。监测数据见表3-4。</w:t>
            </w:r>
          </w:p>
          <w:p w14:paraId="0EF89FD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rPr>
              <w:t>表 3-</w:t>
            </w:r>
            <w:r>
              <w:rPr>
                <w:rFonts w:hint="eastAsia"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 xml:space="preserve"> </w:t>
            </w:r>
            <w:r>
              <w:rPr>
                <w:rFonts w:hint="eastAsia" w:ascii="Times New Roman" w:hAnsi="Times New Roman" w:cs="Times New Roman"/>
                <w:b w:val="0"/>
                <w:bCs w:val="0"/>
                <w:color w:val="auto"/>
                <w:sz w:val="21"/>
                <w:szCs w:val="21"/>
                <w:lang w:eastAsia="zh-CN"/>
              </w:rPr>
              <w:t>《</w:t>
            </w:r>
            <w:r>
              <w:rPr>
                <w:rFonts w:hint="eastAsia" w:ascii="Times New Roman" w:hAnsi="Times New Roman" w:eastAsia="宋体" w:cs="Times New Roman"/>
                <w:b w:val="0"/>
                <w:bCs w:val="0"/>
                <w:color w:val="auto"/>
                <w:spacing w:val="-1"/>
                <w:sz w:val="24"/>
                <w:szCs w:val="24"/>
                <w:lang w:val="en-US" w:eastAsia="zh-CN"/>
              </w:rPr>
              <w:t>芒市江东光伏发电项目环境质量现状检测</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摘录 单位：db（A）</w:t>
            </w:r>
          </w:p>
          <w:tbl>
            <w:tblPr>
              <w:tblStyle w:val="26"/>
              <w:tblW w:w="79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844"/>
              <w:gridCol w:w="2064"/>
              <w:gridCol w:w="1582"/>
              <w:gridCol w:w="1582"/>
            </w:tblGrid>
            <w:tr w14:paraId="72178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631E6F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844" w:type="dxa"/>
                  <w:tcBorders>
                    <w:tl2br w:val="nil"/>
                    <w:tr2bl w:val="nil"/>
                  </w:tcBorders>
                  <w:vAlign w:val="center"/>
                </w:tcPr>
                <w:p w14:paraId="0A542D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监测点位</w:t>
                  </w:r>
                </w:p>
              </w:tc>
              <w:tc>
                <w:tcPr>
                  <w:tcW w:w="2064" w:type="dxa"/>
                  <w:tcBorders>
                    <w:tl2br w:val="nil"/>
                    <w:tr2bl w:val="nil"/>
                  </w:tcBorders>
                  <w:vAlign w:val="center"/>
                </w:tcPr>
                <w:p w14:paraId="4B1AAA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监测日期</w:t>
                  </w:r>
                </w:p>
              </w:tc>
              <w:tc>
                <w:tcPr>
                  <w:tcW w:w="1582" w:type="dxa"/>
                  <w:tcBorders>
                    <w:tl2br w:val="nil"/>
                    <w:tr2bl w:val="nil"/>
                  </w:tcBorders>
                  <w:vAlign w:val="center"/>
                </w:tcPr>
                <w:p w14:paraId="249DFD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1582" w:type="dxa"/>
                  <w:tcBorders>
                    <w:tl2br w:val="nil"/>
                    <w:tr2bl w:val="nil"/>
                  </w:tcBorders>
                  <w:vAlign w:val="center"/>
                </w:tcPr>
                <w:p w14:paraId="7587F4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夜间</w:t>
                  </w:r>
                </w:p>
              </w:tc>
            </w:tr>
            <w:tr w14:paraId="6039B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59AEB6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844" w:type="dxa"/>
                  <w:tcBorders>
                    <w:tl2br w:val="nil"/>
                    <w:tr2bl w:val="nil"/>
                  </w:tcBorders>
                  <w:vAlign w:val="center"/>
                </w:tcPr>
                <w:p w14:paraId="6B1404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升压站厂界东</w:t>
                  </w:r>
                </w:p>
              </w:tc>
              <w:tc>
                <w:tcPr>
                  <w:tcW w:w="2064" w:type="dxa"/>
                  <w:tcBorders>
                    <w:tl2br w:val="nil"/>
                    <w:tr2bl w:val="nil"/>
                  </w:tcBorders>
                  <w:vAlign w:val="center"/>
                </w:tcPr>
                <w:p w14:paraId="47FFE4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4DB7F8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1582" w:type="dxa"/>
                  <w:tcBorders>
                    <w:tl2br w:val="nil"/>
                    <w:tr2bl w:val="nil"/>
                  </w:tcBorders>
                  <w:vAlign w:val="center"/>
                </w:tcPr>
                <w:p w14:paraId="22B334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r>
            <w:tr w14:paraId="7BCEB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5B2F36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44" w:type="dxa"/>
                  <w:tcBorders>
                    <w:tl2br w:val="nil"/>
                    <w:tr2bl w:val="nil"/>
                  </w:tcBorders>
                  <w:vAlign w:val="center"/>
                </w:tcPr>
                <w:p w14:paraId="5A9000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升压站厂界南</w:t>
                  </w:r>
                </w:p>
              </w:tc>
              <w:tc>
                <w:tcPr>
                  <w:tcW w:w="2064" w:type="dxa"/>
                  <w:tcBorders>
                    <w:tl2br w:val="nil"/>
                    <w:tr2bl w:val="nil"/>
                  </w:tcBorders>
                  <w:vAlign w:val="center"/>
                </w:tcPr>
                <w:p w14:paraId="2065496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18819D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1582" w:type="dxa"/>
                  <w:tcBorders>
                    <w:tl2br w:val="nil"/>
                    <w:tr2bl w:val="nil"/>
                  </w:tcBorders>
                  <w:vAlign w:val="center"/>
                </w:tcPr>
                <w:p w14:paraId="027EE1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r>
            <w:tr w14:paraId="59AD1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B7FE6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844" w:type="dxa"/>
                  <w:tcBorders>
                    <w:tl2br w:val="nil"/>
                    <w:tr2bl w:val="nil"/>
                  </w:tcBorders>
                  <w:vAlign w:val="center"/>
                </w:tcPr>
                <w:p w14:paraId="7E96759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升压站厂界西</w:t>
                  </w:r>
                </w:p>
              </w:tc>
              <w:tc>
                <w:tcPr>
                  <w:tcW w:w="2064" w:type="dxa"/>
                  <w:tcBorders>
                    <w:tl2br w:val="nil"/>
                    <w:tr2bl w:val="nil"/>
                  </w:tcBorders>
                  <w:vAlign w:val="center"/>
                </w:tcPr>
                <w:p w14:paraId="38E62D9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1C3EDF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1582" w:type="dxa"/>
                  <w:tcBorders>
                    <w:tl2br w:val="nil"/>
                    <w:tr2bl w:val="nil"/>
                  </w:tcBorders>
                  <w:vAlign w:val="center"/>
                </w:tcPr>
                <w:p w14:paraId="16888D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r>
            <w:tr w14:paraId="628F0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2577BD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844" w:type="dxa"/>
                  <w:tcBorders>
                    <w:tl2br w:val="nil"/>
                    <w:tr2bl w:val="nil"/>
                  </w:tcBorders>
                  <w:vAlign w:val="center"/>
                </w:tcPr>
                <w:p w14:paraId="35CECD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升压站厂界北</w:t>
                  </w:r>
                </w:p>
              </w:tc>
              <w:tc>
                <w:tcPr>
                  <w:tcW w:w="2064" w:type="dxa"/>
                  <w:tcBorders>
                    <w:tl2br w:val="nil"/>
                    <w:tr2bl w:val="nil"/>
                  </w:tcBorders>
                  <w:vAlign w:val="center"/>
                </w:tcPr>
                <w:p w14:paraId="594406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33958E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1582" w:type="dxa"/>
                  <w:tcBorders>
                    <w:tl2br w:val="nil"/>
                    <w:tr2bl w:val="nil"/>
                  </w:tcBorders>
                  <w:vAlign w:val="center"/>
                </w:tcPr>
                <w:p w14:paraId="32B025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r>
            <w:tr w14:paraId="0A26A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9C610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844" w:type="dxa"/>
                  <w:tcBorders>
                    <w:tl2br w:val="nil"/>
                    <w:tr2bl w:val="nil"/>
                  </w:tcBorders>
                  <w:vAlign w:val="center"/>
                </w:tcPr>
                <w:p w14:paraId="442BDD4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2"/>
                      <w:sz w:val="21"/>
                      <w:szCs w:val="21"/>
                      <w:lang w:val="en-US" w:eastAsia="zh-CN" w:bidi="ar-SA"/>
                    </w:rPr>
                    <w:t>道坡村</w:t>
                  </w:r>
                </w:p>
              </w:tc>
              <w:tc>
                <w:tcPr>
                  <w:tcW w:w="2064" w:type="dxa"/>
                  <w:tcBorders>
                    <w:tl2br w:val="nil"/>
                    <w:tr2bl w:val="nil"/>
                  </w:tcBorders>
                  <w:vAlign w:val="center"/>
                </w:tcPr>
                <w:p w14:paraId="0832E4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4B6FE9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1582" w:type="dxa"/>
                  <w:tcBorders>
                    <w:tl2br w:val="nil"/>
                    <w:tr2bl w:val="nil"/>
                  </w:tcBorders>
                  <w:vAlign w:val="center"/>
                </w:tcPr>
                <w:p w14:paraId="297009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r>
            <w:tr w14:paraId="5854A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6FEED0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844" w:type="dxa"/>
                  <w:tcBorders>
                    <w:tl2br w:val="nil"/>
                    <w:tr2bl w:val="nil"/>
                  </w:tcBorders>
                  <w:vAlign w:val="center"/>
                </w:tcPr>
                <w:p w14:paraId="46EEFCC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2"/>
                      <w:sz w:val="21"/>
                      <w:szCs w:val="21"/>
                      <w:lang w:val="en-US" w:eastAsia="zh-CN" w:bidi="ar-SA"/>
                    </w:rPr>
                    <w:t>上邦瓦村</w:t>
                  </w:r>
                </w:p>
              </w:tc>
              <w:tc>
                <w:tcPr>
                  <w:tcW w:w="2064" w:type="dxa"/>
                  <w:tcBorders>
                    <w:tl2br w:val="nil"/>
                    <w:tr2bl w:val="nil"/>
                  </w:tcBorders>
                  <w:vAlign w:val="center"/>
                </w:tcPr>
                <w:p w14:paraId="78E4FF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日</w:t>
                  </w:r>
                </w:p>
              </w:tc>
              <w:tc>
                <w:tcPr>
                  <w:tcW w:w="1582" w:type="dxa"/>
                  <w:tcBorders>
                    <w:tl2br w:val="nil"/>
                    <w:tr2bl w:val="nil"/>
                  </w:tcBorders>
                  <w:vAlign w:val="center"/>
                </w:tcPr>
                <w:p w14:paraId="407F9A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1582" w:type="dxa"/>
                  <w:tcBorders>
                    <w:tl2br w:val="nil"/>
                    <w:tr2bl w:val="nil"/>
                  </w:tcBorders>
                  <w:vAlign w:val="center"/>
                </w:tcPr>
                <w:p w14:paraId="34544B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bl>
          <w:p w14:paraId="62590FB9">
            <w:pPr>
              <w:keepNext w:val="0"/>
              <w:keepLines w:val="0"/>
              <w:suppressLineNumbers w:val="0"/>
              <w:spacing w:before="35" w:beforeAutospacing="0" w:after="0" w:afterAutospacing="0" w:line="359" w:lineRule="auto"/>
              <w:ind w:left="0" w:right="219" w:firstLine="476" w:firstLineChars="200"/>
              <w:rPr>
                <w:rFonts w:hint="default" w:ascii="宋体" w:hAnsi="宋体" w:eastAsia="宋体" w:cs="宋体"/>
                <w:color w:val="auto"/>
                <w:sz w:val="24"/>
                <w:szCs w:val="24"/>
                <w:lang w:val="en-US" w:eastAsia="zh-CN"/>
              </w:rPr>
            </w:pPr>
            <w:r>
              <w:rPr>
                <w:rFonts w:hint="default" w:ascii="宋体" w:hAnsi="宋体" w:eastAsia="宋体" w:cs="宋体"/>
                <w:color w:val="auto"/>
                <w:spacing w:val="-1"/>
                <w:sz w:val="24"/>
                <w:szCs w:val="24"/>
              </w:rPr>
              <w:t>根据监测结果显示，项目区声环境质量现状满足《声环境质</w:t>
            </w:r>
            <w:r>
              <w:rPr>
                <w:rFonts w:hint="default" w:ascii="宋体" w:hAnsi="宋体" w:eastAsia="宋体" w:cs="宋体"/>
                <w:color w:val="auto"/>
                <w:spacing w:val="-2"/>
                <w:sz w:val="24"/>
                <w:szCs w:val="24"/>
              </w:rPr>
              <w:t>量标准》（</w:t>
            </w:r>
            <w:r>
              <w:rPr>
                <w:rFonts w:hint="default" w:ascii="Times New Roman" w:hAnsi="Times New Roman" w:eastAsia="Times New Roman" w:cs="Times New Roman"/>
                <w:color w:val="auto"/>
                <w:spacing w:val="-2"/>
                <w:sz w:val="24"/>
                <w:szCs w:val="24"/>
              </w:rPr>
              <w:t>B3096-2008</w:t>
            </w:r>
            <w:r>
              <w:rPr>
                <w:rFonts w:hint="default" w:ascii="宋体" w:hAnsi="宋体" w:eastAsia="宋体" w:cs="宋体"/>
                <w:color w:val="auto"/>
                <w:spacing w:val="-2"/>
                <w:sz w:val="24"/>
                <w:szCs w:val="24"/>
              </w:rPr>
              <w:t>）</w:t>
            </w:r>
            <w:r>
              <w:rPr>
                <w:rFonts w:hint="eastAsia" w:ascii="Times New Roman" w:hAnsi="Times New Roman" w:eastAsia="宋体" w:cs="Times New Roman"/>
                <w:color w:val="auto"/>
                <w:spacing w:val="-2"/>
                <w:sz w:val="24"/>
                <w:szCs w:val="24"/>
                <w:lang w:val="en-US" w:eastAsia="zh-CN"/>
              </w:rPr>
              <w:t>1</w:t>
            </w:r>
            <w:r>
              <w:rPr>
                <w:rFonts w:hint="default" w:ascii="宋体" w:hAnsi="宋体" w:eastAsia="宋体" w:cs="宋体"/>
                <w:color w:val="auto"/>
                <w:spacing w:val="-2"/>
                <w:sz w:val="24"/>
                <w:szCs w:val="24"/>
              </w:rPr>
              <w:t>类标准要求</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声环境质量状况较好。</w:t>
            </w:r>
          </w:p>
          <w:p w14:paraId="51DA9379">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6.4土壤及地下水环境</w:t>
            </w:r>
          </w:p>
          <w:p w14:paraId="61F1A12E">
            <w:pPr>
              <w:keepNext w:val="0"/>
              <w:keepLines w:val="0"/>
              <w:suppressLineNumbers w:val="0"/>
              <w:adjustRightInd w:val="0"/>
              <w:snapToGrid w:val="0"/>
              <w:spacing w:before="0" w:beforeAutospacing="0" w:after="0" w:afterAutospacing="0" w:line="360" w:lineRule="auto"/>
              <w:ind w:left="0" w:right="0" w:firstLine="448" w:firstLineChars="200"/>
              <w:jc w:val="left"/>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根据《环境影响评价技术导则 地下水环境》（HJ610-2016）中的附录A“地下水环境影响评价行业分类表”，本项目行业类别属于“E电力34、其他能源发电”，该行业类别下，报告表类项目为IV类项目。根据导则要求可不开展地下水环境影响评价工作。</w:t>
            </w:r>
          </w:p>
          <w:p w14:paraId="6192DADC">
            <w:pPr>
              <w:keepNext w:val="0"/>
              <w:keepLines w:val="0"/>
              <w:suppressLineNumbers w:val="0"/>
              <w:adjustRightInd w:val="0"/>
              <w:snapToGrid w:val="0"/>
              <w:spacing w:before="0" w:beforeAutospacing="0" w:after="0" w:afterAutospacing="0" w:line="360" w:lineRule="auto"/>
              <w:ind w:left="0" w:right="0" w:firstLine="448" w:firstLineChars="200"/>
              <w:jc w:val="left"/>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根据《环境影响评价技术导则土壤环境（试行）》（HJ964-2018）中的附 录 A“土壤环境影响评价项目类别表”，本项目属于“电力热力燃气及水生产和供应业”中的“其他”类项目，为IV类项目，根据导则要求，可不开展土壤影响评价工作。</w:t>
            </w:r>
          </w:p>
          <w:p w14:paraId="1B51BE8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pacing w:val="-8"/>
                <w:sz w:val="24"/>
                <w:szCs w:val="24"/>
                <w:lang w:val="en-US" w:eastAsia="zh-CN"/>
              </w:rPr>
            </w:pPr>
            <w:r>
              <w:rPr>
                <w:rFonts w:hint="eastAsia" w:ascii="Times New Roman" w:hAnsi="Times New Roman" w:eastAsia="宋体" w:cs="Times New Roman"/>
                <w:color w:val="auto"/>
                <w:szCs w:val="21"/>
                <w:lang w:val="en-US" w:eastAsia="zh-CN"/>
              </w:rPr>
              <w:t>项目运营期</w:t>
            </w:r>
            <w:r>
              <w:rPr>
                <w:rFonts w:hint="eastAsia" w:ascii="Times New Roman" w:hAnsi="Times New Roman" w:eastAsia="宋体" w:cs="Times New Roman"/>
                <w:b w:val="0"/>
                <w:bCs w:val="0"/>
                <w:color w:val="auto"/>
                <w:spacing w:val="0"/>
                <w:kern w:val="2"/>
                <w:sz w:val="24"/>
                <w:szCs w:val="24"/>
                <w:lang w:val="en-US" w:eastAsia="zh-CN" w:bidi="ar-SA"/>
              </w:rPr>
              <w:t>依托江东光伏电站</w:t>
            </w:r>
            <w:r>
              <w:rPr>
                <w:rFonts w:hint="default" w:ascii="Times New Roman" w:hAnsi="Times New Roman" w:eastAsia="宋体" w:cs="Times New Roman"/>
                <w:b w:val="0"/>
                <w:bCs w:val="0"/>
                <w:color w:val="auto"/>
                <w:spacing w:val="0"/>
                <w:kern w:val="2"/>
                <w:sz w:val="24"/>
                <w:szCs w:val="24"/>
                <w:lang w:val="en-US" w:eastAsia="zh-CN" w:bidi="ar-SA"/>
              </w:rPr>
              <w:t>危废暂存间</w:t>
            </w:r>
            <w:r>
              <w:rPr>
                <w:rFonts w:hint="eastAsia" w:ascii="Times New Roman" w:hAnsi="Times New Roman" w:eastAsia="宋体" w:cs="Times New Roman"/>
                <w:b w:val="0"/>
                <w:bCs w:val="0"/>
                <w:color w:val="auto"/>
                <w:spacing w:val="0"/>
                <w:kern w:val="2"/>
                <w:sz w:val="24"/>
                <w:szCs w:val="24"/>
                <w:lang w:val="en-US" w:eastAsia="zh-CN" w:bidi="ar-SA"/>
              </w:rPr>
              <w:t>，项目新建</w:t>
            </w:r>
            <w:r>
              <w:rPr>
                <w:rFonts w:hint="default" w:ascii="Times New Roman" w:hAnsi="Times New Roman" w:eastAsia="宋体" w:cs="Times New Roman"/>
                <w:b w:val="0"/>
                <w:bCs w:val="0"/>
                <w:color w:val="auto"/>
                <w:spacing w:val="0"/>
                <w:kern w:val="2"/>
                <w:sz w:val="24"/>
                <w:szCs w:val="24"/>
                <w:lang w:val="en-US" w:eastAsia="zh-CN" w:bidi="ar-SA"/>
              </w:rPr>
              <w:t>事故油池</w:t>
            </w:r>
            <w:r>
              <w:rPr>
                <w:rFonts w:hint="eastAsia" w:ascii="Times New Roman" w:hAnsi="Times New Roman" w:eastAsia="宋体" w:cs="Times New Roman"/>
                <w:b w:val="0"/>
                <w:bCs w:val="0"/>
                <w:color w:val="auto"/>
                <w:spacing w:val="0"/>
                <w:kern w:val="2"/>
                <w:sz w:val="24"/>
                <w:szCs w:val="24"/>
                <w:lang w:val="en-US" w:eastAsia="zh-CN" w:bidi="ar-SA"/>
              </w:rPr>
              <w:t>进行重点防渗。废矿物油</w:t>
            </w:r>
            <w:r>
              <w:rPr>
                <w:rFonts w:hint="default" w:ascii="Times New Roman" w:hAnsi="Times New Roman" w:eastAsia="宋体" w:cs="Times New Roman"/>
                <w:b w:val="0"/>
                <w:bCs w:val="0"/>
                <w:color w:val="auto"/>
                <w:spacing w:val="0"/>
                <w:kern w:val="2"/>
                <w:sz w:val="24"/>
                <w:szCs w:val="24"/>
                <w:lang w:val="en-US" w:eastAsia="zh-CN" w:bidi="ar-SA"/>
              </w:rPr>
              <w:t>收集后</w:t>
            </w:r>
            <w:r>
              <w:rPr>
                <w:rFonts w:hint="eastAsia" w:ascii="Times New Roman" w:hAnsi="Times New Roman" w:eastAsia="宋体" w:cs="Times New Roman"/>
                <w:b w:val="0"/>
                <w:bCs w:val="0"/>
                <w:color w:val="auto"/>
                <w:spacing w:val="0"/>
                <w:kern w:val="2"/>
                <w:sz w:val="24"/>
                <w:szCs w:val="24"/>
                <w:lang w:val="en-US" w:eastAsia="zh-CN" w:bidi="ar-SA"/>
              </w:rPr>
              <w:t>暂存于危废暂存间</w:t>
            </w:r>
            <w:r>
              <w:rPr>
                <w:rFonts w:hint="default" w:ascii="Times New Roman" w:hAnsi="Times New Roman" w:eastAsia="宋体" w:cs="Times New Roman"/>
                <w:b w:val="0"/>
                <w:bCs w:val="0"/>
                <w:color w:val="auto"/>
                <w:spacing w:val="0"/>
                <w:kern w:val="2"/>
                <w:sz w:val="24"/>
                <w:szCs w:val="24"/>
                <w:lang w:val="en-US" w:eastAsia="zh-CN" w:bidi="ar-SA"/>
              </w:rPr>
              <w:t>交由有资质的单位处置，</w:t>
            </w:r>
            <w:r>
              <w:rPr>
                <w:rFonts w:hint="eastAsia" w:ascii="Times New Roman" w:hAnsi="Times New Roman" w:eastAsia="宋体" w:cs="Times New Roman"/>
                <w:b w:val="0"/>
                <w:bCs w:val="0"/>
                <w:color w:val="auto"/>
                <w:spacing w:val="0"/>
                <w:kern w:val="2"/>
                <w:sz w:val="24"/>
                <w:szCs w:val="24"/>
                <w:lang w:val="en-US" w:eastAsia="zh-CN" w:bidi="ar-SA"/>
              </w:rPr>
              <w:t>正常情况下</w:t>
            </w:r>
            <w:r>
              <w:rPr>
                <w:rFonts w:hint="default" w:ascii="Times New Roman" w:hAnsi="Times New Roman" w:eastAsia="宋体" w:cs="Times New Roman"/>
                <w:b w:val="0"/>
                <w:bCs w:val="0"/>
                <w:color w:val="auto"/>
                <w:spacing w:val="0"/>
                <w:kern w:val="2"/>
                <w:sz w:val="24"/>
                <w:szCs w:val="24"/>
                <w:lang w:val="en-US" w:eastAsia="zh-CN" w:bidi="ar-SA"/>
              </w:rPr>
              <w:t>不会对</w:t>
            </w:r>
            <w:r>
              <w:rPr>
                <w:rFonts w:hint="eastAsia" w:ascii="Times New Roman" w:hAnsi="Times New Roman" w:eastAsia="宋体" w:cs="Times New Roman"/>
                <w:b w:val="0"/>
                <w:bCs w:val="0"/>
                <w:color w:val="auto"/>
                <w:spacing w:val="0"/>
                <w:kern w:val="2"/>
                <w:sz w:val="24"/>
                <w:szCs w:val="24"/>
                <w:lang w:val="en-US" w:eastAsia="zh-CN" w:bidi="ar-SA"/>
              </w:rPr>
              <w:t>发生泄漏导致土壤及地下水</w:t>
            </w:r>
            <w:r>
              <w:rPr>
                <w:rFonts w:hint="default" w:ascii="Times New Roman" w:hAnsi="Times New Roman" w:eastAsia="宋体" w:cs="Times New Roman"/>
                <w:b w:val="0"/>
                <w:bCs w:val="0"/>
                <w:color w:val="auto"/>
                <w:spacing w:val="0"/>
                <w:kern w:val="2"/>
                <w:sz w:val="24"/>
                <w:szCs w:val="24"/>
                <w:lang w:val="en-US" w:eastAsia="zh-CN" w:bidi="ar-SA"/>
              </w:rPr>
              <w:t>污染</w:t>
            </w:r>
            <w:r>
              <w:rPr>
                <w:rFonts w:hint="eastAsia" w:ascii="Times New Roman" w:hAnsi="Times New Roman" w:eastAsia="宋体" w:cs="Times New Roman"/>
                <w:b w:val="0"/>
                <w:bCs w:val="0"/>
                <w:color w:val="auto"/>
                <w:spacing w:val="0"/>
                <w:kern w:val="2"/>
                <w:sz w:val="24"/>
                <w:szCs w:val="24"/>
                <w:lang w:val="en-US" w:eastAsia="zh-CN" w:bidi="ar-SA"/>
              </w:rPr>
              <w:t>。</w:t>
            </w:r>
          </w:p>
          <w:p w14:paraId="777A2FC8">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6.6</w:t>
            </w:r>
            <w:r>
              <w:rPr>
                <w:rFonts w:hint="default" w:ascii="Times New Roman" w:hAnsi="Times New Roman" w:eastAsia="宋体" w:cs="Times New Roman"/>
                <w:b/>
                <w:bCs/>
                <w:color w:val="auto"/>
                <w:lang w:val="en-US" w:eastAsia="zh-CN"/>
              </w:rPr>
              <w:t>环境敏感区</w:t>
            </w:r>
          </w:p>
          <w:p w14:paraId="3EB852C9">
            <w:pPr>
              <w:keepNext w:val="0"/>
              <w:keepLines w:val="0"/>
              <w:suppressLineNumbers w:val="0"/>
              <w:spacing w:before="0" w:beforeAutospacing="0" w:after="0" w:afterAutospacing="0" w:line="360" w:lineRule="auto"/>
              <w:ind w:left="0" w:right="0" w:firstLine="448" w:firstLineChars="200"/>
              <w:rPr>
                <w:rFonts w:hint="default"/>
                <w:lang w:val="en-US" w:eastAsia="zh-CN"/>
              </w:rPr>
            </w:pPr>
            <w:r>
              <w:rPr>
                <w:rFonts w:hint="default" w:ascii="宋体" w:hAnsi="宋体" w:eastAsia="宋体" w:cs="宋体"/>
                <w:spacing w:val="-8"/>
                <w:sz w:val="24"/>
                <w:szCs w:val="24"/>
              </w:rPr>
              <w:t>经现场调查项目区内未发现文物保护单位，且项目占地不涉及国家有关部门、省（自治区、直辖市）人民政府、市（州）人民政府、县（区、市）人民政府规定的生态保护区、自然保护区、风景名胜区、文化遗产保护区、水源保护区。根据现场踏勘，项目区内无地质遗迹分布，不属于地质遗迹保护区，附近没有国家、省、市级保护文物以及学校、医院等，项目所在区域无古树名树；项目区周围</w:t>
            </w:r>
            <w:r>
              <w:rPr>
                <w:rFonts w:hint="eastAsia" w:ascii="宋体" w:hAnsi="宋体" w:eastAsia="宋体" w:cs="宋体"/>
                <w:spacing w:val="-8"/>
                <w:sz w:val="24"/>
                <w:szCs w:val="24"/>
                <w:lang w:val="en-US" w:eastAsia="zh-CN"/>
              </w:rPr>
              <w:t>3</w:t>
            </w:r>
            <w:r>
              <w:rPr>
                <w:rFonts w:hint="default" w:ascii="宋体" w:hAnsi="宋体" w:eastAsia="宋体" w:cs="宋体"/>
                <w:spacing w:val="-8"/>
                <w:sz w:val="24"/>
                <w:szCs w:val="24"/>
              </w:rPr>
              <w:t>00m的范围区内无国家规定的保护动植物。</w:t>
            </w:r>
          </w:p>
        </w:tc>
      </w:tr>
      <w:tr w14:paraId="0C8F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5D289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vertAlign w:val="baseline"/>
                <w:lang w:val="en-US" w:eastAsia="zh-CN"/>
              </w:rPr>
            </w:pPr>
            <w:r>
              <w:rPr>
                <w:rFonts w:hint="default" w:ascii="Times New Roman" w:hAnsi="Times New Roman"/>
                <w:bCs/>
                <w:color w:val="000000"/>
                <w:sz w:val="24"/>
              </w:rPr>
              <w:t>与项目有关的原有环境污染和生态破坏问题</w:t>
            </w:r>
          </w:p>
        </w:tc>
        <w:tc>
          <w:tcPr>
            <w:tcW w:w="7793" w:type="dxa"/>
            <w:vAlign w:val="center"/>
          </w:tcPr>
          <w:p w14:paraId="21734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宋体" w:hAnsi="宋体" w:eastAsia="宋体" w:cs="宋体"/>
                <w:spacing w:val="-2"/>
                <w:sz w:val="24"/>
                <w:szCs w:val="24"/>
              </w:rPr>
            </w:pPr>
            <w:r>
              <w:rPr>
                <w:rFonts w:hint="default" w:ascii="宋体" w:hAnsi="宋体" w:eastAsia="宋体" w:cs="宋体"/>
                <w:spacing w:val="-2"/>
                <w:sz w:val="24"/>
                <w:szCs w:val="24"/>
              </w:rPr>
              <w:t>本项目为新建项目，无与本项目相关的原有污染和生态破坏问题。</w:t>
            </w:r>
          </w:p>
        </w:tc>
      </w:tr>
      <w:tr w14:paraId="41DC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8" w:hRule="atLeast"/>
        </w:trPr>
        <w:tc>
          <w:tcPr>
            <w:tcW w:w="729" w:type="dxa"/>
            <w:gridSpan w:val="2"/>
            <w:vAlign w:val="center"/>
          </w:tcPr>
          <w:p w14:paraId="5AB72FE1">
            <w:pPr>
              <w:keepNext w:val="0"/>
              <w:keepLines w:val="0"/>
              <w:suppressLineNumbers w:val="0"/>
              <w:spacing w:before="0" w:beforeAutospacing="0" w:after="0" w:afterAutospacing="0"/>
              <w:ind w:left="0" w:right="0"/>
              <w:jc w:val="center"/>
              <w:rPr>
                <w:rFonts w:hint="default" w:ascii="Times New Roman" w:hAnsi="Times New Roman"/>
                <w:bCs/>
                <w:color w:val="000000"/>
                <w:sz w:val="24"/>
              </w:rPr>
            </w:pPr>
            <w:r>
              <w:rPr>
                <w:rFonts w:hint="default" w:ascii="Times New Roman" w:hAnsi="Times New Roman"/>
                <w:color w:val="000000"/>
                <w:kern w:val="0"/>
                <w:sz w:val="24"/>
              </w:rPr>
              <w:t>生态环境保护目标</w:t>
            </w:r>
          </w:p>
        </w:tc>
        <w:tc>
          <w:tcPr>
            <w:tcW w:w="7793" w:type="dxa"/>
          </w:tcPr>
          <w:p w14:paraId="7D40E9F6">
            <w:pPr>
              <w:keepNext w:val="0"/>
              <w:keepLines w:val="0"/>
              <w:suppressLineNumbers w:val="0"/>
              <w:spacing w:before="0" w:beforeAutospacing="0" w:after="0" w:afterAutospacing="0" w:line="360" w:lineRule="auto"/>
              <w:ind w:left="0" w:right="0"/>
              <w:rPr>
                <w:rFonts w:hint="default"/>
                <w:b/>
                <w:bCs/>
                <w:lang w:val="en-US" w:eastAsia="zh-CN"/>
              </w:rPr>
            </w:pPr>
            <w:r>
              <w:rPr>
                <w:rFonts w:hint="eastAsia"/>
                <w:b/>
                <w:bCs/>
                <w:lang w:val="en-US" w:eastAsia="zh-CN"/>
              </w:rPr>
              <w:t>一</w:t>
            </w:r>
            <w:r>
              <w:rPr>
                <w:rFonts w:hint="default"/>
                <w:b/>
                <w:bCs/>
                <w:lang w:val="en-US" w:eastAsia="zh-CN"/>
              </w:rPr>
              <w:t>、项目环境保护目标</w:t>
            </w:r>
          </w:p>
          <w:p w14:paraId="5894E4B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1、生态环境保护目标</w:t>
            </w:r>
          </w:p>
          <w:p w14:paraId="010B320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根据现场踏勘、资料收集和调研工作，本工程不涉及《建设项目环境影响评价分类管理名录（2021 年版）》(生态环境部令第16号)第三条(一)中的环境敏感区，即不涉及国家公园、自然保护区、风景名胜区、世界文化和自然遗产地、海洋特别保护区、饮用水水源保护区；不涉及《环境影响评价技术导则生态影响》（HJ 19-2011）中规定的自然保护区、世界文化和自然遗产地等特殊生态敏感区和风景名胜区、森林公园、地质公园等重要生态敏感区：不涉及云南省生态保护红线。本项目</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00m范围无生态保护目标，项目</w:t>
            </w:r>
            <w:r>
              <w:rPr>
                <w:rFonts w:hint="eastAsia" w:ascii="Times New Roman" w:hAnsi="Times New Roman" w:cs="Times New Roman"/>
                <w:color w:val="auto"/>
                <w:lang w:val="en-US" w:eastAsia="zh-CN"/>
              </w:rPr>
              <w:t>输电线路</w:t>
            </w:r>
            <w:r>
              <w:rPr>
                <w:rFonts w:hint="eastAsia" w:ascii="Times New Roman" w:hAnsi="Times New Roman" w:cs="Times New Roman"/>
                <w:color w:val="000000" w:themeColor="text1"/>
                <w:lang w:val="en-US" w:eastAsia="zh-CN"/>
                <w14:textFill>
                  <w14:solidFill>
                    <w14:schemeClr w14:val="tx1"/>
                  </w14:solidFill>
                </w14:textFill>
              </w:rPr>
              <w:t>根据《建设项目环境影响评价分类管理名录》（2021年版）中项目类别五十五、核与辐射，161输变电工程，本项目35kV集电线路无需做环评</w:t>
            </w:r>
            <w:r>
              <w:rPr>
                <w:rFonts w:hint="default" w:ascii="Times New Roman" w:hAnsi="Times New Roman" w:cs="Times New Roman"/>
                <w:color w:val="auto"/>
                <w:lang w:val="en-US" w:eastAsia="zh-CN"/>
              </w:rPr>
              <w:t>。</w:t>
            </w:r>
          </w:p>
          <w:p w14:paraId="2EDD0D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2、地表水环境保护目标</w:t>
            </w:r>
          </w:p>
          <w:p w14:paraId="16DA2BC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附近地表水体为</w:t>
            </w:r>
            <w:r>
              <w:rPr>
                <w:rFonts w:hint="default" w:ascii="Times New Roman" w:hAnsi="Times New Roman" w:eastAsia="宋体" w:cs="Times New Roman"/>
                <w:b w:val="0"/>
                <w:bCs w:val="0"/>
                <w:spacing w:val="0"/>
                <w:kern w:val="2"/>
                <w:sz w:val="24"/>
                <w:szCs w:val="24"/>
                <w:lang w:val="en-US" w:eastAsia="zh-CN" w:bidi="ar-SA"/>
              </w:rPr>
              <w:t>南哈河、南</w:t>
            </w:r>
            <w:r>
              <w:rPr>
                <w:rFonts w:hint="eastAsia" w:ascii="Times New Roman" w:hAnsi="Times New Roman" w:eastAsia="宋体" w:cs="Times New Roman"/>
                <w:b w:val="0"/>
                <w:bCs w:val="0"/>
                <w:spacing w:val="0"/>
                <w:kern w:val="2"/>
                <w:sz w:val="24"/>
                <w:szCs w:val="24"/>
                <w:lang w:val="en-US" w:eastAsia="zh-CN" w:bidi="ar-SA"/>
              </w:rPr>
              <w:t>朗</w:t>
            </w:r>
            <w:r>
              <w:rPr>
                <w:rFonts w:hint="default" w:ascii="Times New Roman" w:hAnsi="Times New Roman" w:eastAsia="宋体" w:cs="Times New Roman"/>
                <w:b w:val="0"/>
                <w:bCs w:val="0"/>
                <w:spacing w:val="0"/>
                <w:kern w:val="2"/>
                <w:sz w:val="24"/>
                <w:szCs w:val="24"/>
                <w:lang w:val="en-US" w:eastAsia="zh-CN" w:bidi="ar-SA"/>
              </w:rPr>
              <w:t>河</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南哈河、南</w:t>
            </w:r>
            <w:r>
              <w:rPr>
                <w:rFonts w:hint="eastAsia" w:ascii="Times New Roman" w:hAnsi="Times New Roman" w:eastAsia="宋体" w:cs="Times New Roman"/>
                <w:b w:val="0"/>
                <w:bCs w:val="0"/>
                <w:spacing w:val="0"/>
                <w:kern w:val="2"/>
                <w:sz w:val="24"/>
                <w:szCs w:val="24"/>
                <w:lang w:val="en-US" w:eastAsia="zh-CN" w:bidi="ar-SA"/>
              </w:rPr>
              <w:t>朗</w:t>
            </w:r>
            <w:r>
              <w:rPr>
                <w:rFonts w:hint="default" w:ascii="Times New Roman" w:hAnsi="Times New Roman" w:eastAsia="宋体" w:cs="Times New Roman"/>
                <w:b w:val="0"/>
                <w:bCs w:val="0"/>
                <w:spacing w:val="0"/>
                <w:kern w:val="2"/>
                <w:sz w:val="24"/>
                <w:szCs w:val="24"/>
                <w:lang w:val="en-US" w:eastAsia="zh-CN" w:bidi="ar-SA"/>
              </w:rPr>
              <w:t>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default" w:ascii="Times New Roman" w:hAnsi="Times New Roman" w:eastAsia="宋体" w:cs="Times New Roman"/>
                <w:b w:val="0"/>
                <w:bCs w:val="0"/>
                <w:spacing w:val="0"/>
                <w:kern w:val="2"/>
                <w:sz w:val="24"/>
                <w:szCs w:val="24"/>
                <w:lang w:val="en-US" w:eastAsia="zh-CN" w:bidi="ar-SA"/>
              </w:rPr>
              <w:t>芒市大河</w:t>
            </w:r>
            <w:r>
              <w:rPr>
                <w:rFonts w:hint="eastAsia" w:ascii="Times New Roman" w:hAnsi="Times New Roman" w:eastAsia="宋体" w:cs="Times New Roman"/>
                <w:b w:val="0"/>
                <w:bCs w:val="0"/>
                <w:spacing w:val="0"/>
                <w:kern w:val="2"/>
                <w:sz w:val="24"/>
                <w:szCs w:val="24"/>
                <w:lang w:val="en-US" w:eastAsia="zh-CN" w:bidi="ar-SA"/>
              </w:rPr>
              <w:t>支流。</w:t>
            </w:r>
            <w:r>
              <w:rPr>
                <w:rFonts w:hint="default" w:ascii="Times New Roman" w:hAnsi="Times New Roman" w:cs="Times New Roman"/>
                <w:color w:val="auto"/>
                <w:lang w:val="en-US" w:eastAsia="zh-CN"/>
              </w:rPr>
              <w:t>项目周边地表水环境保护目标如下表所示</w:t>
            </w:r>
          </w:p>
          <w:p w14:paraId="4FC0F35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p>
          <w:p w14:paraId="70022E7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p>
          <w:p w14:paraId="56937F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p>
          <w:p w14:paraId="729BC17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地表水环境保护目标一览表</w:t>
            </w:r>
          </w:p>
          <w:tbl>
            <w:tblPr>
              <w:tblStyle w:val="26"/>
              <w:tblW w:w="754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164"/>
              <w:gridCol w:w="1709"/>
              <w:gridCol w:w="893"/>
              <w:gridCol w:w="1319"/>
              <w:gridCol w:w="1839"/>
            </w:tblGrid>
            <w:tr w14:paraId="31D05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220283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环境要素</w:t>
                  </w:r>
                </w:p>
              </w:tc>
              <w:tc>
                <w:tcPr>
                  <w:tcW w:w="1179" w:type="dxa"/>
                  <w:tcBorders>
                    <w:tl2br w:val="nil"/>
                    <w:tr2bl w:val="nil"/>
                  </w:tcBorders>
                  <w:vAlign w:val="center"/>
                </w:tcPr>
                <w:p w14:paraId="51F882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保护对象</w:t>
                  </w:r>
                </w:p>
              </w:tc>
              <w:tc>
                <w:tcPr>
                  <w:tcW w:w="1734" w:type="dxa"/>
                  <w:tcBorders>
                    <w:tl2br w:val="nil"/>
                    <w:tr2bl w:val="nil"/>
                  </w:tcBorders>
                  <w:vAlign w:val="center"/>
                </w:tcPr>
                <w:p w14:paraId="1D48B9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与项目位置关系</w:t>
                  </w:r>
                </w:p>
              </w:tc>
              <w:tc>
                <w:tcPr>
                  <w:tcW w:w="895" w:type="dxa"/>
                  <w:tcBorders>
                    <w:tl2br w:val="nil"/>
                    <w:tr2bl w:val="nil"/>
                  </w:tcBorders>
                  <w:vAlign w:val="center"/>
                </w:tcPr>
                <w:p w14:paraId="2EDA0E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337" w:type="dxa"/>
                  <w:tcBorders>
                    <w:tl2br w:val="nil"/>
                    <w:tr2bl w:val="nil"/>
                  </w:tcBorders>
                  <w:vAlign w:val="center"/>
                </w:tcPr>
                <w:p w14:paraId="5B4979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特性/规模</w:t>
                  </w:r>
                </w:p>
              </w:tc>
              <w:tc>
                <w:tcPr>
                  <w:tcW w:w="1775" w:type="dxa"/>
                  <w:tcBorders>
                    <w:tl2br w:val="nil"/>
                    <w:tr2bl w:val="nil"/>
                  </w:tcBorders>
                  <w:vAlign w:val="center"/>
                </w:tcPr>
                <w:p w14:paraId="45FF9F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保护级别</w:t>
                  </w:r>
                </w:p>
              </w:tc>
            </w:tr>
            <w:tr w14:paraId="1DA4F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restart"/>
                  <w:tcBorders>
                    <w:tl2br w:val="nil"/>
                    <w:tr2bl w:val="nil"/>
                  </w:tcBorders>
                  <w:vAlign w:val="center"/>
                </w:tcPr>
                <w:p w14:paraId="4FA11EDB">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水环境</w:t>
                  </w:r>
                </w:p>
              </w:tc>
              <w:tc>
                <w:tcPr>
                  <w:tcW w:w="1179" w:type="dxa"/>
                  <w:tcBorders>
                    <w:tl2br w:val="nil"/>
                    <w:tr2bl w:val="nil"/>
                  </w:tcBorders>
                  <w:vAlign w:val="center"/>
                </w:tcPr>
                <w:p w14:paraId="32B42387">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w:t>
                  </w:r>
                  <w:r>
                    <w:rPr>
                      <w:rFonts w:hint="eastAsia" w:ascii="Times New Roman" w:hAnsi="Times New Roman" w:eastAsia="宋体" w:cs="Times New Roman"/>
                      <w:sz w:val="21"/>
                      <w:szCs w:val="21"/>
                      <w:vertAlign w:val="baseline"/>
                      <w:lang w:val="en-US" w:eastAsia="zh-CN"/>
                    </w:rPr>
                    <w:t>朗</w:t>
                  </w:r>
                  <w:r>
                    <w:rPr>
                      <w:rFonts w:hint="default" w:ascii="Times New Roman" w:hAnsi="Times New Roman" w:eastAsia="宋体" w:cs="Times New Roman"/>
                      <w:sz w:val="21"/>
                      <w:szCs w:val="21"/>
                      <w:vertAlign w:val="baseline"/>
                      <w:lang w:val="en-US" w:eastAsia="zh-CN"/>
                    </w:rPr>
                    <w:t>河</w:t>
                  </w:r>
                </w:p>
              </w:tc>
              <w:tc>
                <w:tcPr>
                  <w:tcW w:w="1734" w:type="dxa"/>
                  <w:tcBorders>
                    <w:tl2br w:val="nil"/>
                    <w:tr2bl w:val="nil"/>
                  </w:tcBorders>
                  <w:vAlign w:val="center"/>
                </w:tcPr>
                <w:p w14:paraId="4B27FB63">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w:t>
                  </w: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侧</w:t>
                  </w:r>
                </w:p>
              </w:tc>
              <w:tc>
                <w:tcPr>
                  <w:tcW w:w="895" w:type="dxa"/>
                  <w:tcBorders>
                    <w:tl2br w:val="nil"/>
                    <w:tr2bl w:val="nil"/>
                  </w:tcBorders>
                  <w:vAlign w:val="center"/>
                </w:tcPr>
                <w:p w14:paraId="33422DD7">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901</w:t>
                  </w:r>
                </w:p>
              </w:tc>
              <w:tc>
                <w:tcPr>
                  <w:tcW w:w="1337" w:type="dxa"/>
                  <w:vMerge w:val="restart"/>
                  <w:tcBorders>
                    <w:tl2br w:val="nil"/>
                    <w:tr2bl w:val="nil"/>
                  </w:tcBorders>
                  <w:vAlign w:val="center"/>
                </w:tcPr>
                <w:p w14:paraId="76ADBEE7">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轩岗河支流</w:t>
                  </w:r>
                </w:p>
                <w:p w14:paraId="3A83D9EE">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restart"/>
                  <w:tcBorders>
                    <w:tl2br w:val="nil"/>
                    <w:tr2bl w:val="nil"/>
                  </w:tcBorders>
                  <w:vAlign w:val="center"/>
                </w:tcPr>
                <w:p w14:paraId="3841EB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《地表水环境质量标准》  （GB3838-2002） Ⅲ类标准</w:t>
                  </w:r>
                </w:p>
              </w:tc>
            </w:tr>
            <w:tr w14:paraId="3E6CB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49CE3527">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2D25E33A">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南哈河</w:t>
                  </w:r>
                </w:p>
              </w:tc>
              <w:tc>
                <w:tcPr>
                  <w:tcW w:w="1734" w:type="dxa"/>
                  <w:tcBorders>
                    <w:tl2br w:val="nil"/>
                    <w:tr2bl w:val="nil"/>
                  </w:tcBorders>
                  <w:vAlign w:val="center"/>
                </w:tcPr>
                <w:p w14:paraId="3A2334AD">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w:t>
                  </w: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侧</w:t>
                  </w:r>
                </w:p>
              </w:tc>
              <w:tc>
                <w:tcPr>
                  <w:tcW w:w="895" w:type="dxa"/>
                  <w:tcBorders>
                    <w:tl2br w:val="nil"/>
                    <w:tr2bl w:val="nil"/>
                  </w:tcBorders>
                  <w:vAlign w:val="center"/>
                </w:tcPr>
                <w:p w14:paraId="3A24B188">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368</w:t>
                  </w:r>
                </w:p>
              </w:tc>
              <w:tc>
                <w:tcPr>
                  <w:tcW w:w="1337" w:type="dxa"/>
                  <w:vMerge w:val="continue"/>
                  <w:tcBorders>
                    <w:tl2br w:val="nil"/>
                    <w:tr2bl w:val="nil"/>
                  </w:tcBorders>
                  <w:vAlign w:val="center"/>
                </w:tcPr>
                <w:p w14:paraId="2E4F11B8">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continue"/>
                  <w:tcBorders>
                    <w:tl2br w:val="nil"/>
                    <w:tr2bl w:val="nil"/>
                  </w:tcBorders>
                  <w:vAlign w:val="center"/>
                </w:tcPr>
                <w:p w14:paraId="37CE235F">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r>
            <w:tr w14:paraId="0364D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68127023">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6F822D6F">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w:t>
                  </w:r>
                </w:p>
              </w:tc>
              <w:tc>
                <w:tcPr>
                  <w:tcW w:w="1734" w:type="dxa"/>
                  <w:tcBorders>
                    <w:tl2br w:val="nil"/>
                    <w:tr2bl w:val="nil"/>
                  </w:tcBorders>
                  <w:vAlign w:val="center"/>
                </w:tcPr>
                <w:p w14:paraId="370BEBF6">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光伏区东南侧</w:t>
                  </w:r>
                </w:p>
              </w:tc>
              <w:tc>
                <w:tcPr>
                  <w:tcW w:w="895" w:type="dxa"/>
                  <w:tcBorders>
                    <w:tl2br w:val="nil"/>
                    <w:tr2bl w:val="nil"/>
                  </w:tcBorders>
                  <w:vAlign w:val="center"/>
                </w:tcPr>
                <w:p w14:paraId="4F30D08C">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3689</w:t>
                  </w:r>
                </w:p>
              </w:tc>
              <w:tc>
                <w:tcPr>
                  <w:tcW w:w="1337" w:type="dxa"/>
                  <w:tcBorders>
                    <w:tl2br w:val="nil"/>
                    <w:tr2bl w:val="nil"/>
                  </w:tcBorders>
                  <w:vAlign w:val="center"/>
                </w:tcPr>
                <w:p w14:paraId="19F41F56">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芒市大河支流</w:t>
                  </w:r>
                </w:p>
              </w:tc>
              <w:tc>
                <w:tcPr>
                  <w:tcW w:w="1775" w:type="dxa"/>
                  <w:vMerge w:val="continue"/>
                  <w:tcBorders>
                    <w:tl2br w:val="nil"/>
                    <w:tr2bl w:val="nil"/>
                  </w:tcBorders>
                  <w:vAlign w:val="center"/>
                </w:tcPr>
                <w:p w14:paraId="7989EF83">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r>
            <w:tr w14:paraId="6EB54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62992B67">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60C5D22C">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w:t>
                  </w:r>
                </w:p>
              </w:tc>
              <w:tc>
                <w:tcPr>
                  <w:tcW w:w="1734" w:type="dxa"/>
                  <w:tcBorders>
                    <w:tl2br w:val="nil"/>
                    <w:tr2bl w:val="nil"/>
                  </w:tcBorders>
                  <w:vAlign w:val="center"/>
                </w:tcPr>
                <w:p w14:paraId="30794BAE">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w:t>
                  </w: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侧</w:t>
                  </w:r>
                </w:p>
              </w:tc>
              <w:tc>
                <w:tcPr>
                  <w:tcW w:w="895" w:type="dxa"/>
                  <w:tcBorders>
                    <w:tl2br w:val="nil"/>
                    <w:tr2bl w:val="nil"/>
                  </w:tcBorders>
                  <w:vAlign w:val="center"/>
                </w:tcPr>
                <w:p w14:paraId="7703F50E">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10968</w:t>
                  </w:r>
                </w:p>
              </w:tc>
              <w:tc>
                <w:tcPr>
                  <w:tcW w:w="1337" w:type="dxa"/>
                  <w:tcBorders>
                    <w:tl2br w:val="nil"/>
                    <w:tr2bl w:val="nil"/>
                  </w:tcBorders>
                  <w:vAlign w:val="center"/>
                </w:tcPr>
                <w:p w14:paraId="6B87C978">
                  <w:pPr>
                    <w:pStyle w:val="1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伊洛瓦底江流域</w:t>
                  </w:r>
                </w:p>
              </w:tc>
              <w:tc>
                <w:tcPr>
                  <w:tcW w:w="1775" w:type="dxa"/>
                  <w:vMerge w:val="continue"/>
                  <w:tcBorders>
                    <w:tl2br w:val="nil"/>
                    <w:tr2bl w:val="nil"/>
                  </w:tcBorders>
                  <w:vAlign w:val="center"/>
                </w:tcPr>
                <w:p w14:paraId="507B9B2A">
                  <w:pPr>
                    <w:pStyle w:val="1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p>
              </w:tc>
            </w:tr>
          </w:tbl>
          <w:p w14:paraId="5BDDB72F">
            <w:pPr>
              <w:pStyle w:val="13"/>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lang w:val="en-US" w:eastAsia="zh-CN"/>
              </w:rPr>
            </w:pPr>
          </w:p>
          <w:p w14:paraId="52331A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3、环境空气保护目标</w:t>
            </w:r>
          </w:p>
          <w:p w14:paraId="01845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项目位于江东乡河头村附近一带山脊上，区域内多开垦为茶园，经现场调查，项目周边500m内无敏感保护目标。</w:t>
            </w:r>
          </w:p>
          <w:p w14:paraId="6055CB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lang w:val="en-US" w:eastAsia="zh-CN"/>
              </w:rPr>
              <w:t>4、声环境保护目标</w:t>
            </w:r>
          </w:p>
          <w:p w14:paraId="7F7CA52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color w:val="auto"/>
                <w:lang w:val="en-US" w:eastAsia="zh-CN"/>
              </w:rPr>
              <w:t>根据《建设项目环境影响报告表编制技 术指南》（污染影响类）确定为光伏阵列区厂界外50m范围，</w:t>
            </w:r>
            <w:r>
              <w:rPr>
                <w:rFonts w:hint="eastAsia" w:ascii="Times New Roman" w:hAnsi="Times New Roman" w:cs="Times New Roman"/>
                <w:color w:val="auto"/>
                <w:lang w:val="en-US" w:eastAsia="zh-CN"/>
              </w:rPr>
              <w:t>厂界外50m范围无保护目标。</w:t>
            </w:r>
          </w:p>
          <w:p w14:paraId="6B7138C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bookmarkStart w:id="22" w:name="_Toc21013"/>
            <w:r>
              <w:rPr>
                <w:rFonts w:hint="eastAsia" w:ascii="Times New Roman" w:hAnsi="Times New Roman" w:cs="Times New Roman"/>
                <w:color w:val="auto"/>
                <w:sz w:val="24"/>
                <w:szCs w:val="24"/>
                <w:lang w:val="en-US" w:eastAsia="zh-CN"/>
              </w:rPr>
              <w:t>5、电磁环境保护目标</w:t>
            </w:r>
            <w:bookmarkEnd w:id="22"/>
          </w:p>
          <w:p w14:paraId="3BC3126C">
            <w:pPr>
              <w:keepNext w:val="0"/>
              <w:keepLines w:val="0"/>
              <w:widowControl/>
              <w:suppressLineNumbers w:val="0"/>
              <w:spacing w:before="0" w:beforeAutospacing="0" w:after="0" w:afterAutospacing="0" w:line="360" w:lineRule="auto"/>
              <w:ind w:left="0" w:right="0" w:firstLine="480" w:firstLineChars="200"/>
              <w:jc w:val="left"/>
              <w:rPr>
                <w:rFonts w:hint="default"/>
                <w:lang w:val="en-US" w:eastAsia="zh-CN"/>
              </w:rPr>
            </w:pPr>
            <w:r>
              <w:rPr>
                <w:rFonts w:hint="default" w:ascii="Times New Roman" w:hAnsi="Times New Roman" w:cs="Times New Roman" w:eastAsiaTheme="minorEastAsia"/>
                <w:color w:val="auto"/>
                <w:sz w:val="24"/>
                <w:shd w:val="clear" w:color="auto" w:fill="FFFFFF" w:themeFill="background1"/>
                <w:lang w:val="en-US" w:eastAsia="zh-CN"/>
              </w:rPr>
              <w:t>根据</w:t>
            </w:r>
            <w:r>
              <w:rPr>
                <w:rFonts w:hint="eastAsia" w:ascii="Times New Roman" w:hAnsi="Times New Roman" w:cs="Times New Roman"/>
                <w:color w:val="auto"/>
                <w:sz w:val="24"/>
                <w:shd w:val="clear" w:color="auto" w:fill="FFFFFF" w:themeFill="background1"/>
                <w:lang w:val="en-US" w:eastAsia="zh-CN"/>
              </w:rPr>
              <w:t>与建设单位的沟通</w:t>
            </w:r>
            <w:r>
              <w:rPr>
                <w:rFonts w:hint="default" w:ascii="Times New Roman" w:hAnsi="Times New Roman" w:cs="Times New Roman" w:eastAsiaTheme="minorEastAsia"/>
                <w:color w:val="auto"/>
                <w:sz w:val="24"/>
                <w:shd w:val="clear" w:color="auto" w:fill="FFFFFF" w:themeFill="background1"/>
                <w:lang w:val="en-US" w:eastAsia="zh-CN"/>
              </w:rPr>
              <w:t>，</w:t>
            </w:r>
            <w:r>
              <w:rPr>
                <w:rFonts w:hint="eastAsia" w:ascii="Times New Roman" w:hAnsi="Times New Roman" w:cs="Times New Roman"/>
                <w:color w:val="auto"/>
                <w:sz w:val="24"/>
                <w:shd w:val="clear" w:color="auto" w:fill="FFFFFF" w:themeFill="background1"/>
                <w:lang w:val="en-US" w:eastAsia="zh-CN"/>
              </w:rPr>
              <w:t>本项目将电汇集后连接到35kV终端塔，最终接入110kV江东光伏电站35kV侧，属于公用江东光伏电站的</w:t>
            </w:r>
            <w:r>
              <w:rPr>
                <w:rFonts w:hint="default" w:ascii="Times New Roman" w:hAnsi="Times New Roman" w:cs="Times New Roman" w:eastAsiaTheme="minorEastAsia"/>
                <w:color w:val="auto"/>
                <w:sz w:val="24"/>
                <w:shd w:val="clear" w:color="auto" w:fill="FFFFFF" w:themeFill="background1"/>
                <w:lang w:val="en-US" w:eastAsia="zh-CN"/>
              </w:rPr>
              <w:t>升压站</w:t>
            </w:r>
            <w:r>
              <w:rPr>
                <w:rFonts w:hint="eastAsia" w:ascii="Times New Roman" w:hAnsi="Times New Roman" w:cs="Times New Roman"/>
                <w:color w:val="auto"/>
                <w:sz w:val="24"/>
                <w:shd w:val="clear" w:color="auto" w:fill="FFFFFF" w:themeFill="background1"/>
                <w:lang w:val="en-US" w:eastAsia="zh-CN"/>
              </w:rPr>
              <w:t>，其升压站3</w:t>
            </w:r>
            <w:r>
              <w:rPr>
                <w:rFonts w:hint="default" w:ascii="Times New Roman" w:hAnsi="Times New Roman" w:cs="Times New Roman" w:eastAsiaTheme="minorEastAsia"/>
                <w:color w:val="auto"/>
                <w:sz w:val="24"/>
                <w:shd w:val="clear" w:color="auto" w:fill="FFFFFF" w:themeFill="background1"/>
                <w:lang w:val="en-US" w:eastAsia="zh-CN"/>
              </w:rPr>
              <w:t>0m范围内无住宅、学校、医院、办公楼、工厂等有公众居住、工作或学习的建筑物，因此项目评价范围内无电磁环境保护目标</w:t>
            </w:r>
            <w:r>
              <w:rPr>
                <w:rFonts w:hint="eastAsia" w:ascii="Times New Roman" w:hAnsi="Times New Roman" w:cs="Times New Roman" w:eastAsiaTheme="minorEastAsia"/>
                <w:kern w:val="2"/>
                <w:sz w:val="24"/>
                <w:szCs w:val="24"/>
                <w:lang w:val="en-US" w:eastAsia="zh-CN" w:bidi="ar-SA"/>
              </w:rPr>
              <w:t>。</w:t>
            </w:r>
          </w:p>
        </w:tc>
      </w:tr>
      <w:tr w14:paraId="616C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7C0720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kern w:val="0"/>
                <w:sz w:val="24"/>
              </w:rPr>
            </w:pPr>
            <w:r>
              <w:rPr>
                <w:rFonts w:hint="default" w:ascii="Times New Roman" w:hAnsi="Times New Roman"/>
                <w:color w:val="000000"/>
                <w:kern w:val="0"/>
                <w:sz w:val="24"/>
              </w:rPr>
              <w:t>评价</w:t>
            </w:r>
          </w:p>
          <w:p w14:paraId="72A5E3F7">
            <w:pPr>
              <w:keepNext w:val="0"/>
              <w:keepLines w:val="0"/>
              <w:suppressLineNumbers w:val="0"/>
              <w:spacing w:before="0" w:beforeAutospacing="0" w:after="0" w:afterAutospacing="0"/>
              <w:ind w:left="0" w:right="0"/>
              <w:jc w:val="center"/>
              <w:rPr>
                <w:rFonts w:hint="default" w:ascii="Times New Roman" w:hAnsi="Times New Roman"/>
                <w:bCs/>
                <w:color w:val="000000"/>
                <w:sz w:val="24"/>
              </w:rPr>
            </w:pPr>
            <w:r>
              <w:rPr>
                <w:rFonts w:hint="default" w:ascii="Times New Roman" w:hAnsi="Times New Roman"/>
                <w:color w:val="000000"/>
                <w:kern w:val="0"/>
                <w:sz w:val="24"/>
              </w:rPr>
              <w:t>标准</w:t>
            </w:r>
          </w:p>
        </w:tc>
        <w:tc>
          <w:tcPr>
            <w:tcW w:w="7793" w:type="dxa"/>
          </w:tcPr>
          <w:p w14:paraId="6CFC4BE1">
            <w:pPr>
              <w:pStyle w:val="42"/>
              <w:keepNext w:val="0"/>
              <w:keepLines w:val="0"/>
              <w:numPr>
                <w:ilvl w:val="0"/>
                <w:numId w:val="11"/>
              </w:numPr>
              <w:suppressLineNumbers w:val="0"/>
              <w:spacing w:before="0" w:beforeAutospacing="0" w:after="0" w:afterAutospacing="0" w:line="336" w:lineRule="auto"/>
              <w:ind w:left="0" w:leftChars="0" w:right="0"/>
              <w:rPr>
                <w:rFonts w:hint="default" w:ascii="Times New Roman" w:hAnsi="Times New Roman" w:cs="Times New Roman"/>
              </w:rPr>
            </w:pPr>
            <w:r>
              <w:rPr>
                <w:rFonts w:hint="default" w:ascii="Times New Roman" w:hAnsi="Times New Roman" w:cs="Times New Roman"/>
              </w:rPr>
              <w:t>环境质量标准</w:t>
            </w:r>
          </w:p>
          <w:p w14:paraId="47A286D1">
            <w:pPr>
              <w:pStyle w:val="42"/>
              <w:keepNext w:val="0"/>
              <w:keepLines w:val="0"/>
              <w:numPr>
                <w:ilvl w:val="0"/>
                <w:numId w:val="0"/>
              </w:numPr>
              <w:suppressLineNumbers w:val="0"/>
              <w:spacing w:before="0" w:beforeAutospacing="0" w:after="0" w:afterAutospacing="0" w:line="336" w:lineRule="auto"/>
              <w:ind w:left="480" w:leftChars="200" w:right="0"/>
              <w:rPr>
                <w:rFonts w:hint="default" w:ascii="Times New Roman" w:hAnsi="Times New Roman" w:cs="Times New Roman"/>
              </w:rPr>
            </w:pPr>
            <w:r>
              <w:rPr>
                <w:rFonts w:hint="default" w:ascii="Times New Roman" w:hAnsi="Times New Roman" w:cs="Times New Roman"/>
              </w:rPr>
              <w:t>（1）环境空气质量标准</w:t>
            </w:r>
          </w:p>
          <w:p w14:paraId="27D25120">
            <w:pPr>
              <w:pStyle w:val="42"/>
              <w:keepNext w:val="0"/>
              <w:keepLines w:val="0"/>
              <w:numPr>
                <w:ilvl w:val="0"/>
                <w:numId w:val="0"/>
              </w:numPr>
              <w:suppressLineNumbers w:val="0"/>
              <w:spacing w:before="0" w:beforeAutospacing="0" w:after="0" w:afterAutospacing="0" w:line="336" w:lineRule="auto"/>
              <w:ind w:left="0" w:right="0" w:firstLine="480" w:firstLineChars="200"/>
              <w:rPr>
                <w:rFonts w:hint="default"/>
              </w:rPr>
            </w:pPr>
            <w:r>
              <w:rPr>
                <w:rFonts w:hint="default" w:ascii="Times New Roman" w:hAnsi="Times New Roman" w:cs="Times New Roman"/>
              </w:rPr>
              <w:t>项目所在区域属环境空气质量功能二类区</w:t>
            </w:r>
            <w:r>
              <w:rPr>
                <w:rFonts w:hint="eastAsia" w:ascii="Times New Roman" w:hAnsi="Times New Roman" w:cs="Times New Roman"/>
                <w:lang w:eastAsia="zh-CN"/>
              </w:rPr>
              <w:t>，</w:t>
            </w:r>
            <w:r>
              <w:rPr>
                <w:rFonts w:hint="default" w:ascii="Times New Roman" w:hAnsi="Times New Roman" w:cs="Times New Roman"/>
              </w:rPr>
              <w:t>环境空气质量执行（GB3095—2012）《环境空气质量标准》二级标准，具体见表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5</w:t>
            </w:r>
            <w:r>
              <w:rPr>
                <w:rFonts w:hint="default" w:ascii="Times New Roman" w:hAnsi="Times New Roman" w:cs="Times New Roman"/>
              </w:rPr>
              <w:t>。</w:t>
            </w:r>
          </w:p>
          <w:p w14:paraId="0254047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 xml:space="preserve"> 环境空气质量标准限值</w:t>
            </w:r>
          </w:p>
          <w:tbl>
            <w:tblPr>
              <w:tblStyle w:val="25"/>
              <w:tblW w:w="7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2752"/>
              <w:gridCol w:w="1997"/>
              <w:gridCol w:w="1734"/>
              <w:gridCol w:w="1060"/>
            </w:tblGrid>
            <w:tr w14:paraId="31A4F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tcBorders>
                    <w:tl2br w:val="nil"/>
                    <w:tr2bl w:val="nil"/>
                  </w:tcBorders>
                  <w:vAlign w:val="center"/>
                </w:tcPr>
                <w:p w14:paraId="3EBD6304">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1997" w:type="dxa"/>
                  <w:tcBorders>
                    <w:tl2br w:val="nil"/>
                    <w:tr2bl w:val="nil"/>
                  </w:tcBorders>
                  <w:vAlign w:val="center"/>
                </w:tcPr>
                <w:p w14:paraId="202822F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1734" w:type="dxa"/>
                  <w:tcBorders>
                    <w:tl2br w:val="nil"/>
                    <w:tr2bl w:val="nil"/>
                  </w:tcBorders>
                  <w:vAlign w:val="center"/>
                </w:tcPr>
                <w:p w14:paraId="1B1AC95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准浓度限值</w:t>
                  </w:r>
                </w:p>
              </w:tc>
              <w:tc>
                <w:tcPr>
                  <w:tcW w:w="1060" w:type="dxa"/>
                  <w:tcBorders>
                    <w:tl2br w:val="nil"/>
                    <w:tr2bl w:val="nil"/>
                  </w:tcBorders>
                  <w:vAlign w:val="center"/>
                </w:tcPr>
                <w:p w14:paraId="695B671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r>
            <w:tr w14:paraId="76898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6037B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颗粒物</w:t>
                  </w:r>
                  <w:r>
                    <w:rPr>
                      <w:rFonts w:hint="default" w:ascii="Times New Roman" w:hAnsi="Times New Roman" w:eastAsia="宋体" w:cs="Times New Roman"/>
                      <w:sz w:val="21"/>
                      <w:szCs w:val="21"/>
                    </w:rPr>
                    <w:t>（粒径小于等于10μm）</w:t>
                  </w:r>
                </w:p>
              </w:tc>
              <w:tc>
                <w:tcPr>
                  <w:tcW w:w="1997" w:type="dxa"/>
                  <w:tcBorders>
                    <w:tl2br w:val="nil"/>
                    <w:tr2bl w:val="nil"/>
                  </w:tcBorders>
                  <w:vAlign w:val="center"/>
                </w:tcPr>
                <w:p w14:paraId="6C4EEC1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5F03A73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060" w:type="dxa"/>
                  <w:vMerge w:val="restart"/>
                  <w:tcBorders>
                    <w:tl2br w:val="nil"/>
                    <w:tr2bl w:val="nil"/>
                  </w:tcBorders>
                  <w:vAlign w:val="center"/>
                </w:tcPr>
                <w:p w14:paraId="1F55503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4F00B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1962DEA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35CAFD2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1709046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1060" w:type="dxa"/>
                  <w:vMerge w:val="continue"/>
                  <w:tcBorders>
                    <w:tl2br w:val="nil"/>
                    <w:tr2bl w:val="nil"/>
                  </w:tcBorders>
                  <w:vAlign w:val="center"/>
                </w:tcPr>
                <w:p w14:paraId="59C923F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44488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789EF6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颗粒物</w:t>
                  </w:r>
                  <w:r>
                    <w:rPr>
                      <w:rFonts w:hint="default" w:ascii="Times New Roman" w:hAnsi="Times New Roman" w:eastAsia="宋体" w:cs="Times New Roman"/>
                      <w:sz w:val="21"/>
                      <w:szCs w:val="21"/>
                    </w:rPr>
                    <w:t>（粒径小于等于2.5μm）</w:t>
                  </w:r>
                </w:p>
              </w:tc>
              <w:tc>
                <w:tcPr>
                  <w:tcW w:w="1997" w:type="dxa"/>
                  <w:tcBorders>
                    <w:tl2br w:val="nil"/>
                    <w:tr2bl w:val="nil"/>
                  </w:tcBorders>
                  <w:vAlign w:val="center"/>
                </w:tcPr>
                <w:p w14:paraId="3D94E2E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58BEE4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060" w:type="dxa"/>
                  <w:vMerge w:val="restart"/>
                  <w:tcBorders>
                    <w:tl2br w:val="nil"/>
                    <w:tr2bl w:val="nil"/>
                  </w:tcBorders>
                  <w:vAlign w:val="center"/>
                </w:tcPr>
                <w:p w14:paraId="187F666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7E461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AC1A86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016C48C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6DC535F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1060" w:type="dxa"/>
                  <w:vMerge w:val="continue"/>
                  <w:tcBorders>
                    <w:tl2br w:val="nil"/>
                    <w:tr2bl w:val="nil"/>
                  </w:tcBorders>
                  <w:vAlign w:val="center"/>
                </w:tcPr>
                <w:p w14:paraId="5E1E1DC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2E3E5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1C6ACF0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eastAsia="zh-CN"/>
                    </w:rPr>
                    <w:t>总悬浮颗粒物（</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eastAsia="zh-CN"/>
                    </w:rPr>
                    <w:t>）</w:t>
                  </w:r>
                </w:p>
              </w:tc>
              <w:tc>
                <w:tcPr>
                  <w:tcW w:w="1997" w:type="dxa"/>
                  <w:tcBorders>
                    <w:tl2br w:val="nil"/>
                    <w:tr2bl w:val="nil"/>
                  </w:tcBorders>
                  <w:vAlign w:val="center"/>
                </w:tcPr>
                <w:p w14:paraId="6E14659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年平均</w:t>
                  </w:r>
                </w:p>
              </w:tc>
              <w:tc>
                <w:tcPr>
                  <w:tcW w:w="1734" w:type="dxa"/>
                  <w:tcBorders>
                    <w:tl2br w:val="nil"/>
                    <w:tr2bl w:val="nil"/>
                  </w:tcBorders>
                  <w:vAlign w:val="center"/>
                </w:tcPr>
                <w:p w14:paraId="78AFA00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200</w:t>
                  </w:r>
                </w:p>
              </w:tc>
              <w:tc>
                <w:tcPr>
                  <w:tcW w:w="1060" w:type="dxa"/>
                  <w:vMerge w:val="restart"/>
                  <w:tcBorders>
                    <w:tl2br w:val="nil"/>
                    <w:tr2bl w:val="nil"/>
                  </w:tcBorders>
                  <w:vAlign w:val="center"/>
                </w:tcPr>
                <w:p w14:paraId="119E5F9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r>
            <w:tr w14:paraId="038A0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2D2509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cs="Times New Roman"/>
                      <w:color w:val="auto"/>
                      <w:sz w:val="21"/>
                      <w:szCs w:val="21"/>
                      <w:lang w:eastAsia="zh-CN"/>
                    </w:rPr>
                  </w:pPr>
                </w:p>
              </w:tc>
              <w:tc>
                <w:tcPr>
                  <w:tcW w:w="1997" w:type="dxa"/>
                  <w:tcBorders>
                    <w:tl2br w:val="nil"/>
                    <w:tr2bl w:val="nil"/>
                  </w:tcBorders>
                  <w:vAlign w:val="center"/>
                </w:tcPr>
                <w:p w14:paraId="6CF0AC1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rPr>
                    <w:t>24小时平均</w:t>
                  </w:r>
                </w:p>
              </w:tc>
              <w:tc>
                <w:tcPr>
                  <w:tcW w:w="1734" w:type="dxa"/>
                  <w:tcBorders>
                    <w:tl2br w:val="nil"/>
                    <w:tr2bl w:val="nil"/>
                  </w:tcBorders>
                  <w:vAlign w:val="center"/>
                </w:tcPr>
                <w:p w14:paraId="5F99686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300</w:t>
                  </w:r>
                </w:p>
              </w:tc>
              <w:tc>
                <w:tcPr>
                  <w:tcW w:w="1060" w:type="dxa"/>
                  <w:vMerge w:val="continue"/>
                  <w:tcBorders>
                    <w:tl2br w:val="nil"/>
                    <w:tr2bl w:val="nil"/>
                  </w:tcBorders>
                  <w:vAlign w:val="center"/>
                </w:tcPr>
                <w:p w14:paraId="78EF202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3E76A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4960D872">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二氧化氮（NO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997" w:type="dxa"/>
                  <w:tcBorders>
                    <w:tl2br w:val="nil"/>
                    <w:tr2bl w:val="nil"/>
                  </w:tcBorders>
                  <w:vAlign w:val="center"/>
                </w:tcPr>
                <w:p w14:paraId="52E81CD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54BADF1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060" w:type="dxa"/>
                  <w:vMerge w:val="restart"/>
                  <w:tcBorders>
                    <w:tl2br w:val="nil"/>
                    <w:tr2bl w:val="nil"/>
                  </w:tcBorders>
                  <w:vAlign w:val="center"/>
                </w:tcPr>
                <w:p w14:paraId="2E57BF0B">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47E2C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4E5748D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3EF58B4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4DFA7B6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060" w:type="dxa"/>
                  <w:vMerge w:val="continue"/>
                  <w:tcBorders>
                    <w:tl2br w:val="nil"/>
                    <w:tr2bl w:val="nil"/>
                  </w:tcBorders>
                  <w:vAlign w:val="center"/>
                </w:tcPr>
                <w:p w14:paraId="71ADCEB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0FDA8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00FFE83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0ED13AB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25C1009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060" w:type="dxa"/>
                  <w:vMerge w:val="continue"/>
                  <w:tcBorders>
                    <w:tl2br w:val="nil"/>
                    <w:tr2bl w:val="nil"/>
                  </w:tcBorders>
                  <w:vAlign w:val="center"/>
                </w:tcPr>
                <w:p w14:paraId="6DD58DB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5531B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25EA9D30">
                  <w:pPr>
                    <w:pStyle w:val="47"/>
                    <w:keepNext w:val="0"/>
                    <w:keepLines w:val="0"/>
                    <w:pageBreakBefore w:val="0"/>
                    <w:widowControl w:val="0"/>
                    <w:suppressLineNumbers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997" w:type="dxa"/>
                  <w:tcBorders>
                    <w:tl2br w:val="nil"/>
                    <w:tr2bl w:val="nil"/>
                  </w:tcBorders>
                  <w:vAlign w:val="center"/>
                </w:tcPr>
                <w:p w14:paraId="2741294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734" w:type="dxa"/>
                  <w:tcBorders>
                    <w:tl2br w:val="nil"/>
                    <w:tr2bl w:val="nil"/>
                  </w:tcBorders>
                  <w:vAlign w:val="center"/>
                </w:tcPr>
                <w:p w14:paraId="2539169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060" w:type="dxa"/>
                  <w:vMerge w:val="restart"/>
                  <w:tcBorders>
                    <w:tl2br w:val="nil"/>
                    <w:tr2bl w:val="nil"/>
                  </w:tcBorders>
                  <w:vAlign w:val="center"/>
                </w:tcPr>
                <w:p w14:paraId="36873A4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074CF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3EC007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6403903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391AF08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1060" w:type="dxa"/>
                  <w:vMerge w:val="continue"/>
                  <w:tcBorders>
                    <w:tl2br w:val="nil"/>
                    <w:tr2bl w:val="nil"/>
                  </w:tcBorders>
                  <w:vAlign w:val="center"/>
                </w:tcPr>
                <w:p w14:paraId="1C82BA8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76F38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0D90A1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61F6842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34B6BFA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060" w:type="dxa"/>
                  <w:vMerge w:val="continue"/>
                  <w:tcBorders>
                    <w:tl2br w:val="nil"/>
                    <w:tr2bl w:val="nil"/>
                  </w:tcBorders>
                  <w:vAlign w:val="center"/>
                </w:tcPr>
                <w:p w14:paraId="125193F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48148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24333DA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一氧化碳（CO）</w:t>
                  </w:r>
                </w:p>
              </w:tc>
              <w:tc>
                <w:tcPr>
                  <w:tcW w:w="1997" w:type="dxa"/>
                  <w:tcBorders>
                    <w:tl2br w:val="nil"/>
                    <w:tr2bl w:val="nil"/>
                  </w:tcBorders>
                  <w:vAlign w:val="center"/>
                </w:tcPr>
                <w:p w14:paraId="7E75038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734" w:type="dxa"/>
                  <w:tcBorders>
                    <w:tl2br w:val="nil"/>
                    <w:tr2bl w:val="nil"/>
                  </w:tcBorders>
                  <w:vAlign w:val="center"/>
                </w:tcPr>
                <w:p w14:paraId="5B600A1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60" w:type="dxa"/>
                  <w:vMerge w:val="restart"/>
                  <w:tcBorders>
                    <w:tl2br w:val="nil"/>
                    <w:tr2bl w:val="nil"/>
                  </w:tcBorders>
                  <w:vAlign w:val="center"/>
                </w:tcPr>
                <w:p w14:paraId="14AB884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1429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1A56E88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c>
                <w:tcPr>
                  <w:tcW w:w="1997" w:type="dxa"/>
                  <w:tcBorders>
                    <w:tl2br w:val="nil"/>
                    <w:tr2bl w:val="nil"/>
                  </w:tcBorders>
                  <w:vAlign w:val="center"/>
                </w:tcPr>
                <w:p w14:paraId="03AC2FA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734" w:type="dxa"/>
                  <w:tcBorders>
                    <w:tl2br w:val="nil"/>
                    <w:tr2bl w:val="nil"/>
                  </w:tcBorders>
                  <w:vAlign w:val="center"/>
                </w:tcPr>
                <w:p w14:paraId="6019AC2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060" w:type="dxa"/>
                  <w:vMerge w:val="continue"/>
                  <w:tcBorders>
                    <w:tl2br w:val="nil"/>
                    <w:tr2bl w:val="nil"/>
                  </w:tcBorders>
                  <w:vAlign w:val="center"/>
                </w:tcPr>
                <w:p w14:paraId="0F3789D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p>
              </w:tc>
            </w:tr>
            <w:tr w14:paraId="5DCE3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67E0D17B">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臭氧（O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p>
              </w:tc>
              <w:tc>
                <w:tcPr>
                  <w:tcW w:w="1997" w:type="dxa"/>
                  <w:tcBorders>
                    <w:tl2br w:val="nil"/>
                    <w:tr2bl w:val="nil"/>
                  </w:tcBorders>
                  <w:vAlign w:val="center"/>
                </w:tcPr>
                <w:p w14:paraId="148E1EC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日最大8小时平均</w:t>
                  </w:r>
                </w:p>
              </w:tc>
              <w:tc>
                <w:tcPr>
                  <w:tcW w:w="1734" w:type="dxa"/>
                  <w:tcBorders>
                    <w:tl2br w:val="nil"/>
                    <w:tr2bl w:val="nil"/>
                  </w:tcBorders>
                  <w:vAlign w:val="center"/>
                </w:tcPr>
                <w:p w14:paraId="1EF51E6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1060" w:type="dxa"/>
                  <w:vMerge w:val="restart"/>
                  <w:tcBorders>
                    <w:tl2br w:val="nil"/>
                    <w:tr2bl w:val="nil"/>
                  </w:tcBorders>
                  <w:vAlign w:val="center"/>
                </w:tcPr>
                <w:p w14:paraId="03D8FCC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185CF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EA1D36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6A1E7C4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0DE078AC">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548872EB">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cs="Times New Roman"/>
                    </w:rPr>
                  </w:pPr>
                </w:p>
              </w:tc>
            </w:tr>
          </w:tbl>
          <w:p w14:paraId="179F8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（2）地表水环境质量标准</w:t>
            </w:r>
          </w:p>
          <w:p w14:paraId="1939B34E">
            <w:pPr>
              <w:keepNext w:val="0"/>
              <w:keepLines w:val="0"/>
              <w:suppressLineNumbers w:val="0"/>
              <w:spacing w:before="10" w:beforeAutospacing="0" w:after="0" w:afterAutospacing="0" w:line="360" w:lineRule="auto"/>
              <w:ind w:left="0" w:right="18" w:firstLine="480" w:firstLineChars="200"/>
              <w:jc w:val="left"/>
              <w:rPr>
                <w:rFonts w:hint="default" w:ascii="Times New Roman" w:hAnsi="Times New Roman" w:cs="Times New Roman"/>
                <w:lang w:val="en-US" w:eastAsia="zh-CN"/>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项目最近地表水体为南哈河、南朗河最终汇入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w:t>
            </w:r>
            <w:r>
              <w:rPr>
                <w:rFonts w:hint="default" w:ascii="宋体" w:hAnsi="宋体" w:eastAsia="宋体" w:cs="宋体"/>
                <w:b w:val="0"/>
                <w:bCs w:val="0"/>
                <w:color w:val="auto"/>
                <w:spacing w:val="0"/>
                <w:kern w:val="2"/>
                <w:sz w:val="24"/>
                <w:szCs w:val="24"/>
                <w:lang w:val="en-US" w:eastAsia="zh-CN" w:bidi="ar-SA"/>
              </w:rPr>
              <w:t>木康</w:t>
            </w:r>
            <w:r>
              <w:rPr>
                <w:rFonts w:hint="eastAsia" w:ascii="宋体" w:hAnsi="宋体" w:eastAsia="宋体" w:cs="宋体"/>
                <w:b w:val="0"/>
                <w:bCs w:val="0"/>
                <w:color w:val="auto"/>
                <w:spacing w:val="0"/>
                <w:kern w:val="2"/>
                <w:sz w:val="24"/>
                <w:szCs w:val="24"/>
                <w:lang w:val="en-US" w:eastAsia="zh-CN" w:bidi="ar-SA"/>
              </w:rPr>
              <w:t>水文站—等戛水文站</w:t>
            </w:r>
            <w:r>
              <w:rPr>
                <w:rFonts w:hint="default" w:ascii="宋体" w:hAnsi="宋体" w:eastAsia="宋体" w:cs="宋体"/>
                <w:b w:val="0"/>
                <w:bCs w:val="0"/>
                <w:color w:val="auto"/>
                <w:spacing w:val="0"/>
                <w:kern w:val="2"/>
                <w:sz w:val="24"/>
                <w:szCs w:val="24"/>
                <w:lang w:val="en-US" w:eastAsia="zh-CN" w:bidi="ar-SA"/>
              </w:rPr>
              <w:t>水环境功能为</w:t>
            </w:r>
            <w:r>
              <w:rPr>
                <w:rFonts w:hint="eastAsia" w:ascii="宋体" w:hAnsi="宋体" w:eastAsia="宋体" w:cs="宋体"/>
                <w:b w:val="0"/>
                <w:bCs w:val="0"/>
                <w:color w:val="auto"/>
                <w:spacing w:val="0"/>
                <w:kern w:val="2"/>
                <w:sz w:val="24"/>
                <w:szCs w:val="24"/>
                <w:lang w:val="en-US" w:eastAsia="zh-CN" w:bidi="ar-SA"/>
              </w:rPr>
              <w:t>工业、农业用水</w:t>
            </w:r>
            <w:r>
              <w:rPr>
                <w:rFonts w:hint="default" w:ascii="宋体" w:hAnsi="宋体" w:eastAsia="宋体" w:cs="宋体"/>
                <w:b w:val="0"/>
                <w:bCs w:val="0"/>
                <w:color w:val="auto"/>
                <w:spacing w:val="0"/>
                <w:kern w:val="2"/>
                <w:sz w:val="24"/>
                <w:szCs w:val="24"/>
                <w:lang w:val="en-US" w:eastAsia="zh-CN" w:bidi="ar-SA"/>
              </w:rPr>
              <w:t>，</w:t>
            </w:r>
            <w:r>
              <w:rPr>
                <w:rFonts w:hint="eastAsia" w:ascii="宋体" w:hAnsi="宋体" w:eastAsia="宋体" w:cs="宋体"/>
                <w:b w:val="0"/>
                <w:bCs w:val="0"/>
                <w:color w:val="auto"/>
                <w:spacing w:val="0"/>
                <w:kern w:val="2"/>
                <w:sz w:val="24"/>
                <w:szCs w:val="24"/>
                <w:lang w:val="en-US" w:eastAsia="zh-CN" w:bidi="ar-SA"/>
              </w:rPr>
              <w:t>到2030年</w:t>
            </w:r>
            <w:r>
              <w:rPr>
                <w:rFonts w:hint="eastAsia" w:ascii="宋体" w:hAnsi="宋体" w:eastAsia="宋体" w:cs="宋体"/>
                <w:b w:val="0"/>
                <w:bCs w:val="0"/>
                <w:spacing w:val="0"/>
                <w:kern w:val="2"/>
                <w:sz w:val="24"/>
                <w:szCs w:val="24"/>
                <w:lang w:val="en-US" w:eastAsia="zh-CN" w:bidi="ar-SA"/>
              </w:rPr>
              <w:t>水质目标为</w:t>
            </w:r>
            <w:r>
              <w:rPr>
                <w:rFonts w:hint="default" w:ascii="Times New Roman" w:hAnsi="Times New Roman" w:eastAsia="宋体" w:cs="Times New Roman"/>
                <w:b w:val="0"/>
                <w:bCs w:val="0"/>
                <w:spacing w:val="0"/>
                <w:kern w:val="2"/>
                <w:sz w:val="24"/>
                <w:szCs w:val="24"/>
                <w:lang w:val="en-US" w:eastAsia="zh-CN" w:bidi="ar-SA"/>
              </w:rPr>
              <w:t>Ⅲ</w:t>
            </w:r>
            <w:r>
              <w:rPr>
                <w:rFonts w:hint="default" w:ascii="宋体" w:hAnsi="宋体" w:eastAsia="宋体" w:cs="宋体"/>
                <w:b w:val="0"/>
                <w:bCs w:val="0"/>
                <w:spacing w:val="0"/>
                <w:kern w:val="2"/>
                <w:sz w:val="24"/>
                <w:szCs w:val="24"/>
                <w:lang w:val="en-US" w:eastAsia="zh-CN" w:bidi="ar-SA"/>
              </w:rPr>
              <w:t>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r>
              <w:rPr>
                <w:rFonts w:hint="default" w:ascii="Times New Roman" w:hAnsi="Times New Roman" w:cs="Times New Roman"/>
              </w:rPr>
              <w:t>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lang w:val="en-US" w:eastAsia="zh-CN"/>
              </w:rPr>
              <w:t>：</w:t>
            </w:r>
          </w:p>
          <w:p w14:paraId="027C475A">
            <w:pPr>
              <w:keepNext w:val="0"/>
              <w:keepLines w:val="0"/>
              <w:suppressLineNumbers w:val="0"/>
              <w:spacing w:before="0" w:beforeAutospacing="0" w:after="0" w:afterAutospacing="0" w:line="240" w:lineRule="auto"/>
              <w:ind w:left="0" w:right="0"/>
              <w:jc w:val="center"/>
              <w:rPr>
                <w:rFonts w:hint="default"/>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地表水环境质量标准   （单位：mg/L，pH无量纲</w:t>
            </w:r>
            <w:r>
              <w:rPr>
                <w:rFonts w:hint="default"/>
                <w:lang w:val="en-US" w:eastAsia="zh-CN"/>
              </w:rPr>
              <w:t>）</w:t>
            </w:r>
          </w:p>
          <w:tbl>
            <w:tblPr>
              <w:tblStyle w:val="25"/>
              <w:tblW w:w="754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068"/>
              <w:gridCol w:w="820"/>
              <w:gridCol w:w="858"/>
              <w:gridCol w:w="780"/>
              <w:gridCol w:w="1106"/>
              <w:gridCol w:w="691"/>
              <w:gridCol w:w="1152"/>
            </w:tblGrid>
            <w:tr w14:paraId="6F70A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60D06C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068" w:type="dxa"/>
                  <w:tcBorders>
                    <w:tl2br w:val="nil"/>
                    <w:tr2bl w:val="nil"/>
                  </w:tcBorders>
                  <w:vAlign w:val="center"/>
                </w:tcPr>
                <w:p w14:paraId="4300AC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p w14:paraId="6048BA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820" w:type="dxa"/>
                  <w:tcBorders>
                    <w:tl2br w:val="nil"/>
                    <w:tr2bl w:val="nil"/>
                  </w:tcBorders>
                  <w:vAlign w:val="center"/>
                </w:tcPr>
                <w:p w14:paraId="430EF7A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858" w:type="dxa"/>
                  <w:tcBorders>
                    <w:tl2br w:val="nil"/>
                    <w:tr2bl w:val="nil"/>
                  </w:tcBorders>
                  <w:vAlign w:val="center"/>
                </w:tcPr>
                <w:p w14:paraId="3DDBF03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80" w:type="dxa"/>
                  <w:tcBorders>
                    <w:tl2br w:val="nil"/>
                    <w:tr2bl w:val="nil"/>
                  </w:tcBorders>
                  <w:vAlign w:val="center"/>
                </w:tcPr>
                <w:p w14:paraId="761B5D2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106" w:type="dxa"/>
                  <w:tcBorders>
                    <w:tl2br w:val="nil"/>
                    <w:tr2bl w:val="nil"/>
                  </w:tcBorders>
                  <w:vAlign w:val="center"/>
                </w:tcPr>
                <w:p w14:paraId="59841A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91" w:type="dxa"/>
                  <w:tcBorders>
                    <w:tl2br w:val="nil"/>
                    <w:tr2bl w:val="nil"/>
                  </w:tcBorders>
                  <w:vAlign w:val="center"/>
                </w:tcPr>
                <w:p w14:paraId="1D97B60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152" w:type="dxa"/>
                  <w:tcBorders>
                    <w:tl2br w:val="nil"/>
                    <w:tr2bl w:val="nil"/>
                  </w:tcBorders>
                  <w:vAlign w:val="center"/>
                </w:tcPr>
                <w:p w14:paraId="06C148B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w:t>
                  </w:r>
                  <w:r>
                    <w:rPr>
                      <w:rFonts w:hint="default" w:ascii="Times New Roman" w:hAnsi="Times New Roman" w:eastAsia="宋体" w:cs="Times New Roman"/>
                      <w:sz w:val="21"/>
                      <w:szCs w:val="21"/>
                      <w:lang w:eastAsia="zh-CN"/>
                    </w:rPr>
                    <w:t>群</w:t>
                  </w:r>
                  <w:r>
                    <w:rPr>
                      <w:rFonts w:hint="default" w:ascii="Times New Roman" w:hAnsi="Times New Roman" w:eastAsia="宋体" w:cs="Times New Roman"/>
                      <w:sz w:val="21"/>
                      <w:szCs w:val="21"/>
                    </w:rPr>
                    <w:t>(个/L)</w:t>
                  </w:r>
                </w:p>
              </w:tc>
            </w:tr>
            <w:tr w14:paraId="1384E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099194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Ⅲ类标准</w:t>
                  </w:r>
                </w:p>
              </w:tc>
              <w:tc>
                <w:tcPr>
                  <w:tcW w:w="1068" w:type="dxa"/>
                  <w:tcBorders>
                    <w:tl2br w:val="nil"/>
                    <w:tr2bl w:val="nil"/>
                  </w:tcBorders>
                  <w:vAlign w:val="center"/>
                </w:tcPr>
                <w:p w14:paraId="6C1224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20" w:type="dxa"/>
                  <w:tcBorders>
                    <w:tl2br w:val="nil"/>
                    <w:tr2bl w:val="nil"/>
                  </w:tcBorders>
                  <w:vAlign w:val="center"/>
                </w:tcPr>
                <w:p w14:paraId="3A676C7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858" w:type="dxa"/>
                  <w:tcBorders>
                    <w:tl2br w:val="nil"/>
                    <w:tr2bl w:val="nil"/>
                  </w:tcBorders>
                  <w:vAlign w:val="center"/>
                </w:tcPr>
                <w:p w14:paraId="209FC2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20</w:t>
                  </w:r>
                </w:p>
              </w:tc>
              <w:tc>
                <w:tcPr>
                  <w:tcW w:w="780" w:type="dxa"/>
                  <w:tcBorders>
                    <w:tl2br w:val="nil"/>
                    <w:tr2bl w:val="nil"/>
                  </w:tcBorders>
                  <w:vAlign w:val="center"/>
                </w:tcPr>
                <w:p w14:paraId="5A4AD1E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4</w:t>
                  </w:r>
                </w:p>
              </w:tc>
              <w:tc>
                <w:tcPr>
                  <w:tcW w:w="1106" w:type="dxa"/>
                  <w:tcBorders>
                    <w:tl2br w:val="nil"/>
                    <w:tr2bl w:val="nil"/>
                  </w:tcBorders>
                  <w:vAlign w:val="center"/>
                </w:tcPr>
                <w:p w14:paraId="3293B68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0.2</w:t>
                  </w:r>
                </w:p>
                <w:p w14:paraId="637912B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（湖、库</w:t>
                  </w:r>
                  <w:r>
                    <w:rPr>
                      <w:rFonts w:hint="default"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lang w:eastAsia="zh-CN"/>
                    </w:rPr>
                    <w:t>）</w:t>
                  </w:r>
                </w:p>
              </w:tc>
              <w:tc>
                <w:tcPr>
                  <w:tcW w:w="691" w:type="dxa"/>
                  <w:tcBorders>
                    <w:tl2br w:val="nil"/>
                    <w:tr2bl w:val="nil"/>
                  </w:tcBorders>
                  <w:vAlign w:val="center"/>
                </w:tcPr>
                <w:p w14:paraId="40251C3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1152" w:type="dxa"/>
                  <w:tcBorders>
                    <w:tl2br w:val="nil"/>
                    <w:tr2bl w:val="nil"/>
                  </w:tcBorders>
                  <w:vAlign w:val="center"/>
                </w:tcPr>
                <w:p w14:paraId="41766C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10000</w:t>
                  </w:r>
                </w:p>
              </w:tc>
            </w:tr>
          </w:tbl>
          <w:p w14:paraId="78DEC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（3）声环境质量标准</w:t>
            </w:r>
          </w:p>
          <w:p w14:paraId="2CC67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sz w:val="21"/>
                <w:szCs w:val="21"/>
                <w:lang w:val="en-US" w:eastAsia="zh-CN"/>
              </w:rPr>
            </w:pPr>
            <w:r>
              <w:rPr>
                <w:rFonts w:hint="default"/>
                <w:lang w:val="en-US" w:eastAsia="zh-CN"/>
              </w:rPr>
              <w:t>项目区</w:t>
            </w:r>
            <w:r>
              <w:rPr>
                <w:rFonts w:hint="default" w:ascii="Times New Roman" w:hAnsi="Times New Roman" w:cs="Times New Roman"/>
                <w:lang w:val="en-US" w:eastAsia="zh-CN"/>
              </w:rPr>
              <w:t>为</w:t>
            </w:r>
            <w:r>
              <w:rPr>
                <w:rFonts w:hint="eastAsia" w:ascii="Times New Roman" w:hAnsi="Times New Roman" w:cs="Times New Roman"/>
                <w:lang w:val="en-US" w:eastAsia="zh-CN"/>
              </w:rPr>
              <w:t>1</w:t>
            </w:r>
            <w:r>
              <w:rPr>
                <w:rFonts w:hint="default" w:ascii="Times New Roman" w:hAnsi="Times New Roman" w:cs="Times New Roman"/>
                <w:lang w:val="en-US" w:eastAsia="zh-CN"/>
              </w:rPr>
              <w:t>类声环境功能区，执行《声环境质量标准》（GB3096-2008）中</w:t>
            </w:r>
            <w:r>
              <w:rPr>
                <w:rFonts w:hint="eastAsia" w:ascii="Times New Roman" w:hAnsi="Times New Roman" w:cs="Times New Roman"/>
                <w:lang w:val="en-US" w:eastAsia="zh-CN"/>
              </w:rPr>
              <w:t>1</w:t>
            </w:r>
            <w:r>
              <w:rPr>
                <w:rFonts w:hint="default" w:ascii="Times New Roman" w:hAnsi="Times New Roman" w:cs="Times New Roman"/>
                <w:lang w:val="en-US" w:eastAsia="zh-CN"/>
              </w:rPr>
              <w:t>类区标准，具体标准值见下表3-</w:t>
            </w:r>
            <w:r>
              <w:rPr>
                <w:rFonts w:hint="eastAsia" w:ascii="Times New Roman" w:hAnsi="Times New Roman" w:cs="Times New Roman"/>
                <w:lang w:val="en-US" w:eastAsia="zh-CN"/>
              </w:rPr>
              <w:t>7</w:t>
            </w:r>
            <w:r>
              <w:rPr>
                <w:rFonts w:hint="default" w:ascii="Times New Roman" w:hAnsi="Times New Roman" w:cs="Times New Roman"/>
                <w:lang w:val="en-US" w:eastAsia="zh-CN"/>
              </w:rPr>
              <w:t>。</w:t>
            </w:r>
          </w:p>
          <w:p w14:paraId="5405A89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p>
          <w:p w14:paraId="745C79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声环境噪声标准   </w:t>
            </w:r>
            <w:r>
              <w:rPr>
                <w:rFonts w:hint="default" w:ascii="Times New Roman" w:hAnsi="Times New Roman" w:cs="Times New Roman"/>
                <w:b/>
                <w:bCs/>
                <w:sz w:val="21"/>
                <w:szCs w:val="21"/>
                <w:lang w:val="zh-CN" w:eastAsia="zh-CN"/>
              </w:rPr>
              <w:t>单位：</w:t>
            </w:r>
            <w:r>
              <w:rPr>
                <w:rFonts w:hint="default" w:ascii="Times New Roman" w:hAnsi="Times New Roman" w:cs="Times New Roman"/>
                <w:b/>
                <w:bCs/>
                <w:sz w:val="21"/>
                <w:szCs w:val="21"/>
                <w:lang w:val="en-US" w:eastAsia="zh-CN"/>
              </w:rPr>
              <w:t>dB(A)</w:t>
            </w:r>
          </w:p>
          <w:tbl>
            <w:tblPr>
              <w:tblStyle w:val="25"/>
              <w:tblW w:w="7548"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2599"/>
              <w:gridCol w:w="2351"/>
              <w:gridCol w:w="2598"/>
            </w:tblGrid>
            <w:tr w14:paraId="3BAA3AD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40" w:hRule="atLeast"/>
                <w:jc w:val="center"/>
              </w:trPr>
              <w:tc>
                <w:tcPr>
                  <w:tcW w:w="2599" w:type="dxa"/>
                  <w:tcBorders>
                    <w:tl2br w:val="nil"/>
                    <w:tr2bl w:val="nil"/>
                  </w:tcBorders>
                  <w:vAlign w:val="center"/>
                </w:tcPr>
                <w:p w14:paraId="49C391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声环境功能区类别</w:t>
                  </w:r>
                </w:p>
              </w:tc>
              <w:tc>
                <w:tcPr>
                  <w:tcW w:w="2351" w:type="dxa"/>
                  <w:tcBorders>
                    <w:tl2br w:val="nil"/>
                    <w:tr2bl w:val="nil"/>
                  </w:tcBorders>
                  <w:vAlign w:val="center"/>
                </w:tcPr>
                <w:p w14:paraId="33F099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昼间</w:t>
                  </w:r>
                </w:p>
              </w:tc>
              <w:tc>
                <w:tcPr>
                  <w:tcW w:w="2598" w:type="dxa"/>
                  <w:tcBorders>
                    <w:tl2br w:val="nil"/>
                    <w:tr2bl w:val="nil"/>
                  </w:tcBorders>
                  <w:vAlign w:val="center"/>
                </w:tcPr>
                <w:p w14:paraId="40B799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夜间</w:t>
                  </w:r>
                </w:p>
              </w:tc>
            </w:tr>
            <w:tr w14:paraId="7F4D5E9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1D328281">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lang w:val="zh-CN" w:eastAsia="zh-CN"/>
                    </w:rPr>
                  </w:pPr>
                  <w:r>
                    <w:rPr>
                      <w:rFonts w:hint="eastAsia" w:ascii="Times New Roman" w:hAnsi="Times New Roman" w:cs="Times New Roman"/>
                      <w:sz w:val="21"/>
                      <w:szCs w:val="21"/>
                      <w:lang w:val="en-US" w:eastAsia="zh-CN"/>
                    </w:rPr>
                    <w:t>1</w:t>
                  </w:r>
                </w:p>
              </w:tc>
              <w:tc>
                <w:tcPr>
                  <w:tcW w:w="2351" w:type="dxa"/>
                  <w:tcBorders>
                    <w:tl2br w:val="nil"/>
                    <w:tr2bl w:val="nil"/>
                  </w:tcBorders>
                  <w:vAlign w:val="center"/>
                </w:tcPr>
                <w:p w14:paraId="09C035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55</w:t>
                  </w:r>
                </w:p>
              </w:tc>
              <w:tc>
                <w:tcPr>
                  <w:tcW w:w="2598" w:type="dxa"/>
                  <w:tcBorders>
                    <w:tl2br w:val="nil"/>
                    <w:tr2bl w:val="nil"/>
                  </w:tcBorders>
                  <w:vAlign w:val="center"/>
                </w:tcPr>
                <w:p w14:paraId="285F72A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45</w:t>
                  </w:r>
                </w:p>
              </w:tc>
            </w:tr>
          </w:tbl>
          <w:p w14:paraId="0366CF18">
            <w:pPr>
              <w:keepNext w:val="0"/>
              <w:keepLines w:val="0"/>
              <w:numPr>
                <w:ilvl w:val="0"/>
                <w:numId w:val="11"/>
              </w:numPr>
              <w:suppressLineNumbers w:val="0"/>
              <w:spacing w:before="0" w:beforeAutospacing="0" w:after="0" w:afterAutospacing="0" w:line="360" w:lineRule="auto"/>
              <w:ind w:left="0" w:leftChars="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污染物排放标准</w:t>
            </w:r>
          </w:p>
          <w:p w14:paraId="2BAF68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）大气污染物排放标准</w:t>
            </w:r>
          </w:p>
          <w:p w14:paraId="05C357C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施工期</w:t>
            </w:r>
            <w:r>
              <w:rPr>
                <w:rFonts w:hint="default" w:ascii="Times New Roman" w:hAnsi="Times New Roman" w:cs="Times New Roman"/>
                <w:color w:val="auto"/>
                <w:sz w:val="24"/>
                <w:szCs w:val="24"/>
              </w:rPr>
              <w:t>产生的无组织粉尘排放执行GB16297－1996《大气污染物综合排放标准》表2中无组织排放监控浓度限值，</w:t>
            </w:r>
            <w:r>
              <w:rPr>
                <w:rFonts w:hint="default" w:ascii="Times New Roman" w:hAnsi="Times New Roman" w:cs="Times New Roman"/>
                <w:snapToGrid w:val="0"/>
                <w:color w:val="auto"/>
                <w:kern w:val="0"/>
                <w:sz w:val="24"/>
              </w:rPr>
              <w:t>具体见表</w:t>
            </w:r>
            <w:r>
              <w:rPr>
                <w:rFonts w:hint="eastAsia" w:ascii="Times New Roman" w:hAnsi="Times New Roman" w:cs="Times New Roman"/>
                <w:color w:val="auto"/>
                <w:sz w:val="24"/>
                <w:szCs w:val="24"/>
                <w:lang w:val="en-US" w:eastAsia="zh-CN"/>
              </w:rPr>
              <w:t>3-8。</w:t>
            </w:r>
          </w:p>
          <w:p w14:paraId="7A212A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bookmarkStart w:id="23" w:name="_Toc203272495"/>
            <w:bookmarkStart w:id="24" w:name="_Toc203273730"/>
            <w:bookmarkStart w:id="25" w:name="_Toc203274961"/>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3-8</w:t>
            </w:r>
            <w:r>
              <w:rPr>
                <w:rFonts w:hint="default" w:ascii="Times New Roman" w:hAnsi="Times New Roman" w:cs="Times New Roman"/>
                <w:b/>
                <w:bCs/>
                <w:sz w:val="21"/>
                <w:szCs w:val="21"/>
                <w:lang w:val="en-US" w:eastAsia="zh-CN"/>
              </w:rPr>
              <w:t>大气污染物综合排放标准</w:t>
            </w:r>
            <w:bookmarkEnd w:id="23"/>
            <w:bookmarkEnd w:id="24"/>
            <w:bookmarkEnd w:id="25"/>
          </w:p>
          <w:tbl>
            <w:tblPr>
              <w:tblStyle w:val="25"/>
              <w:tblW w:w="7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3"/>
              <w:gridCol w:w="2407"/>
              <w:gridCol w:w="2687"/>
            </w:tblGrid>
            <w:tr w14:paraId="2E9EF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restart"/>
                  <w:vAlign w:val="center"/>
                </w:tcPr>
                <w:p w14:paraId="5B67230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094" w:type="dxa"/>
                  <w:gridSpan w:val="2"/>
                  <w:vAlign w:val="center"/>
                </w:tcPr>
                <w:p w14:paraId="7222E460">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0E863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continue"/>
                  <w:vAlign w:val="center"/>
                </w:tcPr>
                <w:p w14:paraId="4C68E669">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sz w:val="21"/>
                      <w:szCs w:val="21"/>
                    </w:rPr>
                  </w:pPr>
                </w:p>
              </w:tc>
              <w:tc>
                <w:tcPr>
                  <w:tcW w:w="2407" w:type="dxa"/>
                  <w:vAlign w:val="center"/>
                </w:tcPr>
                <w:p w14:paraId="2CD6080A">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687" w:type="dxa"/>
                  <w:vAlign w:val="center"/>
                </w:tcPr>
                <w:p w14:paraId="779F7B4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14:paraId="5731D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Align w:val="center"/>
                </w:tcPr>
                <w:p w14:paraId="72D18406">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407" w:type="dxa"/>
                  <w:vAlign w:val="center"/>
                </w:tcPr>
                <w:p w14:paraId="243A4D21">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687" w:type="dxa"/>
                  <w:vAlign w:val="center"/>
                </w:tcPr>
                <w:p w14:paraId="5230B0F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14:paraId="2A2EDF0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eastAsia" w:ascii="Times New Roman" w:hAnsi="Times New Roman" w:cs="Times New Roman"/>
                <w:lang w:eastAsia="zh-CN"/>
              </w:rPr>
              <w:t>废水</w:t>
            </w:r>
            <w:r>
              <w:rPr>
                <w:rFonts w:hint="default" w:ascii="Times New Roman" w:hAnsi="Times New Roman" w:cs="Times New Roman"/>
                <w:lang w:eastAsia="zh-CN"/>
              </w:rPr>
              <w:t>排放标准</w:t>
            </w:r>
          </w:p>
          <w:p w14:paraId="0CAA6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lang w:val="en-US" w:eastAsia="zh-CN"/>
              </w:rPr>
              <w:t xml:space="preserve">施工期设置旱厕，生活污水排入旱厕后，用于周边林地灌溉。施工生产废水经沉淀池处理后，回用于洒水降尘及施工工序，废水不外排。 </w:t>
            </w:r>
          </w:p>
          <w:p w14:paraId="3F2821D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rPr>
              <w:t>运营期产生的生活</w:t>
            </w:r>
            <w:r>
              <w:rPr>
                <w:rFonts w:hint="eastAsia" w:ascii="Times New Roman" w:hAnsi="Times New Roman" w:eastAsia="宋体" w:cs="Times New Roman"/>
                <w:color w:val="auto"/>
                <w:sz w:val="24"/>
                <w:szCs w:val="24"/>
                <w:lang w:eastAsia="zh-CN"/>
              </w:rPr>
              <w:t>污水</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江东光伏升压站的</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用于</w:t>
            </w:r>
            <w:r>
              <w:rPr>
                <w:rFonts w:hint="eastAsia" w:ascii="Times New Roman" w:hAnsi="Times New Roman" w:eastAsia="宋体" w:cs="Times New Roman"/>
                <w:color w:val="auto"/>
                <w:sz w:val="24"/>
                <w:szCs w:val="24"/>
                <w:lang w:val="en-US" w:eastAsia="zh-CN"/>
              </w:rPr>
              <w:t>江东光伏</w:t>
            </w:r>
            <w:r>
              <w:rPr>
                <w:rFonts w:hint="default" w:ascii="Times New Roman" w:hAnsi="Times New Roman" w:eastAsia="宋体" w:cs="Times New Roman"/>
                <w:color w:val="auto"/>
                <w:sz w:val="24"/>
                <w:szCs w:val="24"/>
              </w:rPr>
              <w:t>升压站</w:t>
            </w:r>
            <w:r>
              <w:rPr>
                <w:rFonts w:hint="eastAsia" w:ascii="Times New Roman" w:hAnsi="Times New Roman" w:eastAsia="宋体" w:cs="Times New Roman"/>
                <w:color w:val="auto"/>
                <w:sz w:val="24"/>
                <w:szCs w:val="24"/>
                <w:lang w:eastAsia="zh-CN"/>
              </w:rPr>
              <w:t>绿化</w:t>
            </w:r>
            <w:r>
              <w:rPr>
                <w:rFonts w:hint="default" w:ascii="Times New Roman" w:hAnsi="Times New Roman" w:eastAsia="宋体" w:cs="Times New Roman"/>
                <w:color w:val="auto"/>
                <w:sz w:val="24"/>
                <w:szCs w:val="24"/>
              </w:rPr>
              <w:t>，不外排</w:t>
            </w:r>
            <w:r>
              <w:rPr>
                <w:rFonts w:hint="eastAsia" w:ascii="Times New Roman" w:hAnsi="Times New Roman" w:eastAsia="宋体" w:cs="Times New Roman"/>
                <w:color w:val="auto"/>
                <w:kern w:val="0"/>
                <w:sz w:val="24"/>
                <w:szCs w:val="24"/>
                <w:lang w:eastAsia="zh-CN"/>
              </w:rPr>
              <w:t>。</w:t>
            </w:r>
          </w:p>
          <w:p w14:paraId="086A63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color w:val="auto"/>
                <w:kern w:val="0"/>
                <w:sz w:val="24"/>
                <w:szCs w:val="24"/>
                <w:lang w:eastAsia="zh-CN"/>
              </w:rPr>
              <w:t>运营期</w:t>
            </w:r>
            <w:r>
              <w:rPr>
                <w:rFonts w:hint="eastAsia" w:ascii="Times New Roman" w:hAnsi="Times New Roman" w:eastAsia="宋体" w:cs="Times New Roman"/>
                <w:color w:val="000000"/>
                <w:kern w:val="0"/>
                <w:sz w:val="24"/>
                <w:szCs w:val="24"/>
                <w:lang w:val="en-US" w:eastAsia="zh-CN" w:bidi="ar"/>
              </w:rPr>
              <w:t>太阳能电池板清洗废水通过太阳能电池板下方的排水沟收集，用作站区内绿化。清洗废水排水沟可结合场内雨水排水沟修建。沉淀池同时作为绿化用水蓄水池，沉淀池的修建应结合排水沟的分区和走向，设置在排水沟尽端</w:t>
            </w:r>
            <w:r>
              <w:rPr>
                <w:rFonts w:hint="default" w:ascii="Times New Roman" w:hAnsi="Times New Roman" w:eastAsia="宋体" w:cs="Times New Roman"/>
                <w:color w:val="auto"/>
                <w:kern w:val="0"/>
                <w:sz w:val="24"/>
                <w:szCs w:val="24"/>
              </w:rPr>
              <w:t>，无废水外排</w:t>
            </w:r>
            <w:r>
              <w:rPr>
                <w:rFonts w:hint="eastAsia" w:ascii="Times New Roman" w:hAnsi="Times New Roman" w:eastAsia="宋体" w:cs="Times New Roman"/>
                <w:sz w:val="24"/>
                <w:lang w:val="en-US" w:eastAsia="zh-CN"/>
              </w:rPr>
              <w:t>。本项目不设废水排放标准。</w:t>
            </w:r>
            <w:r>
              <w:rPr>
                <w:rFonts w:hint="eastAsia" w:ascii="Times New Roman" w:hAnsi="Times New Roman" w:eastAsia="宋体" w:cs="Times New Roman"/>
                <w:color w:val="000000"/>
                <w:kern w:val="0"/>
                <w:sz w:val="24"/>
                <w:szCs w:val="24"/>
                <w:lang w:val="en-US" w:eastAsia="zh-CN" w:bidi="ar"/>
              </w:rPr>
              <w:t xml:space="preserve"> </w:t>
            </w:r>
          </w:p>
          <w:p w14:paraId="15DA719D">
            <w:pPr>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eastAsia"/>
                <w:lang w:val="en-US" w:eastAsia="zh-CN"/>
              </w:rPr>
              <w:t>（3）噪声排放标准</w:t>
            </w:r>
          </w:p>
          <w:p w14:paraId="0AE7A2E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项目施工期噪声执行《建筑施工场界环境噪声排放标准》（GB 12523-2011）见表3-</w:t>
            </w:r>
            <w:r>
              <w:rPr>
                <w:rFonts w:hint="eastAsia" w:ascii="Times New Roman" w:hAnsi="Times New Roman" w:cs="Times New Roman"/>
                <w:color w:val="auto"/>
                <w:kern w:val="0"/>
                <w:sz w:val="24"/>
                <w:lang w:val="en-US" w:eastAsia="zh-CN"/>
              </w:rPr>
              <w:t>9</w:t>
            </w:r>
            <w:r>
              <w:rPr>
                <w:rFonts w:hint="default" w:ascii="Times New Roman" w:hAnsi="Times New Roman" w:cs="Times New Roman"/>
                <w:color w:val="auto"/>
                <w:kern w:val="0"/>
                <w:sz w:val="24"/>
              </w:rPr>
              <w:t>。</w:t>
            </w:r>
          </w:p>
          <w:p w14:paraId="49E41B98">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 xml:space="preserve"> 建筑施工噪声执行标准限值 单位：dB（A）</w:t>
            </w:r>
          </w:p>
          <w:tbl>
            <w:tblPr>
              <w:tblStyle w:val="25"/>
              <w:tblW w:w="75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4"/>
              <w:gridCol w:w="2487"/>
              <w:gridCol w:w="2705"/>
            </w:tblGrid>
            <w:tr w14:paraId="7E5B6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4B0431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2487" w:type="dxa"/>
                  <w:vAlign w:val="center"/>
                </w:tcPr>
                <w:p w14:paraId="677DF6A3">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705" w:type="dxa"/>
                  <w:vAlign w:val="center"/>
                </w:tcPr>
                <w:p w14:paraId="378A8EEB">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20741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40BE1A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单位dB(A)</w:t>
                  </w:r>
                </w:p>
              </w:tc>
              <w:tc>
                <w:tcPr>
                  <w:tcW w:w="2487" w:type="dxa"/>
                  <w:vAlign w:val="center"/>
                </w:tcPr>
                <w:p w14:paraId="2C541589">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705" w:type="dxa"/>
                  <w:vAlign w:val="center"/>
                </w:tcPr>
                <w:p w14:paraId="5A84F151">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6B72023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项目运营期厂界噪声执行《工业企业厂界环境噪声排放标准》（GB12348-2008）中</w:t>
            </w:r>
            <w:r>
              <w:rPr>
                <w:rFonts w:hint="eastAsia" w:ascii="Times New Roman" w:hAnsi="Times New Roman" w:cs="Times New Roman"/>
                <w:lang w:val="en-US" w:eastAsia="zh-CN"/>
              </w:rPr>
              <w:t>1</w:t>
            </w:r>
            <w:r>
              <w:rPr>
                <w:rFonts w:hint="default" w:ascii="Times New Roman" w:hAnsi="Times New Roman" w:cs="Times New Roman"/>
                <w:lang w:val="en-US" w:eastAsia="zh-CN"/>
              </w:rPr>
              <w:t>类标准，具体见表</w:t>
            </w:r>
            <w:r>
              <w:rPr>
                <w:rFonts w:hint="eastAsia" w:ascii="Times New Roman" w:hAnsi="Times New Roman" w:cs="Times New Roman"/>
                <w:lang w:val="en-US" w:eastAsia="zh-CN"/>
              </w:rPr>
              <w:t>3-10。</w:t>
            </w:r>
          </w:p>
          <w:p w14:paraId="428B3660">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3-10   </w:t>
            </w:r>
            <w:r>
              <w:rPr>
                <w:rFonts w:hint="default" w:ascii="Times New Roman" w:hAnsi="Times New Roman" w:cs="Times New Roman"/>
                <w:b/>
                <w:bCs/>
                <w:color w:val="auto"/>
                <w:sz w:val="21"/>
                <w:szCs w:val="21"/>
              </w:rPr>
              <w:t>项目噪声排放标准限值</w:t>
            </w:r>
          </w:p>
          <w:tbl>
            <w:tblPr>
              <w:tblStyle w:val="25"/>
              <w:tblW w:w="75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2851"/>
              <w:gridCol w:w="1822"/>
              <w:gridCol w:w="1823"/>
            </w:tblGrid>
            <w:tr w14:paraId="20531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restart"/>
                  <w:tcBorders>
                    <w:tl2br w:val="nil"/>
                    <w:tr2bl w:val="nil"/>
                  </w:tcBorders>
                  <w:vAlign w:val="center"/>
                </w:tcPr>
                <w:p w14:paraId="7C3CA050">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类别</w:t>
                  </w:r>
                </w:p>
              </w:tc>
              <w:tc>
                <w:tcPr>
                  <w:tcW w:w="2851" w:type="dxa"/>
                  <w:vMerge w:val="restart"/>
                  <w:tcBorders>
                    <w:tl2br w:val="nil"/>
                    <w:tr2bl w:val="nil"/>
                  </w:tcBorders>
                  <w:vAlign w:val="center"/>
                </w:tcPr>
                <w:p w14:paraId="37B65557">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厂界</w:t>
                  </w:r>
                </w:p>
              </w:tc>
              <w:tc>
                <w:tcPr>
                  <w:tcW w:w="3645" w:type="dxa"/>
                  <w:gridSpan w:val="2"/>
                  <w:tcBorders>
                    <w:tl2br w:val="nil"/>
                    <w:tr2bl w:val="nil"/>
                  </w:tcBorders>
                  <w:vAlign w:val="center"/>
                </w:tcPr>
                <w:p w14:paraId="71FC7166">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等效声级[dB(A)]</w:t>
                  </w:r>
                </w:p>
              </w:tc>
            </w:tr>
            <w:tr w14:paraId="058B7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continue"/>
                  <w:tcBorders>
                    <w:tl2br w:val="nil"/>
                    <w:tr2bl w:val="nil"/>
                  </w:tcBorders>
                  <w:vAlign w:val="center"/>
                </w:tcPr>
                <w:p w14:paraId="0CAE8626">
                  <w:pPr>
                    <w:keepNext w:val="0"/>
                    <w:keepLines w:val="0"/>
                    <w:widowControl/>
                    <w:suppressLineNumbers w:val="0"/>
                    <w:adjustRightInd w:val="0"/>
                    <w:snapToGrid w:val="0"/>
                    <w:spacing w:before="0" w:beforeAutospacing="0" w:after="0" w:afterAutospacing="0" w:line="240" w:lineRule="auto"/>
                    <w:ind w:left="0" w:right="0"/>
                    <w:jc w:val="center"/>
                    <w:rPr>
                      <w:rFonts w:hint="default"/>
                      <w:b/>
                      <w:bCs/>
                      <w:color w:val="auto"/>
                      <w:sz w:val="21"/>
                      <w:szCs w:val="21"/>
                    </w:rPr>
                  </w:pPr>
                </w:p>
              </w:tc>
              <w:tc>
                <w:tcPr>
                  <w:tcW w:w="2851" w:type="dxa"/>
                  <w:vMerge w:val="continue"/>
                  <w:tcBorders>
                    <w:tl2br w:val="nil"/>
                    <w:tr2bl w:val="nil"/>
                  </w:tcBorders>
                  <w:vAlign w:val="center"/>
                </w:tcPr>
                <w:p w14:paraId="787C26EE">
                  <w:pPr>
                    <w:keepNext w:val="0"/>
                    <w:keepLines w:val="0"/>
                    <w:widowControl/>
                    <w:suppressLineNumbers w:val="0"/>
                    <w:adjustRightInd w:val="0"/>
                    <w:snapToGrid w:val="0"/>
                    <w:spacing w:before="0" w:beforeAutospacing="0" w:after="0" w:afterAutospacing="0" w:line="240" w:lineRule="auto"/>
                    <w:ind w:left="0" w:right="0"/>
                    <w:jc w:val="center"/>
                    <w:rPr>
                      <w:rFonts w:hint="default"/>
                      <w:b/>
                      <w:bCs/>
                      <w:color w:val="auto"/>
                      <w:sz w:val="21"/>
                      <w:szCs w:val="21"/>
                    </w:rPr>
                  </w:pPr>
                </w:p>
              </w:tc>
              <w:tc>
                <w:tcPr>
                  <w:tcW w:w="1822" w:type="dxa"/>
                  <w:tcBorders>
                    <w:tl2br w:val="nil"/>
                    <w:tr2bl w:val="nil"/>
                  </w:tcBorders>
                  <w:vAlign w:val="center"/>
                </w:tcPr>
                <w:p w14:paraId="1483BF2C">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昼间</w:t>
                  </w:r>
                </w:p>
              </w:tc>
              <w:tc>
                <w:tcPr>
                  <w:tcW w:w="1823" w:type="dxa"/>
                  <w:tcBorders>
                    <w:tl2br w:val="nil"/>
                    <w:tr2bl w:val="nil"/>
                  </w:tcBorders>
                  <w:vAlign w:val="center"/>
                </w:tcPr>
                <w:p w14:paraId="0AAB0333">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夜间</w:t>
                  </w:r>
                </w:p>
              </w:tc>
            </w:tr>
            <w:tr w14:paraId="7DF3E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45" w:type="dxa"/>
                  <w:tcBorders>
                    <w:tl2br w:val="nil"/>
                    <w:tr2bl w:val="nil"/>
                  </w:tcBorders>
                  <w:vAlign w:val="center"/>
                </w:tcPr>
                <w:p w14:paraId="52BCB6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类</w:t>
                  </w:r>
                </w:p>
              </w:tc>
              <w:tc>
                <w:tcPr>
                  <w:tcW w:w="2851" w:type="dxa"/>
                  <w:tcBorders>
                    <w:tl2br w:val="nil"/>
                    <w:tr2bl w:val="nil"/>
                  </w:tcBorders>
                  <w:vAlign w:val="center"/>
                </w:tcPr>
                <w:p w14:paraId="0A7EC79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其他厂界</w:t>
                  </w:r>
                </w:p>
              </w:tc>
              <w:tc>
                <w:tcPr>
                  <w:tcW w:w="1822" w:type="dxa"/>
                  <w:tcBorders>
                    <w:tl2br w:val="nil"/>
                    <w:tr2bl w:val="nil"/>
                  </w:tcBorders>
                  <w:vAlign w:val="center"/>
                </w:tcPr>
                <w:p w14:paraId="551DCA1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823" w:type="dxa"/>
                  <w:tcBorders>
                    <w:tl2br w:val="nil"/>
                    <w:tr2bl w:val="nil"/>
                  </w:tcBorders>
                  <w:vAlign w:val="center"/>
                </w:tcPr>
                <w:p w14:paraId="60BB11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45</w:t>
                  </w:r>
                </w:p>
              </w:tc>
            </w:tr>
          </w:tbl>
          <w:p w14:paraId="43F603A7">
            <w:pPr>
              <w:keepNext w:val="0"/>
              <w:keepLines w:val="0"/>
              <w:numPr>
                <w:ilvl w:val="0"/>
                <w:numId w:val="0"/>
              </w:numPr>
              <w:suppressLineNumbers w:val="0"/>
              <w:spacing w:before="0" w:beforeAutospacing="0" w:after="0" w:afterAutospacing="0" w:line="360" w:lineRule="auto"/>
              <w:ind w:left="0" w:right="0" w:firstLine="480" w:firstLineChars="200"/>
              <w:rPr>
                <w:rFonts w:hint="eastAsia"/>
                <w:lang w:val="en-US" w:eastAsia="zh-CN"/>
              </w:rPr>
            </w:pPr>
            <w:r>
              <w:rPr>
                <w:rFonts w:hint="eastAsia"/>
                <w:lang w:val="en-US" w:eastAsia="zh-CN"/>
              </w:rPr>
              <w:t>（4）固体废物控制标准</w:t>
            </w:r>
          </w:p>
          <w:p w14:paraId="6F74BF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color w:val="auto"/>
                <w:kern w:val="0"/>
                <w:sz w:val="24"/>
                <w:lang w:bidi="ar"/>
              </w:rPr>
              <w:t>项</w:t>
            </w:r>
            <w:r>
              <w:rPr>
                <w:rFonts w:hint="default" w:ascii="Times New Roman" w:hAnsi="Times New Roman" w:cs="Times New Roman"/>
                <w:color w:val="auto"/>
                <w:kern w:val="0"/>
                <w:sz w:val="24"/>
                <w:lang w:bidi="ar"/>
              </w:rPr>
              <w:t>目运营期产生的固体废物处置执行《一般工业固体废物贮存和填埋污染控制标准》</w:t>
            </w:r>
            <w:r>
              <w:rPr>
                <w:rFonts w:hint="default" w:ascii="Times New Roman" w:hAnsi="Times New Roman" w:cs="Times New Roman"/>
                <w:color w:val="auto"/>
                <w:sz w:val="24"/>
              </w:rPr>
              <w:t>（GB18599-2020）</w:t>
            </w:r>
            <w:r>
              <w:rPr>
                <w:rFonts w:hint="default" w:ascii="Times New Roman" w:hAnsi="Times New Roman" w:cs="Times New Roman"/>
                <w:bCs/>
                <w:color w:val="auto"/>
                <w:sz w:val="24"/>
              </w:rPr>
              <w:t>。</w:t>
            </w:r>
          </w:p>
          <w:p w14:paraId="156A871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Cs/>
                <w:color w:val="auto"/>
                <w:sz w:val="24"/>
                <w:lang w:eastAsia="zh-CN"/>
              </w:rPr>
            </w:pPr>
            <w:r>
              <w:rPr>
                <w:rFonts w:hint="default" w:ascii="Times New Roman" w:hAnsi="Times New Roman" w:cs="Times New Roman"/>
                <w:bCs/>
                <w:color w:val="auto"/>
                <w:sz w:val="24"/>
              </w:rPr>
              <w:t>危险废物执行GB18597-2001《危险废物贮存污染控制标准》及其修改单中的要求</w:t>
            </w:r>
            <w:r>
              <w:rPr>
                <w:rFonts w:hint="eastAsia" w:ascii="Times New Roman" w:hAnsi="Times New Roman" w:cs="Times New Roman"/>
                <w:bCs/>
                <w:color w:val="auto"/>
                <w:sz w:val="24"/>
                <w:lang w:eastAsia="zh-CN"/>
              </w:rPr>
              <w:t>。</w:t>
            </w:r>
          </w:p>
          <w:p w14:paraId="46135E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lang w:eastAsia="zh-CN"/>
              </w:rPr>
              <w:t>）电磁环境</w:t>
            </w:r>
            <w:r>
              <w:rPr>
                <w:rFonts w:hint="default" w:ascii="Times New Roman" w:hAnsi="Times New Roman" w:cs="Times New Roman"/>
                <w:color w:val="auto"/>
                <w:lang w:val="en-US" w:eastAsia="zh-CN"/>
              </w:rPr>
              <w:t>控制标准</w:t>
            </w:r>
          </w:p>
          <w:p w14:paraId="0744CBA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lang w:val="en-US" w:eastAsia="zh-CN"/>
              </w:rPr>
              <w:t>项目与江东光伏电站公用升压站，不单独建立，根据《电磁环境控制限值》（GB8702-2014），</w:t>
            </w:r>
            <w:r>
              <w:rPr>
                <w:rFonts w:hint="default" w:ascii="Times New Roman" w:hAnsi="Times New Roman" w:cs="Times New Roman"/>
                <w:lang w:val="en-US" w:eastAsia="zh-CN"/>
              </w:rPr>
              <w:t>5</w:t>
            </w:r>
            <w:r>
              <w:rPr>
                <w:rFonts w:hint="eastAsia"/>
                <w:lang w:val="en-US" w:eastAsia="zh-CN"/>
              </w:rPr>
              <w:t>.豁免范围中，110kV以下电压等级的交流输变电设备可免于管理。</w:t>
            </w:r>
          </w:p>
        </w:tc>
      </w:tr>
      <w:tr w14:paraId="214E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1AD08D28">
            <w:pPr>
              <w:keepNext w:val="0"/>
              <w:keepLines w:val="0"/>
              <w:suppressLineNumbers w:val="0"/>
              <w:spacing w:before="0" w:beforeAutospacing="0" w:after="0" w:afterAutospacing="0"/>
              <w:ind w:left="0" w:right="0"/>
              <w:jc w:val="center"/>
              <w:rPr>
                <w:rFonts w:hint="eastAsia" w:ascii="Times New Roman" w:hAnsi="Times New Roman" w:eastAsiaTheme="minorEastAsia"/>
                <w:color w:val="000000"/>
                <w:kern w:val="0"/>
                <w:sz w:val="24"/>
                <w:lang w:eastAsia="zh-CN"/>
              </w:rPr>
            </w:pPr>
            <w:r>
              <w:rPr>
                <w:rFonts w:hint="eastAsia" w:ascii="Times New Roman" w:hAnsi="Times New Roman"/>
                <w:color w:val="000000"/>
                <w:kern w:val="0"/>
                <w:sz w:val="24"/>
                <w:lang w:eastAsia="zh-CN"/>
              </w:rPr>
              <w:t>其他</w:t>
            </w:r>
          </w:p>
        </w:tc>
        <w:tc>
          <w:tcPr>
            <w:tcW w:w="7793" w:type="dxa"/>
            <w:vAlign w:val="center"/>
          </w:tcPr>
          <w:p w14:paraId="2F46C5F7">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000000"/>
                <w:kern w:val="0"/>
                <w:sz w:val="24"/>
              </w:rPr>
            </w:pPr>
            <w:r>
              <w:rPr>
                <w:rFonts w:hint="eastAsia"/>
                <w:lang w:val="en-US" w:eastAsia="zh-CN"/>
              </w:rPr>
              <w:t>项目运营期仅有少量的油烟排放，无生产废气排放；废水经处理后回用，不外排；固体废物处置率为100%；故本次环评建议不设总量指标。</w:t>
            </w:r>
          </w:p>
        </w:tc>
      </w:tr>
    </w:tbl>
    <w:p w14:paraId="0522CE7A">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1688AA">
      <w:pPr>
        <w:jc w:val="center"/>
        <w:outlineLvl w:val="0"/>
        <w:rPr>
          <w:rFonts w:hint="eastAsia" w:ascii="宋体" w:hAnsi="宋体" w:eastAsia="宋体" w:cs="宋体"/>
          <w:b/>
          <w:bCs/>
          <w:snapToGrid w:val="0"/>
          <w:color w:val="000000"/>
          <w:sz w:val="30"/>
          <w:szCs w:val="30"/>
        </w:rPr>
      </w:pPr>
      <w:bookmarkStart w:id="26" w:name="_Toc30580"/>
      <w:r>
        <w:rPr>
          <w:rFonts w:hint="eastAsia" w:ascii="宋体" w:hAnsi="宋体" w:eastAsia="宋体" w:cs="宋体"/>
          <w:b/>
          <w:bCs/>
          <w:snapToGrid w:val="0"/>
          <w:color w:val="000000"/>
          <w:sz w:val="30"/>
          <w:szCs w:val="30"/>
        </w:rPr>
        <w:t>四、生态环境影响分析</w:t>
      </w:r>
      <w:bookmarkEnd w:id="26"/>
    </w:p>
    <w:tbl>
      <w:tblPr>
        <w:tblStyle w:val="25"/>
        <w:tblW w:w="92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766"/>
      </w:tblGrid>
      <w:tr w14:paraId="62728B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1" w:hRule="atLeast"/>
          <w:jc w:val="center"/>
        </w:trPr>
        <w:tc>
          <w:tcPr>
            <w:tcW w:w="456" w:type="dxa"/>
            <w:tcBorders>
              <w:tl2br w:val="nil"/>
              <w:tr2bl w:val="nil"/>
            </w:tcBorders>
            <w:tcMar>
              <w:left w:w="28" w:type="dxa"/>
              <w:right w:w="28" w:type="dxa"/>
            </w:tcMar>
            <w:vAlign w:val="center"/>
          </w:tcPr>
          <w:p w14:paraId="64CD6F43">
            <w:pPr>
              <w:pStyle w:val="24"/>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bookmarkStart w:id="27" w:name="_Hlk49796138"/>
            <w:r>
              <w:rPr>
                <w:rFonts w:hint="eastAsia" w:cs="宋体"/>
                <w:bCs/>
                <w:spacing w:val="10"/>
                <w:kern w:val="2"/>
                <w:szCs w:val="24"/>
                <w:lang w:val="en-US" w:eastAsia="zh-CN"/>
              </w:rPr>
              <w:t>施工期生态环境影响分析</w:t>
            </w:r>
            <w:bookmarkEnd w:id="27"/>
          </w:p>
        </w:tc>
        <w:tc>
          <w:tcPr>
            <w:tcW w:w="8766" w:type="dxa"/>
            <w:tcBorders>
              <w:tl2br w:val="nil"/>
              <w:tr2bl w:val="nil"/>
            </w:tcBorders>
            <w:vAlign w:val="top"/>
          </w:tcPr>
          <w:p w14:paraId="5387DF8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1、施工期产污环节及影响因素</w:t>
            </w:r>
          </w:p>
          <w:p w14:paraId="16D4A6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）施工期产污环节</w:t>
            </w:r>
          </w:p>
          <w:p w14:paraId="2612649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本项目的施工包括场内道路的施工、光伏阵列基础的开挖、</w:t>
            </w:r>
            <w:r>
              <w:rPr>
                <w:rFonts w:hint="eastAsia" w:ascii="Times New Roman" w:hAnsi="Times New Roman" w:cs="Times New Roman"/>
                <w:lang w:eastAsia="zh-CN"/>
              </w:rPr>
              <w:t>塔基及</w:t>
            </w:r>
            <w:r>
              <w:rPr>
                <w:rFonts w:hint="default" w:ascii="Times New Roman" w:hAnsi="Times New Roman" w:cs="Times New Roman"/>
                <w:lang w:eastAsia="zh-CN"/>
              </w:rPr>
              <w:t>电缆敷设、逆变器室、箱变等构筑物的建设及设备的安装和调试。</w:t>
            </w:r>
          </w:p>
          <w:p w14:paraId="7A0853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施工期主要污染源有：施工期机械噪声、扬尘、运输及动力设备运行产生的燃油废气、固体废物；施工人员生活废水、生活垃圾等</w:t>
            </w:r>
            <w:r>
              <w:rPr>
                <w:rFonts w:hint="eastAsia" w:ascii="Times New Roman" w:hAnsi="Times New Roman" w:cs="Times New Roman"/>
                <w:lang w:eastAsia="zh-CN"/>
              </w:rPr>
              <w:t>。</w:t>
            </w:r>
          </w:p>
          <w:p w14:paraId="49CD0B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（2）施工期污染影响因素</w:t>
            </w:r>
          </w:p>
          <w:p w14:paraId="67C665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项目施工期的污染影响因素如下表所示。</w:t>
            </w:r>
          </w:p>
          <w:p w14:paraId="002AE0E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表4-1施工期环境影响因素一览表</w:t>
            </w:r>
          </w:p>
          <w:tbl>
            <w:tblPr>
              <w:tblStyle w:val="40"/>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3432"/>
              <w:gridCol w:w="2375"/>
              <w:gridCol w:w="2071"/>
            </w:tblGrid>
            <w:tr w14:paraId="4B1EB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12B44ACD">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类别</w:t>
                  </w:r>
                </w:p>
              </w:tc>
              <w:tc>
                <w:tcPr>
                  <w:tcW w:w="3432" w:type="dxa"/>
                  <w:tcBorders>
                    <w:tl2br w:val="nil"/>
                    <w:tr2bl w:val="nil"/>
                  </w:tcBorders>
                  <w:vAlign w:val="center"/>
                </w:tcPr>
                <w:p w14:paraId="15F7A144">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污染源</w:t>
                  </w:r>
                </w:p>
              </w:tc>
              <w:tc>
                <w:tcPr>
                  <w:tcW w:w="2375" w:type="dxa"/>
                  <w:tcBorders>
                    <w:tl2br w:val="nil"/>
                    <w:tr2bl w:val="nil"/>
                  </w:tcBorders>
                  <w:vAlign w:val="center"/>
                </w:tcPr>
                <w:p w14:paraId="580659B9">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污染物</w:t>
                  </w:r>
                </w:p>
              </w:tc>
              <w:tc>
                <w:tcPr>
                  <w:tcW w:w="2071" w:type="dxa"/>
                  <w:tcBorders>
                    <w:tl2br w:val="nil"/>
                    <w:tr2bl w:val="nil"/>
                  </w:tcBorders>
                  <w:vAlign w:val="center"/>
                </w:tcPr>
                <w:p w14:paraId="3FAC15AE">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产生特性</w:t>
                  </w:r>
                </w:p>
              </w:tc>
            </w:tr>
            <w:tr w14:paraId="6894F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5D9348C0">
                  <w:pPr>
                    <w:jc w:val="center"/>
                    <w:rPr>
                      <w:rFonts w:hint="default" w:ascii="Times New Roman" w:hAnsi="Times New Roman" w:cs="Times New Roman"/>
                      <w:sz w:val="21"/>
                      <w:szCs w:val="21"/>
                      <w:lang w:eastAsia="zh-CN"/>
                    </w:rPr>
                  </w:pPr>
                </w:p>
                <w:p w14:paraId="17B462F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3432" w:type="dxa"/>
                  <w:tcBorders>
                    <w:tl2br w:val="nil"/>
                    <w:tr2bl w:val="nil"/>
                  </w:tcBorders>
                  <w:vAlign w:val="center"/>
                </w:tcPr>
                <w:p w14:paraId="7C673BD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地表清理、场地平整、 基础开挖、配套设施建设、物料装卸及运输</w:t>
                  </w:r>
                </w:p>
              </w:tc>
              <w:tc>
                <w:tcPr>
                  <w:tcW w:w="2375" w:type="dxa"/>
                  <w:tcBorders>
                    <w:tl2br w:val="nil"/>
                    <w:tr2bl w:val="nil"/>
                  </w:tcBorders>
                  <w:vAlign w:val="center"/>
                </w:tcPr>
                <w:p w14:paraId="4A1D8835">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扬尘（TSP）</w:t>
                  </w:r>
                </w:p>
              </w:tc>
              <w:tc>
                <w:tcPr>
                  <w:tcW w:w="2071" w:type="dxa"/>
                  <w:tcBorders>
                    <w:tl2br w:val="nil"/>
                    <w:tr2bl w:val="nil"/>
                  </w:tcBorders>
                  <w:vAlign w:val="center"/>
                </w:tcPr>
                <w:p w14:paraId="69762F3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1420B1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3EEA1656">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26162AF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w:t>
                  </w:r>
                </w:p>
              </w:tc>
              <w:tc>
                <w:tcPr>
                  <w:tcW w:w="2375" w:type="dxa"/>
                  <w:tcBorders>
                    <w:tl2br w:val="nil"/>
                    <w:tr2bl w:val="nil"/>
                  </w:tcBorders>
                  <w:vAlign w:val="center"/>
                </w:tcPr>
                <w:p w14:paraId="11346E7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NOx、CO及CHx</w:t>
                  </w:r>
                </w:p>
              </w:tc>
              <w:tc>
                <w:tcPr>
                  <w:tcW w:w="2071" w:type="dxa"/>
                  <w:tcBorders>
                    <w:tl2br w:val="nil"/>
                    <w:tr2bl w:val="nil"/>
                  </w:tcBorders>
                  <w:vAlign w:val="center"/>
                </w:tcPr>
                <w:p w14:paraId="1CB7BC7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5BD02C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3FACA26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3432" w:type="dxa"/>
                  <w:tcBorders>
                    <w:tl2br w:val="nil"/>
                    <w:tr2bl w:val="nil"/>
                  </w:tcBorders>
                  <w:vAlign w:val="center"/>
                </w:tcPr>
                <w:p w14:paraId="0F7961A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施工废水</w:t>
                  </w:r>
                </w:p>
              </w:tc>
              <w:tc>
                <w:tcPr>
                  <w:tcW w:w="2375" w:type="dxa"/>
                  <w:tcBorders>
                    <w:tl2br w:val="nil"/>
                    <w:tr2bl w:val="nil"/>
                  </w:tcBorders>
                  <w:vAlign w:val="center"/>
                </w:tcPr>
                <w:p w14:paraId="65030D8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SS、石油类</w:t>
                  </w:r>
                </w:p>
              </w:tc>
              <w:tc>
                <w:tcPr>
                  <w:tcW w:w="2071" w:type="dxa"/>
                  <w:tcBorders>
                    <w:tl2br w:val="nil"/>
                    <w:tr2bl w:val="nil"/>
                  </w:tcBorders>
                  <w:vAlign w:val="center"/>
                </w:tcPr>
                <w:p w14:paraId="15EAF77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1D4E7F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64693043">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320EDD8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生活污水</w:t>
                  </w:r>
                </w:p>
              </w:tc>
              <w:tc>
                <w:tcPr>
                  <w:tcW w:w="2375" w:type="dxa"/>
                  <w:tcBorders>
                    <w:tl2br w:val="nil"/>
                    <w:tr2bl w:val="nil"/>
                  </w:tcBorders>
                  <w:vAlign w:val="center"/>
                </w:tcPr>
                <w:p w14:paraId="4B85A57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COD、BOD</w:t>
                  </w:r>
                  <w:r>
                    <w:rPr>
                      <w:rFonts w:hint="default" w:ascii="Times New Roman" w:hAnsi="Times New Roman" w:cs="Times New Roman"/>
                      <w:sz w:val="21"/>
                      <w:szCs w:val="21"/>
                      <w:vertAlign w:val="subscript"/>
                      <w:lang w:eastAsia="zh-CN"/>
                    </w:rPr>
                    <w:t>5</w:t>
                  </w:r>
                  <w:r>
                    <w:rPr>
                      <w:rFonts w:hint="default" w:ascii="Times New Roman" w:hAnsi="Times New Roman" w:cs="Times New Roman"/>
                      <w:sz w:val="21"/>
                      <w:szCs w:val="21"/>
                      <w:lang w:eastAsia="zh-CN"/>
                    </w:rPr>
                    <w:t xml:space="preserve"> 、SS、NH</w:t>
                  </w:r>
                  <w:r>
                    <w:rPr>
                      <w:rFonts w:hint="default" w:ascii="Times New Roman" w:hAnsi="Times New Roman" w:cs="Times New Roman"/>
                      <w:sz w:val="21"/>
                      <w:szCs w:val="21"/>
                      <w:vertAlign w:val="subscript"/>
                      <w:lang w:eastAsia="zh-CN"/>
                    </w:rPr>
                    <w:t>3</w:t>
                  </w:r>
                  <w:r>
                    <w:rPr>
                      <w:rFonts w:hint="default" w:ascii="Times New Roman" w:hAnsi="Times New Roman" w:cs="Times New Roman"/>
                      <w:sz w:val="21"/>
                      <w:szCs w:val="21"/>
                      <w:lang w:eastAsia="zh-CN"/>
                    </w:rPr>
                    <w:t>-N 等</w:t>
                  </w:r>
                </w:p>
              </w:tc>
              <w:tc>
                <w:tcPr>
                  <w:tcW w:w="2071" w:type="dxa"/>
                  <w:tcBorders>
                    <w:tl2br w:val="nil"/>
                    <w:tr2bl w:val="nil"/>
                  </w:tcBorders>
                  <w:vAlign w:val="center"/>
                </w:tcPr>
                <w:p w14:paraId="01E027C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7880C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6DDFA178">
                  <w:pPr>
                    <w:jc w:val="center"/>
                    <w:rPr>
                      <w:rFonts w:hint="default" w:ascii="Times New Roman" w:hAnsi="Times New Roman" w:cs="Times New Roman"/>
                      <w:sz w:val="21"/>
                      <w:szCs w:val="21"/>
                      <w:lang w:eastAsia="zh-CN"/>
                    </w:rPr>
                  </w:pPr>
                </w:p>
                <w:p w14:paraId="5E59B2F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3432" w:type="dxa"/>
                  <w:tcBorders>
                    <w:tl2br w:val="nil"/>
                    <w:tr2bl w:val="nil"/>
                  </w:tcBorders>
                  <w:vAlign w:val="center"/>
                </w:tcPr>
                <w:p w14:paraId="78FC4E3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场地平整及开挖</w:t>
                  </w:r>
                </w:p>
              </w:tc>
              <w:tc>
                <w:tcPr>
                  <w:tcW w:w="2375" w:type="dxa"/>
                  <w:tcBorders>
                    <w:tl2br w:val="nil"/>
                    <w:tr2bl w:val="nil"/>
                  </w:tcBorders>
                  <w:vAlign w:val="center"/>
                </w:tcPr>
                <w:p w14:paraId="2CA6BF2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土石方</w:t>
                  </w:r>
                </w:p>
              </w:tc>
              <w:tc>
                <w:tcPr>
                  <w:tcW w:w="2071" w:type="dxa"/>
                  <w:tcBorders>
                    <w:tl2br w:val="nil"/>
                    <w:tr2bl w:val="nil"/>
                  </w:tcBorders>
                  <w:vAlign w:val="center"/>
                </w:tcPr>
                <w:p w14:paraId="55E9C73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38160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772699C4">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3E02CF9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施工人员</w:t>
                  </w:r>
                </w:p>
              </w:tc>
              <w:tc>
                <w:tcPr>
                  <w:tcW w:w="2375" w:type="dxa"/>
                  <w:tcBorders>
                    <w:tl2br w:val="nil"/>
                    <w:tr2bl w:val="nil"/>
                  </w:tcBorders>
                  <w:vAlign w:val="center"/>
                </w:tcPr>
                <w:p w14:paraId="629743E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2071" w:type="dxa"/>
                  <w:tcBorders>
                    <w:tl2br w:val="nil"/>
                    <w:tr2bl w:val="nil"/>
                  </w:tcBorders>
                  <w:vAlign w:val="center"/>
                </w:tcPr>
                <w:p w14:paraId="075074A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6AC359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0B068C8C">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142C6A06">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w:t>
                  </w:r>
                </w:p>
              </w:tc>
              <w:tc>
                <w:tcPr>
                  <w:tcW w:w="2375" w:type="dxa"/>
                  <w:tcBorders>
                    <w:tl2br w:val="nil"/>
                    <w:tr2bl w:val="nil"/>
                  </w:tcBorders>
                  <w:vAlign w:val="center"/>
                </w:tcPr>
                <w:p w14:paraId="6A83F70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建筑垃圾</w:t>
                  </w:r>
                </w:p>
              </w:tc>
              <w:tc>
                <w:tcPr>
                  <w:tcW w:w="2071" w:type="dxa"/>
                  <w:tcBorders>
                    <w:tl2br w:val="nil"/>
                    <w:tr2bl w:val="nil"/>
                  </w:tcBorders>
                  <w:vAlign w:val="center"/>
                </w:tcPr>
                <w:p w14:paraId="0EED755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3E2F32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5D63D33">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585A98F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支架安装、光伏组件安装、设备安装</w:t>
                  </w:r>
                </w:p>
              </w:tc>
              <w:tc>
                <w:tcPr>
                  <w:tcW w:w="2375" w:type="dxa"/>
                  <w:tcBorders>
                    <w:tl2br w:val="nil"/>
                    <w:tr2bl w:val="nil"/>
                  </w:tcBorders>
                  <w:vAlign w:val="center"/>
                </w:tcPr>
                <w:p w14:paraId="0CF0ED8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废弃设备零件</w:t>
                  </w:r>
                </w:p>
              </w:tc>
              <w:tc>
                <w:tcPr>
                  <w:tcW w:w="2071" w:type="dxa"/>
                  <w:tcBorders>
                    <w:tl2br w:val="nil"/>
                    <w:tr2bl w:val="nil"/>
                  </w:tcBorders>
                  <w:vAlign w:val="center"/>
                </w:tcPr>
                <w:p w14:paraId="6AA64BC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50EFC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47D6D0C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3432" w:type="dxa"/>
                  <w:tcBorders>
                    <w:tl2br w:val="nil"/>
                    <w:tr2bl w:val="nil"/>
                  </w:tcBorders>
                  <w:vAlign w:val="center"/>
                </w:tcPr>
                <w:p w14:paraId="68C2D0D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施工机械及车辆</w:t>
                  </w:r>
                </w:p>
              </w:tc>
              <w:tc>
                <w:tcPr>
                  <w:tcW w:w="2375" w:type="dxa"/>
                  <w:tcBorders>
                    <w:tl2br w:val="nil"/>
                    <w:tr2bl w:val="nil"/>
                  </w:tcBorders>
                  <w:vAlign w:val="center"/>
                </w:tcPr>
                <w:p w14:paraId="1F1F8BF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2071" w:type="dxa"/>
                  <w:tcBorders>
                    <w:tl2br w:val="nil"/>
                    <w:tr2bl w:val="nil"/>
                  </w:tcBorders>
                  <w:vAlign w:val="center"/>
                </w:tcPr>
                <w:p w14:paraId="598E8A0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bl>
          <w:p w14:paraId="2E5EC7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（3）施工期污染影响因素</w:t>
            </w:r>
          </w:p>
          <w:p w14:paraId="7A7679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根据本工程的特点、施工工艺，分析工程施工阶段对项目周围的生态影响因素。项目施工期生态环境影响因素见下表。</w:t>
            </w:r>
          </w:p>
          <w:p w14:paraId="67B62CEB">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表4-2      项目施工期生态环境影响因素</w:t>
            </w:r>
          </w:p>
          <w:tbl>
            <w:tblPr>
              <w:tblStyle w:val="40"/>
              <w:tblW w:w="851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344"/>
              <w:gridCol w:w="4994"/>
              <w:gridCol w:w="1179"/>
            </w:tblGrid>
            <w:tr w14:paraId="48D5FF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64893677">
                  <w:pPr>
                    <w:spacing w:line="240" w:lineRule="auto"/>
                    <w:ind w:firstLine="422" w:firstLineChars="200"/>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工程建设活动</w:t>
                  </w:r>
                </w:p>
              </w:tc>
              <w:tc>
                <w:tcPr>
                  <w:tcW w:w="4994" w:type="dxa"/>
                  <w:tcBorders>
                    <w:tl2br w:val="nil"/>
                    <w:tr2bl w:val="nil"/>
                  </w:tcBorders>
                  <w:vAlign w:val="center"/>
                </w:tcPr>
                <w:p w14:paraId="3AC15EB8">
                  <w:pPr>
                    <w:spacing w:line="240" w:lineRule="auto"/>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生态影响因素</w:t>
                  </w:r>
                </w:p>
              </w:tc>
              <w:tc>
                <w:tcPr>
                  <w:tcW w:w="1179" w:type="dxa"/>
                  <w:tcBorders>
                    <w:tl2br w:val="nil"/>
                    <w:tr2bl w:val="nil"/>
                  </w:tcBorders>
                  <w:vAlign w:val="center"/>
                </w:tcPr>
                <w:p w14:paraId="2C42332F">
                  <w:pPr>
                    <w:spacing w:line="240" w:lineRule="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影响因子</w:t>
                  </w:r>
                </w:p>
              </w:tc>
            </w:tr>
            <w:tr w14:paraId="4C2314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2344" w:type="dxa"/>
                  <w:tcBorders>
                    <w:tl2br w:val="nil"/>
                    <w:tr2bl w:val="nil"/>
                  </w:tcBorders>
                  <w:vAlign w:val="center"/>
                </w:tcPr>
                <w:p w14:paraId="2F86DBC5">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土建及土石方工程</w:t>
                  </w:r>
                </w:p>
              </w:tc>
              <w:tc>
                <w:tcPr>
                  <w:tcW w:w="4994" w:type="dxa"/>
                  <w:tcBorders>
                    <w:tl2br w:val="nil"/>
                    <w:tr2bl w:val="nil"/>
                  </w:tcBorders>
                  <w:vAlign w:val="center"/>
                </w:tcPr>
                <w:p w14:paraId="7C79C447">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永久占用土地、改变土地利用现状功能；破坏地表植被</w:t>
                  </w:r>
                </w:p>
              </w:tc>
              <w:tc>
                <w:tcPr>
                  <w:tcW w:w="1179" w:type="dxa"/>
                  <w:vMerge w:val="restart"/>
                  <w:tcBorders>
                    <w:tl2br w:val="nil"/>
                    <w:tr2bl w:val="nil"/>
                  </w:tcBorders>
                  <w:vAlign w:val="center"/>
                </w:tcPr>
                <w:p w14:paraId="784EBBD3">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植被、植物、土地利用、动物</w:t>
                  </w:r>
                </w:p>
              </w:tc>
            </w:tr>
            <w:tr w14:paraId="2571AF7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20FD02A1">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施工机械及施工车辆运输</w:t>
                  </w:r>
                </w:p>
              </w:tc>
              <w:tc>
                <w:tcPr>
                  <w:tcW w:w="4994" w:type="dxa"/>
                  <w:tcBorders>
                    <w:tl2br w:val="nil"/>
                    <w:tr2bl w:val="nil"/>
                  </w:tcBorders>
                  <w:vAlign w:val="center"/>
                </w:tcPr>
                <w:p w14:paraId="5A7BABA0">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对周围动物活动及栖息造成影响</w:t>
                  </w:r>
                </w:p>
              </w:tc>
              <w:tc>
                <w:tcPr>
                  <w:tcW w:w="1179" w:type="dxa"/>
                  <w:vMerge w:val="continue"/>
                  <w:tcBorders>
                    <w:tl2br w:val="nil"/>
                    <w:tr2bl w:val="nil"/>
                  </w:tcBorders>
                  <w:vAlign w:val="center"/>
                </w:tcPr>
                <w:p w14:paraId="4ECC3CE8">
                  <w:pPr>
                    <w:spacing w:line="240" w:lineRule="auto"/>
                    <w:ind w:firstLine="480" w:firstLineChars="200"/>
                    <w:rPr>
                      <w:rFonts w:hint="default" w:ascii="Times New Roman" w:hAnsi="Times New Roman" w:cs="Times New Roman"/>
                      <w:lang w:eastAsia="zh-CN"/>
                    </w:rPr>
                  </w:pPr>
                </w:p>
              </w:tc>
            </w:tr>
            <w:tr w14:paraId="6E86AF1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014A0CC3">
                  <w:pPr>
                    <w:spacing w:line="240" w:lineRule="auto"/>
                    <w:ind w:firstLine="420" w:firstLineChars="20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施工临时占地</w:t>
                  </w:r>
                </w:p>
              </w:tc>
              <w:tc>
                <w:tcPr>
                  <w:tcW w:w="4994" w:type="dxa"/>
                  <w:tcBorders>
                    <w:tl2br w:val="nil"/>
                    <w:tr2bl w:val="nil"/>
                  </w:tcBorders>
                  <w:vAlign w:val="center"/>
                </w:tcPr>
                <w:p w14:paraId="53DB6BE2">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临时占用土地，改变土地利用功能；破坏地表植被</w:t>
                  </w:r>
                </w:p>
              </w:tc>
              <w:tc>
                <w:tcPr>
                  <w:tcW w:w="1179" w:type="dxa"/>
                  <w:vMerge w:val="continue"/>
                  <w:tcBorders>
                    <w:tl2br w:val="nil"/>
                    <w:tr2bl w:val="nil"/>
                  </w:tcBorders>
                  <w:vAlign w:val="center"/>
                </w:tcPr>
                <w:p w14:paraId="2523AFC7">
                  <w:pPr>
                    <w:spacing w:line="240" w:lineRule="auto"/>
                    <w:ind w:firstLine="480" w:firstLineChars="200"/>
                    <w:rPr>
                      <w:rFonts w:hint="default" w:ascii="Times New Roman" w:hAnsi="Times New Roman" w:cs="Times New Roman"/>
                      <w:lang w:eastAsia="zh-CN"/>
                    </w:rPr>
                  </w:pPr>
                </w:p>
              </w:tc>
            </w:tr>
          </w:tbl>
          <w:p w14:paraId="51EC0BD2">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val="en-US" w:eastAsia="zh-CN"/>
              </w:rPr>
              <w:t>2、</w:t>
            </w:r>
            <w:r>
              <w:rPr>
                <w:rFonts w:hint="default" w:ascii="Times New Roman" w:hAnsi="Times New Roman" w:cs="Times New Roman"/>
                <w:b/>
                <w:bCs/>
                <w:lang w:eastAsia="zh-CN"/>
              </w:rPr>
              <w:t>环境影响分析</w:t>
            </w:r>
          </w:p>
          <w:p w14:paraId="1898162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（1）生态环境影响分析</w:t>
            </w:r>
          </w:p>
          <w:p w14:paraId="07893E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1）对土地利用的影响分析</w:t>
            </w:r>
          </w:p>
          <w:p w14:paraId="178F298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eastAsia="宋体" w:cs="Times New Roman"/>
                <w:b w:val="0"/>
                <w:bCs w:val="0"/>
                <w:color w:val="auto"/>
                <w:kern w:val="2"/>
                <w:sz w:val="24"/>
                <w:szCs w:val="24"/>
                <w:lang w:val="en-US" w:eastAsia="zh-CN" w:bidi="ar-SA"/>
              </w:rPr>
              <w:t>项目用地总规模为</w:t>
            </w:r>
            <w:r>
              <w:rPr>
                <w:rFonts w:hint="eastAsia" w:ascii="Times New Roman" w:hAnsi="Times New Roman" w:eastAsia="宋体" w:cs="Times New Roman"/>
                <w:b w:val="0"/>
                <w:bCs w:val="0"/>
                <w:color w:val="auto"/>
                <w:kern w:val="2"/>
                <w:sz w:val="24"/>
                <w:szCs w:val="24"/>
                <w:lang w:val="en-US" w:eastAsia="zh-CN" w:bidi="ar-SA"/>
              </w:rPr>
              <w:t>706.02亩，其中永久占地2.59亩，临时占地703.43</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kern w:val="2"/>
                <w:sz w:val="24"/>
                <w:szCs w:val="24"/>
                <w:lang w:val="en-US" w:eastAsia="zh-CN" w:bidi="ar-SA"/>
              </w:rPr>
              <w:t>永久占地包含</w:t>
            </w:r>
            <w:r>
              <w:rPr>
                <w:rFonts w:hint="eastAsia" w:ascii="Times New Roman" w:hAnsi="Times New Roman" w:eastAsia="宋体" w:cs="Times New Roman"/>
                <w:snapToGrid w:val="0"/>
                <w:color w:val="auto"/>
                <w:kern w:val="0"/>
                <w:sz w:val="24"/>
                <w:lang w:val="en-US" w:eastAsia="zh-CN"/>
              </w:rPr>
              <w:t>逆变升压单元占地</w:t>
            </w:r>
            <w:r>
              <w:rPr>
                <w:rFonts w:hint="eastAsia" w:ascii="Times New Roman" w:hAnsi="Times New Roman" w:eastAsia="宋体" w:cs="Times New Roman"/>
                <w:b w:val="0"/>
                <w:bCs w:val="0"/>
                <w:color w:val="auto"/>
                <w:kern w:val="2"/>
                <w:sz w:val="24"/>
                <w:szCs w:val="24"/>
                <w:lang w:val="en-US" w:eastAsia="zh-CN" w:bidi="ar-SA"/>
              </w:rPr>
              <w:t>、铁塔占地等</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lang w:eastAsia="zh-CN"/>
              </w:rPr>
              <w:t>工程不占用基本农田、生态公益林及生态保护红线。工程施工占地会暂时改变原有土地利用的性质和功能。永久占地部分永久性的改变了土地性质，是无法恢复的；由于施工永久占地面积较小，影响的土地利用类型都是评价区域较为广泛分布的类型，除占地的损失外，工程施工不会对该区域的土地利用造成明显的影响。项目施工过程中不对光伏方阵以外用地及未利用地等临时占地进行扰动，集电线路区及场内道路边坡临时占地区在施工结束后将进行植被恢复，不会改变其土地利用功能。</w:t>
            </w:r>
          </w:p>
          <w:p w14:paraId="50559F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2）对植被及植物的影响分析</w:t>
            </w:r>
          </w:p>
          <w:p w14:paraId="4B9F4E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rPr>
              <w:t>项目对植被的影响主要是占地及施工作业造成的植被破坏</w:t>
            </w:r>
            <w:r>
              <w:rPr>
                <w:rFonts w:hint="eastAsia" w:ascii="Times New Roman" w:hAnsi="Times New Roman" w:eastAsia="宋体"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其中</w:t>
            </w:r>
            <w:r>
              <w:rPr>
                <w:rFonts w:hint="eastAsia" w:ascii="Times New Roman" w:hAnsi="Times New Roman" w:eastAsia="宋体" w:cs="Times New Roman"/>
                <w:snapToGrid w:val="0"/>
                <w:color w:val="auto"/>
                <w:kern w:val="0"/>
                <w:sz w:val="24"/>
                <w:lang w:val="en-US" w:eastAsia="zh-CN"/>
              </w:rPr>
              <w:t>逆变升压单元、杆塔</w:t>
            </w:r>
            <w:r>
              <w:rPr>
                <w:rFonts w:hint="default" w:ascii="Times New Roman" w:hAnsi="Times New Roman" w:eastAsia="宋体" w:cs="Times New Roman"/>
                <w:snapToGrid w:val="0"/>
                <w:color w:val="auto"/>
                <w:kern w:val="0"/>
                <w:sz w:val="24"/>
              </w:rPr>
              <w:t>等永久占地区域，项目建设影响的植被将无法恢复，其影响是不可逆的；对于临时占地区域，其中场内保留区、光伏方阵板间空地等在施工过程中基本不受扰动，集电线路（主要是地埋电缆开挖作业区）、场内道路、临时施工营场地等区域在工程施工时将清除地表植被，但工程建设结束后，通过复垦，上述区域的植被将得以逐渐恢复。光伏项目实施后，项目区原有的植被会受到影响，但由于项目区占地范围内</w:t>
            </w:r>
            <w:r>
              <w:rPr>
                <w:rFonts w:hint="eastAsia" w:ascii="Times New Roman" w:hAnsi="Times New Roman" w:eastAsia="宋体" w:cs="Times New Roman"/>
                <w:snapToGrid w:val="0"/>
                <w:color w:val="auto"/>
                <w:kern w:val="0"/>
                <w:sz w:val="24"/>
                <w:lang w:val="en-US" w:eastAsia="zh-CN"/>
              </w:rPr>
              <w:t>主要为茶园，</w:t>
            </w:r>
            <w:r>
              <w:rPr>
                <w:rFonts w:hint="default" w:ascii="Times New Roman" w:hAnsi="Times New Roman" w:eastAsia="宋体" w:cs="Times New Roman"/>
                <w:snapToGrid w:val="0"/>
                <w:color w:val="auto"/>
                <w:kern w:val="0"/>
                <w:sz w:val="24"/>
              </w:rPr>
              <w:t>覆盖</w:t>
            </w:r>
            <w:r>
              <w:rPr>
                <w:rFonts w:hint="eastAsia" w:ascii="Times New Roman" w:hAnsi="Times New Roman" w:eastAsia="宋体" w:cs="Times New Roman"/>
                <w:snapToGrid w:val="0"/>
                <w:color w:val="auto"/>
                <w:kern w:val="0"/>
                <w:sz w:val="24"/>
                <w:lang w:eastAsia="zh-CN"/>
              </w:rPr>
              <w:t>种类单一</w:t>
            </w:r>
            <w:r>
              <w:rPr>
                <w:rFonts w:hint="default" w:ascii="Times New Roman" w:hAnsi="Times New Roman" w:eastAsia="宋体" w:cs="Times New Roman"/>
                <w:snapToGrid w:val="0"/>
                <w:color w:val="auto"/>
                <w:kern w:val="0"/>
                <w:sz w:val="24"/>
              </w:rPr>
              <w:t>，无国家和地方重点保护野生植物分布。</w:t>
            </w:r>
            <w:r>
              <w:rPr>
                <w:rFonts w:hint="eastAsia" w:ascii="Times New Roman" w:hAnsi="Times New Roman" w:eastAsia="宋体" w:cs="Times New Roman"/>
                <w:snapToGrid w:val="0"/>
                <w:color w:val="auto"/>
                <w:kern w:val="0"/>
                <w:sz w:val="24"/>
                <w:lang w:val="en-US" w:eastAsia="zh-CN"/>
              </w:rPr>
              <w:t>因此项目的实施</w:t>
            </w:r>
            <w:r>
              <w:rPr>
                <w:rFonts w:hint="default" w:ascii="Times New Roman" w:hAnsi="Times New Roman" w:eastAsia="宋体" w:cs="Times New Roman"/>
                <w:snapToGrid w:val="0"/>
                <w:color w:val="auto"/>
                <w:kern w:val="0"/>
                <w:sz w:val="24"/>
              </w:rPr>
              <w:t>不会造成物种类灭绝</w:t>
            </w:r>
            <w:r>
              <w:rPr>
                <w:rFonts w:hint="eastAsia" w:ascii="Times New Roman" w:hAnsi="Times New Roman" w:eastAsia="宋体" w:cs="Times New Roman"/>
                <w:snapToGrid w:val="0"/>
                <w:color w:val="auto"/>
                <w:kern w:val="0"/>
                <w:sz w:val="24"/>
                <w:lang w:eastAsia="zh-CN"/>
              </w:rPr>
              <w:t>，</w:t>
            </w:r>
            <w:r>
              <w:rPr>
                <w:rFonts w:hint="eastAsia" w:ascii="Times New Roman" w:hAnsi="Times New Roman" w:eastAsia="宋体" w:cs="Times New Roman"/>
                <w:snapToGrid w:val="0"/>
                <w:color w:val="auto"/>
                <w:kern w:val="0"/>
                <w:sz w:val="24"/>
                <w:lang w:val="en-US" w:eastAsia="zh-CN"/>
              </w:rPr>
              <w:t>对植物、植被的影响较小。</w:t>
            </w:r>
          </w:p>
          <w:p w14:paraId="3C88A21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①工程永久占地对植被的影响</w:t>
            </w:r>
          </w:p>
          <w:p w14:paraId="53DD4C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eastAsia" w:ascii="Times New Roman" w:hAnsi="Times New Roman" w:eastAsia="宋体" w:cs="Times New Roman"/>
                <w:snapToGrid w:val="0"/>
                <w:color w:val="auto"/>
                <w:kern w:val="0"/>
                <w:sz w:val="24"/>
                <w:lang w:val="en-US" w:eastAsia="zh-CN"/>
              </w:rPr>
              <w:t>项目</w:t>
            </w:r>
            <w:r>
              <w:rPr>
                <w:rFonts w:hint="default" w:ascii="Times New Roman" w:hAnsi="Times New Roman" w:eastAsia="宋体" w:cs="Times New Roman"/>
                <w:snapToGrid w:val="0"/>
                <w:color w:val="auto"/>
                <w:kern w:val="0"/>
                <w:sz w:val="24"/>
              </w:rPr>
              <w:t>建设虽然会造成评价区内该类植被面积有所减少，但由于项目永久占地面积较小，所造成的自然植被面积的永久减少占评价区同类植被面积的比例小，不会造成任何一种植被类型在评价区内消失</w:t>
            </w:r>
            <w:r>
              <w:rPr>
                <w:rFonts w:hint="default" w:ascii="Times New Roman" w:hAnsi="Times New Roman" w:cs="Times New Roman"/>
                <w:lang w:eastAsia="zh-CN"/>
              </w:rPr>
              <w:t>，对评价区内的植被及生态系统影响不大。</w:t>
            </w:r>
          </w:p>
          <w:p w14:paraId="08758AF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②工程临时占地对植被的影响</w:t>
            </w:r>
          </w:p>
          <w:p w14:paraId="008B391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中临时占用自然植被较少。此部分自然植被在施工过程中仅对集电线路及场内道路边坡临时占地区进行扰动，清除地表植被，在施工结束后能够逐渐得以恢复。而对项目用地范围内临时占用的光伏方阵空地、其他用地，项目施工期不对其进行扰动，因此只要对光伏方阵空地及周边未利用地等不扰动区域加强管理，严格控制施工扰动范围，禁止对光伏方阵空地和未利用地等不扰动区域的植被造成破坏，则项目不会对自然植被产生大的影响。</w:t>
            </w:r>
          </w:p>
          <w:p w14:paraId="5F95A78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③对植物资源的影响</w:t>
            </w:r>
          </w:p>
          <w:p w14:paraId="5BB0E6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受本工程建设影响的植物均为常见种和广布种。项目占地将使部分植物个体遭到破坏，导致这些植物种群数量减少和分布生境减小，但这些物种在工程区周边区域，甚至云南省的许多地区都广为分布，本工程建设不会造成物种数量的急剧减少，更不会造成任何物种的灭绝，所产生的影响较小。</w:t>
            </w:r>
          </w:p>
          <w:p w14:paraId="729402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3）对陆生脊椎动物的影响</w:t>
            </w:r>
          </w:p>
          <w:p w14:paraId="6BD205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①对爬行类动物的影响分析</w:t>
            </w:r>
          </w:p>
          <w:p w14:paraId="07E4A5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施工期间</w:t>
            </w:r>
            <w:r>
              <w:rPr>
                <w:rFonts w:hint="eastAsia" w:ascii="Times New Roman" w:hAnsi="Times New Roman" w:cs="Times New Roman"/>
                <w:lang w:eastAsia="zh-CN"/>
              </w:rPr>
              <w:t>对</w:t>
            </w:r>
            <w:r>
              <w:rPr>
                <w:rFonts w:hint="default" w:ascii="Times New Roman" w:hAnsi="Times New Roman" w:cs="Times New Roman"/>
                <w:lang w:eastAsia="zh-CN"/>
              </w:rPr>
              <w:t>爬行类动物的影响主要表现为：工程施工机械、施工人员进入工地，原材料的堆放等施工行为</w:t>
            </w:r>
            <w:r>
              <w:rPr>
                <w:rFonts w:hint="eastAsia" w:ascii="Times New Roman" w:hAnsi="Times New Roman" w:cs="Times New Roman"/>
                <w:lang w:val="en-US" w:eastAsia="zh-CN"/>
              </w:rPr>
              <w:t>可能</w:t>
            </w:r>
            <w:r>
              <w:rPr>
                <w:rFonts w:hint="default" w:ascii="Times New Roman" w:hAnsi="Times New Roman" w:cs="Times New Roman"/>
                <w:lang w:eastAsia="zh-CN"/>
              </w:rPr>
              <w:t>直接</w:t>
            </w:r>
            <w:r>
              <w:rPr>
                <w:rFonts w:hint="eastAsia" w:ascii="Times New Roman" w:hAnsi="Times New Roman" w:cs="Times New Roman"/>
                <w:lang w:val="en-US" w:eastAsia="zh-CN"/>
              </w:rPr>
              <w:t>影响</w:t>
            </w:r>
            <w:r>
              <w:rPr>
                <w:rFonts w:hint="default" w:ascii="Times New Roman" w:hAnsi="Times New Roman" w:cs="Times New Roman"/>
                <w:lang w:eastAsia="zh-CN"/>
              </w:rPr>
              <w:t>到两栖动物。开挖路堑和临时施工便道造成部分生境破坏。施工活动产生噪声、频繁往来的车流、人流改变了原有的安静环境，对喜欢安静或害怕人群类爬行动物会形成惊吓导致其离开原有的活动范围，会暂时降低影响区内敏感物种数量和降低出现的次数，施工结束后其影响逐渐消除。</w:t>
            </w:r>
          </w:p>
          <w:p w14:paraId="3422EC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②对鸟类的影响分析</w:t>
            </w:r>
          </w:p>
          <w:p w14:paraId="52032F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由于工程建设需要开挖建设，破坏现有植被，对项目区内的鸟类造成一定的影响：施工期会干扰这些鸟类的活动，对其造成一定的影响，使这些鸟类暂时迁移它处。但是总体看，因鸟类的活动空间范围一般都比较大，工程施工对鸟类的影响较小。</w:t>
            </w:r>
          </w:p>
          <w:p w14:paraId="057100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③对兽类的影响分析</w:t>
            </w:r>
          </w:p>
          <w:p w14:paraId="4BA56C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该工程项目区内的兽类中除鼠类相对固定区域活动外，其它兽类的活动场所都较大，工程项目建设会造成这些兽类部分生境的破坏，干扰它们的活动，对它们造成直接的影响：</w:t>
            </w:r>
          </w:p>
          <w:p w14:paraId="147958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a、对于栖息在该工程项目区的以啮齿类为主兽类的生境造成一定的破坏； b、施工噪声会干扰该工程项目区兽类的正常活动，驱赶它们远离项目区； c、施工人员有可能</w:t>
            </w:r>
            <w:r>
              <w:rPr>
                <w:rFonts w:hint="eastAsia" w:ascii="Times New Roman" w:hAnsi="Times New Roman" w:cs="Times New Roman"/>
                <w:lang w:val="en-US" w:eastAsia="zh-CN"/>
              </w:rPr>
              <w:t>驱赶</w:t>
            </w:r>
            <w:r>
              <w:rPr>
                <w:rFonts w:hint="default" w:ascii="Times New Roman" w:hAnsi="Times New Roman" w:cs="Times New Roman"/>
                <w:lang w:eastAsia="zh-CN"/>
              </w:rPr>
              <w:t>项目区个体较大的兽类。</w:t>
            </w:r>
          </w:p>
          <w:p w14:paraId="5C0D058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整体上讲，评价区内主要动物为爬行类、一般鸟类和伴人居小型啮齿类，项目建设对陆栖脊椎动物的影响主要表现在施工占地和开挖对生境的破坏；施工机械噪声、运输机械噪声的干扰；施工人员</w:t>
            </w:r>
            <w:r>
              <w:rPr>
                <w:rFonts w:hint="eastAsia" w:ascii="Times New Roman" w:hAnsi="Times New Roman" w:cs="Times New Roman"/>
                <w:lang w:val="en-US" w:eastAsia="zh-CN"/>
              </w:rPr>
              <w:t>驱赶</w:t>
            </w:r>
            <w:r>
              <w:rPr>
                <w:rFonts w:hint="default" w:ascii="Times New Roman" w:hAnsi="Times New Roman" w:cs="Times New Roman"/>
                <w:lang w:eastAsia="zh-CN"/>
              </w:rPr>
              <w:t>对部分动物的影响等。</w:t>
            </w:r>
          </w:p>
          <w:p w14:paraId="143CE58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占地和开挖将可能破其生存环境，迫使它们向外迁移寻找新的栖息场所，造成动物数量减少，但不会造成动物物种消失；同时项目施工注意依法保护、避免捕杀或伤害各类动物。在此基础上项目施工对动物的影响在可接受程度范围内。随着项目建设的完成，生境的恢复，动物的种群数量将很快得以恢复。</w:t>
            </w:r>
          </w:p>
          <w:p w14:paraId="006346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4）对周围耕地和农作物的影响分析</w:t>
            </w:r>
          </w:p>
          <w:p w14:paraId="58975CD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光伏电站施工期对周围农作物的影响主要来源施工扬尘对周围农作物的影响，施工过程中对场地洒水降尘，且施工时间较短，随着施工结束而消失，施工过程中对周围农作物影响较小。</w:t>
            </w:r>
          </w:p>
          <w:p w14:paraId="03734600">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（2）大气环境影响分析</w:t>
            </w:r>
          </w:p>
          <w:p w14:paraId="32E85D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施工期废气主要包括施工场地产生的扬尘、施工机械尾气等。</w:t>
            </w:r>
          </w:p>
          <w:p w14:paraId="4FA7AC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①扬尘对环境的影响</w:t>
            </w:r>
          </w:p>
          <w:p w14:paraId="3E15DB1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对环境空气影响的主要为扬尘。在项目的建设施工中，由于场内道路的修建、基础开挖、回填土石方、配套设施建设和及建筑材料的运输、装卸、堆放等会产生不同影响程度的扬尘，污染因子为TSP，扬尘的产生量与施工方式、土壤含水量、气象条件等有关。</w:t>
            </w:r>
          </w:p>
          <w:p w14:paraId="1BEC530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在道路修建期间，会导致地表裸露，产生少量扬尘；项目光伏阵列基础的修建，也需要平整场地和基础开挖，由于光伏阵列基础面较小，开挖土石不大，可以做到就地取土平整，不会产生弃渣场，场地开挖期间也会产生少量扬尘；项目临时施工场地会堆放少量水泥和沙石，本工程建构物施工量不大，就地堆放在施工临建场地处也会产生少量扬尘。项目扬尘的影响范围一般为500m范围，根据现场调查项目500m范围内的</w:t>
            </w:r>
            <w:r>
              <w:rPr>
                <w:rFonts w:hint="eastAsia" w:ascii="Times New Roman" w:hAnsi="Times New Roman" w:cs="Times New Roman"/>
                <w:color w:val="auto"/>
                <w:lang w:val="en-US" w:eastAsia="zh-CN"/>
              </w:rPr>
              <w:t>没有敏感目标</w:t>
            </w:r>
            <w:r>
              <w:rPr>
                <w:rFonts w:hint="default" w:ascii="Times New Roman" w:hAnsi="Times New Roman" w:cs="Times New Roman"/>
                <w:lang w:eastAsia="zh-CN"/>
              </w:rPr>
              <w:t>。并对临时表土堆场进行及时覆盖和定期洒水降尘</w:t>
            </w:r>
            <w:r>
              <w:rPr>
                <w:rFonts w:hint="eastAsia" w:ascii="Times New Roman" w:hAnsi="Times New Roman" w:cs="Times New Roman"/>
                <w:lang w:eastAsia="zh-CN"/>
              </w:rPr>
              <w:t>，对</w:t>
            </w:r>
            <w:r>
              <w:rPr>
                <w:rFonts w:hint="eastAsia" w:ascii="Times New Roman" w:hAnsi="Times New Roman" w:cs="Times New Roman"/>
                <w:lang w:val="en-US" w:eastAsia="zh-CN"/>
              </w:rPr>
              <w:t>周边环境</w:t>
            </w:r>
            <w:r>
              <w:rPr>
                <w:rFonts w:hint="eastAsia" w:ascii="Times New Roman" w:hAnsi="Times New Roman" w:cs="Times New Roman"/>
                <w:lang w:eastAsia="zh-CN"/>
              </w:rPr>
              <w:t>的影响较小</w:t>
            </w:r>
            <w:r>
              <w:rPr>
                <w:rFonts w:hint="default" w:ascii="Times New Roman" w:hAnsi="Times New Roman" w:cs="Times New Roman"/>
                <w:lang w:eastAsia="zh-CN"/>
              </w:rPr>
              <w:t>。</w:t>
            </w:r>
          </w:p>
          <w:p w14:paraId="3C35A8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项目施工期间通过对施工区进行洒水降尘，对散体物料堆放区采用防尘网进行临时遮盖、对土石方及时回填压实等措施后施工扬尘对周围环境的影响不大。</w:t>
            </w:r>
          </w:p>
          <w:p w14:paraId="163001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施工期产生的扬尘污染是短期的，随着施工活动的结束，场地的覆盖、道路、 建筑物的形成，项目内的绿化完成等，施工扬尘对环境空气的影响也就随之结束。</w:t>
            </w:r>
          </w:p>
          <w:p w14:paraId="135FDD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②机械、运输废气对环境的影响</w:t>
            </w:r>
          </w:p>
          <w:p w14:paraId="2EDC7EA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机械和运输车辆作业期间产生的尾气，也是影响空气环境的主要污染物之一。产生废气的施工机械主要是运输车辆，其排放的废气主要污染物为氮氧化物、二氧化硫和一氧化碳等。其余工段使用的机械如电钻、电焊机等一般以电为能源，不会产生机械尾气。</w:t>
            </w:r>
          </w:p>
          <w:p w14:paraId="075E6BF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项目建设施工内容较少，施工机械和运输车辆外排尾气量不大，尾气排放点随设备移动呈不固定方式排放，在空气环境中经一定的距离自然扩散、稀释后，对评价区域空气质量影响不大。</w:t>
            </w:r>
          </w:p>
          <w:p w14:paraId="550C12EB">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lang w:eastAsia="zh-CN"/>
              </w:rPr>
            </w:pPr>
            <w:r>
              <w:rPr>
                <w:rFonts w:hint="default" w:ascii="Times New Roman" w:hAnsi="Times New Roman" w:cs="Times New Roman"/>
                <w:b/>
                <w:bCs/>
                <w:lang w:eastAsia="zh-CN"/>
              </w:rPr>
              <w:t>（3）水环境影响分析</w:t>
            </w:r>
          </w:p>
          <w:p w14:paraId="0E41EFD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施工期间产生的废水主要为施工废水、施工人员生活污水和</w:t>
            </w:r>
            <w:r>
              <w:rPr>
                <w:rFonts w:hint="eastAsia" w:ascii="Times New Roman" w:hAnsi="Times New Roman" w:cs="Times New Roman"/>
                <w:lang w:val="en-US" w:eastAsia="zh-CN"/>
              </w:rPr>
              <w:t>降雨</w:t>
            </w:r>
            <w:r>
              <w:rPr>
                <w:rFonts w:hint="default" w:ascii="Times New Roman" w:hAnsi="Times New Roman" w:cs="Times New Roman"/>
                <w:lang w:eastAsia="zh-CN"/>
              </w:rPr>
              <w:t>地表径流。</w:t>
            </w:r>
          </w:p>
          <w:p w14:paraId="2D2049F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①施工废水影响分析</w:t>
            </w:r>
          </w:p>
          <w:p w14:paraId="02709CD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项目产生的施工废水主要有混凝土养护废水，施工废水pH值较高，主要污染物为悬浮物。</w:t>
            </w:r>
          </w:p>
          <w:p w14:paraId="1032F3B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项目混凝土养护时产生的废水主要污染物为SS，产生量较少。项目拟在项目施工场区设置</w:t>
            </w:r>
            <w:r>
              <w:rPr>
                <w:rFonts w:hint="eastAsia" w:ascii="Times New Roman" w:hAnsi="Times New Roman" w:cs="Times New Roman"/>
                <w:color w:val="auto"/>
                <w:lang w:val="en-US" w:eastAsia="zh-CN"/>
              </w:rPr>
              <w:t>6</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lang w:eastAsia="zh-CN"/>
              </w:rPr>
              <w:t>的沉淀池，用于处理施工养护废水，产生的废水经沉淀池处理后，全部回用于施工用水和场地洒水降尘，不外排，对周围水境影响不大。</w:t>
            </w:r>
          </w:p>
          <w:p w14:paraId="6E3561D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②施工人员生活污水影响分析</w:t>
            </w:r>
          </w:p>
          <w:p w14:paraId="77E0EB5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项目内施工人员约</w:t>
            </w:r>
            <w:r>
              <w:rPr>
                <w:rFonts w:hint="eastAsia" w:ascii="Times New Roman" w:hAnsi="Times New Roman" w:cs="Times New Roman"/>
                <w:color w:val="auto"/>
                <w:lang w:val="en-US" w:eastAsia="zh-CN"/>
              </w:rPr>
              <w:t>50</w:t>
            </w:r>
            <w:r>
              <w:rPr>
                <w:rFonts w:hint="default" w:ascii="Times New Roman" w:hAnsi="Times New Roman" w:cs="Times New Roman"/>
                <w:color w:val="auto"/>
                <w:lang w:eastAsia="zh-CN"/>
              </w:rPr>
              <w:t>人</w:t>
            </w:r>
            <w:r>
              <w:rPr>
                <w:rFonts w:hint="default" w:ascii="Times New Roman" w:hAnsi="Times New Roman" w:cs="Times New Roman"/>
                <w:lang w:eastAsia="zh-CN"/>
              </w:rPr>
              <w:t>，项目内设施工营地，施工人员在项目内食宿。施工人员生活用水量按80L/人·d计算，用水量约</w:t>
            </w:r>
            <w:r>
              <w:rPr>
                <w:rFonts w:hint="eastAsia" w:ascii="Times New Roman" w:hAnsi="Times New Roman" w:cs="Times New Roman"/>
                <w:lang w:val="en-US" w:eastAsia="zh-CN"/>
              </w:rPr>
              <w:t>4</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/d，废水产生量按80%计，则废水产生量约</w:t>
            </w:r>
            <w:r>
              <w:rPr>
                <w:rFonts w:hint="eastAsia" w:ascii="Times New Roman" w:hAnsi="Times New Roman" w:cs="Times New Roman"/>
                <w:lang w:val="en-US" w:eastAsia="zh-CN"/>
              </w:rPr>
              <w:t>3.2</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w:t>
            </w:r>
          </w:p>
          <w:p w14:paraId="15D8D3E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人员生活污水产生量较少，项目施工营地附近拟设旱厕一座，粪尿污水进入旱厕，旱厕定期清掏，全部用于周边农用施肥，不外排。施工营地生活污水主要来自于施工人员洗手废水、餐饮废水等。施工期拟在施工营地内设置隔油池、沉淀池， 餐饮废水经</w:t>
            </w:r>
            <w:r>
              <w:rPr>
                <w:rFonts w:hint="default" w:ascii="Times New Roman" w:hAnsi="Times New Roman" w:cs="Times New Roman"/>
                <w:color w:val="auto"/>
                <w:lang w:eastAsia="zh-CN"/>
              </w:rPr>
              <w:t>隔油池</w:t>
            </w:r>
            <w:r>
              <w:rPr>
                <w:rFonts w:hint="default" w:ascii="Times New Roman" w:hAnsi="Times New Roman" w:cs="Times New Roman"/>
                <w:lang w:eastAsia="zh-CN"/>
              </w:rPr>
              <w:t>、沉淀池处理，其余生活污水经沉淀池处理后，全部回用于施工场地洒水降尘或周围灌木丛或草地的浇水，不外排，对周围水环境影响小。</w:t>
            </w:r>
          </w:p>
          <w:p w14:paraId="4B0A78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③</w:t>
            </w:r>
            <w:r>
              <w:rPr>
                <w:rFonts w:hint="eastAsia" w:ascii="Times New Roman" w:hAnsi="Times New Roman" w:cs="Times New Roman"/>
                <w:lang w:val="en-US" w:eastAsia="zh-CN"/>
              </w:rPr>
              <w:t>降雨</w:t>
            </w:r>
            <w:r>
              <w:rPr>
                <w:rFonts w:hint="default" w:ascii="Times New Roman" w:hAnsi="Times New Roman" w:cs="Times New Roman"/>
                <w:lang w:eastAsia="zh-CN"/>
              </w:rPr>
              <w:t>形成地表径流污染的影响分析</w:t>
            </w:r>
          </w:p>
          <w:p w14:paraId="7E49517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项目场内道路修建、基础开挖会形成裸露面，在施工期遇到下大雨，雨水形成地表径流冲刷浮土、建筑砂石等形成的泥浆水，会携带大量泥沙、水泥、油类及其它地表固体污染物。当其进入水体后会造成水体污染，致使水体水质下降。由于项目场地区域坡陡，面积较大，地表径流产生量较大，但项目</w:t>
            </w:r>
            <w:r>
              <w:rPr>
                <w:rFonts w:hint="eastAsia" w:ascii="Times New Roman" w:hAnsi="Times New Roman" w:cs="Times New Roman"/>
                <w:lang w:val="en-US" w:eastAsia="zh-CN"/>
              </w:rPr>
              <w:t>开挖</w:t>
            </w:r>
            <w:r>
              <w:rPr>
                <w:rFonts w:hint="default" w:ascii="Times New Roman" w:hAnsi="Times New Roman" w:cs="Times New Roman"/>
                <w:lang w:eastAsia="zh-CN"/>
              </w:rPr>
              <w:t>部分主要为场区道路、逆变器及光伏列阵支架施工，</w:t>
            </w:r>
            <w:r>
              <w:rPr>
                <w:rFonts w:hint="eastAsia" w:ascii="Times New Roman" w:hAnsi="Times New Roman" w:cs="Times New Roman"/>
                <w:lang w:val="en-US" w:eastAsia="zh-CN"/>
              </w:rPr>
              <w:t>开挖</w:t>
            </w:r>
            <w:r>
              <w:rPr>
                <w:rFonts w:hint="default" w:ascii="Times New Roman" w:hAnsi="Times New Roman" w:cs="Times New Roman"/>
                <w:lang w:eastAsia="zh-CN"/>
              </w:rPr>
              <w:t>面积相对较小，径流的面源污染相对较小。雨天形成的地表径流会通过低洼处流入</w:t>
            </w:r>
            <w:r>
              <w:rPr>
                <w:rFonts w:hint="eastAsia" w:ascii="Times New Roman" w:hAnsi="Times New Roman" w:cs="Times New Roman"/>
                <w:lang w:eastAsia="zh-CN"/>
              </w:rPr>
              <w:t>附近</w:t>
            </w:r>
            <w:r>
              <w:rPr>
                <w:rFonts w:hint="default" w:ascii="Times New Roman" w:hAnsi="Times New Roman" w:cs="Times New Roman"/>
                <w:lang w:eastAsia="zh-CN"/>
              </w:rPr>
              <w:t>沟箐，其污染物主要为SS。为减小施工期雨天径流对水环境的影响，项目应落实水土保持措施，在工程区设置排水沟，末端设置沉砂池，场区雨水经沉砂池沉淀处理后，雨水径流中SS的浓度将大幅度降低，对周围水环境影响不大。</w:t>
            </w:r>
          </w:p>
          <w:p w14:paraId="0F6487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④对周围地表水体的影响</w:t>
            </w:r>
          </w:p>
          <w:p w14:paraId="18BCB8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eastAsia" w:ascii="宋体" w:hAnsi="宋体" w:eastAsia="宋体" w:cs="宋体"/>
                <w:b w:val="0"/>
                <w:bCs w:val="0"/>
                <w:spacing w:val="0"/>
                <w:kern w:val="2"/>
                <w:sz w:val="24"/>
                <w:szCs w:val="24"/>
                <w:lang w:val="en-US" w:eastAsia="zh-CN" w:bidi="ar-SA"/>
              </w:rPr>
              <w:t>项目最近地表水体为南哈河、南朗河最终汇入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根据</w:t>
            </w:r>
            <w:r>
              <w:rPr>
                <w:rFonts w:hint="default" w:ascii="宋体" w:hAnsi="宋体" w:eastAsia="宋体" w:cs="宋体"/>
                <w:b w:val="0"/>
                <w:bCs w:val="0"/>
                <w:spacing w:val="0"/>
                <w:kern w:val="2"/>
                <w:sz w:val="24"/>
                <w:szCs w:val="24"/>
                <w:lang w:val="en-US" w:eastAsia="zh-CN" w:bidi="ar-SA"/>
              </w:rPr>
              <w:t>《云南省水功能区划》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工业、农业用水</w:t>
            </w:r>
            <w:r>
              <w:rPr>
                <w:rFonts w:hint="default" w:ascii="Times New Roman" w:hAnsi="Times New Roman" w:cs="Times New Roman"/>
                <w:lang w:eastAsia="zh-CN"/>
              </w:rPr>
              <w:t>，无饮用功能。为减小对周围地表水体的影响，在施工过程中应禁止将土石方、施工材料、施工建筑垃圾</w:t>
            </w:r>
            <w:r>
              <w:rPr>
                <w:rFonts w:hint="eastAsia" w:ascii="Times New Roman" w:hAnsi="Times New Roman" w:cs="Times New Roman"/>
                <w:lang w:val="en-US" w:eastAsia="zh-CN"/>
              </w:rPr>
              <w:t>随意</w:t>
            </w:r>
            <w:r>
              <w:rPr>
                <w:rFonts w:hint="default" w:ascii="Times New Roman" w:hAnsi="Times New Roman" w:cs="Times New Roman"/>
                <w:lang w:eastAsia="zh-CN"/>
              </w:rPr>
              <w:t>洒落。</w:t>
            </w:r>
            <w:r>
              <w:rPr>
                <w:rFonts w:hint="eastAsia" w:ascii="Times New Roman" w:hAnsi="Times New Roman" w:cs="Times New Roman"/>
                <w:lang w:val="en-US" w:eastAsia="zh-CN"/>
              </w:rPr>
              <w:t>施工</w:t>
            </w:r>
            <w:r>
              <w:rPr>
                <w:rFonts w:hint="default" w:ascii="Times New Roman" w:hAnsi="Times New Roman" w:cs="Times New Roman"/>
                <w:lang w:eastAsia="zh-CN"/>
              </w:rPr>
              <w:t>靠水体一侧设置围挡，</w:t>
            </w:r>
            <w:r>
              <w:rPr>
                <w:rFonts w:hint="eastAsia" w:ascii="Times New Roman" w:hAnsi="Times New Roman" w:cs="Times New Roman"/>
                <w:lang w:val="en-US" w:eastAsia="zh-CN"/>
              </w:rPr>
              <w:t>避免</w:t>
            </w:r>
            <w:r>
              <w:rPr>
                <w:rFonts w:hint="default" w:ascii="Times New Roman" w:hAnsi="Times New Roman" w:cs="Times New Roman"/>
                <w:lang w:eastAsia="zh-CN"/>
              </w:rPr>
              <w:t>土石方、施工材料、施工建筑垃圾</w:t>
            </w:r>
            <w:r>
              <w:rPr>
                <w:rFonts w:hint="eastAsia" w:ascii="Times New Roman" w:hAnsi="Times New Roman" w:cs="Times New Roman"/>
                <w:lang w:val="en-US" w:eastAsia="zh-CN"/>
              </w:rPr>
              <w:t>直接进入</w:t>
            </w:r>
            <w:r>
              <w:rPr>
                <w:rFonts w:hint="default" w:ascii="Times New Roman" w:hAnsi="Times New Roman" w:cs="Times New Roman"/>
                <w:lang w:eastAsia="zh-CN"/>
              </w:rPr>
              <w:t>水体</w:t>
            </w:r>
            <w:r>
              <w:rPr>
                <w:rFonts w:hint="eastAsia" w:ascii="Times New Roman" w:hAnsi="Times New Roman" w:cs="Times New Roman"/>
                <w:lang w:val="en-US" w:eastAsia="zh-CN"/>
              </w:rPr>
              <w:t>的情况</w:t>
            </w:r>
            <w:r>
              <w:rPr>
                <w:rFonts w:hint="default" w:ascii="Times New Roman" w:hAnsi="Times New Roman" w:cs="Times New Roman"/>
                <w:lang w:eastAsia="zh-CN"/>
              </w:rPr>
              <w:t>，通过采取上述措施后，对地表水影响不大。</w:t>
            </w:r>
          </w:p>
          <w:p w14:paraId="0922F8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由于施工期废水影响为短期影响，施工结束后即可终止，因此本项目在采取相应的污染防治措施后，施工期废水不会对周围地表水体产生大的长期的不利影响。</w:t>
            </w:r>
          </w:p>
          <w:p w14:paraId="17D4749E">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rPr>
            </w:pPr>
            <w:r>
              <w:rPr>
                <w:rFonts w:hint="default" w:ascii="Times New Roman" w:hAnsi="Times New Roman" w:cs="Times New Roman"/>
                <w:b/>
                <w:bCs/>
              </w:rPr>
              <w:t>（4）声环境影响分析</w:t>
            </w:r>
          </w:p>
          <w:p w14:paraId="75C59FA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①施工机械噪声源强</w:t>
            </w:r>
          </w:p>
          <w:p w14:paraId="416279A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
                <w:bCs/>
                <w:sz w:val="21"/>
                <w:szCs w:val="21"/>
                <w:lang w:val="en-US" w:eastAsia="zh-CN"/>
              </w:rPr>
            </w:pPr>
            <w:r>
              <w:rPr>
                <w:rFonts w:hint="eastAsia" w:ascii="Times New Roman" w:hAnsi="Times New Roman" w:eastAsia="宋体" w:cs="Times New Roman"/>
                <w:color w:val="auto"/>
                <w:sz w:val="24"/>
                <w:lang w:val="en-US" w:eastAsia="zh-CN"/>
              </w:rPr>
              <w:t>项目施工期噪声主要来自钻孔打桩、钢筋切割焊接、混凝土输送振捣、装载机作业及运输等。以机械设备噪声和交通运输噪声为主。各施工作业区主要噪声设备及其噪声源强如下</w:t>
            </w:r>
            <w:r>
              <w:rPr>
                <w:rFonts w:hint="default" w:ascii="Times New Roman" w:hAnsi="Times New Roman" w:cs="Times New Roman"/>
              </w:rPr>
              <w:t xml:space="preserve"> 4-3</w:t>
            </w:r>
            <w:r>
              <w:rPr>
                <w:rFonts w:hint="eastAsia" w:ascii="Times New Roman" w:hAnsi="Times New Roman" w:cs="Times New Roman"/>
                <w:lang w:eastAsia="zh-CN"/>
              </w:rPr>
              <w:t>。</w:t>
            </w:r>
          </w:p>
          <w:p w14:paraId="24498F6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主要噪声</w:t>
            </w:r>
          </w:p>
          <w:tbl>
            <w:tblPr>
              <w:tblStyle w:val="26"/>
              <w:tblW w:w="85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2841"/>
              <w:gridCol w:w="2840"/>
            </w:tblGrid>
            <w:tr w14:paraId="53491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tcBorders>
                    <w:tl2br w:val="nil"/>
                    <w:tr2bl w:val="nil"/>
                  </w:tcBorders>
                  <w:vAlign w:val="center"/>
                </w:tcPr>
                <w:p w14:paraId="1E4EC3C1">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项目</w:t>
                  </w:r>
                </w:p>
              </w:tc>
              <w:tc>
                <w:tcPr>
                  <w:tcW w:w="2841" w:type="dxa"/>
                  <w:tcBorders>
                    <w:tl2br w:val="nil"/>
                    <w:tr2bl w:val="nil"/>
                  </w:tcBorders>
                  <w:vAlign w:val="center"/>
                </w:tcPr>
                <w:p w14:paraId="2C25BEC2">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设备名称</w:t>
                  </w:r>
                </w:p>
              </w:tc>
              <w:tc>
                <w:tcPr>
                  <w:tcW w:w="2840" w:type="dxa"/>
                  <w:tcBorders>
                    <w:tl2br w:val="nil"/>
                    <w:tr2bl w:val="nil"/>
                  </w:tcBorders>
                  <w:vAlign w:val="center"/>
                </w:tcPr>
                <w:p w14:paraId="55076A30">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声级(dB)</w:t>
                  </w:r>
                </w:p>
              </w:tc>
            </w:tr>
            <w:tr w14:paraId="130D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63B77EF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土石方阶段</w:t>
                  </w:r>
                </w:p>
              </w:tc>
              <w:tc>
                <w:tcPr>
                  <w:tcW w:w="2841" w:type="dxa"/>
                  <w:tcBorders>
                    <w:tl2br w:val="nil"/>
                    <w:tr2bl w:val="nil"/>
                  </w:tcBorders>
                  <w:vAlign w:val="center"/>
                </w:tcPr>
                <w:p w14:paraId="692E767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挖掘机</w:t>
                  </w:r>
                </w:p>
              </w:tc>
              <w:tc>
                <w:tcPr>
                  <w:tcW w:w="2840" w:type="dxa"/>
                  <w:tcBorders>
                    <w:tl2br w:val="nil"/>
                    <w:tr2bl w:val="nil"/>
                  </w:tcBorders>
                  <w:vAlign w:val="center"/>
                </w:tcPr>
                <w:p w14:paraId="337AB56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86</w:t>
                  </w:r>
                </w:p>
              </w:tc>
            </w:tr>
            <w:tr w14:paraId="1F104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7C2285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575179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推土机</w:t>
                  </w:r>
                </w:p>
              </w:tc>
              <w:tc>
                <w:tcPr>
                  <w:tcW w:w="2840" w:type="dxa"/>
                  <w:tcBorders>
                    <w:tl2br w:val="nil"/>
                    <w:tr2bl w:val="nil"/>
                  </w:tcBorders>
                  <w:vAlign w:val="center"/>
                </w:tcPr>
                <w:p w14:paraId="6BBC4E1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02E69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1F3793D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p w14:paraId="386E8A0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基础施工阶段</w:t>
                  </w:r>
                </w:p>
              </w:tc>
              <w:tc>
                <w:tcPr>
                  <w:tcW w:w="2841" w:type="dxa"/>
                  <w:tcBorders>
                    <w:tl2br w:val="nil"/>
                    <w:tr2bl w:val="nil"/>
                  </w:tcBorders>
                  <w:vAlign w:val="center"/>
                </w:tcPr>
                <w:p w14:paraId="0AF6A06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混凝土搅拌机</w:t>
                  </w:r>
                </w:p>
              </w:tc>
              <w:tc>
                <w:tcPr>
                  <w:tcW w:w="2840" w:type="dxa"/>
                  <w:tcBorders>
                    <w:tl2br w:val="nil"/>
                    <w:tr2bl w:val="nil"/>
                  </w:tcBorders>
                  <w:vAlign w:val="center"/>
                </w:tcPr>
                <w:p w14:paraId="6972636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68FB6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2D167E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A48F72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手风钻</w:t>
                  </w:r>
                </w:p>
              </w:tc>
              <w:tc>
                <w:tcPr>
                  <w:tcW w:w="2840" w:type="dxa"/>
                  <w:tcBorders>
                    <w:tl2br w:val="nil"/>
                    <w:tr2bl w:val="nil"/>
                  </w:tcBorders>
                  <w:vAlign w:val="center"/>
                </w:tcPr>
                <w:p w14:paraId="7374DF5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90</w:t>
                  </w:r>
                </w:p>
              </w:tc>
            </w:tr>
            <w:tr w14:paraId="72CC8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604194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402669C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振动打夯机</w:t>
                  </w:r>
                </w:p>
              </w:tc>
              <w:tc>
                <w:tcPr>
                  <w:tcW w:w="2840" w:type="dxa"/>
                  <w:tcBorders>
                    <w:tl2br w:val="nil"/>
                    <w:tr2bl w:val="nil"/>
                  </w:tcBorders>
                  <w:vAlign w:val="center"/>
                </w:tcPr>
                <w:p w14:paraId="6BFBD62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75</w:t>
                  </w:r>
                </w:p>
              </w:tc>
            </w:tr>
            <w:tr w14:paraId="45C84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180E37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0C92FF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空压机</w:t>
                  </w:r>
                </w:p>
              </w:tc>
              <w:tc>
                <w:tcPr>
                  <w:tcW w:w="2840" w:type="dxa"/>
                  <w:tcBorders>
                    <w:tl2br w:val="nil"/>
                    <w:tr2bl w:val="nil"/>
                  </w:tcBorders>
                  <w:vAlign w:val="center"/>
                </w:tcPr>
                <w:p w14:paraId="0325542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769FF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411D01B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主体建设及配套设施 建设阶段</w:t>
                  </w:r>
                </w:p>
              </w:tc>
              <w:tc>
                <w:tcPr>
                  <w:tcW w:w="2841" w:type="dxa"/>
                  <w:tcBorders>
                    <w:tl2br w:val="nil"/>
                    <w:tr2bl w:val="nil"/>
                  </w:tcBorders>
                  <w:vAlign w:val="center"/>
                </w:tcPr>
                <w:p w14:paraId="345A8C1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混凝土插入式振动器</w:t>
                  </w:r>
                </w:p>
              </w:tc>
              <w:tc>
                <w:tcPr>
                  <w:tcW w:w="2840" w:type="dxa"/>
                  <w:tcBorders>
                    <w:tl2br w:val="nil"/>
                    <w:tr2bl w:val="nil"/>
                  </w:tcBorders>
                  <w:vAlign w:val="center"/>
                </w:tcPr>
                <w:p w14:paraId="5F2B351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83</w:t>
                  </w:r>
                </w:p>
              </w:tc>
            </w:tr>
            <w:tr w14:paraId="0445A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2528690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049C22D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电锯</w:t>
                  </w:r>
                </w:p>
              </w:tc>
              <w:tc>
                <w:tcPr>
                  <w:tcW w:w="2840" w:type="dxa"/>
                  <w:tcBorders>
                    <w:tl2br w:val="nil"/>
                    <w:tr2bl w:val="nil"/>
                  </w:tcBorders>
                  <w:vAlign w:val="center"/>
                </w:tcPr>
                <w:p w14:paraId="23847C2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95</w:t>
                  </w:r>
                </w:p>
              </w:tc>
            </w:tr>
            <w:tr w14:paraId="350C0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1F9BED0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安装、装修阶段</w:t>
                  </w:r>
                </w:p>
              </w:tc>
              <w:tc>
                <w:tcPr>
                  <w:tcW w:w="2841" w:type="dxa"/>
                  <w:tcBorders>
                    <w:tl2br w:val="nil"/>
                    <w:tr2bl w:val="nil"/>
                  </w:tcBorders>
                  <w:vAlign w:val="center"/>
                </w:tcPr>
                <w:p w14:paraId="358E5A6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液压升降小车</w:t>
                  </w:r>
                </w:p>
              </w:tc>
              <w:tc>
                <w:tcPr>
                  <w:tcW w:w="2840" w:type="dxa"/>
                  <w:tcBorders>
                    <w:tl2br w:val="nil"/>
                    <w:tr2bl w:val="nil"/>
                  </w:tcBorders>
                  <w:vAlign w:val="center"/>
                </w:tcPr>
                <w:p w14:paraId="44888F4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19D0A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5E22F78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7121C9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手工电弧焊机</w:t>
                  </w:r>
                </w:p>
              </w:tc>
              <w:tc>
                <w:tcPr>
                  <w:tcW w:w="2840" w:type="dxa"/>
                  <w:tcBorders>
                    <w:tl2br w:val="nil"/>
                    <w:tr2bl w:val="nil"/>
                  </w:tcBorders>
                  <w:vAlign w:val="center"/>
                </w:tcPr>
                <w:p w14:paraId="0FDB39D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65</w:t>
                  </w:r>
                </w:p>
              </w:tc>
            </w:tr>
            <w:tr w14:paraId="5ED79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67CC39A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0EA728A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砂轮机</w:t>
                  </w:r>
                </w:p>
              </w:tc>
              <w:tc>
                <w:tcPr>
                  <w:tcW w:w="2840" w:type="dxa"/>
                  <w:tcBorders>
                    <w:tl2br w:val="nil"/>
                    <w:tr2bl w:val="nil"/>
                  </w:tcBorders>
                  <w:vAlign w:val="center"/>
                </w:tcPr>
                <w:p w14:paraId="3174690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92</w:t>
                  </w:r>
                </w:p>
              </w:tc>
            </w:tr>
            <w:tr w14:paraId="3B692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67B37E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2482136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电钻</w:t>
                  </w:r>
                </w:p>
              </w:tc>
              <w:tc>
                <w:tcPr>
                  <w:tcW w:w="2840" w:type="dxa"/>
                  <w:tcBorders>
                    <w:tl2br w:val="nil"/>
                    <w:tr2bl w:val="nil"/>
                  </w:tcBorders>
                  <w:vAlign w:val="center"/>
                </w:tcPr>
                <w:p w14:paraId="51901D9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82</w:t>
                  </w:r>
                </w:p>
              </w:tc>
            </w:tr>
            <w:tr w14:paraId="41D97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625B852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69ED6C1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切割机</w:t>
                  </w:r>
                </w:p>
              </w:tc>
              <w:tc>
                <w:tcPr>
                  <w:tcW w:w="2840" w:type="dxa"/>
                  <w:tcBorders>
                    <w:tl2br w:val="nil"/>
                    <w:tr2bl w:val="nil"/>
                  </w:tcBorders>
                  <w:vAlign w:val="center"/>
                </w:tcPr>
                <w:p w14:paraId="29EA694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93</w:t>
                  </w:r>
                </w:p>
              </w:tc>
            </w:tr>
            <w:tr w14:paraId="79B24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715EB7B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交通运输车辆噪声</w:t>
                  </w:r>
                </w:p>
              </w:tc>
              <w:tc>
                <w:tcPr>
                  <w:tcW w:w="2841" w:type="dxa"/>
                  <w:tcBorders>
                    <w:tl2br w:val="nil"/>
                    <w:tr2bl w:val="nil"/>
                  </w:tcBorders>
                  <w:vAlign w:val="center"/>
                </w:tcPr>
                <w:p w14:paraId="0B547B6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自卸式运输车</w:t>
                  </w:r>
                </w:p>
              </w:tc>
              <w:tc>
                <w:tcPr>
                  <w:tcW w:w="2840" w:type="dxa"/>
                  <w:tcBorders>
                    <w:tl2br w:val="nil"/>
                    <w:tr2bl w:val="nil"/>
                  </w:tcBorders>
                  <w:vAlign w:val="center"/>
                </w:tcPr>
                <w:p w14:paraId="4904F60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14:paraId="7A884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119688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6CB2605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压路机</w:t>
                  </w:r>
                </w:p>
              </w:tc>
              <w:tc>
                <w:tcPr>
                  <w:tcW w:w="2840" w:type="dxa"/>
                  <w:tcBorders>
                    <w:tl2br w:val="nil"/>
                    <w:tr2bl w:val="nil"/>
                  </w:tcBorders>
                  <w:vAlign w:val="center"/>
                </w:tcPr>
                <w:p w14:paraId="1DE807C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81</w:t>
                  </w:r>
                </w:p>
              </w:tc>
            </w:tr>
            <w:tr w14:paraId="518F3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29A5569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59FD2B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运水车</w:t>
                  </w:r>
                </w:p>
              </w:tc>
              <w:tc>
                <w:tcPr>
                  <w:tcW w:w="2840" w:type="dxa"/>
                  <w:tcBorders>
                    <w:tl2br w:val="nil"/>
                    <w:tr2bl w:val="nil"/>
                  </w:tcBorders>
                  <w:vAlign w:val="center"/>
                </w:tcPr>
                <w:p w14:paraId="374F4C2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62C7D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5FC01C2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10C50F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30T 汽车吊</w:t>
                  </w:r>
                </w:p>
              </w:tc>
              <w:tc>
                <w:tcPr>
                  <w:tcW w:w="2840" w:type="dxa"/>
                  <w:tcBorders>
                    <w:tl2br w:val="nil"/>
                    <w:tr2bl w:val="nil"/>
                  </w:tcBorders>
                  <w:vAlign w:val="center"/>
                </w:tcPr>
                <w:p w14:paraId="7E1721D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85</w:t>
                  </w:r>
                </w:p>
              </w:tc>
            </w:tr>
          </w:tbl>
          <w:p w14:paraId="7E545DED">
            <w:pPr>
              <w:keepNext w:val="0"/>
              <w:keepLines w:val="0"/>
              <w:suppressLineNumbers w:val="0"/>
              <w:spacing w:before="39" w:beforeAutospacing="0" w:after="0" w:afterAutospacing="0" w:line="360" w:lineRule="auto"/>
              <w:ind w:left="0" w:right="0" w:firstLine="588"/>
              <w:rPr>
                <w:rFonts w:hint="default" w:ascii="Times New Roman" w:hAnsi="Times New Roman" w:cs="Times New Roman"/>
              </w:rPr>
            </w:pPr>
            <w:r>
              <w:rPr>
                <w:rFonts w:hint="default" w:ascii="Times New Roman" w:hAnsi="Times New Roman" w:cs="Times New Roman"/>
              </w:rPr>
              <w:t>②施工机械噪声预测模型</w:t>
            </w:r>
          </w:p>
          <w:p w14:paraId="6CAB0E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施工期装修阶段单台设备噪声值最大，约95dB(A)，但由于装修施工多在室内进行，施工噪声经过墙体隔音、距离衰减、空气吸收后噪声值可降低。项目主体建设及配套设施建设阶段噪声值相对较大，但是主体建设及配套设施建设阶段，人工施工环节较多，使用机械设备较少。基础施工阶段</w:t>
            </w:r>
            <w:r>
              <w:rPr>
                <w:rFonts w:hint="default" w:ascii="Times New Roman" w:hAnsi="Times New Roman" w:cs="Times New Roman"/>
                <w:lang w:eastAsia="zh-CN"/>
              </w:rPr>
              <w:t>，</w:t>
            </w:r>
            <w:r>
              <w:rPr>
                <w:rFonts w:hint="default" w:ascii="Times New Roman" w:hAnsi="Times New Roman" w:cs="Times New Roman"/>
              </w:rPr>
              <w:t>由于本项目基础施工阶段工程量较小，噪声影响时间不长，因此，本项目施工过程中取土石方阶段机械噪声源强进行预测。</w:t>
            </w:r>
          </w:p>
          <w:p w14:paraId="15631E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噪声从声源传播到受声点，受传播距离，空气吸收，阻挡物的反射与屏障等因 素的影响而产生衰减。</w:t>
            </w:r>
            <w:r>
              <w:rPr>
                <w:rFonts w:hint="default" w:ascii="Times New Roman" w:hAnsi="Times New Roman" w:cs="Times New Roman"/>
                <w:color w:val="auto"/>
              </w:rPr>
              <w:t>用A声级进行预测时</w:t>
            </w:r>
            <w:r>
              <w:rPr>
                <w:rFonts w:hint="default" w:ascii="Times New Roman" w:hAnsi="Times New Roman" w:cs="Times New Roman"/>
                <w:lang w:eastAsia="zh-CN"/>
              </w:rPr>
              <w:t>，</w:t>
            </w:r>
            <w:r>
              <w:rPr>
                <w:rFonts w:hint="default" w:ascii="Times New Roman" w:hAnsi="Times New Roman" w:cs="Times New Roman"/>
              </w:rPr>
              <w:t>其预测模式如下：</w:t>
            </w:r>
          </w:p>
          <w:p w14:paraId="6C2C9004">
            <w:pPr>
              <w:keepNext w:val="0"/>
              <w:keepLines w:val="0"/>
              <w:suppressLineNumbers w:val="0"/>
              <w:spacing w:before="0" w:beforeAutospacing="0" w:after="0" w:afterAutospacing="0" w:line="360" w:lineRule="auto"/>
              <w:ind w:left="0" w:right="0" w:firstLine="960" w:firstLineChars="400"/>
              <w:rPr>
                <w:rFonts w:hint="default" w:ascii="Times New Roman" w:hAnsi="Times New Roman" w:cs="Times New Roman"/>
              </w:rPr>
            </w:pPr>
            <w:r>
              <w:rPr>
                <w:rFonts w:hint="default" w:ascii="Times New Roman" w:hAnsi="Times New Roman" w:cs="Times New Roman"/>
              </w:rPr>
              <w:t>Lp（r）=Lp（r0）－（Adiv+ Abar+Aatm+Agr+ Amisc）</w:t>
            </w:r>
          </w:p>
          <w:p w14:paraId="230FE051">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式中，Lp（r ）－距声源r处的A声级；</w:t>
            </w:r>
          </w:p>
          <w:p w14:paraId="18665DD9">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Lp (r0)－参考位置r0处的A声级；</w:t>
            </w:r>
          </w:p>
          <w:p w14:paraId="537F70DA">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Adiv－声波几何发散所引起的A声级衰减量，即距离所引起的无指向性点声源几何发散衰减的基本公式为：Adiv＝20lg(r/r0)；</w:t>
            </w:r>
          </w:p>
          <w:p w14:paraId="1A173E6F">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Abar－屏障物所引起</w:t>
            </w:r>
            <w:r>
              <w:rPr>
                <w:rFonts w:hint="eastAsia" w:ascii="Times New Roman" w:hAnsi="Times New Roman" w:cs="Times New Roman"/>
                <w:lang w:eastAsia="zh-CN"/>
              </w:rPr>
              <w:t>的</w:t>
            </w:r>
            <w:r>
              <w:rPr>
                <w:rFonts w:hint="default" w:ascii="Times New Roman" w:hAnsi="Times New Roman" w:cs="Times New Roman"/>
              </w:rPr>
              <w:t>A声级衰减量，屏障物通常包括建筑物墙壁的阻挡、建筑物声屏障效应以及植物的吸收屏障效应等，对于产生阻挡的植物而言，只有通过密集的植物丛时</w:t>
            </w:r>
            <w:r>
              <w:rPr>
                <w:rFonts w:hint="default" w:ascii="Times New Roman" w:hAnsi="Times New Roman" w:cs="Times New Roman"/>
                <w:lang w:eastAsia="zh-CN"/>
              </w:rPr>
              <w:t>，</w:t>
            </w:r>
            <w:r>
              <w:rPr>
                <w:rFonts w:hint="default" w:ascii="Times New Roman" w:hAnsi="Times New Roman" w:cs="Times New Roman"/>
              </w:rPr>
              <w:t>才会对噪声产生阻挡衰减作用。</w:t>
            </w:r>
          </w:p>
          <w:p w14:paraId="688C3962">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Aatm－空气吸收所引起的A 声级衰减量，其计算公式为： Aatm=αΔr/100</w:t>
            </w:r>
            <w:r>
              <w:rPr>
                <w:rFonts w:hint="default" w:ascii="Times New Roman" w:hAnsi="Times New Roman" w:cs="Times New Roman"/>
                <w:lang w:eastAsia="zh-CN"/>
              </w:rPr>
              <w:t>，</w:t>
            </w:r>
            <w:r>
              <w:rPr>
                <w:rFonts w:hint="default" w:ascii="Times New Roman" w:hAnsi="Times New Roman" w:cs="Times New Roman"/>
              </w:rPr>
              <w:t>其值与温度、湿度以及噪声的频率有关，一般来讲，对高频部分的空气吸声系数很大，而对中低频部分则很小，Δr是预测点到参考位置点的距离</w:t>
            </w:r>
            <w:r>
              <w:rPr>
                <w:rFonts w:hint="default" w:ascii="Times New Roman" w:hAnsi="Times New Roman" w:cs="Times New Roman"/>
                <w:lang w:eastAsia="zh-CN"/>
              </w:rPr>
              <w:t>，</w:t>
            </w:r>
            <w:r>
              <w:rPr>
                <w:rFonts w:hint="default" w:ascii="Times New Roman" w:hAnsi="Times New Roman" w:cs="Times New Roman"/>
              </w:rPr>
              <w:t>当Δr&lt;200m 时，Aatm 近似为零，一般情况下可忽略不计。</w:t>
            </w:r>
          </w:p>
          <w:p w14:paraId="55828E22">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Agr－地面效应所引起的A声级衰减量。</w:t>
            </w:r>
          </w:p>
          <w:p w14:paraId="25BC750B">
            <w:pPr>
              <w:keepNext w:val="0"/>
              <w:keepLines w:val="0"/>
              <w:suppressLineNumbers w:val="0"/>
              <w:spacing w:before="40" w:beforeAutospacing="0" w:after="0" w:afterAutospacing="0" w:line="360" w:lineRule="auto"/>
              <w:ind w:left="0" w:right="0" w:firstLine="720" w:firstLineChars="300"/>
              <w:rPr>
                <w:rFonts w:hint="default" w:ascii="Times New Roman" w:hAnsi="Times New Roman" w:cs="Times New Roman"/>
              </w:rPr>
            </w:pPr>
            <w:r>
              <w:rPr>
                <w:rFonts w:hint="default" w:ascii="Times New Roman" w:hAnsi="Times New Roman" w:cs="Times New Roman"/>
              </w:rPr>
              <w:t>Amisc－附加A声级衰减量，附加声级衰减包括通过工业场所、房屋群的衰 减等。一般情况下的环境影响评价中，不需考虑风、云、雾及温度梯度所引起的附加影响。</w:t>
            </w:r>
          </w:p>
          <w:p w14:paraId="3827ED5E">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rPr>
            </w:pPr>
            <w:r>
              <w:rPr>
                <w:rFonts w:hint="default" w:ascii="Times New Roman" w:hAnsi="Times New Roman" w:cs="Times New Roman"/>
              </w:rPr>
              <w:t>多个机械同时作业的总等效连续A  声级计算公式为：</w:t>
            </w:r>
          </w:p>
          <w:p w14:paraId="0D3E83B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01670" cy="502920"/>
                  <wp:effectExtent l="0" t="0" r="17780" b="1143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3"/>
                          <pic:cNvPicPr>
                            <a:picLocks noChangeAspect="1"/>
                          </pic:cNvPicPr>
                        </pic:nvPicPr>
                        <pic:blipFill>
                          <a:blip r:embed="rId34"/>
                          <a:stretch>
                            <a:fillRect/>
                          </a:stretch>
                        </pic:blipFill>
                        <pic:spPr>
                          <a:xfrm>
                            <a:off x="0" y="0"/>
                            <a:ext cx="3201670" cy="502920"/>
                          </a:xfrm>
                          <a:prstGeom prst="rect">
                            <a:avLst/>
                          </a:prstGeom>
                          <a:noFill/>
                          <a:ln>
                            <a:noFill/>
                          </a:ln>
                        </pic:spPr>
                      </pic:pic>
                    </a:graphicData>
                  </a:graphic>
                </wp:inline>
              </w:drawing>
            </w:r>
          </w:p>
          <w:p w14:paraId="69B658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lang w:val="en-US" w:eastAsia="zh-CN"/>
              </w:rPr>
              <w:t xml:space="preserve">：  </w:t>
            </w:r>
            <w:r>
              <w:rPr>
                <w:rFonts w:hint="default" w:ascii="Times New Roman" w:hAnsi="Times New Roman" w:cs="Times New Roman"/>
              </w:rPr>
              <w:t>Lpi－预测点（r）处，第 i倍频带声压级，dB；</w:t>
            </w:r>
          </w:p>
          <w:p w14:paraId="057D06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ΔLi－第i倍频带的 A计权网格修正值，dB，本项目取 0；</w:t>
            </w:r>
          </w:p>
          <w:p w14:paraId="10778882">
            <w:pPr>
              <w:keepNext w:val="0"/>
              <w:keepLines w:val="0"/>
              <w:suppressLineNumbers w:val="0"/>
              <w:spacing w:before="39" w:beforeAutospacing="0" w:after="0" w:afterAutospacing="0" w:line="360" w:lineRule="auto"/>
              <w:ind w:left="0" w:right="0" w:firstLine="588"/>
              <w:rPr>
                <w:rFonts w:hint="default" w:ascii="Times New Roman" w:hAnsi="Times New Roman" w:cs="Times New Roman"/>
              </w:rPr>
            </w:pPr>
            <w:r>
              <w:rPr>
                <w:rFonts w:hint="default" w:ascii="Times New Roman" w:hAnsi="Times New Roman" w:cs="Times New Roman"/>
              </w:rPr>
              <w:t>③施工期噪声影响预测结果</w:t>
            </w:r>
          </w:p>
          <w:p w14:paraId="438636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1）施工期土石方阶段单台机械设备噪声预测值，具体见下表。</w:t>
            </w:r>
          </w:p>
          <w:p w14:paraId="4B3516C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 4-4 单台机械设备的噪声预测值单位： dB（A）</w:t>
            </w:r>
          </w:p>
          <w:tbl>
            <w:tblPr>
              <w:tblStyle w:val="40"/>
              <w:tblW w:w="8518" w:type="dxa"/>
              <w:tblInd w:w="-11"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688"/>
              <w:gridCol w:w="837"/>
              <w:gridCol w:w="837"/>
              <w:gridCol w:w="838"/>
              <w:gridCol w:w="843"/>
              <w:gridCol w:w="925"/>
              <w:gridCol w:w="922"/>
              <w:gridCol w:w="946"/>
            </w:tblGrid>
            <w:tr w14:paraId="65F561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682" w:type="dxa"/>
                  <w:vMerge w:val="restart"/>
                  <w:tcBorders>
                    <w:tl2br w:val="nil"/>
                    <w:tr2bl w:val="nil"/>
                  </w:tcBorders>
                  <w:vAlign w:val="center"/>
                </w:tcPr>
                <w:p w14:paraId="426096BA">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机械类型</w:t>
                  </w:r>
                </w:p>
              </w:tc>
              <w:tc>
                <w:tcPr>
                  <w:tcW w:w="6836" w:type="dxa"/>
                  <w:gridSpan w:val="8"/>
                  <w:tcBorders>
                    <w:tl2br w:val="nil"/>
                    <w:tr2bl w:val="nil"/>
                  </w:tcBorders>
                  <w:vAlign w:val="center"/>
                </w:tcPr>
                <w:p w14:paraId="662ADE12">
                  <w:pPr>
                    <w:jc w:val="center"/>
                    <w:rPr>
                      <w:rFonts w:hint="default" w:ascii="Times New Roman" w:hAnsi="Times New Roman" w:cs="Times New Roman"/>
                      <w:sz w:val="21"/>
                      <w:szCs w:val="21"/>
                    </w:rPr>
                  </w:pPr>
                  <w:r>
                    <w:rPr>
                      <w:rFonts w:hint="default" w:ascii="Times New Roman" w:hAnsi="Times New Roman" w:cs="Times New Roman"/>
                      <w:b/>
                      <w:bCs/>
                      <w:sz w:val="21"/>
                      <w:szCs w:val="21"/>
                    </w:rPr>
                    <w:t>噪声预测值</w:t>
                  </w:r>
                </w:p>
              </w:tc>
            </w:tr>
            <w:tr w14:paraId="027184E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82" w:type="dxa"/>
                  <w:vMerge w:val="continue"/>
                  <w:tcBorders>
                    <w:tl2br w:val="nil"/>
                    <w:tr2bl w:val="nil"/>
                  </w:tcBorders>
                  <w:vAlign w:val="center"/>
                </w:tcPr>
                <w:p w14:paraId="2A6D0655">
                  <w:pPr>
                    <w:jc w:val="center"/>
                    <w:rPr>
                      <w:rFonts w:hint="default" w:ascii="Times New Roman" w:hAnsi="Times New Roman" w:cs="Times New Roman"/>
                      <w:b/>
                      <w:bCs/>
                      <w:sz w:val="21"/>
                      <w:szCs w:val="21"/>
                    </w:rPr>
                  </w:pPr>
                </w:p>
              </w:tc>
              <w:tc>
                <w:tcPr>
                  <w:tcW w:w="688" w:type="dxa"/>
                  <w:tcBorders>
                    <w:tl2br w:val="nil"/>
                    <w:tr2bl w:val="nil"/>
                  </w:tcBorders>
                  <w:vAlign w:val="center"/>
                </w:tcPr>
                <w:p w14:paraId="16BEAAF6">
                  <w:pPr>
                    <w:jc w:val="center"/>
                    <w:rPr>
                      <w:rFonts w:hint="default" w:ascii="Times New Roman" w:hAnsi="Times New Roman" w:cs="Times New Roman"/>
                      <w:sz w:val="21"/>
                      <w:szCs w:val="21"/>
                    </w:rPr>
                  </w:pPr>
                  <w:r>
                    <w:rPr>
                      <w:rFonts w:hint="default" w:ascii="Times New Roman" w:hAnsi="Times New Roman" w:cs="Times New Roman"/>
                      <w:sz w:val="21"/>
                      <w:szCs w:val="21"/>
                    </w:rPr>
                    <w:t>5m</w:t>
                  </w:r>
                </w:p>
              </w:tc>
              <w:tc>
                <w:tcPr>
                  <w:tcW w:w="837" w:type="dxa"/>
                  <w:tcBorders>
                    <w:tl2br w:val="nil"/>
                    <w:tr2bl w:val="nil"/>
                  </w:tcBorders>
                  <w:vAlign w:val="center"/>
                </w:tcPr>
                <w:p w14:paraId="2F338802">
                  <w:pPr>
                    <w:jc w:val="center"/>
                    <w:rPr>
                      <w:rFonts w:hint="default" w:ascii="Times New Roman" w:hAnsi="Times New Roman" w:cs="Times New Roman"/>
                      <w:sz w:val="21"/>
                      <w:szCs w:val="21"/>
                    </w:rPr>
                  </w:pPr>
                  <w:r>
                    <w:rPr>
                      <w:rFonts w:hint="default" w:ascii="Times New Roman" w:hAnsi="Times New Roman" w:cs="Times New Roman"/>
                      <w:sz w:val="21"/>
                      <w:szCs w:val="21"/>
                    </w:rPr>
                    <w:t>10m</w:t>
                  </w:r>
                </w:p>
              </w:tc>
              <w:tc>
                <w:tcPr>
                  <w:tcW w:w="837" w:type="dxa"/>
                  <w:tcBorders>
                    <w:tl2br w:val="nil"/>
                    <w:tr2bl w:val="nil"/>
                  </w:tcBorders>
                  <w:vAlign w:val="center"/>
                </w:tcPr>
                <w:p w14:paraId="0A577C4B">
                  <w:pPr>
                    <w:jc w:val="center"/>
                    <w:rPr>
                      <w:rFonts w:hint="default" w:ascii="Times New Roman" w:hAnsi="Times New Roman" w:cs="Times New Roman"/>
                      <w:sz w:val="21"/>
                      <w:szCs w:val="21"/>
                    </w:rPr>
                  </w:pPr>
                  <w:r>
                    <w:rPr>
                      <w:rFonts w:hint="default" w:ascii="Times New Roman" w:hAnsi="Times New Roman" w:cs="Times New Roman"/>
                      <w:sz w:val="21"/>
                      <w:szCs w:val="21"/>
                    </w:rPr>
                    <w:t>20m</w:t>
                  </w:r>
                </w:p>
              </w:tc>
              <w:tc>
                <w:tcPr>
                  <w:tcW w:w="838" w:type="dxa"/>
                  <w:tcBorders>
                    <w:tl2br w:val="nil"/>
                    <w:tr2bl w:val="nil"/>
                  </w:tcBorders>
                  <w:vAlign w:val="center"/>
                </w:tcPr>
                <w:p w14:paraId="33A3F2C6">
                  <w:pPr>
                    <w:jc w:val="center"/>
                    <w:rPr>
                      <w:rFonts w:hint="default" w:ascii="Times New Roman" w:hAnsi="Times New Roman" w:cs="Times New Roman"/>
                      <w:sz w:val="21"/>
                      <w:szCs w:val="21"/>
                    </w:rPr>
                  </w:pPr>
                  <w:r>
                    <w:rPr>
                      <w:rFonts w:hint="default" w:ascii="Times New Roman" w:hAnsi="Times New Roman" w:cs="Times New Roman"/>
                      <w:sz w:val="21"/>
                      <w:szCs w:val="21"/>
                    </w:rPr>
                    <w:t>30m</w:t>
                  </w:r>
                </w:p>
              </w:tc>
              <w:tc>
                <w:tcPr>
                  <w:tcW w:w="843" w:type="dxa"/>
                  <w:tcBorders>
                    <w:tl2br w:val="nil"/>
                    <w:tr2bl w:val="nil"/>
                  </w:tcBorders>
                  <w:vAlign w:val="center"/>
                </w:tcPr>
                <w:p w14:paraId="3ED7A0D2">
                  <w:pPr>
                    <w:jc w:val="center"/>
                    <w:rPr>
                      <w:rFonts w:hint="default" w:ascii="Times New Roman" w:hAnsi="Times New Roman" w:cs="Times New Roman"/>
                      <w:sz w:val="21"/>
                      <w:szCs w:val="21"/>
                    </w:rPr>
                  </w:pPr>
                  <w:r>
                    <w:rPr>
                      <w:rFonts w:hint="default" w:ascii="Times New Roman" w:hAnsi="Times New Roman" w:cs="Times New Roman"/>
                      <w:sz w:val="21"/>
                      <w:szCs w:val="21"/>
                    </w:rPr>
                    <w:t>50m</w:t>
                  </w:r>
                </w:p>
              </w:tc>
              <w:tc>
                <w:tcPr>
                  <w:tcW w:w="925" w:type="dxa"/>
                  <w:tcBorders>
                    <w:tl2br w:val="nil"/>
                    <w:tr2bl w:val="nil"/>
                  </w:tcBorders>
                  <w:vAlign w:val="center"/>
                </w:tcPr>
                <w:p w14:paraId="7663ABC4">
                  <w:pPr>
                    <w:jc w:val="center"/>
                    <w:rPr>
                      <w:rFonts w:hint="default" w:ascii="Times New Roman" w:hAnsi="Times New Roman" w:cs="Times New Roman"/>
                      <w:sz w:val="21"/>
                      <w:szCs w:val="21"/>
                    </w:rPr>
                  </w:pPr>
                  <w:r>
                    <w:rPr>
                      <w:rFonts w:hint="default" w:ascii="Times New Roman" w:hAnsi="Times New Roman" w:cs="Times New Roman"/>
                      <w:sz w:val="21"/>
                      <w:szCs w:val="21"/>
                    </w:rPr>
                    <w:t>100m</w:t>
                  </w:r>
                </w:p>
              </w:tc>
              <w:tc>
                <w:tcPr>
                  <w:tcW w:w="922" w:type="dxa"/>
                  <w:tcBorders>
                    <w:tl2br w:val="nil"/>
                    <w:tr2bl w:val="nil"/>
                  </w:tcBorders>
                  <w:vAlign w:val="center"/>
                </w:tcPr>
                <w:p w14:paraId="56E211BD">
                  <w:pPr>
                    <w:jc w:val="center"/>
                    <w:rPr>
                      <w:rFonts w:hint="default" w:ascii="Times New Roman" w:hAnsi="Times New Roman" w:cs="Times New Roman"/>
                      <w:sz w:val="21"/>
                      <w:szCs w:val="21"/>
                    </w:rPr>
                  </w:pPr>
                  <w:r>
                    <w:rPr>
                      <w:rFonts w:hint="default" w:ascii="Times New Roman" w:hAnsi="Times New Roman" w:cs="Times New Roman"/>
                      <w:sz w:val="21"/>
                      <w:szCs w:val="21"/>
                    </w:rPr>
                    <w:t>150m</w:t>
                  </w:r>
                </w:p>
              </w:tc>
              <w:tc>
                <w:tcPr>
                  <w:tcW w:w="946" w:type="dxa"/>
                  <w:tcBorders>
                    <w:tl2br w:val="nil"/>
                    <w:tr2bl w:val="nil"/>
                  </w:tcBorders>
                  <w:vAlign w:val="center"/>
                </w:tcPr>
                <w:p w14:paraId="1FC25FF4">
                  <w:pPr>
                    <w:jc w:val="center"/>
                    <w:rPr>
                      <w:rFonts w:hint="default" w:ascii="Times New Roman" w:hAnsi="Times New Roman" w:cs="Times New Roman"/>
                      <w:sz w:val="21"/>
                      <w:szCs w:val="21"/>
                    </w:rPr>
                  </w:pPr>
                  <w:r>
                    <w:rPr>
                      <w:rFonts w:hint="default" w:ascii="Times New Roman" w:hAnsi="Times New Roman" w:cs="Times New Roman"/>
                      <w:sz w:val="21"/>
                      <w:szCs w:val="21"/>
                    </w:rPr>
                    <w:t>200m</w:t>
                  </w:r>
                </w:p>
              </w:tc>
            </w:tr>
            <w:tr w14:paraId="550661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82" w:type="dxa"/>
                  <w:tcBorders>
                    <w:tl2br w:val="nil"/>
                    <w:tr2bl w:val="nil"/>
                  </w:tcBorders>
                  <w:vAlign w:val="center"/>
                </w:tcPr>
                <w:p w14:paraId="1EE6EBF5">
                  <w:pPr>
                    <w:spacing w:before="65" w:line="185" w:lineRule="auto"/>
                    <w:ind w:firstLine="347"/>
                    <w:jc w:val="center"/>
                    <w:rPr>
                      <w:rFonts w:hint="default" w:ascii="Times New Roman" w:hAnsi="Times New Roman" w:cs="Times New Roman"/>
                      <w:b/>
                      <w:bCs/>
                      <w:sz w:val="21"/>
                      <w:szCs w:val="21"/>
                    </w:rPr>
                  </w:pPr>
                  <w:r>
                    <w:rPr>
                      <w:rFonts w:hint="default" w:ascii="Times New Roman" w:hAnsi="Times New Roman" w:cs="Times New Roman"/>
                      <w:b/>
                      <w:bCs/>
                      <w:sz w:val="21"/>
                      <w:szCs w:val="21"/>
                    </w:rPr>
                    <w:t>挖掘机</w:t>
                  </w:r>
                </w:p>
              </w:tc>
              <w:tc>
                <w:tcPr>
                  <w:tcW w:w="688" w:type="dxa"/>
                  <w:tcBorders>
                    <w:tl2br w:val="nil"/>
                    <w:tr2bl w:val="nil"/>
                  </w:tcBorders>
                  <w:vAlign w:val="center"/>
                </w:tcPr>
                <w:p w14:paraId="3F71DF28">
                  <w:pPr>
                    <w:spacing w:before="101"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72</w:t>
                  </w:r>
                </w:p>
              </w:tc>
              <w:tc>
                <w:tcPr>
                  <w:tcW w:w="837" w:type="dxa"/>
                  <w:tcBorders>
                    <w:tl2br w:val="nil"/>
                    <w:tr2bl w:val="nil"/>
                  </w:tcBorders>
                  <w:vAlign w:val="center"/>
                </w:tcPr>
                <w:p w14:paraId="75EF9534">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66</w:t>
                  </w:r>
                </w:p>
              </w:tc>
              <w:tc>
                <w:tcPr>
                  <w:tcW w:w="837" w:type="dxa"/>
                  <w:tcBorders>
                    <w:tl2br w:val="nil"/>
                    <w:tr2bl w:val="nil"/>
                  </w:tcBorders>
                  <w:vAlign w:val="center"/>
                </w:tcPr>
                <w:p w14:paraId="0F9727BB">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838" w:type="dxa"/>
                  <w:tcBorders>
                    <w:tl2br w:val="nil"/>
                    <w:tr2bl w:val="nil"/>
                  </w:tcBorders>
                  <w:vAlign w:val="center"/>
                </w:tcPr>
                <w:p w14:paraId="1CD91F4E">
                  <w:pPr>
                    <w:spacing w:before="102"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56</w:t>
                  </w:r>
                </w:p>
              </w:tc>
              <w:tc>
                <w:tcPr>
                  <w:tcW w:w="843" w:type="dxa"/>
                  <w:tcBorders>
                    <w:tl2br w:val="nil"/>
                    <w:tr2bl w:val="nil"/>
                  </w:tcBorders>
                  <w:vAlign w:val="center"/>
                </w:tcPr>
                <w:p w14:paraId="1986881F">
                  <w:pPr>
                    <w:spacing w:before="102"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925" w:type="dxa"/>
                  <w:tcBorders>
                    <w:tl2br w:val="nil"/>
                    <w:tr2bl w:val="nil"/>
                  </w:tcBorders>
                  <w:vAlign w:val="center"/>
                </w:tcPr>
                <w:p w14:paraId="210E5760">
                  <w:pPr>
                    <w:spacing w:before="102"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922" w:type="dxa"/>
                  <w:tcBorders>
                    <w:tl2br w:val="nil"/>
                    <w:tr2bl w:val="nil"/>
                  </w:tcBorders>
                  <w:vAlign w:val="center"/>
                </w:tcPr>
                <w:p w14:paraId="32FD4DA3">
                  <w:pPr>
                    <w:spacing w:before="101"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946" w:type="dxa"/>
                  <w:tcBorders>
                    <w:tl2br w:val="nil"/>
                    <w:tr2bl w:val="nil"/>
                  </w:tcBorders>
                  <w:vAlign w:val="center"/>
                </w:tcPr>
                <w:p w14:paraId="0315F486">
                  <w:pPr>
                    <w:spacing w:before="102" w:line="180" w:lineRule="auto"/>
                    <w:ind w:firstLine="264"/>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4E47F15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682" w:type="dxa"/>
                  <w:tcBorders>
                    <w:tl2br w:val="nil"/>
                    <w:tr2bl w:val="nil"/>
                  </w:tcBorders>
                  <w:vAlign w:val="center"/>
                </w:tcPr>
                <w:p w14:paraId="5B0625E9">
                  <w:pPr>
                    <w:spacing w:before="66" w:line="185" w:lineRule="auto"/>
                    <w:ind w:firstLine="34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推土机</w:t>
                  </w:r>
                </w:p>
              </w:tc>
              <w:tc>
                <w:tcPr>
                  <w:tcW w:w="688" w:type="dxa"/>
                  <w:tcBorders>
                    <w:tl2br w:val="nil"/>
                    <w:tr2bl w:val="nil"/>
                  </w:tcBorders>
                  <w:vAlign w:val="center"/>
                </w:tcPr>
                <w:p w14:paraId="32D628C9">
                  <w:pPr>
                    <w:spacing w:before="104"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837" w:type="dxa"/>
                  <w:tcBorders>
                    <w:tl2br w:val="nil"/>
                    <w:tr2bl w:val="nil"/>
                  </w:tcBorders>
                  <w:vAlign w:val="center"/>
                </w:tcPr>
                <w:p w14:paraId="1523D10A">
                  <w:pPr>
                    <w:spacing w:before="104"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837" w:type="dxa"/>
                  <w:tcBorders>
                    <w:tl2br w:val="nil"/>
                    <w:tr2bl w:val="nil"/>
                  </w:tcBorders>
                  <w:vAlign w:val="center"/>
                </w:tcPr>
                <w:p w14:paraId="4177EB93">
                  <w:pPr>
                    <w:spacing w:before="104" w:line="180" w:lineRule="auto"/>
                    <w:ind w:firstLine="228"/>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838" w:type="dxa"/>
                  <w:tcBorders>
                    <w:tl2br w:val="nil"/>
                    <w:tr2bl w:val="nil"/>
                  </w:tcBorders>
                  <w:vAlign w:val="center"/>
                </w:tcPr>
                <w:p w14:paraId="408A7DE7">
                  <w:pPr>
                    <w:spacing w:before="107"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843" w:type="dxa"/>
                  <w:tcBorders>
                    <w:tl2br w:val="nil"/>
                    <w:tr2bl w:val="nil"/>
                  </w:tcBorders>
                  <w:vAlign w:val="center"/>
                </w:tcPr>
                <w:p w14:paraId="3EB0BA67">
                  <w:pPr>
                    <w:spacing w:before="104"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925" w:type="dxa"/>
                  <w:tcBorders>
                    <w:tl2br w:val="nil"/>
                    <w:tr2bl w:val="nil"/>
                  </w:tcBorders>
                  <w:vAlign w:val="center"/>
                </w:tcPr>
                <w:p w14:paraId="1E99227A">
                  <w:pPr>
                    <w:spacing w:before="104"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922" w:type="dxa"/>
                  <w:tcBorders>
                    <w:tl2br w:val="nil"/>
                    <w:tr2bl w:val="nil"/>
                  </w:tcBorders>
                  <w:vAlign w:val="center"/>
                </w:tcPr>
                <w:p w14:paraId="7E69CC84">
                  <w:pPr>
                    <w:spacing w:before="104"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946" w:type="dxa"/>
                  <w:tcBorders>
                    <w:tl2br w:val="nil"/>
                    <w:tr2bl w:val="nil"/>
                  </w:tcBorders>
                  <w:vAlign w:val="center"/>
                </w:tcPr>
                <w:p w14:paraId="18AD35D4">
                  <w:pPr>
                    <w:spacing w:before="104" w:line="180" w:lineRule="auto"/>
                    <w:ind w:firstLine="269"/>
                    <w:jc w:val="center"/>
                    <w:rPr>
                      <w:rFonts w:hint="default" w:ascii="Times New Roman" w:hAnsi="Times New Roman" w:cs="Times New Roman"/>
                      <w:sz w:val="21"/>
                      <w:szCs w:val="21"/>
                    </w:rPr>
                  </w:pPr>
                  <w:r>
                    <w:rPr>
                      <w:rFonts w:hint="default" w:ascii="Times New Roman" w:hAnsi="Times New Roman" w:cs="Times New Roman"/>
                      <w:sz w:val="21"/>
                      <w:szCs w:val="21"/>
                    </w:rPr>
                    <w:t>39</w:t>
                  </w:r>
                </w:p>
              </w:tc>
            </w:tr>
          </w:tbl>
          <w:p w14:paraId="5C0567D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2）预测结果分析</w:t>
            </w:r>
          </w:p>
          <w:p w14:paraId="155C03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A、厂界</w:t>
            </w:r>
            <w:r>
              <w:rPr>
                <w:rFonts w:hint="default" w:ascii="Times New Roman" w:hAnsi="Times New Roman" w:cs="Times New Roman"/>
                <w:color w:val="auto"/>
              </w:rPr>
              <w:t>噪声预测</w:t>
            </w:r>
            <w:r>
              <w:rPr>
                <w:rFonts w:hint="default" w:ascii="Times New Roman" w:hAnsi="Times New Roman" w:cs="Times New Roman"/>
              </w:rPr>
              <w:t>：</w:t>
            </w:r>
          </w:p>
          <w:p w14:paraId="4D3CE8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由土石方阶段单台机械设备噪声预测值及项目平面布置图分析可知，项目各光伏矩阵区、办公生活区，离厂界距离约</w:t>
            </w:r>
            <w:r>
              <w:rPr>
                <w:rFonts w:hint="eastAsia" w:ascii="Times New Roman" w:hAnsi="Times New Roman" w:cs="Times New Roman"/>
                <w:lang w:val="en-US" w:eastAsia="zh-CN"/>
              </w:rPr>
              <w:t>10</w:t>
            </w:r>
            <w:r>
              <w:rPr>
                <w:rFonts w:hint="default" w:ascii="Times New Roman" w:hAnsi="Times New Roman" w:cs="Times New Roman"/>
              </w:rPr>
              <w:t>m以外，施工期厂界噪声值能够满足《建筑施工场界环境噪声排放标准》（GB12523-2011）70 dB（A）的要求。</w:t>
            </w:r>
          </w:p>
          <w:p w14:paraId="1AC03CB7">
            <w:pPr>
              <w:keepNext w:val="0"/>
              <w:keepLines w:val="0"/>
              <w:numPr>
                <w:ilvl w:val="0"/>
                <w:numId w:val="12"/>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敏感点噪声影响</w:t>
            </w:r>
          </w:p>
          <w:p w14:paraId="4FCD838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lang w:val="en-US" w:eastAsia="zh-CN"/>
              </w:rPr>
            </w:pPr>
            <w:r>
              <w:rPr>
                <w:rFonts w:hint="default" w:ascii="Times New Roman" w:hAnsi="Times New Roman" w:cs="Times New Roman"/>
              </w:rPr>
              <w:t>本项目</w:t>
            </w:r>
            <w:r>
              <w:rPr>
                <w:rFonts w:hint="default" w:ascii="Times New Roman" w:hAnsi="Times New Roman" w:cs="Times New Roman"/>
                <w:lang w:eastAsia="zh-CN"/>
              </w:rPr>
              <w:t>光伏阵列区</w:t>
            </w:r>
            <w:r>
              <w:rPr>
                <w:rFonts w:hint="default" w:ascii="Times New Roman" w:hAnsi="Times New Roman" w:cs="Times New Roman"/>
              </w:rPr>
              <w:t>50m范围内有</w:t>
            </w:r>
            <w:r>
              <w:rPr>
                <w:rFonts w:hint="eastAsia" w:ascii="Times New Roman" w:hAnsi="Times New Roman" w:cs="Times New Roman"/>
                <w:lang w:val="en-US" w:eastAsia="zh-CN"/>
              </w:rPr>
              <w:t>没有</w:t>
            </w:r>
            <w:r>
              <w:rPr>
                <w:rFonts w:hint="default" w:ascii="Times New Roman" w:hAnsi="Times New Roman" w:cs="Times New Roman"/>
              </w:rPr>
              <w:t>环境敏感目标</w:t>
            </w:r>
            <w:r>
              <w:rPr>
                <w:rFonts w:hint="eastAsia" w:ascii="Times New Roman" w:hAnsi="Times New Roman" w:cs="Times New Roman"/>
                <w:lang w:eastAsia="zh-CN"/>
              </w:rPr>
              <w:t>，</w:t>
            </w:r>
            <w:r>
              <w:rPr>
                <w:rFonts w:hint="default" w:ascii="Times New Roman" w:hAnsi="Times New Roman" w:cs="Times New Roman"/>
              </w:rPr>
              <w:t>施工期间</w:t>
            </w:r>
            <w:r>
              <w:rPr>
                <w:rFonts w:hint="eastAsia" w:ascii="Times New Roman" w:hAnsi="Times New Roman" w:cs="Times New Roman"/>
                <w:lang w:val="en-US" w:eastAsia="zh-CN"/>
              </w:rPr>
              <w:t>做好防范，</w:t>
            </w:r>
            <w:r>
              <w:rPr>
                <w:rFonts w:hint="default" w:ascii="Times New Roman" w:hAnsi="Times New Roman" w:cs="Times New Roman"/>
              </w:rPr>
              <w:t>施工</w:t>
            </w:r>
            <w:r>
              <w:rPr>
                <w:rFonts w:hint="default" w:ascii="Times New Roman" w:hAnsi="Times New Roman" w:cs="Times New Roman"/>
                <w:lang w:eastAsia="zh-CN"/>
              </w:rPr>
              <w:t>时</w:t>
            </w:r>
            <w:r>
              <w:rPr>
                <w:rFonts w:hint="default" w:ascii="Times New Roman" w:hAnsi="Times New Roman" w:cs="Times New Roman"/>
              </w:rPr>
              <w:t>设置围挡</w:t>
            </w:r>
            <w:r>
              <w:rPr>
                <w:rFonts w:hint="eastAsia" w:ascii="Times New Roman" w:hAnsi="Times New Roman" w:cs="Times New Roman"/>
                <w:lang w:eastAsia="zh-CN"/>
              </w:rPr>
              <w:t>，</w:t>
            </w:r>
            <w:r>
              <w:rPr>
                <w:rFonts w:hint="eastAsia" w:ascii="Times New Roman" w:hAnsi="Times New Roman" w:cs="Times New Roman"/>
                <w:lang w:val="en-US" w:eastAsia="zh-CN"/>
              </w:rPr>
              <w:t>减少对环境的影响。</w:t>
            </w:r>
          </w:p>
          <w:p w14:paraId="4E22A4B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施工主要是光伏支架、箱变及分支箱基础浇筑及光伏组件的安装</w:t>
            </w:r>
            <w:r>
              <w:rPr>
                <w:rFonts w:hint="eastAsia" w:ascii="Times New Roman" w:hAnsi="Times New Roman" w:cs="Times New Roman"/>
                <w:lang w:eastAsia="zh-CN"/>
              </w:rPr>
              <w:t>、集电线路塔基安装</w:t>
            </w:r>
            <w:r>
              <w:rPr>
                <w:rFonts w:hint="default" w:ascii="Times New Roman" w:hAnsi="Times New Roman" w:cs="Times New Roman"/>
              </w:rPr>
              <w:t>，施工周期较短，噪声源强不大，噪声影响属于间断性发生。施工时设置临时移动声屏障，降低施工噪声污染，应当符合国家规定的 建筑施工场界噪声限值；整个项目施工期应提前告知周围村庄居民，做好沟通工作，夜间禁止施工。在采取上述措施的情况下，施工期间周围敏感目标可达《声环境质量标准》（GB309-2008）</w:t>
            </w:r>
            <w:r>
              <w:rPr>
                <w:rFonts w:hint="eastAsia" w:ascii="Times New Roman" w:hAnsi="Times New Roman" w:cs="Times New Roman"/>
                <w:lang w:val="en-US" w:eastAsia="zh-CN"/>
              </w:rPr>
              <w:t>1</w:t>
            </w:r>
            <w:r>
              <w:rPr>
                <w:rFonts w:hint="default" w:ascii="Times New Roman" w:hAnsi="Times New Roman" w:cs="Times New Roman"/>
              </w:rPr>
              <w:t>类区标准，本项目施工期噪声对周围声环境影响可接受，噪声影响将随施工活动的结束而消失。</w:t>
            </w:r>
          </w:p>
          <w:p w14:paraId="60CE90F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（5）固体废物影响分析</w:t>
            </w:r>
          </w:p>
          <w:p w14:paraId="64F1EFB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项目施工期固体废物主要为施工人员的生活垃圾，土石方、建筑垃圾等。</w:t>
            </w:r>
          </w:p>
          <w:p w14:paraId="79A90E3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1）施工人员生活垃圾</w:t>
            </w:r>
          </w:p>
          <w:p w14:paraId="35D0BB8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本项目施工人员约为</w:t>
            </w:r>
            <w:r>
              <w:rPr>
                <w:rFonts w:hint="eastAsia" w:ascii="Times New Roman" w:hAnsi="Times New Roman" w:cs="Times New Roman"/>
                <w:lang w:val="en-US" w:eastAsia="zh-CN"/>
              </w:rPr>
              <w:t>50</w:t>
            </w:r>
            <w:r>
              <w:rPr>
                <w:rFonts w:hint="default" w:ascii="Times New Roman" w:hAnsi="Times New Roman" w:cs="Times New Roman"/>
              </w:rPr>
              <w:t>人，按照每人每天产生生活垃圾量1kg计算，施工期生活垃圾产生量为</w:t>
            </w:r>
            <w:r>
              <w:rPr>
                <w:rFonts w:hint="eastAsia" w:ascii="Times New Roman" w:hAnsi="Times New Roman" w:cs="Times New Roman"/>
                <w:lang w:val="en-US" w:eastAsia="zh-CN"/>
              </w:rPr>
              <w:t>50</w:t>
            </w:r>
            <w:r>
              <w:rPr>
                <w:rFonts w:hint="default" w:ascii="Times New Roman" w:hAnsi="Times New Roman" w:cs="Times New Roman"/>
              </w:rPr>
              <w:t>kg/d，生活垃圾产生量较少，</w:t>
            </w:r>
            <w:r>
              <w:rPr>
                <w:rFonts w:hint="default" w:ascii="Times New Roman" w:hAnsi="Times New Roman" w:cs="Times New Roman"/>
                <w:color w:val="auto"/>
              </w:rPr>
              <w:t>施工期生活垃圾主要为有机废物，包括剩饭菜、粪便等，如不及</w:t>
            </w:r>
            <w:r>
              <w:rPr>
                <w:rFonts w:hint="default" w:ascii="Times New Roman" w:hAnsi="Times New Roman" w:cs="Times New Roman"/>
              </w:rPr>
              <w:t>时进行清理，则会腐烂变质，滋生蚊虫苍蝇，产生恶臭，传染疾病，从而对周围环境和作业人员健康带来不利影响。故对施工人员的生 活垃圾应定点存放、及时收集，收集后与运至附近村庄垃圾收集点，与周边村庄垃圾一同处置。</w:t>
            </w:r>
          </w:p>
          <w:p w14:paraId="6969E6A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剥离表土</w:t>
            </w:r>
          </w:p>
          <w:p w14:paraId="3E348E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color w:val="auto"/>
                <w:sz w:val="24"/>
                <w:szCs w:val="24"/>
                <w:lang w:val="en-US" w:eastAsia="zh-CN"/>
              </w:rPr>
              <w:t>本项目共剥离表土</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08万m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，其中光伏发电</w:t>
            </w:r>
            <w:r>
              <w:rPr>
                <w:rFonts w:hint="default" w:ascii="Times New Roman" w:hAnsi="Times New Roman" w:eastAsia="宋体" w:cs="Times New Roman"/>
                <w:color w:val="auto"/>
                <w:sz w:val="24"/>
                <w:szCs w:val="24"/>
                <w:lang w:val="en-US" w:eastAsia="zh-CN"/>
              </w:rPr>
              <w:t>方阵区</w:t>
            </w:r>
            <w:r>
              <w:rPr>
                <w:rFonts w:hint="eastAsia" w:ascii="Times New Roman" w:hAnsi="Times New Roman" w:eastAsia="宋体" w:cs="Times New Roman"/>
                <w:color w:val="auto"/>
                <w:sz w:val="24"/>
                <w:szCs w:val="24"/>
                <w:lang w:val="en-US" w:eastAsia="zh-CN"/>
              </w:rPr>
              <w:t>表土0.35万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、道路工程区表土0.52万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、集电线路区表土0.21万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。光伏发电方阵区、集电线路区</w:t>
            </w:r>
            <w:r>
              <w:rPr>
                <w:rFonts w:hint="default" w:ascii="Times New Roman" w:hAnsi="Times New Roman" w:eastAsia="宋体" w:cs="Times New Roman"/>
                <w:color w:val="auto"/>
                <w:sz w:val="24"/>
                <w:szCs w:val="24"/>
                <w:lang w:val="en-US" w:eastAsia="zh-CN"/>
              </w:rPr>
              <w:t>这两部分表土剥离后沿施工作业带与底层土分层堆放，不需集中堆放在临时表土堆场；</w:t>
            </w:r>
            <w:r>
              <w:rPr>
                <w:rFonts w:hint="eastAsia" w:ascii="Times New Roman" w:hAnsi="Times New Roman" w:eastAsia="宋体" w:cs="Times New Roman"/>
                <w:color w:val="auto"/>
                <w:sz w:val="24"/>
                <w:szCs w:val="24"/>
                <w:lang w:val="en-US" w:eastAsia="zh-CN"/>
              </w:rPr>
              <w:t>道路工程区剥离表土呈带状分布，</w:t>
            </w:r>
            <w:r>
              <w:rPr>
                <w:rFonts w:hint="eastAsia" w:eastAsia="宋体" w:cs="Times New Roman"/>
                <w:color w:val="auto"/>
                <w:sz w:val="24"/>
                <w:szCs w:val="24"/>
                <w:lang w:val="en-US" w:eastAsia="zh-CN"/>
              </w:rPr>
              <w:t>部分表土（0.41</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eastAsia"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临时堆存于道路一侧，</w:t>
            </w:r>
            <w:r>
              <w:rPr>
                <w:rFonts w:hint="eastAsia" w:ascii="Times New Roman" w:hAnsi="Times New Roman" w:eastAsia="宋体" w:cs="Times New Roman"/>
                <w:color w:val="auto"/>
                <w:sz w:val="24"/>
                <w:szCs w:val="24"/>
                <w:lang w:eastAsia="zh-CN"/>
              </w:rPr>
              <w:t>路基开挖结束后即对边坡区域实施覆土，</w:t>
            </w:r>
            <w:r>
              <w:rPr>
                <w:rFonts w:hint="eastAsia" w:ascii="Times New Roman" w:hAnsi="Times New Roman" w:eastAsia="宋体" w:cs="Times New Roman"/>
                <w:color w:val="auto"/>
                <w:sz w:val="24"/>
                <w:szCs w:val="24"/>
                <w:lang w:val="en-US" w:eastAsia="zh-CN"/>
              </w:rPr>
              <w:t>堆存期间需做好临时覆盖措施</w:t>
            </w:r>
            <w:r>
              <w:rPr>
                <w:rFonts w:hint="eastAsia" w:eastAsia="宋体" w:cs="Times New Roman"/>
                <w:color w:val="auto"/>
                <w:sz w:val="24"/>
                <w:szCs w:val="24"/>
                <w:lang w:val="en-US" w:eastAsia="zh-CN"/>
              </w:rPr>
              <w:t>，其余</w:t>
            </w:r>
            <w:r>
              <w:rPr>
                <w:rFonts w:hint="eastAsia" w:ascii="Times New Roman" w:hAnsi="Times New Roman" w:eastAsia="宋体" w:cs="Times New Roman"/>
                <w:color w:val="auto"/>
                <w:sz w:val="24"/>
                <w:szCs w:val="24"/>
                <w:lang w:val="en-US" w:eastAsia="zh-CN"/>
              </w:rPr>
              <w:t>表土0.</w:t>
            </w:r>
            <w:r>
              <w:rPr>
                <w:rFonts w:hint="eastAsia" w:eastAsia="宋体" w:cs="Times New Roman"/>
                <w:color w:val="auto"/>
                <w:sz w:val="24"/>
                <w:szCs w:val="24"/>
                <w:lang w:val="en-US" w:eastAsia="zh-CN"/>
              </w:rPr>
              <w:t>11</w:t>
            </w:r>
            <w:r>
              <w:rPr>
                <w:rFonts w:hint="default" w:ascii="Times New Roman" w:hAnsi="Times New Roman" w:eastAsia="宋体" w:cs="Times New Roman"/>
                <w:color w:val="auto"/>
                <w:kern w:val="24"/>
                <w:sz w:val="24"/>
                <w:szCs w:val="24"/>
              </w:rPr>
              <w:t>万m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sz w:val="24"/>
                <w:szCs w:val="24"/>
              </w:rPr>
              <w:t>自然方，合松方</w:t>
            </w:r>
            <w:r>
              <w:rPr>
                <w:rFonts w:hint="eastAsia" w:ascii="Times New Roman" w:hAnsi="Times New Roman" w:eastAsia="宋体" w:cs="Times New Roman"/>
                <w:color w:val="auto"/>
                <w:sz w:val="24"/>
                <w:szCs w:val="24"/>
                <w:lang w:val="en-US" w:eastAsia="zh-CN"/>
              </w:rPr>
              <w:t>0.14</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kern w:val="24"/>
                <w:sz w:val="24"/>
                <w:szCs w:val="24"/>
              </w:rPr>
              <w:t>）</w:t>
            </w:r>
            <w:r>
              <w:rPr>
                <w:rFonts w:hint="eastAsia" w:ascii="Times New Roman" w:hAnsi="Times New Roman" w:eastAsia="宋体" w:cs="Times New Roman"/>
                <w:color w:val="auto"/>
                <w:sz w:val="24"/>
                <w:szCs w:val="24"/>
                <w:lang w:val="en-US" w:eastAsia="zh-CN"/>
              </w:rPr>
              <w:t>将集中堆存于表土场内，作为</w:t>
            </w:r>
            <w:r>
              <w:rPr>
                <w:rFonts w:hint="eastAsia" w:eastAsia="宋体" w:cs="Times New Roman"/>
                <w:color w:val="auto"/>
                <w:sz w:val="24"/>
                <w:szCs w:val="24"/>
                <w:lang w:val="en-US" w:eastAsia="zh-CN"/>
              </w:rPr>
              <w:t>光伏发电方阵区</w:t>
            </w:r>
            <w:r>
              <w:rPr>
                <w:rFonts w:hint="eastAsia" w:ascii="Times New Roman" w:hAnsi="Times New Roman" w:eastAsia="宋体" w:cs="Times New Roman"/>
                <w:color w:val="auto"/>
                <w:sz w:val="24"/>
                <w:szCs w:val="24"/>
                <w:lang w:val="en-US" w:eastAsia="zh-CN"/>
              </w:rPr>
              <w:t>种植覆土使用。</w:t>
            </w:r>
            <w:r>
              <w:rPr>
                <w:rFonts w:hint="default" w:ascii="Times New Roman" w:hAnsi="Times New Roman" w:cs="Times New Roman"/>
                <w:color w:val="auto"/>
                <w:kern w:val="24"/>
                <w:sz w:val="24"/>
              </w:rPr>
              <w:t>本</w:t>
            </w:r>
            <w:r>
              <w:rPr>
                <w:rFonts w:hint="eastAsia" w:ascii="Times New Roman" w:hAnsi="Times New Roman" w:cs="Times New Roman"/>
                <w:color w:val="auto"/>
                <w:kern w:val="24"/>
                <w:sz w:val="24"/>
              </w:rPr>
              <w:t>方案</w:t>
            </w:r>
            <w:r>
              <w:rPr>
                <w:rFonts w:hint="default" w:ascii="Times New Roman" w:hAnsi="Times New Roman" w:cs="Times New Roman"/>
                <w:color w:val="auto"/>
                <w:kern w:val="24"/>
                <w:sz w:val="24"/>
              </w:rPr>
              <w:t>依据就近堆置的原则，共规划1个临时表土堆场，</w:t>
            </w:r>
            <w:r>
              <w:rPr>
                <w:rFonts w:hint="default" w:ascii="Times New Roman" w:hAnsi="Times New Roman" w:cs="Times New Roman"/>
                <w:color w:val="000000" w:themeColor="text1"/>
                <w:sz w:val="24"/>
                <w:lang w:val="en-US" w:eastAsia="zh-CN"/>
                <w14:textFill>
                  <w14:solidFill>
                    <w14:schemeClr w14:val="tx1"/>
                  </w14:solidFill>
                </w14:textFill>
              </w:rPr>
              <w:t>剥离表土</w:t>
            </w:r>
            <w:r>
              <w:rPr>
                <w:rFonts w:hint="eastAsia" w:ascii="Times New Roman" w:hAnsi="Times New Roman" w:cs="Times New Roman"/>
                <w:color w:val="000000" w:themeColor="text1"/>
                <w:sz w:val="24"/>
                <w:lang w:eastAsia="zh-CN"/>
                <w14:textFill>
                  <w14:solidFill>
                    <w14:schemeClr w14:val="tx1"/>
                  </w14:solidFill>
                </w14:textFill>
              </w:rPr>
              <w:t>施工结束后及时实施覆土、迹地恢复措施，</w:t>
            </w:r>
            <w:r>
              <w:rPr>
                <w:rFonts w:hint="default" w:ascii="Times New Roman" w:hAnsi="Times New Roman" w:cs="Times New Roman"/>
                <w:color w:val="000000" w:themeColor="text1"/>
                <w:sz w:val="24"/>
                <w:lang w:val="en-US" w:eastAsia="zh-CN"/>
                <w14:textFill>
                  <w14:solidFill>
                    <w14:schemeClr w14:val="tx1"/>
                  </w14:solidFill>
                </w14:textFill>
              </w:rPr>
              <w:t>全部用于项目植被恢复覆土回填</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项目内产生的剥离表土不随意堆放，并对项目内的表土临时堆场进行采取土工布遮盖、设置临时拦挡措施后，可有效防止临时表土堆场内的表土流失</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对环境影响不大。</w:t>
            </w:r>
          </w:p>
          <w:p w14:paraId="09C7A5B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3）土石方</w:t>
            </w:r>
          </w:p>
          <w:p w14:paraId="0C54A4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rPr>
            </w:pPr>
            <w:r>
              <w:rPr>
                <w:rFonts w:hint="eastAsia" w:ascii="Times New Roman" w:hAnsi="Times New Roman" w:cs="Times New Roman"/>
                <w:color w:val="000000" w:themeColor="text1"/>
                <w:sz w:val="24"/>
                <w:szCs w:val="24"/>
                <w14:textFill>
                  <w14:solidFill>
                    <w14:schemeClr w14:val="tx1"/>
                  </w14:solidFill>
                </w14:textFill>
              </w:rPr>
              <w:t>本工程土石方开挖总量为</w:t>
            </w:r>
            <w:r>
              <w:rPr>
                <w:rFonts w:hint="eastAsia" w:ascii="Times New Roman" w:hAnsi="Times New Roman" w:cs="Times New Roman"/>
                <w:color w:val="000000" w:themeColor="text1"/>
                <w:sz w:val="24"/>
                <w:szCs w:val="24"/>
                <w:lang w:val="en-US" w:eastAsia="zh-CN"/>
                <w14:textFill>
                  <w14:solidFill>
                    <w14:schemeClr w14:val="tx1"/>
                  </w14:solidFill>
                </w14:textFill>
              </w:rPr>
              <w:t>4.59</w:t>
            </w:r>
            <w:r>
              <w:rPr>
                <w:rFonts w:hint="eastAsia" w:ascii="Times New Roman" w:hAnsi="Times New Roman" w:cs="Times New Roman"/>
                <w:color w:val="000000" w:themeColor="text1"/>
                <w:sz w:val="24"/>
                <w:szCs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（含表土剥离量1.</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），回填方</w:t>
            </w:r>
            <w:r>
              <w:rPr>
                <w:rFonts w:hint="eastAsia" w:ascii="Times New Roman" w:hAnsi="Times New Roman" w:cs="Times New Roman"/>
                <w:color w:val="000000" w:themeColor="text1"/>
                <w:sz w:val="24"/>
                <w:szCs w:val="24"/>
                <w:lang w:val="en-US" w:eastAsia="zh-CN"/>
                <w14:textFill>
                  <w14:solidFill>
                    <w14:schemeClr w14:val="tx1"/>
                  </w14:solidFill>
                </w14:textFill>
              </w:rPr>
              <w:t>4.59</w:t>
            </w:r>
            <w:r>
              <w:rPr>
                <w:rFonts w:hint="eastAsia" w:ascii="Times New Roman" w:hAnsi="Times New Roman" w:cs="Times New Roman"/>
                <w:color w:val="000000" w:themeColor="text1"/>
                <w:sz w:val="24"/>
                <w:szCs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（其中</w:t>
            </w:r>
            <w:r>
              <w:rPr>
                <w:rFonts w:hint="eastAsia" w:ascii="Times New Roman" w:hAnsi="Times New Roman" w:cs="Times New Roman"/>
                <w:color w:val="000000" w:themeColor="text1"/>
                <w:sz w:val="24"/>
                <w:szCs w:val="24"/>
                <w:lang w:eastAsia="zh-CN"/>
                <w14:textFill>
                  <w14:solidFill>
                    <w14:schemeClr w14:val="tx1"/>
                  </w14:solidFill>
                </w14:textFill>
              </w:rPr>
              <w:t>表土回覆</w:t>
            </w:r>
            <w:r>
              <w:rPr>
                <w:rFonts w:hint="eastAsia"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8</w:t>
            </w:r>
            <w:r>
              <w:rPr>
                <w:rFonts w:hint="eastAsia" w:ascii="Times New Roman" w:hAnsi="Times New Roman" w:cs="Times New Roman"/>
                <w:color w:val="000000" w:themeColor="text1"/>
                <w:sz w:val="24"/>
                <w:szCs w:val="24"/>
                <w14:textFill>
                  <w14:solidFill>
                    <w14:schemeClr w14:val="tx1"/>
                  </w14:solidFill>
                </w14:textFill>
              </w:rPr>
              <w:t>万</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项目建设过程中无多余废弃土石方产生，本项目不单独设置弃土场</w:t>
            </w:r>
            <w:r>
              <w:rPr>
                <w:rFonts w:hint="eastAsia"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因此对开挖产生的土石方只要及时回填利用，不随意倾倒，对环境影响不大。</w:t>
            </w:r>
          </w:p>
          <w:p w14:paraId="3758E43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4）建筑垃圾</w:t>
            </w:r>
          </w:p>
          <w:p w14:paraId="4BD810E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eastAsia="zh-CN"/>
              </w:rPr>
            </w:pPr>
            <w:r>
              <w:rPr>
                <w:rFonts w:hint="default" w:ascii="Times New Roman" w:hAnsi="Times New Roman" w:cs="Times New Roman"/>
                <w:lang w:eastAsia="zh-CN"/>
              </w:rPr>
              <w:t>建筑垃圾主要为废钢筋、废混凝土、废木材等，项目内产生的建筑垃圾经分拣、剔除或粉碎后，大多是可以作为再生资源重新利用的。项目内废弃、不可利用的建筑垃圾拟集中收集，清运至指定地点进行妥善处置，不会对周围环境造成大的影响。</w:t>
            </w:r>
          </w:p>
          <w:p w14:paraId="7EB7A20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5）废弃设备零件</w:t>
            </w:r>
          </w:p>
          <w:p w14:paraId="4F674A8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项目在光伏组件安装、电气设备安装过程中，会产生少量废弃设备零件，该部分废弃设备零件经收集后，可回收利用。</w:t>
            </w:r>
          </w:p>
          <w:p w14:paraId="19833B6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综上所述，只要严格执行国家环保法律法规以及当地政府的管理规定，科学管理、文明施工，本项目产生的固体废物不会造成污染。</w:t>
            </w:r>
          </w:p>
          <w:p w14:paraId="09F3AC8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、其他环境影响分析</w:t>
            </w:r>
          </w:p>
          <w:p w14:paraId="25794C5E">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施工时由于进出物料运输车辆的增加，将对项目所在地的交通造成一定的影响，影响附近居民的出行。为减缓交通压力，要求该项目进出施工场地车辆应按规定路线、时间进出，并设置专人负责指挥，以防止交通堵塞。</w:t>
            </w:r>
          </w:p>
          <w:p w14:paraId="57560F00">
            <w:pPr>
              <w:pStyle w:val="10"/>
              <w:keepNext w:val="0"/>
              <w:keepLines w:val="0"/>
              <w:widowControl/>
              <w:numPr>
                <w:ilvl w:val="0"/>
                <w:numId w:val="0"/>
              </w:numPr>
              <w:suppressLineNumbers w:val="0"/>
              <w:snapToGrid w:val="0"/>
              <w:spacing w:before="60" w:beforeAutospacing="0" w:after="160" w:afterAutospacing="0" w:line="360" w:lineRule="auto"/>
              <w:ind w:left="0" w:right="113" w:rightChars="0"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color w:val="auto"/>
                <w:kern w:val="28"/>
                <w:sz w:val="24"/>
              </w:rPr>
              <w:t>施工期建筑材料运输量较大，运输路线经过郊区和城市道路时，运输过程中物料洒落、流失、飞扬等均可能对沿线环境产生影响。因此在建筑材料运输出入与施工固废运出时车辆必须加盖篷布。建筑材料运输量较大会对沿线运输道路路面造成影响，要求建设单位限制载重，产生影响通过采取这些措施可减小物料运输对环境的影响。</w:t>
            </w:r>
          </w:p>
        </w:tc>
      </w:tr>
      <w:tr w14:paraId="115F58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26" w:hRule="atLeast"/>
          <w:jc w:val="center"/>
        </w:trPr>
        <w:tc>
          <w:tcPr>
            <w:tcW w:w="456" w:type="dxa"/>
            <w:tcBorders>
              <w:tl2br w:val="nil"/>
              <w:tr2bl w:val="nil"/>
            </w:tcBorders>
            <w:tcMar>
              <w:left w:w="28" w:type="dxa"/>
              <w:right w:w="28" w:type="dxa"/>
            </w:tcMar>
            <w:vAlign w:val="center"/>
          </w:tcPr>
          <w:p w14:paraId="5567612F">
            <w:pPr>
              <w:pStyle w:val="24"/>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r>
              <w:rPr>
                <w:rFonts w:hint="eastAsia" w:cs="宋体"/>
                <w:bCs/>
                <w:spacing w:val="10"/>
                <w:kern w:val="2"/>
                <w:szCs w:val="24"/>
                <w:lang w:val="en-US" w:eastAsia="zh-CN"/>
              </w:rPr>
              <w:t>运营期生态环境影响分析</w:t>
            </w:r>
          </w:p>
        </w:tc>
        <w:tc>
          <w:tcPr>
            <w:tcW w:w="8766" w:type="dxa"/>
            <w:tcBorders>
              <w:tl2br w:val="nil"/>
              <w:tr2bl w:val="nil"/>
            </w:tcBorders>
            <w:vAlign w:val="center"/>
          </w:tcPr>
          <w:p w14:paraId="4FD0B023">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1、运营期工艺流程及产污节点</w:t>
            </w:r>
          </w:p>
          <w:p w14:paraId="610F28D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项目运营期工艺流程及产污情况如下图所示</w:t>
            </w:r>
            <w:r>
              <w:rPr>
                <w:rFonts w:hint="default" w:ascii="Times New Roman" w:hAnsi="Times New Roman" w:eastAsia="宋体" w:cs="Times New Roman"/>
                <w:lang w:eastAsia="zh-CN"/>
              </w:rPr>
              <w:t>：</w:t>
            </w:r>
          </w:p>
          <w:p w14:paraId="45030F51">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lang w:eastAsia="zh-CN"/>
              </w:rPr>
            </w:pPr>
            <w:r>
              <w:rPr>
                <w:rFonts w:hint="default"/>
                <w:color w:val="auto"/>
              </w:rPr>
              <w:object>
                <v:shape id="_x0000_i1030" o:spt="75" type="#_x0000_t75" style="height:171.6pt;width:405.2pt;" o:ole="t" filled="f" o:preferrelative="t" stroked="f" coordsize="21600,21600">
                  <v:path/>
                  <v:fill on="f" focussize="0,0"/>
                  <v:stroke on="f"/>
                  <v:imagedata r:id="rId36" o:title=""/>
                  <o:lock v:ext="edit" aspectratio="f"/>
                  <w10:wrap type="none"/>
                  <w10:anchorlock/>
                </v:shape>
                <o:OLEObject Type="Embed" ProgID="Visio.Drawing.11" ShapeID="_x0000_i1030" DrawAspect="Content" ObjectID="_1468075730" r:id="rId35">
                  <o:LockedField>false</o:LockedField>
                </o:OLEObject>
              </w:object>
            </w:r>
          </w:p>
          <w:p w14:paraId="20CCB6FA">
            <w:pPr>
              <w:keepNext w:val="0"/>
              <w:keepLines w:val="0"/>
              <w:numPr>
                <w:ilvl w:val="0"/>
                <w:numId w:val="0"/>
              </w:numPr>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图</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运营期工艺流程及产污</w:t>
            </w:r>
            <w:r>
              <w:rPr>
                <w:rFonts w:hint="default" w:ascii="Times New Roman" w:hAnsi="Times New Roman" w:eastAsia="宋体" w:cs="Times New Roman"/>
                <w:b/>
                <w:bCs/>
                <w:sz w:val="21"/>
                <w:szCs w:val="21"/>
                <w:lang w:eastAsia="zh-CN"/>
              </w:rPr>
              <w:t>节点图</w:t>
            </w:r>
          </w:p>
          <w:p w14:paraId="5D5C1739">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2、运营期环境影响分析</w:t>
            </w:r>
          </w:p>
          <w:p w14:paraId="7350A39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（1）大气环境影响分析</w:t>
            </w:r>
          </w:p>
          <w:p w14:paraId="24D6763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①食堂油烟</w:t>
            </w:r>
          </w:p>
          <w:p w14:paraId="6A1642E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sz w:val="24"/>
                <w:szCs w:val="20"/>
              </w:rPr>
              <w:t>项目厨房使用液化气、电作为能源，液化气、电为清洁能源，液化气燃烧的产物为二氧化碳和水，运行期主要的废气为油烟废气。食堂年工作日365d，每天工作4h，基准灶头为1个，根据《饮食业油烟排放标准》（</w:t>
            </w:r>
            <w:r>
              <w:rPr>
                <w:rFonts w:hint="default" w:ascii="Times New Roman" w:hAnsi="Times New Roman" w:eastAsia="宋体" w:cs="Times New Roman"/>
                <w:bCs/>
                <w:color w:val="auto"/>
                <w:sz w:val="24"/>
                <w:szCs w:val="20"/>
              </w:rPr>
              <w:t>GB18483-2001</w:t>
            </w:r>
            <w:r>
              <w:rPr>
                <w:rFonts w:hint="default" w:ascii="Times New Roman" w:hAnsi="Times New Roman" w:eastAsia="宋体" w:cs="Times New Roman"/>
                <w:color w:val="auto"/>
                <w:sz w:val="24"/>
                <w:szCs w:val="20"/>
              </w:rPr>
              <w:t>）（试行）</w:t>
            </w:r>
            <w:r>
              <w:rPr>
                <w:rFonts w:hint="default" w:ascii="Times New Roman" w:hAnsi="Times New Roman" w:eastAsia="宋体" w:cs="Times New Roman"/>
                <w:bCs/>
                <w:color w:val="auto"/>
                <w:sz w:val="24"/>
                <w:szCs w:val="20"/>
              </w:rPr>
              <w:t>判定</w:t>
            </w:r>
            <w:r>
              <w:rPr>
                <w:rFonts w:hint="default" w:ascii="Times New Roman" w:hAnsi="Times New Roman" w:eastAsia="宋体" w:cs="Times New Roman"/>
                <w:color w:val="auto"/>
                <w:sz w:val="24"/>
                <w:szCs w:val="20"/>
              </w:rPr>
              <w:t>为小型。项目运行期定员</w:t>
            </w:r>
            <w:r>
              <w:rPr>
                <w:rFonts w:hint="eastAsia" w:ascii="Times New Roman" w:hAnsi="Times New Roman" w:eastAsia="宋体" w:cs="Times New Roman"/>
                <w:color w:val="auto"/>
                <w:sz w:val="24"/>
                <w:szCs w:val="20"/>
                <w:lang w:val="en-US" w:eastAsia="zh-CN"/>
              </w:rPr>
              <w:t>4</w:t>
            </w:r>
            <w:r>
              <w:rPr>
                <w:rFonts w:hint="default" w:ascii="Times New Roman" w:hAnsi="Times New Roman" w:eastAsia="宋体" w:cs="Times New Roman"/>
                <w:color w:val="auto"/>
                <w:sz w:val="24"/>
                <w:szCs w:val="20"/>
              </w:rPr>
              <w:t>人</w:t>
            </w:r>
            <w:r>
              <w:rPr>
                <w:rFonts w:hint="default" w:ascii="Times New Roman" w:hAnsi="Times New Roman" w:eastAsia="宋体" w:cs="Times New Roman"/>
                <w:color w:val="auto"/>
                <w:spacing w:val="2"/>
                <w:sz w:val="24"/>
                <w:szCs w:val="20"/>
              </w:rPr>
              <w:t>，均在项目区内食宿。</w:t>
            </w:r>
            <w:r>
              <w:rPr>
                <w:rFonts w:hint="eastAsia"/>
                <w:bCs/>
                <w:sz w:val="24"/>
              </w:rPr>
              <w:t>根据类比资料每</w:t>
            </w:r>
            <w:r>
              <w:rPr>
                <w:rFonts w:hint="default" w:ascii="Times New Roman" w:hAnsi="Times New Roman" w:eastAsia="宋体" w:cs="Times New Roman"/>
                <w:color w:val="auto"/>
                <w:sz w:val="24"/>
                <w:szCs w:val="20"/>
                <w:lang w:val="en-US" w:eastAsia="zh-CN" w:bidi="ar"/>
              </w:rPr>
              <w:t>人每天食用30g食用油，则用油量为0.</w:t>
            </w:r>
            <w:r>
              <w:rPr>
                <w:rFonts w:hint="eastAsia" w:ascii="Times New Roman" w:hAnsi="Times New Roman" w:eastAsia="宋体" w:cs="Times New Roman"/>
                <w:color w:val="auto"/>
                <w:sz w:val="24"/>
                <w:szCs w:val="20"/>
                <w:lang w:val="en-US" w:eastAsia="zh-CN" w:bidi="ar"/>
              </w:rPr>
              <w:t>12</w:t>
            </w:r>
            <w:r>
              <w:rPr>
                <w:rFonts w:hint="default" w:ascii="Times New Roman" w:hAnsi="Times New Roman" w:eastAsia="宋体" w:cs="Times New Roman"/>
                <w:color w:val="auto"/>
                <w:sz w:val="24"/>
                <w:szCs w:val="20"/>
                <w:lang w:val="en-US" w:eastAsia="zh-CN" w:bidi="ar"/>
              </w:rPr>
              <w:t>kg/d。</w:t>
            </w:r>
            <w:r>
              <w:rPr>
                <w:rFonts w:hint="default" w:ascii="Times New Roman" w:hAnsi="Times New Roman" w:eastAsia="宋体" w:cs="Times New Roman"/>
                <w:color w:val="auto"/>
                <w:spacing w:val="2"/>
                <w:sz w:val="24"/>
                <w:szCs w:val="20"/>
              </w:rPr>
              <w:t>食堂油烟产生量较小</w:t>
            </w:r>
            <w:r>
              <w:rPr>
                <w:rFonts w:hint="default" w:ascii="Times New Roman" w:hAnsi="Times New Roman" w:eastAsia="宋体" w:cs="Times New Roman"/>
                <w:color w:val="auto"/>
                <w:spacing w:val="2"/>
                <w:sz w:val="24"/>
                <w:szCs w:val="20"/>
                <w:lang w:eastAsia="zh-CN"/>
              </w:rPr>
              <w:t>，</w:t>
            </w:r>
            <w:r>
              <w:rPr>
                <w:rFonts w:hint="default" w:ascii="Times New Roman" w:hAnsi="Times New Roman" w:eastAsia="宋体" w:cs="Times New Roman"/>
                <w:color w:val="auto"/>
                <w:sz w:val="24"/>
                <w:szCs w:val="20"/>
                <w:lang w:val="en-US" w:eastAsia="zh-CN" w:bidi="ar"/>
              </w:rPr>
              <w:t>根据类比调查，油的平均挥发量为总耗油量的</w:t>
            </w:r>
            <w:r>
              <w:rPr>
                <w:rFonts w:hint="eastAsia" w:ascii="Times New Roman" w:hAnsi="Times New Roman" w:eastAsia="宋体" w:cs="Times New Roman"/>
                <w:color w:val="auto"/>
                <w:sz w:val="24"/>
                <w:szCs w:val="20"/>
                <w:lang w:val="en-US" w:eastAsia="zh-CN" w:bidi="ar"/>
              </w:rPr>
              <w:t>3</w:t>
            </w:r>
            <w:r>
              <w:rPr>
                <w:rFonts w:hint="default" w:ascii="Times New Roman" w:hAnsi="Times New Roman" w:eastAsia="宋体" w:cs="Times New Roman"/>
                <w:color w:val="auto"/>
                <w:sz w:val="24"/>
                <w:szCs w:val="20"/>
                <w:lang w:val="en-US" w:eastAsia="zh-CN" w:bidi="ar"/>
              </w:rPr>
              <w:t>%，经估算，本项目食堂产生油烟量为</w:t>
            </w:r>
            <w:r>
              <w:rPr>
                <w:rFonts w:hint="eastAsia" w:ascii="Times New Roman" w:hAnsi="Times New Roman" w:eastAsia="宋体" w:cs="Times New Roman"/>
                <w:color w:val="auto"/>
                <w:sz w:val="24"/>
                <w:szCs w:val="20"/>
                <w:lang w:val="en-US" w:eastAsia="zh-CN" w:bidi="ar"/>
              </w:rPr>
              <w:t>3.6</w:t>
            </w:r>
            <w:r>
              <w:rPr>
                <w:rFonts w:hint="default" w:ascii="Times New Roman" w:hAnsi="Times New Roman" w:eastAsia="宋体" w:cs="Times New Roman"/>
                <w:color w:val="auto"/>
                <w:sz w:val="24"/>
                <w:szCs w:val="20"/>
                <w:lang w:val="en-US" w:eastAsia="zh-CN" w:bidi="ar"/>
              </w:rPr>
              <w:t>g/d，</w:t>
            </w:r>
            <w:r>
              <w:rPr>
                <w:rFonts w:hint="eastAsia" w:ascii="Times New Roman" w:hAnsi="Times New Roman" w:eastAsia="宋体" w:cs="Times New Roman"/>
                <w:color w:val="auto"/>
                <w:sz w:val="24"/>
                <w:szCs w:val="20"/>
                <w:lang w:val="en-US" w:eastAsia="zh-CN" w:bidi="ar"/>
              </w:rPr>
              <w:t>1.314</w:t>
            </w:r>
            <w:r>
              <w:rPr>
                <w:rFonts w:hint="default" w:ascii="Times New Roman" w:hAnsi="Times New Roman" w:eastAsia="宋体" w:cs="Times New Roman"/>
                <w:color w:val="auto"/>
                <w:sz w:val="24"/>
                <w:szCs w:val="20"/>
                <w:lang w:val="en-US" w:eastAsia="zh-CN" w:bidi="ar"/>
              </w:rPr>
              <w:t>kg/a</w:t>
            </w:r>
            <w:r>
              <w:rPr>
                <w:rFonts w:hint="default" w:ascii="Times New Roman" w:hAnsi="Times New Roman" w:eastAsia="宋体" w:cs="Times New Roman"/>
                <w:color w:val="auto"/>
                <w:spacing w:val="2"/>
                <w:sz w:val="24"/>
                <w:szCs w:val="20"/>
              </w:rPr>
              <w:t>，</w:t>
            </w:r>
            <w:r>
              <w:rPr>
                <w:rFonts w:hint="default" w:ascii="Times New Roman" w:hAnsi="Times New Roman" w:eastAsia="宋体" w:cs="Times New Roman"/>
                <w:color w:val="auto"/>
                <w:spacing w:val="2"/>
                <w:sz w:val="24"/>
                <w:szCs w:val="20"/>
                <w:lang w:val="en-US" w:eastAsia="zh-CN"/>
              </w:rPr>
              <w:t>本次</w:t>
            </w:r>
            <w:r>
              <w:rPr>
                <w:rFonts w:hint="default" w:ascii="Times New Roman" w:hAnsi="Times New Roman" w:eastAsia="宋体" w:cs="Times New Roman"/>
                <w:color w:val="auto"/>
                <w:sz w:val="24"/>
                <w:szCs w:val="20"/>
              </w:rPr>
              <w:t>要求建设单位安装抽油烟机</w:t>
            </w:r>
            <w:r>
              <w:rPr>
                <w:rFonts w:hint="default" w:ascii="Times New Roman" w:hAnsi="Times New Roman" w:eastAsia="宋体" w:cs="Times New Roman"/>
                <w:color w:val="auto"/>
                <w:sz w:val="24"/>
                <w:szCs w:val="20"/>
                <w:lang w:val="zh-CN"/>
              </w:rPr>
              <w:t>，</w:t>
            </w:r>
            <w:r>
              <w:rPr>
                <w:rFonts w:hint="default" w:ascii="Times New Roman" w:hAnsi="Times New Roman" w:eastAsia="宋体" w:cs="Times New Roman"/>
                <w:color w:val="auto"/>
                <w:sz w:val="24"/>
                <w:szCs w:val="20"/>
              </w:rPr>
              <w:t>食堂产生的油烟废气经抽油烟机处理后排放</w:t>
            </w:r>
            <w:r>
              <w:rPr>
                <w:rFonts w:hint="default" w:ascii="Times New Roman" w:hAnsi="Times New Roman" w:eastAsia="宋体" w:cs="Times New Roman"/>
                <w:color w:val="auto"/>
                <w:sz w:val="24"/>
                <w:szCs w:val="20"/>
                <w:lang w:val="zh-CN"/>
              </w:rPr>
              <w:t>，食堂油烟对周围环境影响不大。</w:t>
            </w:r>
          </w:p>
          <w:p w14:paraId="4150CA9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②汽车废气</w:t>
            </w:r>
          </w:p>
          <w:p w14:paraId="37BFAF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项目运行期进入项目区内的车辆较少，主要为物料运输车辆。汽车排放的废气主要集中于停车场地，为地上停车位，在汽车的启动和停车过程中产生，废气中主要污染物为CO、HC、NO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等，产生量较少，呈无组织排放。</w:t>
            </w:r>
          </w:p>
          <w:p w14:paraId="42776EF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由于项目内车辆排放尾气的时间短，而且国家对汽车尾气排放有严格的规定，加上停车多为自备车辆，车型偏小，因此，汽车尾气不会形成较大的集中污染源，对环境影响较小。</w:t>
            </w:r>
          </w:p>
          <w:p w14:paraId="0CC714E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③异味</w:t>
            </w:r>
          </w:p>
          <w:p w14:paraId="312041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项目异味主要来自垃圾桶、</w:t>
            </w:r>
            <w:r>
              <w:rPr>
                <w:rFonts w:hint="eastAsia" w:ascii="Times New Roman" w:hAnsi="Times New Roman" w:eastAsia="宋体" w:cs="Times New Roman"/>
                <w:color w:val="auto"/>
                <w:sz w:val="24"/>
                <w:lang w:eastAsia="zh-CN"/>
              </w:rPr>
              <w:t>隔油池、</w:t>
            </w:r>
            <w:r>
              <w:rPr>
                <w:rFonts w:hint="default" w:ascii="Times New Roman" w:hAnsi="Times New Roman" w:eastAsia="宋体" w:cs="Times New Roman"/>
                <w:color w:val="auto"/>
                <w:sz w:val="24"/>
              </w:rPr>
              <w:t>化粪池及</w:t>
            </w:r>
            <w:r>
              <w:rPr>
                <w:rFonts w:hint="eastAsia" w:ascii="Times New Roman" w:hAnsi="Times New Roman" w:eastAsia="宋体" w:cs="Times New Roman"/>
                <w:color w:val="auto"/>
                <w:sz w:val="24"/>
                <w:lang w:eastAsia="zh-CN"/>
              </w:rPr>
              <w:t>废水收集池</w:t>
            </w:r>
            <w:r>
              <w:rPr>
                <w:rFonts w:hint="default" w:ascii="Times New Roman" w:hAnsi="Times New Roman" w:eastAsia="宋体" w:cs="Times New Roman"/>
                <w:color w:val="auto"/>
                <w:sz w:val="24"/>
              </w:rPr>
              <w:t>。</w:t>
            </w:r>
          </w:p>
          <w:p w14:paraId="2841A6B0">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生活垃圾主要来自于生活区，产生的生活垃圾统一收集于垃圾桶内。垃圾在临时存放过程中将会产生异味，</w:t>
            </w:r>
            <w:r>
              <w:rPr>
                <w:rFonts w:hint="default" w:ascii="Times New Roman" w:hAnsi="Times New Roman" w:eastAsia="宋体" w:cs="Times New Roman"/>
                <w:color w:val="auto"/>
                <w:kern w:val="0"/>
                <w:sz w:val="24"/>
                <w:szCs w:val="20"/>
              </w:rPr>
              <w:t>局部空气臭气浓度增加</w:t>
            </w:r>
            <w:r>
              <w:rPr>
                <w:rFonts w:hint="default" w:ascii="Times New Roman" w:hAnsi="Times New Roman" w:eastAsia="宋体" w:cs="Times New Roman"/>
                <w:color w:val="auto"/>
                <w:kern w:val="0"/>
                <w:sz w:val="24"/>
              </w:rPr>
              <w:t>。主要为无组织排放，一般排放量较小，垃圾桶设置为封闭式，生活垃圾尽量做到日产日清。</w:t>
            </w:r>
          </w:p>
          <w:p w14:paraId="28D7932C">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rPr>
            </w:pPr>
            <w:r>
              <w:rPr>
                <w:rFonts w:hint="eastAsia" w:ascii="Times New Roman" w:hAnsi="Times New Roman" w:eastAsia="宋体" w:cs="Times New Roman"/>
                <w:color w:val="auto"/>
                <w:kern w:val="0"/>
                <w:sz w:val="24"/>
                <w:lang w:val="en-US" w:eastAsia="zh-CN"/>
              </w:rPr>
              <w:t>生活区</w:t>
            </w:r>
            <w:r>
              <w:rPr>
                <w:rFonts w:hint="default" w:ascii="Times New Roman" w:hAnsi="Times New Roman" w:eastAsia="宋体" w:cs="Times New Roman"/>
                <w:color w:val="auto"/>
                <w:kern w:val="0"/>
                <w:sz w:val="24"/>
              </w:rPr>
              <w:t>内设置水冲厕、</w:t>
            </w:r>
            <w:r>
              <w:rPr>
                <w:rFonts w:hint="eastAsia" w:ascii="Times New Roman" w:hAnsi="Times New Roman" w:eastAsia="宋体" w:cs="Times New Roman"/>
                <w:color w:val="auto"/>
                <w:kern w:val="0"/>
                <w:sz w:val="24"/>
                <w:lang w:eastAsia="zh-CN"/>
              </w:rPr>
              <w:t>隔油池、</w:t>
            </w:r>
            <w:r>
              <w:rPr>
                <w:rFonts w:hint="default" w:ascii="Times New Roman" w:hAnsi="Times New Roman" w:eastAsia="宋体" w:cs="Times New Roman"/>
                <w:color w:val="auto"/>
                <w:sz w:val="24"/>
              </w:rPr>
              <w:t>化粪池</w:t>
            </w:r>
            <w:r>
              <w:rPr>
                <w:rFonts w:hint="default" w:ascii="Times New Roman" w:hAnsi="Times New Roman" w:eastAsia="宋体" w:cs="Times New Roman"/>
                <w:color w:val="auto"/>
                <w:kern w:val="0"/>
                <w:sz w:val="24"/>
              </w:rPr>
              <w:t>处理生活污水</w:t>
            </w:r>
            <w:r>
              <w:rPr>
                <w:rFonts w:hint="eastAsia" w:ascii="Times New Roman" w:hAnsi="Times New Roman" w:eastAsia="宋体" w:cs="Times New Roman"/>
                <w:color w:val="auto"/>
                <w:kern w:val="0"/>
                <w:sz w:val="24"/>
                <w:lang w:eastAsia="zh-CN"/>
              </w:rPr>
              <w:t>，进入废水收集池进行暂存</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项目隔油池、化粪池</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废水收集池均设置盖板，其产生异味较小，</w:t>
            </w:r>
            <w:r>
              <w:rPr>
                <w:rFonts w:hint="default" w:ascii="Times New Roman" w:hAnsi="Times New Roman" w:eastAsia="宋体" w:cs="Times New Roman"/>
                <w:color w:val="auto"/>
                <w:kern w:val="0"/>
                <w:sz w:val="24"/>
              </w:rPr>
              <w:t>主要为无组织排放</w:t>
            </w:r>
            <w:r>
              <w:rPr>
                <w:rFonts w:hint="default" w:ascii="Times New Roman" w:hAnsi="Times New Roman" w:eastAsia="宋体" w:cs="Times New Roman"/>
                <w:color w:val="auto"/>
                <w:sz w:val="24"/>
              </w:rPr>
              <w:t>，通过稀释扩散对</w:t>
            </w:r>
            <w:r>
              <w:rPr>
                <w:rFonts w:hint="eastAsia" w:ascii="Times New Roman" w:hAnsi="Times New Roman" w:eastAsia="宋体" w:cs="Times New Roman"/>
                <w:color w:val="auto"/>
                <w:sz w:val="24"/>
                <w:lang w:eastAsia="zh-CN"/>
              </w:rPr>
              <w:t>周围环境</w:t>
            </w:r>
            <w:r>
              <w:rPr>
                <w:rFonts w:hint="default" w:ascii="Times New Roman" w:hAnsi="Times New Roman" w:eastAsia="宋体" w:cs="Times New Roman"/>
                <w:color w:val="auto"/>
                <w:sz w:val="24"/>
              </w:rPr>
              <w:t>的影响</w:t>
            </w:r>
            <w:r>
              <w:rPr>
                <w:rFonts w:hint="eastAsia" w:ascii="Times New Roman" w:hAnsi="Times New Roman" w:eastAsia="宋体" w:cs="Times New Roman"/>
                <w:color w:val="auto"/>
                <w:sz w:val="24"/>
                <w:lang w:eastAsia="zh-CN"/>
              </w:rPr>
              <w:t>较小</w:t>
            </w:r>
            <w:r>
              <w:rPr>
                <w:rFonts w:hint="default" w:ascii="Times New Roman" w:hAnsi="Times New Roman" w:eastAsia="宋体" w:cs="Times New Roman"/>
                <w:color w:val="auto"/>
                <w:sz w:val="24"/>
              </w:rPr>
              <w:t>。</w:t>
            </w:r>
          </w:p>
          <w:p w14:paraId="1F3753E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（2）水环境影响分析</w:t>
            </w:r>
          </w:p>
          <w:p w14:paraId="6542AB4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项目运营期废水主要是光伏电池板清洗废水和值班人员的生活污水。</w:t>
            </w:r>
          </w:p>
          <w:p w14:paraId="3841652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1）水污染物源强</w:t>
            </w:r>
          </w:p>
          <w:p w14:paraId="55BF77D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①光伏电池板清洗废水</w:t>
            </w:r>
          </w:p>
          <w:p w14:paraId="6F35B235">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rPr>
              <w:t>太阳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w:t>
            </w:r>
          </w:p>
          <w:p w14:paraId="7E79E97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color w:val="auto"/>
                <w:kern w:val="0"/>
                <w:sz w:val="24"/>
                <w:lang w:val="en-US" w:eastAsia="zh-CN"/>
              </w:rPr>
              <w:t>根据实际情况，</w:t>
            </w:r>
            <w:r>
              <w:rPr>
                <w:rFonts w:hint="eastAsia" w:ascii="Times New Roman" w:hAnsi="Times New Roman" w:eastAsia="宋体" w:cs="Times New Roman"/>
                <w:color w:val="auto"/>
                <w:kern w:val="0"/>
                <w:sz w:val="24"/>
                <w:lang w:val="en-US" w:eastAsia="zh-CN"/>
              </w:rPr>
              <w:t>雨季时降雨冲刷太阳能电池组件表面可达到自然清洁的目的，一般不需再额外进行人工清洗；项目主要在旱季时组织开展组件清洗，芒市雨水季节较多，</w:t>
            </w:r>
            <w:r>
              <w:rPr>
                <w:rFonts w:hint="default" w:ascii="Times New Roman" w:hAnsi="Times New Roman" w:eastAsia="宋体" w:cs="Times New Roman"/>
              </w:rPr>
              <w:t>其人工清洗频率一般为6个月一次</w:t>
            </w:r>
            <w:r>
              <w:rPr>
                <w:rFonts w:hint="default" w:ascii="Times New Roman" w:hAnsi="Times New Roman" w:eastAsia="宋体" w:cs="Times New Roman"/>
                <w:lang w:eastAsia="zh-CN"/>
              </w:rPr>
              <w:t>，</w:t>
            </w:r>
            <w:r>
              <w:rPr>
                <w:rFonts w:hint="default" w:ascii="Times New Roman" w:hAnsi="Times New Roman" w:eastAsia="宋体" w:cs="Times New Roman"/>
              </w:rPr>
              <w:t>一年清洗2次，每次清洗约1个月时间完成。</w:t>
            </w:r>
          </w:p>
          <w:p w14:paraId="0B96EDA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color w:val="auto"/>
                <w:kern w:val="0"/>
                <w:sz w:val="24"/>
                <w:lang w:val="en-US" w:eastAsia="zh-CN"/>
              </w:rPr>
              <w:t>组件清洗用水量参照《云南省地方标准 用水定额》（</w:t>
            </w:r>
            <w:r>
              <w:rPr>
                <w:rFonts w:hint="default" w:ascii="Times New Roman" w:hAnsi="Times New Roman" w:eastAsia="宋体" w:cs="Times New Roman"/>
                <w:color w:val="auto"/>
                <w:kern w:val="0"/>
                <w:sz w:val="24"/>
                <w:lang w:val="en-US" w:eastAsia="zh-CN"/>
              </w:rPr>
              <w:t>DB53/T168-2019</w:t>
            </w:r>
            <w:r>
              <w:rPr>
                <w:rFonts w:hint="eastAsia" w:ascii="Times New Roman" w:hAnsi="Times New Roman" w:eastAsia="宋体" w:cs="Times New Roman"/>
                <w:color w:val="auto"/>
                <w:kern w:val="0"/>
                <w:sz w:val="24"/>
                <w:lang w:val="en-US" w:eastAsia="zh-CN"/>
              </w:rPr>
              <w:t>）中环境卫生管理场地清洗用水量，</w:t>
            </w:r>
            <w:r>
              <w:rPr>
                <w:rFonts w:hint="default" w:ascii="Times New Roman" w:hAnsi="Times New Roman" w:eastAsia="宋体" w:cs="Times New Roman"/>
                <w:color w:val="auto"/>
                <w:sz w:val="24"/>
              </w:rPr>
              <w:t>电池板清洁</w:t>
            </w:r>
            <w:r>
              <w:rPr>
                <w:rFonts w:hint="default" w:ascii="Times New Roman" w:hAnsi="Times New Roman" w:eastAsia="宋体" w:cs="Times New Roman"/>
                <w:color w:val="auto"/>
                <w:sz w:val="24"/>
                <w:szCs w:val="20"/>
              </w:rPr>
              <w:t>用水量以</w:t>
            </w:r>
            <w:r>
              <w:rPr>
                <w:rFonts w:hint="eastAsia" w:ascii="Times New Roman" w:hAnsi="Times New Roman" w:eastAsia="宋体" w:cs="Times New Roman"/>
                <w:color w:val="auto"/>
                <w:sz w:val="24"/>
                <w:szCs w:val="20"/>
                <w:lang w:val="en-US" w:eastAsia="zh-CN"/>
              </w:rPr>
              <w:t>2.0</w:t>
            </w:r>
            <w:r>
              <w:rPr>
                <w:rFonts w:hint="default" w:ascii="Times New Roman" w:hAnsi="Times New Roman" w:eastAsia="宋体" w:cs="Times New Roman"/>
                <w:color w:val="auto"/>
                <w:sz w:val="24"/>
                <w:szCs w:val="20"/>
              </w:rPr>
              <w:t>L/</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m</w:t>
            </w:r>
            <w:r>
              <w:rPr>
                <w:rFonts w:hint="default" w:ascii="Times New Roman" w:hAnsi="Times New Roman" w:eastAsia="宋体" w:cs="Times New Roman"/>
                <w:color w:val="auto"/>
                <w:sz w:val="24"/>
                <w:szCs w:val="20"/>
                <w:vertAlign w:val="superscript"/>
              </w:rPr>
              <w:t>2</w:t>
            </w:r>
            <w:r>
              <w:rPr>
                <w:rFonts w:hint="eastAsia" w:ascii="Times New Roman" w:hAnsi="Times New Roman" w:eastAsia="宋体" w:cs="Times New Roman"/>
                <w:color w:val="auto"/>
                <w:sz w:val="24"/>
                <w:szCs w:val="20"/>
                <w:lang w:val="en-US" w:eastAsia="zh-CN"/>
              </w:rPr>
              <w:t>·次</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项目共设置有</w:t>
            </w:r>
            <w:r>
              <w:rPr>
                <w:rFonts w:hint="eastAsia" w:ascii="Times New Roman" w:hAnsi="Times New Roman" w:eastAsia="宋体" w:cs="Times New Roman"/>
                <w:color w:val="auto"/>
                <w:sz w:val="24"/>
                <w:szCs w:val="24"/>
                <w:lang w:val="en-US" w:eastAsia="zh-CN"/>
              </w:rPr>
              <w:t>47250</w:t>
            </w:r>
            <w:r>
              <w:rPr>
                <w:rFonts w:hint="default" w:ascii="Times New Roman" w:hAnsi="Times New Roman" w:eastAsia="宋体" w:cs="Times New Roman"/>
                <w:color w:val="auto"/>
              </w:rPr>
              <w:t>块光伏组件</w:t>
            </w:r>
            <w:r>
              <w:rPr>
                <w:rFonts w:hint="default" w:ascii="Times New Roman" w:hAnsi="Times New Roman" w:eastAsia="宋体" w:cs="Times New Roman"/>
              </w:rPr>
              <w:t>，每块光伏组件的面积为</w:t>
            </w:r>
            <w:r>
              <w:rPr>
                <w:rFonts w:hint="eastAsia" w:ascii="Times New Roman" w:hAnsi="Times New Roman" w:eastAsia="宋体" w:cs="Times New Roman"/>
                <w:lang w:val="en-US" w:eastAsia="zh-CN"/>
              </w:rPr>
              <w:t>3.1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2384mm×1303mm</w:t>
            </w:r>
            <w:r>
              <w:rPr>
                <w:rFonts w:hint="default" w:ascii="Times New Roman" w:hAnsi="Times New Roman" w:eastAsia="宋体" w:cs="Times New Roman"/>
              </w:rPr>
              <w:t>），则需清洗的光伏电池板总面积为</w:t>
            </w:r>
            <w:r>
              <w:rPr>
                <w:rFonts w:hint="eastAsia" w:ascii="Times New Roman" w:hAnsi="Times New Roman" w:eastAsia="宋体" w:cs="Times New Roman"/>
                <w:lang w:val="en-US" w:eastAsia="zh-CN"/>
              </w:rPr>
              <w:t>146475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，则项目每次人工清洗的用水量约 </w:t>
            </w:r>
            <w:r>
              <w:rPr>
                <w:rFonts w:hint="eastAsia" w:ascii="Times New Roman" w:hAnsi="Times New Roman" w:eastAsia="宋体" w:cs="Times New Roman"/>
                <w:lang w:val="en-US" w:eastAsia="zh-CN"/>
              </w:rPr>
              <w:t>292.95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color w:val="auto"/>
                <w:lang w:val="en-US" w:eastAsia="zh-CN"/>
              </w:rPr>
              <w:t>585.9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rPr>
              <w:t>，产污系数按0.</w:t>
            </w:r>
            <w:r>
              <w:rPr>
                <w:rFonts w:hint="eastAsia" w:ascii="Times New Roman" w:hAnsi="Times New Roman" w:eastAsia="宋体" w:cs="Times New Roman"/>
                <w:lang w:val="en-US" w:eastAsia="zh-CN"/>
              </w:rPr>
              <w:t>85</w:t>
            </w:r>
            <w:r>
              <w:rPr>
                <w:rFonts w:hint="default" w:ascii="Times New Roman" w:hAnsi="Times New Roman" w:eastAsia="宋体" w:cs="Times New Roman"/>
              </w:rPr>
              <w:t>计，则光伏电池板清洗废水产量为</w:t>
            </w:r>
            <w:r>
              <w:rPr>
                <w:rFonts w:hint="eastAsia" w:ascii="Times New Roman" w:hAnsi="Times New Roman" w:eastAsia="宋体" w:cs="Times New Roman"/>
                <w:color w:val="auto"/>
                <w:lang w:val="en-US" w:eastAsia="zh-CN"/>
              </w:rPr>
              <w:t>249.008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498.015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rPr>
              <w:t>，污染物主要为SS。</w:t>
            </w:r>
          </w:p>
          <w:p w14:paraId="2D9F551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②生活污水</w:t>
            </w:r>
          </w:p>
          <w:p w14:paraId="4BF6FA9C">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rPr>
              <w:t>本工程全站定员</w:t>
            </w:r>
            <w:r>
              <w:rPr>
                <w:rFonts w:hint="eastAsia" w:ascii="Times New Roman" w:hAnsi="Times New Roman" w:eastAsia="宋体" w:cs="Times New Roman"/>
                <w:lang w:val="en-US" w:eastAsia="zh-CN"/>
              </w:rPr>
              <w:t>4</w:t>
            </w:r>
            <w:r>
              <w:rPr>
                <w:rFonts w:hint="default" w:ascii="Times New Roman" w:hAnsi="Times New Roman" w:eastAsia="宋体" w:cs="Times New Roman"/>
              </w:rPr>
              <w:t>人，均在项目内食宿，年运行365天。根据《云南省行业用水定额地方标准》（DB53/T168-2019），生活用水定额取为100L/人.d计，则用水量为0.</w:t>
            </w:r>
            <w:r>
              <w:rPr>
                <w:rFonts w:hint="eastAsia" w:ascii="Times New Roman" w:hAnsi="Times New Roman" w:eastAsia="宋体" w:cs="Times New Roman"/>
                <w:lang w:val="en-US" w:eastAsia="zh-CN"/>
              </w:rPr>
              <w:t>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146</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/a），产污系数按0.8计算，则污水产生量为0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116.8</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eastAsia="zh-CN"/>
              </w:rPr>
              <w:t>其中厨房废水量为</w:t>
            </w:r>
            <w:r>
              <w:rPr>
                <w:rFonts w:hint="eastAsia" w:ascii="Times New Roman" w:hAnsi="Times New Roman" w:eastAsia="宋体" w:cs="Times New Roman"/>
                <w:lang w:val="en-US" w:eastAsia="zh-CN"/>
              </w:rPr>
              <w:t>0.08</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29.2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val="en-US" w:eastAsia="zh-CN"/>
              </w:rPr>
              <w:t>，员工冲厕废水依托江东升压站已建成的化粪池处理，其化粪池容积为4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vertAlign w:val="baseline"/>
                <w:lang w:val="en-US" w:eastAsia="zh-CN"/>
              </w:rPr>
              <w:t>该化粪池目前仅受纳江东升压站内五名员工生活污水（约0.4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vertAlign w:val="baseline"/>
                <w:lang w:val="en-US" w:eastAsia="zh-CN"/>
              </w:rPr>
              <w:t>），本项目员工冲厕废水废水产生量为0.32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其化粪池收集容量余量远大于本项目污水产生量，可保证储存5天以上。</w:t>
            </w:r>
          </w:p>
          <w:p w14:paraId="59A92A9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default" w:ascii="Times New Roman" w:hAnsi="Times New Roman" w:eastAsia="宋体" w:cs="Times New Roman"/>
              </w:rPr>
              <w:t>项目产生的生活污水经隔油池、化粪池</w:t>
            </w:r>
            <w:r>
              <w:rPr>
                <w:rFonts w:hint="eastAsia" w:ascii="Times New Roman" w:hAnsi="Times New Roman" w:eastAsia="宋体" w:cs="Times New Roman"/>
                <w:lang w:eastAsia="zh-CN"/>
              </w:rPr>
              <w:t>处理后暂存于废水收集池，</w:t>
            </w:r>
            <w:r>
              <w:rPr>
                <w:rFonts w:hint="default" w:ascii="Times New Roman" w:hAnsi="Times New Roman" w:eastAsia="宋体" w:cs="Times New Roman"/>
              </w:rPr>
              <w:t>用于</w:t>
            </w:r>
            <w:r>
              <w:rPr>
                <w:rFonts w:hint="eastAsia" w:ascii="Times New Roman" w:hAnsi="Times New Roman" w:eastAsia="宋体" w:cs="Times New Roman"/>
                <w:lang w:val="en-US" w:eastAsia="zh-CN"/>
              </w:rPr>
              <w:t>场区内</w:t>
            </w:r>
            <w:r>
              <w:rPr>
                <w:rFonts w:hint="default" w:ascii="Times New Roman" w:hAnsi="Times New Roman" w:eastAsia="宋体" w:cs="Times New Roman"/>
              </w:rPr>
              <w:t>绿化，废水不外排。</w:t>
            </w:r>
          </w:p>
          <w:tbl>
            <w:tblPr>
              <w:tblStyle w:val="25"/>
              <w:tblpPr w:leftFromText="180" w:rightFromText="180" w:vertAnchor="text" w:horzAnchor="page" w:tblpX="110" w:tblpY="468"/>
              <w:tblOverlap w:val="never"/>
              <w:tblW w:w="85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50"/>
              <w:gridCol w:w="1273"/>
              <w:gridCol w:w="1173"/>
              <w:gridCol w:w="1297"/>
              <w:gridCol w:w="2486"/>
              <w:gridCol w:w="1038"/>
            </w:tblGrid>
            <w:tr w14:paraId="664B5B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7BAA769E">
                  <w:pPr>
                    <w:keepNext w:val="0"/>
                    <w:keepLines w:val="0"/>
                    <w:suppressLineNumbers w:val="0"/>
                    <w:adjustRightInd w:val="0"/>
                    <w:snapToGrid w:val="0"/>
                    <w:spacing w:before="0" w:beforeAutospacing="0" w:after="0" w:afterAutospacing="0"/>
                    <w:ind w:left="0" w:right="0"/>
                    <w:jc w:val="center"/>
                    <w:rPr>
                      <w:rFonts w:hint="eastAsia" w:eastAsia="宋体"/>
                      <w:b/>
                      <w:color w:val="auto"/>
                      <w:lang w:eastAsia="zh-CN"/>
                    </w:rPr>
                  </w:pPr>
                  <w:r>
                    <w:rPr>
                      <w:rFonts w:hint="eastAsia"/>
                      <w:b/>
                      <w:color w:val="auto"/>
                      <w:lang w:eastAsia="zh-CN"/>
                    </w:rPr>
                    <w:t>产排污环节</w:t>
                  </w:r>
                </w:p>
              </w:tc>
              <w:tc>
                <w:tcPr>
                  <w:tcW w:w="1273" w:type="dxa"/>
                  <w:vAlign w:val="center"/>
                </w:tcPr>
                <w:p w14:paraId="2BF4BA40">
                  <w:pPr>
                    <w:keepNext w:val="0"/>
                    <w:keepLines w:val="0"/>
                    <w:suppressLineNumbers w:val="0"/>
                    <w:adjustRightInd w:val="0"/>
                    <w:snapToGrid w:val="0"/>
                    <w:spacing w:before="0" w:beforeAutospacing="0" w:after="0" w:afterAutospacing="0"/>
                    <w:ind w:left="0" w:right="0"/>
                    <w:jc w:val="center"/>
                    <w:rPr>
                      <w:rFonts w:hint="eastAsia" w:eastAsia="宋体"/>
                      <w:b/>
                      <w:color w:val="auto"/>
                      <w:lang w:eastAsia="zh-CN"/>
                    </w:rPr>
                  </w:pPr>
                  <w:r>
                    <w:rPr>
                      <w:rFonts w:hint="eastAsia"/>
                      <w:b/>
                      <w:color w:val="auto"/>
                      <w:lang w:eastAsia="zh-CN"/>
                    </w:rPr>
                    <w:t>污染物种类</w:t>
                  </w:r>
                </w:p>
              </w:tc>
              <w:tc>
                <w:tcPr>
                  <w:tcW w:w="1173" w:type="dxa"/>
                  <w:vAlign w:val="center"/>
                </w:tcPr>
                <w:p w14:paraId="55936C09">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eastAsia"/>
                      <w:b/>
                      <w:color w:val="auto"/>
                      <w:lang w:eastAsia="zh-CN"/>
                    </w:rPr>
                    <w:t>用水</w:t>
                  </w:r>
                  <w:r>
                    <w:rPr>
                      <w:rFonts w:hint="default"/>
                      <w:b/>
                      <w:color w:val="auto"/>
                    </w:rPr>
                    <w:t>量</w:t>
                  </w:r>
                  <w:r>
                    <w:rPr>
                      <w:rFonts w:hint="default" w:ascii="Times New Roman" w:hAnsi="Times New Roman" w:cs="Times New Roman"/>
                      <w:b/>
                      <w:color w:val="auto"/>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rPr>
                    <w:t>/a）</w:t>
                  </w:r>
                </w:p>
              </w:tc>
              <w:tc>
                <w:tcPr>
                  <w:tcW w:w="1297" w:type="dxa"/>
                  <w:vAlign w:val="center"/>
                </w:tcPr>
                <w:p w14:paraId="34985D6A">
                  <w:pPr>
                    <w:keepNext w:val="0"/>
                    <w:keepLines w:val="0"/>
                    <w:suppressLineNumbers w:val="0"/>
                    <w:adjustRightInd w:val="0"/>
                    <w:snapToGrid w:val="0"/>
                    <w:spacing w:before="0" w:beforeAutospacing="0" w:after="0" w:afterAutospacing="0"/>
                    <w:ind w:left="0" w:right="0"/>
                    <w:jc w:val="center"/>
                    <w:rPr>
                      <w:rFonts w:hint="default"/>
                      <w:b/>
                      <w:color w:val="auto"/>
                      <w:lang w:val="en-US" w:eastAsia="zh-CN"/>
                    </w:rPr>
                  </w:pPr>
                  <w:r>
                    <w:rPr>
                      <w:rFonts w:hint="eastAsia"/>
                      <w:b/>
                      <w:color w:val="auto"/>
                      <w:lang w:eastAsia="zh-CN"/>
                    </w:rPr>
                    <w:t>废水产生量</w:t>
                  </w:r>
                  <w:r>
                    <w:rPr>
                      <w:rFonts w:hint="eastAsia"/>
                      <w:b/>
                      <w:color w:val="auto"/>
                      <w:lang w:val="en-US" w:eastAsia="zh-CN"/>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lang w:val="en-US" w:eastAsia="zh-CN"/>
                    </w:rPr>
                    <w:t>/a</w:t>
                  </w:r>
                  <w:r>
                    <w:rPr>
                      <w:rFonts w:hint="eastAsia" w:ascii="Times New Roman" w:hAnsi="Times New Roman" w:cs="Times New Roman"/>
                      <w:b/>
                      <w:color w:val="auto"/>
                      <w:lang w:val="en-US" w:eastAsia="zh-CN"/>
                    </w:rPr>
                    <w:t>)</w:t>
                  </w:r>
                </w:p>
              </w:tc>
              <w:tc>
                <w:tcPr>
                  <w:tcW w:w="2486" w:type="dxa"/>
                  <w:vAlign w:val="center"/>
                </w:tcPr>
                <w:p w14:paraId="6E103F84">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default"/>
                      <w:b/>
                      <w:color w:val="auto"/>
                    </w:rPr>
                    <w:t>采取措施</w:t>
                  </w:r>
                </w:p>
              </w:tc>
              <w:tc>
                <w:tcPr>
                  <w:tcW w:w="1038" w:type="dxa"/>
                  <w:vAlign w:val="center"/>
                </w:tcPr>
                <w:p w14:paraId="047E0AF5">
                  <w:pPr>
                    <w:keepNext w:val="0"/>
                    <w:keepLines w:val="0"/>
                    <w:suppressLineNumbers w:val="0"/>
                    <w:adjustRightInd w:val="0"/>
                    <w:snapToGrid w:val="0"/>
                    <w:spacing w:before="0" w:beforeAutospacing="0" w:after="0" w:afterAutospacing="0"/>
                    <w:ind w:left="0" w:right="0"/>
                    <w:jc w:val="center"/>
                    <w:rPr>
                      <w:rFonts w:hint="default"/>
                      <w:b/>
                      <w:color w:val="auto"/>
                    </w:rPr>
                  </w:pPr>
                  <w:r>
                    <w:rPr>
                      <w:rFonts w:hint="default"/>
                      <w:b/>
                      <w:color w:val="auto"/>
                    </w:rPr>
                    <w:t>排放量（t/a）</w:t>
                  </w:r>
                </w:p>
              </w:tc>
            </w:tr>
            <w:tr w14:paraId="310AC5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318CD02B">
                  <w:pPr>
                    <w:keepNext w:val="0"/>
                    <w:keepLines w:val="0"/>
                    <w:suppressLineNumbers w:val="0"/>
                    <w:tabs>
                      <w:tab w:val="left" w:pos="3094"/>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生活用水</w:t>
                  </w:r>
                </w:p>
              </w:tc>
              <w:tc>
                <w:tcPr>
                  <w:tcW w:w="1273" w:type="dxa"/>
                  <w:vAlign w:val="center"/>
                </w:tcPr>
                <w:p w14:paraId="250CDAA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COD、BOD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ar"/>
                    </w:rPr>
                    <w:t>、总氮、NH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-N、总磷</w:t>
                  </w:r>
                  <w:r>
                    <w:rPr>
                      <w:rFonts w:hint="eastAsia" w:ascii="Times New Roman" w:hAnsi="Times New Roman" w:eastAsia="宋体" w:cs="Times New Roman"/>
                      <w:color w:val="auto"/>
                      <w:kern w:val="0"/>
                      <w:sz w:val="21"/>
                      <w:szCs w:val="21"/>
                      <w:lang w:val="en-US" w:eastAsia="zh-CN" w:bidi="ar"/>
                    </w:rPr>
                    <w:t>等</w:t>
                  </w:r>
                </w:p>
              </w:tc>
              <w:tc>
                <w:tcPr>
                  <w:tcW w:w="1173" w:type="dxa"/>
                  <w:vAlign w:val="center"/>
                </w:tcPr>
                <w:p w14:paraId="54F1F9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w:t>
                  </w:r>
                </w:p>
              </w:tc>
              <w:tc>
                <w:tcPr>
                  <w:tcW w:w="1297" w:type="dxa"/>
                  <w:vAlign w:val="center"/>
                </w:tcPr>
                <w:p w14:paraId="603228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116.8</w:t>
                  </w:r>
                </w:p>
              </w:tc>
              <w:tc>
                <w:tcPr>
                  <w:tcW w:w="2486" w:type="dxa"/>
                  <w:vAlign w:val="center"/>
                </w:tcPr>
                <w:p w14:paraId="2E4CD3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食堂废水经</w:t>
                  </w:r>
                  <w:r>
                    <w:rPr>
                      <w:rFonts w:hint="eastAsia" w:ascii="Times New Roman" w:hAnsi="Times New Roman" w:eastAsia="宋体" w:cs="Times New Roman"/>
                      <w:b w:val="0"/>
                      <w:bCs w:val="0"/>
                      <w:color w:val="auto"/>
                      <w:sz w:val="21"/>
                      <w:szCs w:val="21"/>
                      <w:lang w:val="en-US" w:eastAsia="zh-CN"/>
                    </w:rPr>
                    <w:t>隔油池</w:t>
                  </w:r>
                  <w:r>
                    <w:rPr>
                      <w:rFonts w:hint="default" w:ascii="Times New Roman" w:hAnsi="Times New Roman" w:eastAsia="宋体" w:cs="Times New Roman"/>
                      <w:b w:val="0"/>
                      <w:bCs w:val="0"/>
                      <w:color w:val="auto"/>
                      <w:sz w:val="21"/>
                      <w:szCs w:val="21"/>
                      <w:lang w:val="en-US" w:eastAsia="zh-CN"/>
                    </w:rPr>
                    <w:t>处理后连同其余生活污水经化粪池处理后</w:t>
                  </w:r>
                  <w:r>
                    <w:rPr>
                      <w:rFonts w:hint="eastAsia" w:ascii="Times New Roman" w:hAnsi="Times New Roman" w:eastAsia="宋体" w:cs="Times New Roman"/>
                      <w:b w:val="0"/>
                      <w:bCs w:val="0"/>
                      <w:color w:val="auto"/>
                      <w:sz w:val="21"/>
                      <w:szCs w:val="21"/>
                      <w:lang w:val="en-US" w:eastAsia="zh-CN"/>
                    </w:rPr>
                    <w:t>暂存于废水收集池</w:t>
                  </w:r>
                  <w:r>
                    <w:rPr>
                      <w:rFonts w:hint="default" w:ascii="Times New Roman" w:hAnsi="Times New Roman" w:eastAsia="宋体" w:cs="Times New Roman"/>
                      <w:b w:val="0"/>
                      <w:bCs w:val="0"/>
                      <w:color w:val="auto"/>
                      <w:sz w:val="21"/>
                      <w:szCs w:val="21"/>
                      <w:lang w:val="en-US" w:eastAsia="zh-CN"/>
                    </w:rPr>
                    <w:t>，用于</w:t>
                  </w:r>
                  <w:r>
                    <w:rPr>
                      <w:rFonts w:hint="eastAsia" w:ascii="Times New Roman" w:hAnsi="Times New Roman" w:eastAsia="宋体" w:cs="Times New Roman"/>
                      <w:b w:val="0"/>
                      <w:bCs w:val="0"/>
                      <w:color w:val="auto"/>
                      <w:sz w:val="21"/>
                      <w:szCs w:val="21"/>
                      <w:lang w:val="en-US" w:eastAsia="zh-CN"/>
                    </w:rPr>
                    <w:t>江东</w:t>
                  </w:r>
                  <w:r>
                    <w:rPr>
                      <w:rFonts w:hint="default" w:ascii="Times New Roman" w:hAnsi="Times New Roman" w:eastAsia="宋体" w:cs="Times New Roman"/>
                      <w:b w:val="0"/>
                      <w:bCs w:val="0"/>
                      <w:color w:val="auto"/>
                      <w:sz w:val="21"/>
                      <w:szCs w:val="21"/>
                      <w:lang w:val="en-US" w:eastAsia="zh-CN"/>
                    </w:rPr>
                    <w:t>升压站绿化浇灌。</w:t>
                  </w:r>
                </w:p>
              </w:tc>
              <w:tc>
                <w:tcPr>
                  <w:tcW w:w="1038" w:type="dxa"/>
                  <w:vAlign w:val="center"/>
                </w:tcPr>
                <w:p w14:paraId="407BDB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626349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6ABDCCA4">
                  <w:pPr>
                    <w:keepNext w:val="0"/>
                    <w:keepLines w:val="0"/>
                    <w:suppressLineNumbers w:val="0"/>
                    <w:tabs>
                      <w:tab w:val="left" w:pos="3094"/>
                    </w:tabs>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光伏电池板清洗废水</w:t>
                  </w:r>
                </w:p>
              </w:tc>
              <w:tc>
                <w:tcPr>
                  <w:tcW w:w="1273" w:type="dxa"/>
                  <w:vAlign w:val="center"/>
                </w:tcPr>
                <w:p w14:paraId="58D22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 w:val="28"/>
                      <w:szCs w:val="28"/>
                      <w:lang w:val="en-US" w:eastAsia="zh-CN" w:bidi="ar"/>
                    </w:rPr>
                    <w:t>ss</w:t>
                  </w:r>
                </w:p>
              </w:tc>
              <w:tc>
                <w:tcPr>
                  <w:tcW w:w="1173" w:type="dxa"/>
                  <w:vAlign w:val="center"/>
                </w:tcPr>
                <w:p w14:paraId="6977B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585.9</w:t>
                  </w:r>
                </w:p>
              </w:tc>
              <w:tc>
                <w:tcPr>
                  <w:tcW w:w="1297" w:type="dxa"/>
                  <w:vAlign w:val="center"/>
                </w:tcPr>
                <w:p w14:paraId="22277C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498.015</w:t>
                  </w:r>
                </w:p>
              </w:tc>
              <w:tc>
                <w:tcPr>
                  <w:tcW w:w="2486" w:type="dxa"/>
                  <w:vAlign w:val="center"/>
                </w:tcPr>
                <w:p w14:paraId="49109C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color w:val="auto"/>
                      <w:sz w:val="21"/>
                      <w:szCs w:val="21"/>
                      <w:lang w:eastAsia="zh-CN"/>
                    </w:rPr>
                    <w:t>暂存于沉淀池，用于</w:t>
                  </w:r>
                  <w:r>
                    <w:rPr>
                      <w:rFonts w:hint="default" w:ascii="Times New Roman" w:hAnsi="Times New Roman" w:eastAsia="宋体" w:cs="Times New Roman"/>
                      <w:color w:val="auto"/>
                      <w:sz w:val="21"/>
                      <w:szCs w:val="21"/>
                    </w:rPr>
                    <w:t>光伏阵列区</w:t>
                  </w:r>
                  <w:r>
                    <w:rPr>
                      <w:rFonts w:hint="default" w:ascii="Times New Roman" w:hAnsi="Times New Roman" w:eastAsia="宋体" w:cs="Times New Roman"/>
                      <w:color w:val="auto"/>
                      <w:sz w:val="21"/>
                      <w:szCs w:val="21"/>
                      <w:lang w:val="en-US" w:eastAsia="zh-CN"/>
                    </w:rPr>
                    <w:t>板下</w:t>
                  </w:r>
                  <w:r>
                    <w:rPr>
                      <w:rFonts w:hint="default" w:ascii="Times New Roman" w:hAnsi="Times New Roman" w:eastAsia="宋体" w:cs="Times New Roman"/>
                      <w:color w:val="auto"/>
                      <w:sz w:val="21"/>
                      <w:szCs w:val="21"/>
                    </w:rPr>
                    <w:t>植被</w:t>
                  </w:r>
                  <w:r>
                    <w:rPr>
                      <w:rFonts w:hint="default" w:ascii="Times New Roman" w:hAnsi="Times New Roman" w:eastAsia="宋体" w:cs="Times New Roman"/>
                      <w:color w:val="auto"/>
                      <w:sz w:val="21"/>
                      <w:szCs w:val="21"/>
                      <w:lang w:val="en-US" w:eastAsia="zh-CN"/>
                    </w:rPr>
                    <w:t>浇灌</w:t>
                  </w:r>
                </w:p>
              </w:tc>
              <w:tc>
                <w:tcPr>
                  <w:tcW w:w="1038" w:type="dxa"/>
                  <w:vAlign w:val="center"/>
                </w:tcPr>
                <w:p w14:paraId="0C0C68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r w14:paraId="18F361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43B161ED">
                  <w:pPr>
                    <w:keepNext w:val="0"/>
                    <w:keepLines w:val="0"/>
                    <w:suppressLineNumbers w:val="0"/>
                    <w:tabs>
                      <w:tab w:val="left" w:pos="3094"/>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1273" w:type="dxa"/>
                  <w:vAlign w:val="center"/>
                </w:tcPr>
                <w:p w14:paraId="6420D6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rPr>
                  </w:pPr>
                </w:p>
              </w:tc>
              <w:tc>
                <w:tcPr>
                  <w:tcW w:w="1173" w:type="dxa"/>
                  <w:vAlign w:val="center"/>
                </w:tcPr>
                <w:p w14:paraId="1A0C2B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p>
              </w:tc>
              <w:tc>
                <w:tcPr>
                  <w:tcW w:w="1297" w:type="dxa"/>
                  <w:vAlign w:val="center"/>
                </w:tcPr>
                <w:p w14:paraId="09C6F3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p>
              </w:tc>
              <w:tc>
                <w:tcPr>
                  <w:tcW w:w="2486" w:type="dxa"/>
                  <w:vAlign w:val="center"/>
                </w:tcPr>
                <w:p w14:paraId="0DBDA3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38" w:type="dxa"/>
                  <w:vAlign w:val="center"/>
                </w:tcPr>
                <w:p w14:paraId="56CECC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p>
              </w:tc>
            </w:tr>
          </w:tbl>
          <w:p w14:paraId="0697C9D5">
            <w:pPr>
              <w:keepNext w:val="0"/>
              <w:keepLines w:val="0"/>
              <w:suppressLineNumbers w:val="0"/>
              <w:spacing w:before="0" w:beforeAutospacing="0" w:after="0" w:afterAutospacing="0" w:line="360" w:lineRule="auto"/>
              <w:ind w:left="0" w:right="0" w:firstLine="422" w:firstLineChars="200"/>
              <w:jc w:val="center"/>
              <w:rPr>
                <w:rFonts w:hint="eastAsia" w:ascii="Times New Roman" w:hAnsi="Times New Roman" w:eastAsia="宋体" w:cs="Times New Roman"/>
                <w:b/>
                <w:bCs/>
                <w:color w:val="auto"/>
                <w:sz w:val="21"/>
                <w:szCs w:val="21"/>
                <w:lang w:val="en-US" w:eastAsia="zh-CN"/>
              </w:rPr>
            </w:pPr>
            <w:r>
              <w:rPr>
                <w:rFonts w:hint="default"/>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eastAsia="仿宋" w:cs="Times New Roman"/>
                <w:b/>
                <w:bCs/>
                <w:color w:val="auto"/>
                <w:sz w:val="21"/>
                <w:szCs w:val="21"/>
                <w:lang w:val="en-US" w:eastAsia="zh-CN"/>
              </w:rPr>
              <w:t>5</w:t>
            </w:r>
            <w:r>
              <w:rPr>
                <w:rFonts w:hint="default"/>
                <w:b/>
                <w:bCs/>
                <w:color w:val="auto"/>
                <w:sz w:val="21"/>
                <w:szCs w:val="21"/>
              </w:rPr>
              <w:t>项目</w:t>
            </w:r>
            <w:r>
              <w:rPr>
                <w:rFonts w:hint="eastAsia"/>
                <w:b/>
                <w:bCs/>
                <w:color w:val="auto"/>
                <w:sz w:val="21"/>
                <w:szCs w:val="21"/>
                <w:lang w:eastAsia="zh-CN"/>
              </w:rPr>
              <w:t>废水</w:t>
            </w:r>
            <w:r>
              <w:rPr>
                <w:rFonts w:hint="default"/>
                <w:b/>
                <w:bCs/>
                <w:color w:val="auto"/>
                <w:sz w:val="21"/>
                <w:szCs w:val="21"/>
              </w:rPr>
              <w:t>产排情况汇总</w:t>
            </w:r>
            <w:r>
              <w:rPr>
                <w:rFonts w:hint="eastAsia"/>
                <w:b/>
                <w:bCs/>
                <w:color w:val="auto"/>
                <w:sz w:val="21"/>
                <w:szCs w:val="21"/>
                <w:lang w:eastAsia="zh-CN"/>
              </w:rPr>
              <w:t>表</w:t>
            </w:r>
          </w:p>
          <w:p w14:paraId="36219C0F">
            <w:pPr>
              <w:pStyle w:val="20"/>
              <w:keepNext w:val="0"/>
              <w:keepLines w:val="0"/>
              <w:suppressLineNumbers w:val="0"/>
              <w:spacing w:before="0" w:beforeAutospacing="0" w:after="0" w:afterAutospacing="0"/>
              <w:ind w:left="0" w:right="0"/>
              <w:rPr>
                <w:rFonts w:hint="eastAsia"/>
                <w:lang w:eastAsia="zh-CN"/>
              </w:rPr>
            </w:pPr>
          </w:p>
          <w:p w14:paraId="5C9B9C3B">
            <w:pPr>
              <w:pStyle w:val="21"/>
              <w:keepNext w:val="0"/>
              <w:keepLines w:val="0"/>
              <w:suppressLineNumbers w:val="0"/>
              <w:spacing w:before="0" w:beforeAutospacing="0" w:after="0" w:afterAutospacing="0"/>
              <w:ind w:left="0" w:right="0"/>
              <w:rPr>
                <w:rFonts w:hint="eastAsia"/>
                <w:lang w:eastAsia="zh-CN"/>
              </w:rPr>
            </w:pPr>
            <w:r>
              <w:rPr>
                <w:rFonts w:hint="eastAsia"/>
                <w:lang w:eastAsia="zh-CN"/>
              </w:rPr>
              <w:object>
                <v:shape id="_x0000_i1031" o:spt="75" type="#_x0000_t75" style="height:246.8pt;width:365.25pt;" o:ole="t" filled="f" o:preferrelative="t" stroked="f" coordsize="21600,21600">
                  <v:path/>
                  <v:fill on="f" focussize="0,0"/>
                  <v:stroke on="f"/>
                  <v:imagedata r:id="rId38" o:title=""/>
                  <o:lock v:ext="edit" aspectratio="t"/>
                  <w10:wrap type="none"/>
                  <w10:anchorlock/>
                </v:shape>
                <o:OLEObject Type="Embed" ProgID="Visio.Drawing.11" ShapeID="_x0000_i1031" DrawAspect="Content" ObjectID="_1468075731" r:id="rId37">
                  <o:LockedField>false</o:LockedField>
                </o:OLEObject>
              </w:object>
            </w:r>
          </w:p>
          <w:p w14:paraId="3BEBCC1E">
            <w:pPr>
              <w:keepNext w:val="0"/>
              <w:keepLines w:val="0"/>
              <w:suppressLineNumbers w:val="0"/>
              <w:spacing w:before="0" w:beforeAutospacing="0" w:after="0" w:afterAutospacing="0"/>
              <w:ind w:left="0" w:right="0"/>
              <w:rPr>
                <w:rFonts w:hint="eastAsia"/>
                <w:lang w:eastAsia="zh-CN"/>
              </w:rPr>
            </w:pPr>
          </w:p>
          <w:p w14:paraId="55A87DD7">
            <w:pPr>
              <w:pStyle w:val="16"/>
              <w:keepNext w:val="0"/>
              <w:keepLines w:val="0"/>
              <w:suppressLineNumbers w:val="0"/>
              <w:spacing w:before="0" w:beforeAutospacing="0" w:after="0" w:afterAutospacing="0"/>
              <w:ind w:left="0" w:right="0"/>
              <w:rPr>
                <w:rFonts w:hint="eastAsia"/>
                <w:lang w:eastAsia="zh-CN"/>
              </w:rPr>
            </w:pPr>
          </w:p>
          <w:p w14:paraId="51E949C8">
            <w:pPr>
              <w:keepNext w:val="0"/>
              <w:keepLines w:val="0"/>
              <w:suppressLineNumbers w:val="0"/>
              <w:spacing w:before="0" w:beforeAutospacing="0" w:after="0" w:afterAutospacing="0"/>
              <w:ind w:left="0" w:right="0"/>
              <w:rPr>
                <w:rFonts w:hint="eastAsia"/>
                <w:lang w:eastAsia="zh-CN"/>
              </w:rPr>
            </w:pPr>
          </w:p>
          <w:p w14:paraId="33F5F37C">
            <w:pPr>
              <w:keepNext w:val="0"/>
              <w:keepLines w:val="0"/>
              <w:suppressLineNumbers w:val="0"/>
              <w:autoSpaceDE w:val="0"/>
              <w:autoSpaceDN w:val="0"/>
              <w:spacing w:before="0" w:beforeAutospacing="0" w:after="0" w:afterAutospacing="0" w:line="36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b/>
                <w:color w:val="auto"/>
                <w:sz w:val="24"/>
                <w:szCs w:val="24"/>
              </w:rPr>
              <w:t>图4-</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项目水平衡图（单位：m</w:t>
            </w:r>
            <w:r>
              <w:rPr>
                <w:rFonts w:hint="default" w:ascii="Times New Roman" w:hAnsi="Times New Roman" w:eastAsia="宋体" w:cs="Times New Roman"/>
                <w:b/>
                <w:color w:val="auto"/>
                <w:sz w:val="24"/>
                <w:szCs w:val="24"/>
                <w:vertAlign w:val="superscript"/>
              </w:rPr>
              <w:t>3</w:t>
            </w:r>
            <w:r>
              <w:rPr>
                <w:rFonts w:hint="default" w:ascii="Times New Roman" w:hAnsi="Times New Roman" w:eastAsia="宋体" w:cs="Times New Roman"/>
                <w:b/>
                <w:color w:val="auto"/>
                <w:sz w:val="24"/>
                <w:szCs w:val="24"/>
              </w:rPr>
              <w:t>/a）</w:t>
            </w:r>
          </w:p>
          <w:p w14:paraId="6028434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2）项目废水处理方案</w:t>
            </w:r>
          </w:p>
          <w:p w14:paraId="2C6F27E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①废水特征</w:t>
            </w:r>
          </w:p>
          <w:p w14:paraId="65A66D7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项目营运期间产生的光伏电池板清洗废水主要含SS，不含其它污染物，清洗 废水量约</w:t>
            </w:r>
            <w:r>
              <w:rPr>
                <w:rFonts w:hint="eastAsia" w:ascii="Times New Roman" w:hAnsi="Times New Roman" w:eastAsia="宋体" w:cs="Times New Roman"/>
                <w:color w:val="auto"/>
                <w:lang w:val="en-US" w:eastAsia="zh-CN"/>
              </w:rPr>
              <w:t>249.008</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p>
          <w:p w14:paraId="12E138B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营运期间产</w:t>
            </w:r>
            <w:r>
              <w:rPr>
                <w:rFonts w:hint="default" w:ascii="Times New Roman" w:hAnsi="Times New Roman" w:eastAsia="宋体" w:cs="Times New Roman"/>
                <w:color w:val="auto"/>
              </w:rPr>
              <w:t>生的生活污水量约</w:t>
            </w:r>
            <w:r>
              <w:rPr>
                <w:rFonts w:hint="eastAsia" w:ascii="Times New Roman" w:hAnsi="Times New Roman" w:eastAsia="宋体" w:cs="Times New Roman"/>
                <w:color w:val="auto"/>
                <w:lang w:val="en-US" w:eastAsia="zh-CN"/>
              </w:rPr>
              <w:t>0.32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eastAsia" w:ascii="Times New Roman" w:hAnsi="Times New Roman" w:eastAsia="宋体" w:cs="Times New Roman"/>
                <w:lang w:val="en-US" w:eastAsia="zh-CN"/>
              </w:rPr>
              <w:t>。</w:t>
            </w:r>
          </w:p>
          <w:p w14:paraId="47D7463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w:t>
            </w:r>
            <w:r>
              <w:rPr>
                <w:rFonts w:hint="default" w:ascii="Times New Roman" w:hAnsi="Times New Roman" w:eastAsia="宋体" w:cs="Times New Roman"/>
                <w:color w:val="auto"/>
                <w:sz w:val="24"/>
              </w:rPr>
              <w:t>污染物排放情况</w:t>
            </w:r>
          </w:p>
          <w:p w14:paraId="3E8D538A">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运营时产生的废水为生活污水和生产废水。</w:t>
            </w:r>
          </w:p>
          <w:p w14:paraId="7F49B2B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生产废水：项目产生的生产废水</w:t>
            </w:r>
            <w:r>
              <w:rPr>
                <w:rFonts w:hint="default" w:ascii="Times New Roman" w:hAnsi="Times New Roman" w:eastAsia="宋体" w:cs="Times New Roman"/>
                <w:color w:val="auto"/>
                <w:sz w:val="24"/>
                <w:szCs w:val="20"/>
              </w:rPr>
              <w:t>主要污染物是SS</w:t>
            </w:r>
            <w:r>
              <w:rPr>
                <w:rFonts w:hint="eastAsia" w:ascii="Times New Roman" w:hAnsi="Times New Roman" w:eastAsia="宋体" w:cs="Times New Roman"/>
                <w:color w:val="auto"/>
                <w:sz w:val="24"/>
                <w:szCs w:val="20"/>
                <w:lang w:eastAsia="zh-CN"/>
              </w:rPr>
              <w:t>。</w:t>
            </w:r>
          </w:p>
          <w:p w14:paraId="62484563">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b/>
                <w:bCs/>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生活污水：项目产生的生活污水经隔油池、化粪池处理后</w:t>
            </w:r>
            <w:r>
              <w:rPr>
                <w:rFonts w:hint="eastAsia" w:ascii="Times New Roman" w:hAnsi="Times New Roman" w:eastAsia="宋体" w:cs="Times New Roman"/>
                <w:color w:val="auto"/>
                <w:sz w:val="24"/>
                <w:lang w:eastAsia="zh-CN"/>
              </w:rPr>
              <w:t>暂存于废水收集池</w:t>
            </w:r>
            <w:r>
              <w:rPr>
                <w:rFonts w:hint="default" w:ascii="Times New Roman" w:hAnsi="Times New Roman" w:eastAsia="宋体" w:cs="Times New Roman"/>
                <w:color w:val="auto"/>
                <w:sz w:val="24"/>
              </w:rPr>
              <w:t>用于</w:t>
            </w:r>
            <w:r>
              <w:rPr>
                <w:rFonts w:hint="eastAsia" w:ascii="Times New Roman" w:hAnsi="Times New Roman" w:eastAsia="宋体" w:cs="Times New Roman"/>
                <w:color w:val="auto"/>
                <w:sz w:val="24"/>
                <w:lang w:val="en-US" w:eastAsia="zh-CN"/>
              </w:rPr>
              <w:t>江东</w:t>
            </w:r>
            <w:r>
              <w:rPr>
                <w:rFonts w:hint="default" w:ascii="Times New Roman" w:hAnsi="Times New Roman" w:eastAsia="宋体" w:cs="Times New Roman"/>
                <w:color w:val="auto"/>
                <w:sz w:val="24"/>
              </w:rPr>
              <w:t>升压站</w:t>
            </w:r>
            <w:r>
              <w:rPr>
                <w:rFonts w:hint="eastAsia"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rPr>
              <w:t>绿化</w:t>
            </w:r>
            <w:r>
              <w:rPr>
                <w:rFonts w:hint="eastAsia" w:ascii="Times New Roman" w:hAnsi="Times New Roman" w:eastAsia="宋体" w:cs="Times New Roman"/>
                <w:color w:val="auto"/>
                <w:sz w:val="24"/>
                <w:lang w:eastAsia="zh-CN"/>
              </w:rPr>
              <w:t>施肥</w:t>
            </w:r>
            <w:r>
              <w:rPr>
                <w:rFonts w:hint="default" w:ascii="Times New Roman" w:hAnsi="Times New Roman" w:eastAsia="宋体" w:cs="Times New Roman"/>
                <w:color w:val="auto"/>
                <w:sz w:val="24"/>
              </w:rPr>
              <w:t>，废水不外排。</w:t>
            </w:r>
          </w:p>
          <w:p w14:paraId="3926E45C">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3）污水处理设施</w:t>
            </w:r>
          </w:p>
          <w:p w14:paraId="1ECBA1BE">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①雨污分流</w:t>
            </w:r>
          </w:p>
          <w:p w14:paraId="6FD33928">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场区</w:t>
            </w:r>
            <w:r>
              <w:rPr>
                <w:rFonts w:hint="default" w:ascii="Times New Roman" w:hAnsi="Times New Roman" w:eastAsia="宋体" w:cs="Times New Roman"/>
                <w:color w:val="auto"/>
                <w:sz w:val="24"/>
              </w:rPr>
              <w:t>内采取有组织排水，光伏组件阵列沿场内道路两侧布置，道路排水沟可拦截光伏组件阵列区上游地表汇流、收排光伏组件阵列区外排雨水；光伏支架对原始地形地貌改变不大，且因场地面积较大，为减少投资，光伏方阵依据自然地形采取自然排水。</w:t>
            </w:r>
          </w:p>
          <w:p w14:paraId="588D1C71">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②隔油池</w:t>
            </w:r>
          </w:p>
          <w:p w14:paraId="65738BF7">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vertAlign w:val="baseline"/>
                <w:lang w:val="en-US" w:eastAsia="zh-CN"/>
              </w:rPr>
            </w:pPr>
            <w:r>
              <w:rPr>
                <w:rFonts w:hint="default" w:ascii="Times New Roman" w:hAnsi="Times New Roman" w:eastAsia="宋体" w:cs="Times New Roman"/>
                <w:color w:val="auto"/>
                <w:sz w:val="24"/>
              </w:rPr>
              <w:t>隔油池污水处理规模以项目运行期的废水产生量为基数并取1.2的安全变化系数。项目食堂废水产生量为0.</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项目</w:t>
            </w:r>
            <w:r>
              <w:rPr>
                <w:rFonts w:hint="eastAsia" w:ascii="Times New Roman" w:hAnsi="Times New Roman" w:eastAsia="宋体" w:cs="Times New Roman"/>
                <w:lang w:val="en-US" w:eastAsia="zh-CN"/>
              </w:rPr>
              <w:t>依托江东升压站已建成的隔油池处理，其隔油池容积为0.5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vertAlign w:val="baseline"/>
                <w:lang w:val="en-US" w:eastAsia="zh-CN"/>
              </w:rPr>
              <w:t>该隔油池目前仅受纳江东升压站内五名员工</w:t>
            </w:r>
            <w:r>
              <w:rPr>
                <w:rFonts w:hint="default" w:ascii="Times New Roman" w:hAnsi="Times New Roman" w:eastAsia="宋体" w:cs="Times New Roman"/>
                <w:color w:val="auto"/>
                <w:sz w:val="24"/>
              </w:rPr>
              <w:t>食堂废水</w:t>
            </w:r>
            <w:r>
              <w:rPr>
                <w:rFonts w:hint="eastAsia" w:ascii="Times New Roman" w:hAnsi="Times New Roman" w:eastAsia="宋体" w:cs="Times New Roman"/>
                <w:vertAlign w:val="baseline"/>
                <w:lang w:val="en-US" w:eastAsia="zh-CN"/>
              </w:rPr>
              <w:t>（约0.1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vertAlign w:val="baseline"/>
                <w:lang w:val="en-US" w:eastAsia="zh-CN"/>
              </w:rPr>
              <w:t>），本项目员工</w:t>
            </w:r>
            <w:r>
              <w:rPr>
                <w:rFonts w:hint="default" w:ascii="Times New Roman" w:hAnsi="Times New Roman" w:eastAsia="宋体" w:cs="Times New Roman"/>
                <w:color w:val="auto"/>
                <w:sz w:val="24"/>
              </w:rPr>
              <w:t>食堂废水</w:t>
            </w:r>
            <w:r>
              <w:rPr>
                <w:rFonts w:hint="eastAsia" w:ascii="Times New Roman" w:hAnsi="Times New Roman" w:eastAsia="宋体" w:cs="Times New Roman"/>
                <w:vertAlign w:val="baseline"/>
                <w:lang w:val="en-US" w:eastAsia="zh-CN"/>
              </w:rPr>
              <w:t>产生量为0.08</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其隔油池收集容量余量远大于本项目污水产生量，但只可保证储存2天，建议新增一个0.5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val="en-US" w:eastAsia="zh-CN"/>
              </w:rPr>
              <w:t>的隔油池，满足食堂废水的暂存。</w:t>
            </w:r>
          </w:p>
          <w:p w14:paraId="23A5417B">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③化粪池</w:t>
            </w:r>
          </w:p>
          <w:p w14:paraId="7EBBA4D9">
            <w:pPr>
              <w:keepNext w:val="0"/>
              <w:keepLines w:val="0"/>
              <w:suppressLineNumbers w:val="0"/>
              <w:adjustRightInd w:val="0"/>
              <w:snapToGrid w:val="0"/>
              <w:spacing w:before="0" w:beforeAutospacing="0" w:after="0" w:afterAutospacing="0" w:line="360" w:lineRule="auto"/>
              <w:ind w:left="0" w:right="0" w:firstLine="424" w:firstLineChars="177"/>
              <w:rPr>
                <w:rFonts w:hint="default" w:ascii="Times New Roman" w:hAnsi="Times New Roman" w:eastAsia="宋体" w:cs="Times New Roman"/>
                <w:bCs/>
                <w:color w:val="auto"/>
                <w:sz w:val="24"/>
                <w:szCs w:val="20"/>
              </w:rPr>
            </w:pPr>
            <w:r>
              <w:rPr>
                <w:rFonts w:hint="default" w:ascii="Times New Roman" w:hAnsi="Times New Roman" w:eastAsia="宋体" w:cs="Times New Roman"/>
                <w:color w:val="auto"/>
                <w:sz w:val="24"/>
              </w:rPr>
              <w:t>化粪池处理规模以废水产生量为基数</w:t>
            </w:r>
            <w:r>
              <w:rPr>
                <w:rFonts w:hint="default" w:ascii="Times New Roman" w:hAnsi="Times New Roman" w:eastAsia="宋体" w:cs="Times New Roman"/>
                <w:bCs/>
                <w:color w:val="auto"/>
                <w:sz w:val="24"/>
                <w:szCs w:val="20"/>
              </w:rPr>
              <w:t>并考虑20%的余量取定。本项目运行期生活污水产生量为</w:t>
            </w:r>
            <w:r>
              <w:rPr>
                <w:rFonts w:hint="eastAsia" w:ascii="Times New Roman" w:hAnsi="Times New Roman" w:eastAsia="宋体" w:cs="Times New Roman"/>
                <w:bCs/>
                <w:color w:val="auto"/>
                <w:sz w:val="24"/>
                <w:szCs w:val="20"/>
                <w:lang w:val="en-US" w:eastAsia="zh-CN"/>
              </w:rPr>
              <w:t>0.32</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lang w:val="en-US" w:eastAsia="zh-CN"/>
              </w:rPr>
              <w:t>员工冲厕废水依托江东升压站已建成的化粪池处理，其化粪池容积为4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vertAlign w:val="baseline"/>
                <w:lang w:eastAsia="zh-CN"/>
              </w:rPr>
              <w:t>，</w:t>
            </w:r>
            <w:r>
              <w:rPr>
                <w:rFonts w:hint="eastAsia" w:ascii="Times New Roman" w:hAnsi="Times New Roman" w:eastAsia="宋体" w:cs="Times New Roman"/>
                <w:vertAlign w:val="baseline"/>
                <w:lang w:val="en-US" w:eastAsia="zh-CN"/>
              </w:rPr>
              <w:t>该化粪池目前仅受纳江东升压站内五名员工生活污水（约0.4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vertAlign w:val="baseline"/>
                <w:lang w:val="en-US" w:eastAsia="zh-CN"/>
              </w:rPr>
              <w:t>），本项目员工冲厕废水废水产生量为0.32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其化粪池收集容量余量远大于本项目污水产生量，可保证储存5天以上。</w:t>
            </w:r>
          </w:p>
          <w:p w14:paraId="7216AE94">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4"/>
                <w:szCs w:val="20"/>
                <w:lang w:eastAsia="zh-CN"/>
              </w:rPr>
            </w:pPr>
            <w:r>
              <w:rPr>
                <w:rFonts w:hint="default" w:ascii="Times New Roman" w:hAnsi="Times New Roman" w:eastAsia="宋体" w:cs="Times New Roman"/>
                <w:bCs/>
                <w:color w:val="auto"/>
                <w:sz w:val="24"/>
                <w:szCs w:val="20"/>
              </w:rPr>
              <w:t>④</w:t>
            </w:r>
            <w:r>
              <w:rPr>
                <w:rFonts w:hint="eastAsia" w:ascii="Times New Roman" w:hAnsi="Times New Roman" w:eastAsia="宋体" w:cs="Times New Roman"/>
                <w:bCs/>
                <w:color w:val="auto"/>
                <w:sz w:val="24"/>
                <w:szCs w:val="20"/>
                <w:lang w:eastAsia="zh-CN"/>
              </w:rPr>
              <w:t>废水收集池</w:t>
            </w:r>
          </w:p>
          <w:p w14:paraId="151823D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color w:val="auto"/>
                <w:sz w:val="24"/>
                <w:szCs w:val="20"/>
                <w:lang w:val="en-US" w:eastAsia="zh-CN"/>
              </w:rPr>
            </w:pPr>
            <w:r>
              <w:rPr>
                <w:rFonts w:hint="eastAsia" w:ascii="Times New Roman" w:hAnsi="Times New Roman" w:eastAsia="宋体" w:cs="Times New Roman"/>
                <w:bCs/>
                <w:color w:val="auto"/>
                <w:sz w:val="24"/>
                <w:szCs w:val="20"/>
                <w:lang w:eastAsia="zh-CN"/>
              </w:rPr>
              <w:t>废水收集池用于暂存经隔油池及化粪池处理后的生活污水，项目生活污水产生量为</w:t>
            </w:r>
            <w:r>
              <w:rPr>
                <w:rFonts w:hint="eastAsia" w:ascii="Times New Roman" w:hAnsi="Times New Roman" w:eastAsia="宋体" w:cs="Times New Roman"/>
                <w:bCs/>
                <w:color w:val="auto"/>
                <w:sz w:val="24"/>
                <w:szCs w:val="20"/>
                <w:lang w:val="en-US" w:eastAsia="zh-CN"/>
              </w:rPr>
              <w:t>0.32</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bCs/>
                <w:color w:val="auto"/>
                <w:sz w:val="24"/>
                <w:szCs w:val="20"/>
                <w:lang w:eastAsia="zh-CN"/>
              </w:rPr>
              <w:t>，（</w:t>
            </w:r>
            <w:r>
              <w:rPr>
                <w:rFonts w:hint="eastAsia" w:ascii="Times New Roman" w:hAnsi="Times New Roman" w:eastAsia="宋体" w:cs="Times New Roman"/>
                <w:bCs/>
                <w:color w:val="auto"/>
                <w:sz w:val="24"/>
                <w:szCs w:val="20"/>
                <w:lang w:val="en-US" w:eastAsia="zh-CN"/>
              </w:rPr>
              <w:t>江东升压站员工生活污水产生为0.4</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bCs/>
                <w:color w:val="auto"/>
                <w:sz w:val="24"/>
                <w:szCs w:val="20"/>
                <w:lang w:eastAsia="zh-CN"/>
              </w:rPr>
              <w:t>）废水收集池收集废水用于厂区绿化，考虑连续</w:t>
            </w:r>
            <w:r>
              <w:rPr>
                <w:rFonts w:hint="eastAsia" w:ascii="Times New Roman" w:hAnsi="Times New Roman" w:eastAsia="宋体" w:cs="Times New Roman"/>
                <w:bCs/>
                <w:color w:val="auto"/>
                <w:sz w:val="24"/>
                <w:szCs w:val="20"/>
                <w:lang w:val="en-US" w:eastAsia="zh-CN"/>
              </w:rPr>
              <w:t>7天的降雨天气</w:t>
            </w:r>
            <w:r>
              <w:rPr>
                <w:rFonts w:hint="eastAsia" w:ascii="Times New Roman" w:hAnsi="Times New Roman" w:eastAsia="宋体" w:cs="Times New Roman"/>
                <w:bCs/>
                <w:color w:val="auto"/>
                <w:sz w:val="24"/>
                <w:szCs w:val="20"/>
                <w:lang w:eastAsia="zh-CN"/>
              </w:rPr>
              <w:t>，</w:t>
            </w:r>
            <w:r>
              <w:rPr>
                <w:rFonts w:hint="eastAsia" w:ascii="Times New Roman" w:hAnsi="Times New Roman" w:eastAsia="宋体" w:cs="Times New Roman"/>
                <w:bCs/>
                <w:color w:val="auto"/>
                <w:sz w:val="24"/>
                <w:szCs w:val="20"/>
                <w:lang w:val="en-US" w:eastAsia="zh-CN"/>
              </w:rPr>
              <w:t>江东升压站</w:t>
            </w:r>
            <w:r>
              <w:rPr>
                <w:rFonts w:hint="eastAsia" w:ascii="Times New Roman" w:hAnsi="Times New Roman" w:eastAsia="宋体" w:cs="Times New Roman"/>
                <w:bCs/>
                <w:color w:val="auto"/>
                <w:sz w:val="24"/>
                <w:szCs w:val="20"/>
                <w:lang w:eastAsia="zh-CN"/>
              </w:rPr>
              <w:t>建设</w:t>
            </w:r>
            <w:r>
              <w:rPr>
                <w:rFonts w:hint="eastAsia" w:ascii="Times New Roman" w:hAnsi="Times New Roman" w:eastAsia="宋体" w:cs="Times New Roman"/>
                <w:bCs/>
                <w:color w:val="auto"/>
                <w:sz w:val="24"/>
                <w:szCs w:val="20"/>
                <w:lang w:val="en-US" w:eastAsia="zh-CN"/>
              </w:rPr>
              <w:t>的18</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eastAsia" w:ascii="Times New Roman" w:hAnsi="Times New Roman" w:eastAsia="宋体" w:cs="Times New Roman"/>
                <w:bCs/>
                <w:color w:val="auto"/>
                <w:sz w:val="24"/>
                <w:szCs w:val="20"/>
                <w:lang w:eastAsia="zh-CN"/>
              </w:rPr>
              <w:t>废水收集池，满足容纳</w:t>
            </w:r>
            <w:r>
              <w:rPr>
                <w:rFonts w:hint="eastAsia" w:ascii="Times New Roman" w:hAnsi="Times New Roman" w:eastAsia="宋体" w:cs="Times New Roman"/>
                <w:bCs/>
                <w:color w:val="auto"/>
                <w:sz w:val="24"/>
                <w:szCs w:val="20"/>
                <w:lang w:val="en-US" w:eastAsia="zh-CN"/>
              </w:rPr>
              <w:t>7天生活污水量的要求。</w:t>
            </w:r>
          </w:p>
          <w:p w14:paraId="0450A055">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⑤光伏区沉淀池</w:t>
            </w:r>
          </w:p>
          <w:p w14:paraId="4692143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eastAsia"/>
                <w:color w:val="auto"/>
                <w:sz w:val="24"/>
                <w:szCs w:val="24"/>
                <w:lang w:val="en-US" w:eastAsia="zh-CN"/>
              </w:rPr>
              <w:t>项目光伏区定期进行清洗，清洗废水产生量为</w:t>
            </w:r>
            <w:r>
              <w:rPr>
                <w:rFonts w:hint="eastAsia" w:ascii="Times New Roman" w:hAnsi="Times New Roman" w:eastAsia="宋体" w:cs="Times New Roman"/>
                <w:color w:val="auto"/>
                <w:sz w:val="24"/>
                <w:szCs w:val="24"/>
                <w:lang w:val="en-US" w:eastAsia="zh-CN"/>
              </w:rPr>
              <w:t>249.008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/次</w:t>
            </w:r>
            <w:r>
              <w:rPr>
                <w:rFonts w:hint="eastAsia" w:ascii="Times New Roman" w:hAnsi="Times New Roman" w:eastAsia="宋体" w:cs="Times New Roman"/>
                <w:color w:val="auto"/>
                <w:sz w:val="24"/>
                <w:szCs w:val="24"/>
                <w:lang w:eastAsia="zh-CN"/>
              </w:rPr>
              <w:t>，污染物主要为SS。其人工清洗频率一般为6个月一次，一年清洗2次，每次清洗约1个月时间完成。则项目清洗废水产生量为</w:t>
            </w:r>
            <w:r>
              <w:rPr>
                <w:rFonts w:hint="eastAsia" w:ascii="Times New Roman" w:hAnsi="Times New Roman" w:eastAsia="宋体" w:cs="Times New Roman"/>
                <w:color w:val="auto"/>
                <w:sz w:val="24"/>
                <w:szCs w:val="24"/>
                <w:lang w:val="en-US" w:eastAsia="zh-CN"/>
              </w:rPr>
              <w:t>8.30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天，项目考虑连续</w:t>
            </w:r>
            <w:r>
              <w:rPr>
                <w:rFonts w:hint="eastAsia" w:ascii="Times New Roman" w:hAnsi="Times New Roman" w:eastAsia="宋体" w:cs="Times New Roman"/>
                <w:color w:val="auto"/>
                <w:sz w:val="24"/>
                <w:szCs w:val="24"/>
                <w:lang w:val="en-US" w:eastAsia="zh-CN"/>
              </w:rPr>
              <w:t>7天连续下雨，光伏板下植被无</w:t>
            </w:r>
            <w:r>
              <w:rPr>
                <w:rFonts w:hint="eastAsia" w:ascii="Times New Roman" w:hAnsi="Times New Roman" w:eastAsia="宋体" w:cs="Times New Roman"/>
                <w:color w:val="auto"/>
                <w:lang w:val="en-US" w:eastAsia="zh-CN"/>
              </w:rPr>
              <w:t>需浇灌，则光伏区沉淀池总容积不小于126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val="en-US" w:eastAsia="zh-CN"/>
              </w:rPr>
              <w:t>。本光伏区沉淀池总容积为200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lang w:val="en-US" w:eastAsia="zh-CN"/>
              </w:rPr>
              <w:t>，满足7天清洗废水暂存要求。</w:t>
            </w:r>
          </w:p>
          <w:p w14:paraId="3306BE37">
            <w:pPr>
              <w:keepNext w:val="0"/>
              <w:keepLines w:val="0"/>
              <w:suppressLineNumbers w:val="0"/>
              <w:spacing w:before="0" w:beforeAutospacing="0" w:after="0" w:afterAutospacing="0"/>
              <w:ind w:left="0" w:right="0"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⑥事故排油储油池池</w:t>
            </w:r>
          </w:p>
          <w:p w14:paraId="4497FCB2">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项目箱变变压器油容量大约为800-900L，本项目设置有11</w:t>
            </w:r>
            <w:r>
              <w:rPr>
                <w:rFonts w:hint="default" w:ascii="Times New Roman" w:hAnsi="Times New Roman" w:eastAsia="宋体" w:cs="Times New Roman"/>
                <w:color w:val="auto"/>
                <w:sz w:val="24"/>
                <w:szCs w:val="24"/>
                <w:lang w:val="en-US" w:eastAsia="zh-CN"/>
              </w:rPr>
              <w:t>个箱变各设置一个容积为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的事故池</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且进行重点防渗处理，故项目箱变事故池容积足够容纳事故状态下箱变所有泄漏的所有废矿物油。</w:t>
            </w:r>
          </w:p>
          <w:p w14:paraId="658DA13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）项目生活污水不外排可行性分析</w:t>
            </w:r>
          </w:p>
          <w:p w14:paraId="79586CB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项目内生活污水产生量</w:t>
            </w:r>
            <w:r>
              <w:rPr>
                <w:rFonts w:hint="eastAsia" w:ascii="Times New Roman" w:hAnsi="Times New Roman" w:eastAsia="宋体" w:cs="Times New Roman"/>
                <w:lang w:val="en-US" w:eastAsia="zh-CN"/>
              </w:rPr>
              <w:t>0.32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依托江东升压站</w:t>
            </w:r>
            <w:r>
              <w:rPr>
                <w:rFonts w:hint="default" w:ascii="Times New Roman" w:hAnsi="Times New Roman" w:eastAsia="宋体" w:cs="Times New Roman"/>
                <w:color w:val="auto"/>
                <w:lang w:eastAsia="zh-CN"/>
              </w:rPr>
              <w:t>化粪池容积为</w:t>
            </w:r>
            <w:r>
              <w:rPr>
                <w:rFonts w:hint="default" w:ascii="Times New Roman" w:hAnsi="Times New Roman" w:eastAsia="宋体" w:cs="Times New Roman"/>
                <w:color w:val="auto"/>
                <w:lang w:val="en-US" w:eastAsia="zh-CN"/>
              </w:rPr>
              <w:t>4m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，足够容纳</w:t>
            </w:r>
            <w:r>
              <w:rPr>
                <w:rFonts w:hint="eastAsia" w:ascii="Times New Roman" w:hAnsi="Times New Roman" w:eastAsia="宋体" w:cs="Times New Roman"/>
                <w:color w:val="auto"/>
                <w:lang w:val="en-US" w:eastAsia="zh-CN"/>
              </w:rPr>
              <w:t>江东和芒东光伏电站员工</w:t>
            </w:r>
            <w:r>
              <w:rPr>
                <w:rFonts w:hint="default" w:ascii="Times New Roman" w:hAnsi="Times New Roman" w:eastAsia="宋体" w:cs="Times New Roman"/>
                <w:color w:val="auto"/>
                <w:lang w:val="en-US" w:eastAsia="zh-CN"/>
              </w:rPr>
              <w:t>连续</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天的生活污水，</w:t>
            </w:r>
            <w:r>
              <w:rPr>
                <w:rFonts w:hint="default" w:ascii="Times New Roman" w:hAnsi="Times New Roman" w:eastAsia="宋体" w:cs="Times New Roman"/>
                <w:color w:val="auto"/>
              </w:rPr>
              <w:t>同时</w:t>
            </w:r>
            <w:r>
              <w:rPr>
                <w:rFonts w:hint="eastAsia" w:ascii="Times New Roman" w:hAnsi="Times New Roman" w:eastAsia="宋体" w:cs="Times New Roman"/>
                <w:color w:val="auto"/>
                <w:lang w:val="en-US" w:eastAsia="zh-CN"/>
              </w:rPr>
              <w:t>江东光伏电站设置的</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废水收集池</w:t>
            </w:r>
            <w:r>
              <w:rPr>
                <w:rFonts w:hint="default" w:ascii="Times New Roman" w:hAnsi="Times New Roman" w:eastAsia="宋体" w:cs="Times New Roman"/>
                <w:color w:val="auto"/>
              </w:rPr>
              <w:t>，用于暂存</w:t>
            </w:r>
            <w:r>
              <w:rPr>
                <w:rFonts w:hint="default" w:ascii="Times New Roman" w:hAnsi="Times New Roman" w:eastAsia="宋体" w:cs="Times New Roman"/>
                <w:color w:val="auto"/>
                <w:lang w:eastAsia="zh-CN"/>
              </w:rPr>
              <w:t>项目经</w:t>
            </w:r>
            <w:r>
              <w:rPr>
                <w:rFonts w:hint="eastAsia" w:ascii="Times New Roman" w:hAnsi="Times New Roman" w:eastAsia="宋体" w:cs="Times New Roman"/>
                <w:color w:val="auto"/>
                <w:lang w:eastAsia="zh-CN"/>
              </w:rPr>
              <w:t>隔油池、化粪池</w:t>
            </w:r>
            <w:r>
              <w:rPr>
                <w:rFonts w:hint="default" w:ascii="Times New Roman" w:hAnsi="Times New Roman" w:eastAsia="宋体" w:cs="Times New Roman"/>
                <w:color w:val="auto"/>
                <w:lang w:eastAsia="zh-CN"/>
              </w:rPr>
              <w:t>处理后的生活污水</w:t>
            </w:r>
            <w:r>
              <w:rPr>
                <w:rFonts w:hint="default" w:ascii="Times New Roman" w:hAnsi="Times New Roman" w:eastAsia="宋体" w:cs="Times New Roman"/>
                <w:color w:val="auto"/>
              </w:rPr>
              <w:t>，保证能满足连续</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天</w:t>
            </w:r>
            <w:r>
              <w:rPr>
                <w:rFonts w:hint="eastAsia" w:ascii="Times New Roman" w:hAnsi="Times New Roman" w:eastAsia="宋体" w:cs="Times New Roman"/>
                <w:color w:val="auto"/>
                <w:lang w:val="en-US" w:eastAsia="zh-CN"/>
              </w:rPr>
              <w:t>以上</w:t>
            </w:r>
            <w:r>
              <w:rPr>
                <w:rFonts w:hint="default" w:ascii="Times New Roman" w:hAnsi="Times New Roman" w:eastAsia="宋体" w:cs="Times New Roman"/>
                <w:color w:val="auto"/>
              </w:rPr>
              <w:t>的生活污水储存量，</w:t>
            </w:r>
            <w:r>
              <w:rPr>
                <w:rFonts w:hint="eastAsia" w:ascii="Times New Roman" w:hAnsi="Times New Roman" w:eastAsia="宋体" w:cs="Times New Roman"/>
                <w:bCs/>
                <w:color w:val="auto"/>
                <w:sz w:val="24"/>
                <w:lang w:val="en-US" w:eastAsia="zh-CN"/>
              </w:rPr>
              <w:t>待非雨天逐步回用</w:t>
            </w:r>
            <w:r>
              <w:rPr>
                <w:rFonts w:hint="eastAsia" w:ascii="Times New Roman" w:hAnsi="Times New Roman" w:eastAsia="宋体" w:cs="Times New Roman"/>
                <w:color w:val="auto"/>
                <w:sz w:val="24"/>
                <w:szCs w:val="20"/>
                <w:lang w:val="en-US" w:eastAsia="zh-CN"/>
              </w:rPr>
              <w:t>于江东升压站的绿化</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不外排</w:t>
            </w:r>
            <w:r>
              <w:rPr>
                <w:rFonts w:hint="default" w:ascii="Times New Roman" w:hAnsi="Times New Roman" w:eastAsia="宋体" w:cs="Times New Roman"/>
                <w:color w:val="auto"/>
              </w:rPr>
              <w:t>。</w:t>
            </w:r>
          </w:p>
          <w:p w14:paraId="5DB381FD">
            <w:pPr>
              <w:keepNext w:val="0"/>
              <w:keepLines w:val="0"/>
              <w:numPr>
                <w:ilvl w:val="0"/>
                <w:numId w:val="13"/>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对地表水体影响分析</w:t>
            </w:r>
          </w:p>
          <w:p w14:paraId="3F52B32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项目光伏矩阵运行过程中</w:t>
            </w:r>
            <w:r>
              <w:rPr>
                <w:rFonts w:hint="eastAsia" w:ascii="Times New Roman" w:hAnsi="Times New Roman" w:eastAsia="宋体" w:cs="Times New Roman"/>
                <w:sz w:val="24"/>
                <w:szCs w:val="24"/>
                <w:lang w:val="en-US" w:eastAsia="zh-CN"/>
              </w:rPr>
              <w:t>光伏板清洗废水经集水沟收集后进入末端设置的沉淀池处理后用于光伏板下植被</w:t>
            </w:r>
            <w:r>
              <w:rPr>
                <w:rFonts w:hint="eastAsia" w:ascii="Times New Roman" w:hAnsi="Times New Roman" w:eastAsia="宋体" w:cs="Times New Roman"/>
                <w:lang w:val="en-US" w:eastAsia="zh-CN"/>
              </w:rPr>
              <w:t>浇灌，本光伏区沉淀池总容积为</w:t>
            </w:r>
            <w:r>
              <w:rPr>
                <w:rFonts w:hint="eastAsia" w:ascii="Times New Roman" w:hAnsi="Times New Roman" w:eastAsia="宋体" w:cs="Times New Roman"/>
                <w:color w:val="auto"/>
                <w:lang w:val="en-US" w:eastAsia="zh-CN"/>
              </w:rPr>
              <w:t>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足够</w:t>
            </w:r>
            <w:r>
              <w:rPr>
                <w:rFonts w:hint="eastAsia" w:ascii="Times New Roman" w:hAnsi="Times New Roman" w:eastAsia="宋体" w:cs="Times New Roman"/>
                <w:color w:val="auto"/>
                <w:lang w:val="en-US" w:eastAsia="zh-CN"/>
              </w:rPr>
              <w:t>容纳</w:t>
            </w:r>
            <w:r>
              <w:rPr>
                <w:rFonts w:hint="eastAsia" w:ascii="Times New Roman" w:hAnsi="Times New Roman" w:eastAsia="宋体" w:cs="Times New Roman"/>
                <w:color w:val="auto"/>
                <w:lang w:eastAsia="zh-CN"/>
              </w:rPr>
              <w:t>光伏板清洗废水，</w:t>
            </w:r>
            <w:r>
              <w:rPr>
                <w:rFonts w:hint="default" w:ascii="Times New Roman" w:hAnsi="Times New Roman" w:eastAsia="宋体" w:cs="Times New Roman"/>
                <w:color w:val="auto"/>
              </w:rPr>
              <w:t>对周围地表水环境影响较小。运营过程中</w:t>
            </w:r>
            <w:r>
              <w:rPr>
                <w:rFonts w:hint="eastAsia" w:ascii="Times New Roman" w:hAnsi="Times New Roman" w:eastAsia="宋体" w:cs="Times New Roman"/>
                <w:color w:val="auto"/>
                <w:lang w:val="en-US" w:eastAsia="zh-CN"/>
              </w:rPr>
              <w:t>依托的江东升压站</w:t>
            </w:r>
            <w:r>
              <w:rPr>
                <w:rFonts w:hint="default" w:ascii="Times New Roman" w:hAnsi="Times New Roman" w:eastAsia="宋体" w:cs="Times New Roman"/>
                <w:color w:val="auto"/>
              </w:rPr>
              <w:t>生活区设置</w:t>
            </w:r>
            <w:r>
              <w:rPr>
                <w:rFonts w:hint="eastAsia" w:ascii="Times New Roman" w:hAnsi="Times New Roman" w:eastAsia="宋体" w:cs="Times New Roman"/>
                <w:color w:val="auto"/>
                <w:lang w:eastAsia="zh-CN"/>
              </w:rPr>
              <w:t>隔油池、化粪池和废水收集池</w:t>
            </w:r>
            <w:r>
              <w:rPr>
                <w:rFonts w:hint="default" w:ascii="Times New Roman" w:hAnsi="Times New Roman" w:eastAsia="宋体" w:cs="Times New Roman"/>
                <w:color w:val="auto"/>
              </w:rPr>
              <w:t>，应加强管理，禁止生活污水</w:t>
            </w:r>
            <w:r>
              <w:rPr>
                <w:rFonts w:hint="default" w:ascii="Times New Roman" w:hAnsi="Times New Roman" w:eastAsia="宋体" w:cs="Times New Roman"/>
                <w:color w:val="auto"/>
                <w:lang w:eastAsia="zh-CN"/>
              </w:rPr>
              <w:t>外排</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11</w:t>
            </w:r>
            <w:r>
              <w:rPr>
                <w:rFonts w:hint="default" w:ascii="Times New Roman" w:hAnsi="Times New Roman" w:eastAsia="宋体" w:cs="Times New Roman"/>
                <w:color w:val="auto"/>
                <w:lang w:val="en-US" w:eastAsia="zh-CN"/>
              </w:rPr>
              <w:t>个箱变各设置一个容积为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的事故池。</w:t>
            </w:r>
            <w:r>
              <w:rPr>
                <w:rFonts w:hint="default" w:ascii="Times New Roman" w:hAnsi="Times New Roman" w:eastAsia="宋体" w:cs="Times New Roman"/>
                <w:color w:val="auto"/>
              </w:rPr>
              <w:t>运营过程中应加强管理，基本不会发生油品泄漏，确保油品不外泄进入</w:t>
            </w:r>
            <w:r>
              <w:rPr>
                <w:rFonts w:hint="default" w:ascii="Times New Roman" w:hAnsi="Times New Roman" w:eastAsia="宋体" w:cs="Times New Roman"/>
                <w:color w:val="auto"/>
                <w:lang w:eastAsia="zh-CN"/>
              </w:rPr>
              <w:t>地表水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项目附近地表水</w:t>
            </w:r>
            <w:r>
              <w:rPr>
                <w:rFonts w:hint="default" w:ascii="Times New Roman" w:hAnsi="Times New Roman" w:eastAsia="宋体" w:cs="Times New Roman"/>
                <w:color w:val="auto"/>
              </w:rPr>
              <w:t>功能主要为农灌功能，无饮用功能。通过采取上述措施后，运营过程中对周围地表水影响较小。</w:t>
            </w:r>
          </w:p>
          <w:p w14:paraId="0BFDCD4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综上所述，项目产生的废水可以得到妥善处理，对周围地表水体影响较小。</w:t>
            </w:r>
          </w:p>
          <w:p w14:paraId="651680D1">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（3）声环境影响分析</w:t>
            </w:r>
          </w:p>
          <w:p w14:paraId="44EF05F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项目运营期的噪声源主要为光伏电站设备运行噪声，主要为电站场内箱式变压器、逆变器、主变压器运行时产生的设备噪声。</w:t>
            </w:r>
          </w:p>
          <w:p w14:paraId="2A04629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项目箱式变压</w:t>
            </w:r>
            <w:r>
              <w:rPr>
                <w:rFonts w:hint="eastAsia" w:ascii="Times New Roman" w:hAnsi="Times New Roman" w:eastAsia="宋体" w:cs="Times New Roman"/>
                <w:lang w:val="en-US" w:eastAsia="zh-CN"/>
              </w:rPr>
              <w:t>器、</w:t>
            </w:r>
            <w:r>
              <w:rPr>
                <w:rFonts w:hint="default" w:ascii="Times New Roman" w:hAnsi="Times New Roman" w:eastAsia="宋体" w:cs="Times New Roman"/>
              </w:rPr>
              <w:t>逆变器，噪声源1m处的噪声源强约为</w:t>
            </w:r>
            <w:r>
              <w:rPr>
                <w:rFonts w:hint="eastAsia" w:ascii="Times New Roman" w:hAnsi="Times New Roman" w:eastAsia="宋体" w:cs="Times New Roman"/>
                <w:lang w:val="en-US" w:eastAsia="zh-CN"/>
              </w:rPr>
              <w:t>58</w:t>
            </w:r>
            <w:r>
              <w:rPr>
                <w:rFonts w:hint="default" w:ascii="Times New Roman" w:hAnsi="Times New Roman" w:eastAsia="宋体" w:cs="Times New Roman"/>
              </w:rPr>
              <w:t>～65dB（A），只要布置合理，采用一定隔声措施，随着距离的衰减对周围环境影响较小。</w:t>
            </w:r>
          </w:p>
          <w:p w14:paraId="2813B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逆变器及箱式变压器相对分散</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且箱式变压器设置于箱变房内，逆变器设置于逆变器箱内，进行密封隔声，隔声降噪量为10dB。逆变器和箱式变压器距离场界最近距离为</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sz w:val="24"/>
              </w:rPr>
              <w:t>，逆变器和箱式变压器噪声可近似视为点源处理。根据点声源噪声衰减模式，计算出离点声源不同距离处的噪声值，预测模式如下：</w:t>
            </w:r>
          </w:p>
          <w:p w14:paraId="4692381C">
            <w:pPr>
              <w:keepNext w:val="0"/>
              <w:keepLines w:val="0"/>
              <w:numPr>
                <w:ilvl w:val="0"/>
                <w:numId w:val="0"/>
              </w:numPr>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rPr>
            </w:pPr>
            <w:r>
              <w:rPr>
                <w:rFonts w:hint="default" w:ascii="Times New Roman" w:hAnsi="Times New Roman" w:eastAsia="宋体" w:cs="Times New Roman"/>
              </w:rPr>
              <w:t>Lp=LP0－20lg(r/r0)</w:t>
            </w:r>
          </w:p>
          <w:p w14:paraId="3A02663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式中： Lp—距声源r（m）处声压级， dB(A)；</w:t>
            </w:r>
          </w:p>
          <w:p w14:paraId="20015AC6">
            <w:pPr>
              <w:keepNext w:val="0"/>
              <w:keepLines w:val="0"/>
              <w:numPr>
                <w:ilvl w:val="0"/>
                <w:numId w:val="0"/>
              </w:numPr>
              <w:suppressLineNumbers w:val="0"/>
              <w:spacing w:before="0" w:beforeAutospacing="0" w:after="0" w:afterAutospacing="0" w:line="360" w:lineRule="auto"/>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Lp0—距声源r0（m ）处声压级， dB(A)；</w:t>
            </w:r>
          </w:p>
          <w:p w14:paraId="29EE3B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光伏场区</w:t>
            </w:r>
            <w:r>
              <w:rPr>
                <w:rFonts w:hint="default" w:ascii="Times New Roman" w:hAnsi="Times New Roman" w:eastAsia="宋体" w:cs="Times New Roman"/>
                <w:b/>
                <w:color w:val="auto"/>
                <w:sz w:val="21"/>
                <w:szCs w:val="21"/>
              </w:rPr>
              <w:t xml:space="preserve">噪声随距离衰减后的影响值 </w:t>
            </w:r>
          </w:p>
          <w:tbl>
            <w:tblPr>
              <w:tblStyle w:val="25"/>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2508D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4E7383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2AAA25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72263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5BB99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0A718A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748445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42F4F7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566135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60A450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3B7523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7CF6C0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67E585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3BD3B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4F1F4D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1C97B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6B22D7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518C38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55</w:t>
                  </w:r>
                </w:p>
              </w:tc>
              <w:tc>
                <w:tcPr>
                  <w:tcW w:w="625" w:type="dxa"/>
                  <w:tcBorders>
                    <w:tl2br w:val="nil"/>
                    <w:tr2bl w:val="nil"/>
                  </w:tcBorders>
                  <w:vAlign w:val="center"/>
                </w:tcPr>
                <w:p w14:paraId="2BCA15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680" w:type="dxa"/>
                  <w:tcBorders>
                    <w:tl2br w:val="nil"/>
                    <w:tr2bl w:val="nil"/>
                  </w:tcBorders>
                  <w:vAlign w:val="center"/>
                </w:tcPr>
                <w:p w14:paraId="297866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c>
                <w:tcPr>
                  <w:tcW w:w="583" w:type="dxa"/>
                  <w:tcBorders>
                    <w:tl2br w:val="nil"/>
                    <w:tr2bl w:val="nil"/>
                  </w:tcBorders>
                  <w:vAlign w:val="center"/>
                </w:tcPr>
                <w:p w14:paraId="7BE24C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683" w:type="dxa"/>
                  <w:tcBorders>
                    <w:tl2br w:val="nil"/>
                    <w:tr2bl w:val="nil"/>
                  </w:tcBorders>
                  <w:vAlign w:val="center"/>
                </w:tcPr>
                <w:p w14:paraId="3BF79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57" w:type="dxa"/>
                  <w:tcBorders>
                    <w:tl2br w:val="nil"/>
                    <w:tr2bl w:val="nil"/>
                  </w:tcBorders>
                  <w:vAlign w:val="center"/>
                </w:tcPr>
                <w:p w14:paraId="3ECE4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73C70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01C422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744235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27B2C8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1AE87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58BFB4B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箱变</w:t>
                  </w:r>
                </w:p>
              </w:tc>
              <w:tc>
                <w:tcPr>
                  <w:tcW w:w="654" w:type="dxa"/>
                  <w:tcBorders>
                    <w:tl2br w:val="nil"/>
                    <w:tr2bl w:val="nil"/>
                  </w:tcBorders>
                  <w:vAlign w:val="center"/>
                </w:tcPr>
                <w:p w14:paraId="038EC7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0A053B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680" w:type="dxa"/>
                  <w:tcBorders>
                    <w:tl2br w:val="nil"/>
                    <w:tr2bl w:val="nil"/>
                  </w:tcBorders>
                  <w:vAlign w:val="center"/>
                </w:tcPr>
                <w:p w14:paraId="1166D1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583" w:type="dxa"/>
                  <w:tcBorders>
                    <w:tl2br w:val="nil"/>
                    <w:tr2bl w:val="nil"/>
                  </w:tcBorders>
                  <w:vAlign w:val="center"/>
                </w:tcPr>
                <w:p w14:paraId="4F4F6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5C011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57" w:type="dxa"/>
                  <w:tcBorders>
                    <w:tl2br w:val="nil"/>
                    <w:tr2bl w:val="nil"/>
                  </w:tcBorders>
                  <w:vAlign w:val="center"/>
                </w:tcPr>
                <w:p w14:paraId="5AE2F7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2E1C42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258E59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5B6A8D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5AA2C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1E2B7DDD">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根据预测，</w:t>
            </w:r>
            <w:r>
              <w:rPr>
                <w:rFonts w:hint="eastAsia" w:ascii="Times New Roman" w:hAnsi="Times New Roman" w:eastAsia="宋体" w:cs="Times New Roman"/>
                <w:color w:val="auto"/>
                <w:sz w:val="24"/>
                <w:lang w:val="en-US" w:eastAsia="zh-CN"/>
              </w:rPr>
              <w:t>项目光伏场区逆变器噪声在4</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之外、箱变噪声在10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之外能满足《工业企业厂界环境噪声排放标准》（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）1类标准（昼间：55</w:t>
            </w:r>
            <w:r>
              <w:rPr>
                <w:rFonts w:hint="default" w:ascii="Times New Roman" w:hAnsi="Times New Roman" w:eastAsia="宋体" w:cs="Times New Roman"/>
                <w:color w:val="auto"/>
                <w:sz w:val="24"/>
                <w:lang w:val="en-US" w:eastAsia="zh-CN"/>
              </w:rPr>
              <w:t>dB(A)</w:t>
            </w:r>
            <w:r>
              <w:rPr>
                <w:rFonts w:hint="eastAsia" w:ascii="Times New Roman" w:hAnsi="Times New Roman" w:eastAsia="宋体" w:cs="Times New Roman"/>
                <w:color w:val="auto"/>
                <w:sz w:val="24"/>
                <w:lang w:val="en-US" w:eastAsia="zh-CN"/>
              </w:rPr>
              <w:t>，夜间：45</w:t>
            </w:r>
            <w:r>
              <w:rPr>
                <w:rFonts w:hint="default" w:ascii="Times New Roman" w:hAnsi="Times New Roman" w:eastAsia="宋体" w:cs="Times New Roman"/>
                <w:color w:val="auto"/>
                <w:sz w:val="24"/>
                <w:lang w:val="en-US" w:eastAsia="zh-CN"/>
              </w:rPr>
              <w:t>dB(A)</w:t>
            </w:r>
            <w:r>
              <w:rPr>
                <w:rFonts w:hint="eastAsia" w:ascii="Times New Roman" w:hAnsi="Times New Roman" w:eastAsia="宋体" w:cs="Times New Roman"/>
                <w:color w:val="auto"/>
                <w:sz w:val="24"/>
                <w:lang w:val="en-US" w:eastAsia="zh-CN"/>
              </w:rPr>
              <w:t>）要求。根据工程总体布局情况，各逆变器及箱变与厂界的距离均在10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以上，且各设备布局较为分散，光伏场区场界噪声可达标。</w:t>
            </w:r>
            <w:r>
              <w:rPr>
                <w:rFonts w:hint="default" w:ascii="Times New Roman" w:hAnsi="Times New Roman" w:eastAsia="宋体" w:cs="Times New Roman"/>
              </w:rPr>
              <w:t>本项目</w:t>
            </w:r>
            <w:r>
              <w:rPr>
                <w:rFonts w:hint="default" w:ascii="Times New Roman" w:hAnsi="Times New Roman" w:eastAsia="宋体" w:cs="Times New Roman"/>
                <w:lang w:eastAsia="zh-CN"/>
              </w:rPr>
              <w:t>光伏阵列区</w:t>
            </w:r>
            <w:r>
              <w:rPr>
                <w:rFonts w:hint="default" w:ascii="Times New Roman" w:hAnsi="Times New Roman" w:eastAsia="宋体" w:cs="Times New Roman"/>
              </w:rPr>
              <w:t>50m范围内有</w:t>
            </w:r>
            <w:r>
              <w:rPr>
                <w:rFonts w:hint="eastAsia" w:ascii="Times New Roman" w:hAnsi="Times New Roman" w:eastAsia="宋体" w:cs="Times New Roman"/>
                <w:lang w:val="en-US" w:eastAsia="zh-CN"/>
              </w:rPr>
              <w:t>没有</w:t>
            </w:r>
            <w:r>
              <w:rPr>
                <w:rFonts w:hint="default" w:ascii="Times New Roman" w:hAnsi="Times New Roman" w:eastAsia="宋体" w:cs="Times New Roman"/>
              </w:rPr>
              <w:t>声环境敏感目标</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对声环境影响较小</w:t>
            </w:r>
            <w:r>
              <w:rPr>
                <w:rFonts w:hint="default" w:ascii="Times New Roman" w:hAnsi="Times New Roman" w:eastAsia="宋体" w:cs="Times New Roman"/>
              </w:rPr>
              <w:t>。</w:t>
            </w:r>
          </w:p>
          <w:p w14:paraId="14C3E59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lang w:val="en-US" w:eastAsia="zh-CN"/>
              </w:rPr>
              <w:t>依托的</w:t>
            </w:r>
            <w:r>
              <w:rPr>
                <w:rFonts w:hint="default" w:ascii="Times New Roman" w:hAnsi="Times New Roman" w:eastAsia="宋体" w:cs="Times New Roman"/>
                <w:color w:val="auto"/>
                <w:sz w:val="24"/>
                <w:lang w:val="en-US" w:eastAsia="zh-CN"/>
              </w:rPr>
              <w:t xml:space="preserve">升压站运行噪声影响 </w:t>
            </w:r>
          </w:p>
          <w:p w14:paraId="362BE6AB">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噪声源主要来自于</w:t>
            </w:r>
            <w:r>
              <w:rPr>
                <w:rFonts w:hint="eastAsia" w:ascii="Times New Roman" w:hAnsi="Times New Roman" w:eastAsia="宋体" w:cs="Times New Roman"/>
                <w:color w:val="auto"/>
                <w:sz w:val="24"/>
                <w:lang w:val="en-US" w:eastAsia="zh-CN"/>
              </w:rPr>
              <w:t>江东</w:t>
            </w:r>
            <w:r>
              <w:rPr>
                <w:rFonts w:hint="default" w:ascii="Times New Roman" w:hAnsi="Times New Roman" w:eastAsia="宋体" w:cs="Times New Roman"/>
                <w:color w:val="auto"/>
                <w:sz w:val="24"/>
                <w:lang w:val="en-US" w:eastAsia="zh-CN"/>
              </w:rPr>
              <w:t>升压站内设置</w:t>
            </w:r>
            <w:r>
              <w:rPr>
                <w:rFonts w:hint="eastAsia" w:ascii="Times New Roman" w:hAnsi="Times New Roman" w:eastAsia="宋体" w:cs="Times New Roman"/>
                <w:color w:val="auto"/>
                <w:sz w:val="24"/>
                <w:lang w:val="en-US" w:eastAsia="zh-CN"/>
              </w:rPr>
              <w:t>的主变压器、</w:t>
            </w:r>
            <w:r>
              <w:rPr>
                <w:rFonts w:hint="default" w:ascii="Times New Roman" w:hAnsi="Times New Roman" w:eastAsia="宋体" w:cs="Times New Roman"/>
                <w:color w:val="auto"/>
                <w:sz w:val="24"/>
                <w:lang w:val="en-US" w:eastAsia="zh-CN"/>
              </w:rPr>
              <w:t>水泵、配电室和逆变器，</w:t>
            </w:r>
            <w:r>
              <w:rPr>
                <w:rFonts w:hint="eastAsia" w:ascii="Times New Roman" w:hAnsi="Times New Roman" w:eastAsia="宋体" w:cs="Times New Roman"/>
                <w:color w:val="auto"/>
                <w:sz w:val="24"/>
                <w:lang w:val="en-US" w:eastAsia="zh-CN"/>
              </w:rPr>
              <w:t>主变压器、</w:t>
            </w:r>
            <w:r>
              <w:rPr>
                <w:rFonts w:hint="default" w:ascii="Times New Roman" w:hAnsi="Times New Roman" w:eastAsia="宋体" w:cs="Times New Roman"/>
                <w:color w:val="auto"/>
                <w:sz w:val="24"/>
                <w:lang w:val="en-US" w:eastAsia="zh-CN"/>
              </w:rPr>
              <w:t xml:space="preserve">35KV配电室、逆变器，以及光伏发电项目辅助配套设施，噪声值在 </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5～70dB(A)之间。</w:t>
            </w:r>
          </w:p>
          <w:p w14:paraId="0C9B0DB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项目依托的江东</w:t>
            </w:r>
            <w:r>
              <w:rPr>
                <w:rFonts w:hint="default" w:ascii="Times New Roman" w:hAnsi="Times New Roman" w:eastAsia="宋体" w:cs="Times New Roman"/>
                <w:color w:val="auto"/>
                <w:sz w:val="24"/>
                <w:lang w:val="en-US" w:eastAsia="zh-CN"/>
              </w:rPr>
              <w:t>升压站周边</w:t>
            </w:r>
            <w:r>
              <w:rPr>
                <w:rFonts w:hint="eastAsia" w:ascii="Times New Roman" w:hAnsi="Times New Roman" w:eastAsia="宋体" w:cs="Times New Roman"/>
                <w:color w:val="auto"/>
                <w:sz w:val="24"/>
                <w:lang w:val="en-US" w:eastAsia="zh-CN"/>
              </w:rPr>
              <w:t>200m范围无</w:t>
            </w:r>
            <w:r>
              <w:rPr>
                <w:rFonts w:hint="default" w:ascii="Times New Roman" w:hAnsi="Times New Roman" w:eastAsia="宋体" w:cs="Times New Roman"/>
                <w:color w:val="auto"/>
                <w:sz w:val="24"/>
                <w:lang w:val="en-US" w:eastAsia="zh-CN"/>
              </w:rPr>
              <w:t>环境敏感点，</w:t>
            </w:r>
            <w:r>
              <w:rPr>
                <w:rFonts w:hint="eastAsia" w:ascii="Times New Roman" w:hAnsi="Times New Roman" w:eastAsia="宋体" w:cs="Times New Roman"/>
                <w:color w:val="auto"/>
                <w:sz w:val="24"/>
                <w:lang w:val="en-US" w:eastAsia="zh-CN"/>
              </w:rPr>
              <w:t>了解到江东升压站最近居民点为江东升压站场界北侧距离为230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lang w:val="en-US" w:eastAsia="zh-CN"/>
              </w:rPr>
              <w:t>居民点（约</w:t>
            </w:r>
            <w:r>
              <w:rPr>
                <w:rFonts w:hint="eastAsia" w:ascii="Times New Roman" w:hAnsi="Times New Roman" w:eastAsia="宋体" w:cs="Times New Roman"/>
                <w:color w:val="auto"/>
                <w:sz w:val="24"/>
                <w:lang w:val="en-US" w:eastAsia="zh-CN"/>
              </w:rPr>
              <w:t>210</w:t>
            </w:r>
            <w:r>
              <w:rPr>
                <w:rFonts w:hint="default" w:ascii="Times New Roman" w:hAnsi="Times New Roman" w:eastAsia="宋体" w:cs="Times New Roman"/>
                <w:color w:val="auto"/>
                <w:sz w:val="24"/>
                <w:lang w:val="en-US" w:eastAsia="zh-CN"/>
              </w:rPr>
              <w:t>人）</w:t>
            </w:r>
            <w:r>
              <w:rPr>
                <w:rFonts w:hint="eastAsia" w:ascii="Times New Roman" w:hAnsi="Times New Roman" w:eastAsia="宋体" w:cs="Times New Roman"/>
                <w:color w:val="auto"/>
                <w:sz w:val="24"/>
                <w:lang w:val="en-US" w:eastAsia="zh-CN"/>
              </w:rPr>
              <w:t>。根据</w:t>
            </w:r>
            <w:r>
              <w:rPr>
                <w:rFonts w:hint="default" w:ascii="Times New Roman" w:hAnsi="Times New Roman" w:eastAsia="宋体" w:cs="Times New Roman"/>
                <w:color w:val="auto"/>
                <w:sz w:val="24"/>
                <w:lang w:val="en-US" w:eastAsia="zh-CN"/>
              </w:rPr>
              <w:t>云南</w:t>
            </w:r>
            <w:r>
              <w:rPr>
                <w:rFonts w:hint="eastAsia" w:ascii="Times New Roman" w:hAnsi="Times New Roman" w:eastAsia="宋体" w:cs="Times New Roman"/>
                <w:color w:val="auto"/>
                <w:sz w:val="24"/>
                <w:lang w:val="en-US" w:eastAsia="zh-CN"/>
              </w:rPr>
              <w:t>晟蔚环保科技</w:t>
            </w:r>
            <w:r>
              <w:rPr>
                <w:rFonts w:hint="default" w:ascii="Times New Roman" w:hAnsi="Times New Roman" w:eastAsia="宋体" w:cs="Times New Roman"/>
                <w:color w:val="auto"/>
                <w:sz w:val="24"/>
                <w:lang w:val="en-US" w:eastAsia="zh-CN"/>
              </w:rPr>
              <w:t>有限公司对</w:t>
            </w:r>
            <w:r>
              <w:rPr>
                <w:rFonts w:hint="eastAsia" w:ascii="Times New Roman" w:hAnsi="Times New Roman" w:eastAsia="宋体" w:cs="Times New Roman"/>
                <w:color w:val="auto"/>
                <w:sz w:val="24"/>
                <w:lang w:val="en-US" w:eastAsia="zh-CN"/>
              </w:rPr>
              <w:t>江东升压站</w:t>
            </w:r>
            <w:r>
              <w:rPr>
                <w:rFonts w:hint="default" w:ascii="Times New Roman" w:hAnsi="Times New Roman" w:eastAsia="宋体" w:cs="Times New Roman"/>
                <w:color w:val="auto"/>
                <w:sz w:val="24"/>
                <w:lang w:val="en-US" w:eastAsia="zh-CN"/>
              </w:rPr>
              <w:t>声环境质量现状进行</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lang w:val="en-US" w:eastAsia="zh-CN"/>
              </w:rPr>
              <w:t>监测</w:t>
            </w:r>
            <w:r>
              <w:rPr>
                <w:rFonts w:hint="eastAsia" w:ascii="Times New Roman" w:hAnsi="Times New Roman" w:eastAsia="宋体" w:cs="Times New Roman"/>
                <w:color w:val="auto"/>
                <w:sz w:val="24"/>
                <w:lang w:val="en-US" w:eastAsia="zh-CN"/>
              </w:rPr>
              <w:t>可知，道坡村</w:t>
            </w:r>
            <w:r>
              <w:rPr>
                <w:rFonts w:hint="default" w:ascii="Times New Roman" w:hAnsi="Times New Roman" w:eastAsia="宋体" w:cs="Times New Roman"/>
                <w:color w:val="auto"/>
                <w:sz w:val="24"/>
                <w:lang w:val="en-US" w:eastAsia="zh-CN"/>
              </w:rPr>
              <w:t>声环境质量</w:t>
            </w:r>
            <w:r>
              <w:rPr>
                <w:rFonts w:hint="eastAsia" w:ascii="Times New Roman" w:hAnsi="Times New Roman" w:eastAsia="宋体" w:cs="Times New Roman"/>
                <w:color w:val="auto"/>
                <w:sz w:val="24"/>
                <w:lang w:val="en-US" w:eastAsia="zh-CN"/>
              </w:rPr>
              <w:t>现状</w:t>
            </w:r>
            <w:r>
              <w:rPr>
                <w:rFonts w:hint="default" w:ascii="Times New Roman" w:hAnsi="Times New Roman" w:eastAsia="宋体" w:cs="Times New Roman"/>
                <w:color w:val="auto"/>
                <w:sz w:val="24"/>
                <w:lang w:val="en-US" w:eastAsia="zh-CN"/>
              </w:rPr>
              <w:t>能达到《声环境质量标准》（GB2553-2008）</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类区的标准。</w:t>
            </w:r>
            <w:r>
              <w:rPr>
                <w:rFonts w:hint="eastAsia" w:ascii="Times New Roman" w:hAnsi="Times New Roman" w:eastAsia="宋体" w:cs="Times New Roman"/>
                <w:color w:val="auto"/>
                <w:sz w:val="24"/>
                <w:lang w:val="en-US" w:eastAsia="zh-CN"/>
              </w:rPr>
              <w:t>根据《芒市江东光伏发电环境影响报告表》，</w:t>
            </w: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依托的江东升压站</w:t>
            </w:r>
            <w:r>
              <w:rPr>
                <w:rFonts w:hint="default" w:ascii="Times New Roman" w:hAnsi="Times New Roman" w:eastAsia="宋体" w:cs="Times New Roman"/>
                <w:color w:val="auto"/>
                <w:sz w:val="24"/>
                <w:lang w:val="en-US" w:eastAsia="zh-CN"/>
              </w:rPr>
              <w:t>产生的噪声对周围声环境影响不大。</w:t>
            </w:r>
          </w:p>
          <w:p w14:paraId="1E00A9E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（4）固体废物影响分析</w:t>
            </w:r>
          </w:p>
          <w:p w14:paraId="22B7C35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拟建项目生产过程中产生的固体废物主要为生活垃圾、项目生产过程中产生的废旧的光伏组件。</w:t>
            </w:r>
          </w:p>
          <w:p w14:paraId="0EBA4B9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1）生活垃圾：主要为员工生产生活的过程中产生，按照每人每天产生1kg计算，生活垃圾产生量为</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kg/d、</w:t>
            </w:r>
            <w:r>
              <w:rPr>
                <w:rFonts w:hint="eastAsia" w:ascii="Times New Roman" w:hAnsi="Times New Roman" w:eastAsia="宋体" w:cs="Times New Roman"/>
                <w:color w:val="auto"/>
                <w:lang w:val="en-US" w:eastAsia="zh-CN"/>
              </w:rPr>
              <w:t>1.46</w:t>
            </w:r>
            <w:r>
              <w:rPr>
                <w:rFonts w:hint="default" w:ascii="Times New Roman" w:hAnsi="Times New Roman" w:eastAsia="宋体" w:cs="Times New Roman"/>
                <w:color w:val="auto"/>
              </w:rPr>
              <w:t>t/a，生活垃圾经统一集中收集后，与附近村庄垃圾一同处置。</w:t>
            </w:r>
          </w:p>
          <w:p w14:paraId="696498F8">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eastAsia="zh-CN"/>
              </w:rPr>
            </w:pPr>
            <w:r>
              <w:rPr>
                <w:rFonts w:hint="default" w:ascii="Times New Roman" w:hAnsi="Times New Roman" w:eastAsia="宋体" w:cs="Times New Roman"/>
                <w:color w:val="auto"/>
              </w:rPr>
              <w:t>2）废旧的光伏组件：项目光伏系统使用寿命25年，其中组件寿命25年，逆变器寿命25年，电缆使用寿命大于20年，除</w:t>
            </w:r>
            <w:r>
              <w:rPr>
                <w:rFonts w:hint="default" w:ascii="Times New Roman" w:hAnsi="Times New Roman" w:eastAsia="宋体" w:cs="Times New Roman"/>
              </w:rPr>
              <w:t>人为破坏外基本无损坏，为保障太阳能发电站的稳定性，设备厂家对其进行定期检测，对于损坏更换的电池组件以及光伏电池组件使用寿命到期后更换下来的电池组件，根据《国家危险废物名录》 (2021版)，本项目所用单晶硅电池组件不属于危险废物，在厂区</w:t>
            </w:r>
            <w:r>
              <w:rPr>
                <w:rFonts w:hint="eastAsia" w:ascii="Times New Roman" w:hAnsi="Times New Roman" w:eastAsia="宋体" w:cs="Times New Roman"/>
                <w:lang w:eastAsia="zh-CN"/>
              </w:rPr>
              <w:t>一般固废暂存间暂存</w:t>
            </w:r>
            <w:r>
              <w:rPr>
                <w:rFonts w:hint="default" w:ascii="Times New Roman" w:hAnsi="Times New Roman" w:eastAsia="宋体" w:cs="Times New Roman"/>
              </w:rPr>
              <w:t>，最终由厂家回收</w:t>
            </w:r>
            <w:r>
              <w:rPr>
                <w:rFonts w:hint="eastAsia" w:ascii="Times New Roman" w:hAnsi="Times New Roman" w:eastAsia="宋体" w:cs="Times New Roman"/>
                <w:lang w:val="en-US" w:eastAsia="zh-CN"/>
              </w:rPr>
              <w:t>处置</w:t>
            </w:r>
            <w:r>
              <w:rPr>
                <w:rFonts w:hint="default" w:ascii="Times New Roman" w:hAnsi="Times New Roman" w:eastAsia="宋体" w:cs="Times New Roman"/>
              </w:rPr>
              <w:t>。</w:t>
            </w:r>
            <w:r>
              <w:rPr>
                <w:rFonts w:hint="default" w:ascii="Times New Roman" w:hAnsi="Times New Roman" w:eastAsia="宋体" w:cs="Times New Roman"/>
                <w:bCs/>
                <w:color w:val="auto"/>
                <w:sz w:val="24"/>
                <w:szCs w:val="20"/>
              </w:rPr>
              <w:t>根</w:t>
            </w:r>
            <w:r>
              <w:rPr>
                <w:rFonts w:hint="default" w:ascii="Times New Roman" w:hAnsi="Times New Roman" w:eastAsia="宋体" w:cs="Times New Roman"/>
                <w:bCs/>
                <w:color w:val="auto"/>
                <w:sz w:val="24"/>
                <w:szCs w:val="24"/>
              </w:rPr>
              <w:t>据建设单位经验数据，组件损坏更换率以每年 0.1‰计，每块光伏组件重量3</w:t>
            </w:r>
            <w:r>
              <w:rPr>
                <w:rFonts w:hint="eastAsia" w:ascii="Times New Roman" w:hAnsi="Times New Roman" w:eastAsia="宋体" w:cs="Times New Roman"/>
                <w:bCs/>
                <w:color w:val="auto"/>
                <w:sz w:val="24"/>
                <w:szCs w:val="24"/>
                <w:lang w:val="en-US" w:eastAsia="zh-CN"/>
              </w:rPr>
              <w:t>8</w:t>
            </w:r>
            <w:r>
              <w:rPr>
                <w:rFonts w:hint="default" w:ascii="Times New Roman" w:hAnsi="Times New Roman" w:eastAsia="宋体" w:cs="Times New Roman"/>
                <w:bCs/>
                <w:color w:val="auto"/>
                <w:sz w:val="24"/>
                <w:szCs w:val="24"/>
              </w:rPr>
              <w:t>.3kg，共</w:t>
            </w:r>
            <w:r>
              <w:rPr>
                <w:rFonts w:hint="eastAsia" w:ascii="Times New Roman" w:hAnsi="Times New Roman" w:eastAsia="宋体" w:cs="Times New Roman"/>
                <w:color w:val="auto"/>
                <w:sz w:val="24"/>
                <w:szCs w:val="24"/>
                <w:lang w:val="en-US" w:eastAsia="zh-CN"/>
              </w:rPr>
              <w:t>47250</w:t>
            </w:r>
            <w:r>
              <w:rPr>
                <w:rFonts w:hint="default" w:ascii="Times New Roman" w:hAnsi="Times New Roman" w:eastAsia="宋体" w:cs="Times New Roman"/>
                <w:color w:val="auto"/>
                <w:kern w:val="0"/>
                <w:sz w:val="24"/>
                <w:szCs w:val="24"/>
                <w:lang w:bidi="ar"/>
              </w:rPr>
              <w:t>块，</w:t>
            </w:r>
            <w:r>
              <w:rPr>
                <w:rFonts w:hint="default" w:ascii="Times New Roman" w:hAnsi="Times New Roman" w:eastAsia="宋体" w:cs="Times New Roman"/>
                <w:bCs/>
                <w:color w:val="auto"/>
                <w:sz w:val="24"/>
                <w:szCs w:val="24"/>
              </w:rPr>
              <w:t>则年损坏更换产生的废弃光伏组件约为</w:t>
            </w:r>
            <w:r>
              <w:rPr>
                <w:rFonts w:hint="eastAsia" w:ascii="Times New Roman" w:hAnsi="Times New Roman" w:eastAsia="宋体" w:cs="Times New Roman"/>
                <w:bCs/>
                <w:color w:val="auto"/>
                <w:sz w:val="24"/>
                <w:szCs w:val="24"/>
                <w:lang w:val="en-US" w:eastAsia="zh-CN"/>
              </w:rPr>
              <w:t>1.81</w:t>
            </w:r>
            <w:r>
              <w:rPr>
                <w:rFonts w:hint="default" w:ascii="Times New Roman" w:hAnsi="Times New Roman" w:eastAsia="宋体" w:cs="Times New Roman"/>
                <w:bCs/>
                <w:color w:val="auto"/>
                <w:sz w:val="24"/>
                <w:szCs w:val="24"/>
              </w:rPr>
              <w:t>t</w:t>
            </w:r>
            <w:r>
              <w:rPr>
                <w:rFonts w:hint="eastAsia" w:ascii="Times New Roman" w:hAnsi="Times New Roman" w:eastAsia="宋体" w:cs="Times New Roman"/>
                <w:bCs/>
                <w:color w:val="auto"/>
                <w:sz w:val="24"/>
                <w:szCs w:val="24"/>
                <w:lang w:eastAsia="zh-CN"/>
              </w:rPr>
              <w:t>。</w:t>
            </w:r>
          </w:p>
          <w:p w14:paraId="34B5F2D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3）废矿物油</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箱式变压器油</w:t>
            </w:r>
          </w:p>
          <w:p w14:paraId="58C868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项目共设置</w:t>
            </w:r>
            <w:r>
              <w:rPr>
                <w:rFonts w:hint="eastAsia" w:ascii="Times New Roman" w:hAnsi="Times New Roman" w:eastAsia="宋体" w:cs="Times New Roman"/>
                <w:color w:val="auto"/>
                <w:lang w:val="en-US" w:eastAsia="zh-CN"/>
              </w:rPr>
              <w:t>11</w:t>
            </w:r>
            <w:r>
              <w:rPr>
                <w:rFonts w:hint="default" w:ascii="Times New Roman" w:hAnsi="Times New Roman" w:eastAsia="宋体" w:cs="Times New Roman"/>
                <w:color w:val="auto"/>
              </w:rPr>
              <w:t>台箱变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经与设计单位核实，本项目拟安装的每台箱变内各装有</w:t>
            </w:r>
            <w:r>
              <w:rPr>
                <w:rFonts w:hint="eastAsia" w:ascii="Times New Roman" w:hAnsi="Times New Roman" w:eastAsia="宋体" w:cs="Times New Roman"/>
                <w:color w:val="auto"/>
                <w:lang w:val="en-US" w:eastAsia="zh-CN"/>
              </w:rPr>
              <w:t>800-900L</w:t>
            </w:r>
            <w:r>
              <w:rPr>
                <w:rFonts w:hint="default" w:ascii="Times New Roman" w:hAnsi="Times New Roman" w:eastAsia="宋体" w:cs="Times New Roman"/>
                <w:color w:val="auto"/>
              </w:rPr>
              <w:t>的变压器油，每台箱变分别配套设置有一个容积为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的设计满足《火力发电厂与变电站设计防火标准》GB50229-2019中11.3.4的相关要求。</w:t>
            </w:r>
          </w:p>
          <w:p w14:paraId="6BFE232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综上分析，项目运营期间正常情况下，箱变</w:t>
            </w:r>
            <w:r>
              <w:rPr>
                <w:rFonts w:hint="default" w:ascii="Times New Roman" w:hAnsi="Times New Roman" w:eastAsia="宋体" w:cs="Times New Roman"/>
                <w:color w:val="auto"/>
                <w:lang w:eastAsia="zh-CN"/>
              </w:rPr>
              <w:t>一</w:t>
            </w:r>
            <w:r>
              <w:rPr>
                <w:rFonts w:hint="default" w:ascii="Times New Roman" w:hAnsi="Times New Roman" w:eastAsia="宋体" w:cs="Times New Roman"/>
                <w:color w:val="auto"/>
              </w:rPr>
              <w:t>般不会产生废变压器油</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一旦发生事故，产生的事故油排入箱变的</w:t>
            </w:r>
            <w:r>
              <w:rPr>
                <w:rFonts w:hint="default" w:ascii="Times New Roman" w:hAnsi="Times New Roman" w:eastAsia="宋体" w:cs="Times New Roman"/>
                <w:color w:val="auto"/>
                <w:lang w:eastAsia="zh-CN"/>
              </w:rPr>
              <w:t>事故池</w:t>
            </w:r>
            <w:r>
              <w:rPr>
                <w:rFonts w:hint="default" w:ascii="Times New Roman" w:hAnsi="Times New Roman" w:eastAsia="宋体" w:cs="Times New Roman"/>
                <w:color w:val="auto"/>
              </w:rPr>
              <w:t>内，经收集后委托有资质的单位回收处置，对环境影响不大。</w:t>
            </w:r>
          </w:p>
          <w:p w14:paraId="7BC18DB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废物应严格按照《危险废物管理办法》和《危险废物贮存污染控制标准》（GB18597-2001）及修改单（2013年第36号）要求执行，作好危险废物情况的记录，记录上须注明危险废物的名称、来源、数量、特性和包装容器的类别，同时危险废物的记录和货单需保留3年。定期对所贮存的危险废物包装容器及贮存设施进行检查，发现破损，应及时采取措施清理更换；建立危险废物贮存的台账制度，应有危险废物出入库交接记录，执行危险废物转移联单制度。</w:t>
            </w:r>
          </w:p>
          <w:p w14:paraId="6FEB94F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综上所述，本项目产生的各类固废均得到了有效的处理及处置，不会产生二次 污染，对周边环境影响较小。</w:t>
            </w:r>
          </w:p>
          <w:p w14:paraId="68B1E47E">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（5）生态环境影响分析</w:t>
            </w:r>
          </w:p>
          <w:p w14:paraId="075340D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1）对占地范围内生态影响分析</w:t>
            </w:r>
          </w:p>
          <w:p w14:paraId="0B36A78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项目运营期的生态影响，主要为大量光伏电池板遮挡阳光对植物生长的影响及对区域农作物的影响。</w:t>
            </w:r>
          </w:p>
          <w:p w14:paraId="4A8DDF2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①对植物光合作用造成影响：植物的生存和生长离不开光合作用，对阳生植物而言，这种影响表现得更为突出，光照条件不足会使植物生长受到制约；</w:t>
            </w:r>
          </w:p>
          <w:p w14:paraId="4785B3C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②对植物水分利用效率造成影响：由于缺乏必要的光照，植物的生长异常缓慢甚至停滞，从而大大减少了植物对水的利用效率；</w:t>
            </w:r>
          </w:p>
          <w:p w14:paraId="224627D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③对受遮盖后的小环境造成影响：由于光伏电站建设不扰动林地，且占地区植被主要为</w:t>
            </w:r>
            <w:r>
              <w:rPr>
                <w:rFonts w:hint="default" w:ascii="Times New Roman" w:hAnsi="Times New Roman" w:eastAsia="宋体" w:cs="Times New Roman"/>
                <w:color w:val="auto"/>
                <w:sz w:val="24"/>
                <w:szCs w:val="24"/>
              </w:rPr>
              <w:t>主要为</w:t>
            </w:r>
            <w:r>
              <w:rPr>
                <w:rFonts w:hint="default" w:ascii="Times New Roman" w:hAnsi="Times New Roman" w:eastAsia="宋体" w:cs="Times New Roman"/>
                <w:color w:val="auto"/>
                <w:sz w:val="24"/>
                <w:szCs w:val="24"/>
                <w:lang w:eastAsia="zh-CN"/>
              </w:rPr>
              <w:t>茶树、杉木</w:t>
            </w:r>
            <w:r>
              <w:rPr>
                <w:rFonts w:hint="default" w:ascii="Times New Roman" w:hAnsi="Times New Roman" w:eastAsia="宋体" w:cs="Times New Roman"/>
              </w:rPr>
              <w:t>，植物种类较少，生物量小，同时项目建成后将对项目光伏电池板间、板下区域种植喜阴草本植物，因此工程建成运行后对项目地原有植被的影响在可接受的范围内。</w:t>
            </w:r>
          </w:p>
          <w:p w14:paraId="3CC899C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2）对周围农作物的影响分析</w:t>
            </w:r>
          </w:p>
          <w:p w14:paraId="25E6355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光伏电站运行过程中无废气产生</w:t>
            </w:r>
            <w:r>
              <w:rPr>
                <w:rFonts w:hint="default" w:ascii="Times New Roman" w:hAnsi="Times New Roman" w:eastAsia="宋体" w:cs="Times New Roman"/>
                <w:lang w:eastAsia="zh-CN"/>
              </w:rPr>
              <w:t>，</w:t>
            </w:r>
            <w:r>
              <w:rPr>
                <w:rFonts w:hint="default" w:ascii="Times New Roman" w:hAnsi="Times New Roman" w:eastAsia="宋体" w:cs="Times New Roman"/>
              </w:rPr>
              <w:t>太阳能电池板清洗废水中主要含有SS，用于矩阵区绿化；光伏电站的运行吸收太阳能热量，太阳能为发散光源，项目的建设不会减少周围的光照时间，所以不会影响周围农作物的生长。因此，光伏板的运行对周围耕地和农作物不会造成影响。</w:t>
            </w:r>
          </w:p>
          <w:p w14:paraId="3FDEFFB1">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（6）环境风险分析</w:t>
            </w:r>
          </w:p>
          <w:p w14:paraId="2549AA3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1）风险物质</w:t>
            </w:r>
          </w:p>
          <w:p w14:paraId="0B7F4E6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该项目涉及的风险物质主要为危废间暂存废矿物油、箱变变压器油。项目涉及的风险物质储存量具体详见下表。</w:t>
            </w:r>
          </w:p>
          <w:p w14:paraId="339030EA">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项目涉及危险物质储存一览表</w:t>
            </w:r>
          </w:p>
          <w:tbl>
            <w:tblPr>
              <w:tblStyle w:val="26"/>
              <w:tblW w:w="81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1411"/>
              <w:gridCol w:w="2585"/>
              <w:gridCol w:w="1592"/>
            </w:tblGrid>
            <w:tr w14:paraId="7C2E1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09E71E3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名称</w:t>
                  </w:r>
                </w:p>
              </w:tc>
              <w:tc>
                <w:tcPr>
                  <w:tcW w:w="1411" w:type="dxa"/>
                  <w:tcBorders>
                    <w:tl2br w:val="nil"/>
                    <w:tr2bl w:val="nil"/>
                  </w:tcBorders>
                  <w:vAlign w:val="top"/>
                </w:tcPr>
                <w:p w14:paraId="43205FD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585" w:type="dxa"/>
                  <w:tcBorders>
                    <w:tl2br w:val="nil"/>
                    <w:tr2bl w:val="nil"/>
                  </w:tcBorders>
                  <w:vAlign w:val="top"/>
                </w:tcPr>
                <w:p w14:paraId="677A21C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最大储存量</w:t>
                  </w:r>
                </w:p>
              </w:tc>
              <w:tc>
                <w:tcPr>
                  <w:tcW w:w="1592" w:type="dxa"/>
                  <w:tcBorders>
                    <w:tl2br w:val="nil"/>
                    <w:tr2bl w:val="nil"/>
                  </w:tcBorders>
                  <w:vAlign w:val="top"/>
                </w:tcPr>
                <w:p w14:paraId="0D88086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储存位置</w:t>
                  </w:r>
                </w:p>
              </w:tc>
            </w:tr>
            <w:tr w14:paraId="77CBD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4C627A5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危废间暂存废矿物油</w:t>
                  </w:r>
                </w:p>
              </w:tc>
              <w:tc>
                <w:tcPr>
                  <w:tcW w:w="1411" w:type="dxa"/>
                  <w:tcBorders>
                    <w:tl2br w:val="nil"/>
                    <w:tr2bl w:val="nil"/>
                  </w:tcBorders>
                  <w:vAlign w:val="top"/>
                </w:tcPr>
                <w:p w14:paraId="3C8D920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2585" w:type="dxa"/>
                  <w:tcBorders>
                    <w:tl2br w:val="nil"/>
                    <w:tr2bl w:val="nil"/>
                  </w:tcBorders>
                  <w:vAlign w:val="top"/>
                </w:tcPr>
                <w:p w14:paraId="4096D72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0.05t</w:t>
                  </w:r>
                </w:p>
              </w:tc>
              <w:tc>
                <w:tcPr>
                  <w:tcW w:w="1592" w:type="dxa"/>
                  <w:tcBorders>
                    <w:tl2br w:val="nil"/>
                    <w:tr2bl w:val="nil"/>
                  </w:tcBorders>
                  <w:vAlign w:val="top"/>
                </w:tcPr>
                <w:p w14:paraId="4B94FEF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r>
            <w:tr w14:paraId="5A392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574" w:type="dxa"/>
                  <w:tcBorders>
                    <w:tl2br w:val="nil"/>
                    <w:tr2bl w:val="nil"/>
                  </w:tcBorders>
                  <w:vAlign w:val="top"/>
                </w:tcPr>
                <w:p w14:paraId="2FA8F20E">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箱变变压器油</w:t>
                  </w:r>
                </w:p>
              </w:tc>
              <w:tc>
                <w:tcPr>
                  <w:tcW w:w="1411" w:type="dxa"/>
                  <w:tcBorders>
                    <w:tl2br w:val="nil"/>
                    <w:tr2bl w:val="nil"/>
                  </w:tcBorders>
                  <w:vAlign w:val="top"/>
                </w:tcPr>
                <w:p w14:paraId="37A8048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2585" w:type="dxa"/>
                  <w:tcBorders>
                    <w:tl2br w:val="nil"/>
                    <w:tr2bl w:val="nil"/>
                  </w:tcBorders>
                  <w:vAlign w:val="top"/>
                </w:tcPr>
                <w:p w14:paraId="499EC0F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800L</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lang w:val="en-US" w:eastAsia="zh-CN"/>
                    </w:rPr>
                    <w:t>台</w:t>
                  </w:r>
                </w:p>
              </w:tc>
              <w:tc>
                <w:tcPr>
                  <w:tcW w:w="1592" w:type="dxa"/>
                  <w:tcBorders>
                    <w:tl2br w:val="nil"/>
                    <w:tr2bl w:val="nil"/>
                  </w:tcBorders>
                  <w:vAlign w:val="top"/>
                </w:tcPr>
                <w:p w14:paraId="6F035B0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w:t>
                  </w:r>
                </w:p>
              </w:tc>
            </w:tr>
          </w:tbl>
          <w:p w14:paraId="514C8DC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2）建设项目环境风险潜势判断</w:t>
            </w:r>
          </w:p>
          <w:p w14:paraId="7489AD2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根据《建设项目环境风险评价技术导则》(HJ169-2018)，计算所涉及的每种危险物质在厂界内的最大存在总量与其在附录B中对应临界量的比值Q。在不同厂区的同一种物质，按其在厂界内的最大存在总量计算。</w:t>
            </w:r>
          </w:p>
          <w:p w14:paraId="11749AC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①当值涉及一种危险物质时，计算该物质的总量与其临界量比值，即为Q;</w:t>
            </w:r>
          </w:p>
          <w:p w14:paraId="153635A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②当存在多种危险物质时，则按下列公示计算物质总量与其临界量比值Q;</w:t>
            </w:r>
          </w:p>
          <w:p w14:paraId="73524F84">
            <w:pPr>
              <w:keepNext w:val="0"/>
              <w:keepLines w:val="0"/>
              <w:numPr>
                <w:ilvl w:val="0"/>
                <w:numId w:val="0"/>
              </w:numPr>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Q=q1/Q1+q2/Q2+....+qn/Qn</w:t>
            </w:r>
          </w:p>
          <w:p w14:paraId="009BDB8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式中：q1，q2…qn——每种危险物质的最大存在总量，t。</w:t>
            </w:r>
          </w:p>
          <w:p w14:paraId="5D9C14B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Q1，Q2…Qn—每种危险物质的临界量，t。</w:t>
            </w:r>
          </w:p>
          <w:p w14:paraId="709305B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当Q&lt;1时，该项目环境风险潜势为Ⅰ。</w:t>
            </w:r>
          </w:p>
          <w:p w14:paraId="3DDCFCA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当Q＞1时，将Q值划分为：（1）1≤Q&lt;10；（2）10≤Q&lt;100；（3）Q＞100</w:t>
            </w:r>
          </w:p>
          <w:p w14:paraId="6324396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根据《建设项目环境风险评价技术导则》(HJ169-2018) 附录B所列物质，</w:t>
            </w:r>
            <w:r>
              <w:rPr>
                <w:rFonts w:hint="default" w:ascii="Times New Roman" w:hAnsi="Times New Roman" w:eastAsia="宋体" w:cs="Times New Roman"/>
              </w:rPr>
              <w:t>项目涉及危险物质为</w:t>
            </w:r>
            <w:r>
              <w:rPr>
                <w:rFonts w:hint="default" w:ascii="Times New Roman" w:hAnsi="Times New Roman" w:eastAsia="宋体" w:cs="Times New Roman"/>
                <w:lang w:val="en-US" w:eastAsia="zh-CN"/>
              </w:rPr>
              <w:t>危废间暂存废矿物油、箱变变压器油</w:t>
            </w:r>
            <w:r>
              <w:rPr>
                <w:rFonts w:hint="default" w:ascii="Times New Roman" w:hAnsi="Times New Roman" w:eastAsia="宋体" w:cs="Times New Roman"/>
              </w:rPr>
              <w:t>，对照《建设项目环境风险评价技术导则》（HJ169-2018）附录B中临界量，确定项目涉及的危险物质数量与临界量的比值（Q）见表4-</w:t>
            </w:r>
            <w:r>
              <w:rPr>
                <w:rFonts w:hint="eastAsia" w:ascii="Times New Roman" w:hAnsi="Times New Roman" w:eastAsia="宋体" w:cs="Times New Roman"/>
                <w:lang w:val="en-US" w:eastAsia="zh-CN"/>
              </w:rPr>
              <w:t>7</w:t>
            </w:r>
            <w:r>
              <w:rPr>
                <w:rFonts w:hint="default" w:ascii="Times New Roman" w:hAnsi="Times New Roman" w:eastAsia="宋体" w:cs="Times New Roman"/>
              </w:rPr>
              <w:t>。</w:t>
            </w:r>
          </w:p>
          <w:p w14:paraId="2EDB813D">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危险物质数量与临界量的比值（Q）计算结果</w:t>
            </w:r>
          </w:p>
          <w:tbl>
            <w:tblPr>
              <w:tblStyle w:val="25"/>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920"/>
              <w:gridCol w:w="1417"/>
              <w:gridCol w:w="993"/>
              <w:gridCol w:w="885"/>
            </w:tblGrid>
            <w:tr w14:paraId="1A5C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6332300B">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920" w:type="dxa"/>
                  <w:tcBorders>
                    <w:tl2br w:val="nil"/>
                    <w:tr2bl w:val="nil"/>
                  </w:tcBorders>
                  <w:vAlign w:val="center"/>
                </w:tcPr>
                <w:p w14:paraId="1F0C7E8A">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最大存在总量（t）</w:t>
                  </w:r>
                </w:p>
              </w:tc>
              <w:tc>
                <w:tcPr>
                  <w:tcW w:w="1417" w:type="dxa"/>
                  <w:tcBorders>
                    <w:tl2br w:val="nil"/>
                    <w:tr2bl w:val="nil"/>
                  </w:tcBorders>
                  <w:vAlign w:val="center"/>
                </w:tcPr>
                <w:p w14:paraId="2B0595F6">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临界量（t）</w:t>
                  </w:r>
                </w:p>
              </w:tc>
              <w:tc>
                <w:tcPr>
                  <w:tcW w:w="993" w:type="dxa"/>
                  <w:tcBorders>
                    <w:tl2br w:val="nil"/>
                    <w:tr2bl w:val="nil"/>
                  </w:tcBorders>
                  <w:vAlign w:val="center"/>
                </w:tcPr>
                <w:p w14:paraId="48D22F82">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Q值</w:t>
                  </w:r>
                </w:p>
              </w:tc>
              <w:tc>
                <w:tcPr>
                  <w:tcW w:w="885" w:type="dxa"/>
                  <w:tcBorders>
                    <w:tl2br w:val="nil"/>
                    <w:tr2bl w:val="nil"/>
                  </w:tcBorders>
                  <w:vAlign w:val="center"/>
                </w:tcPr>
                <w:p w14:paraId="4B8F3AB5">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环境风险潜势</w:t>
                  </w:r>
                </w:p>
              </w:tc>
            </w:tr>
            <w:tr w14:paraId="02CF9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6A80070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危废间暂存废矿物油</w:t>
                  </w:r>
                  <w:r>
                    <w:rPr>
                      <w:rFonts w:hint="eastAsia" w:ascii="Times New Roman" w:hAnsi="Times New Roman" w:cs="Times New Roman"/>
                      <w:sz w:val="21"/>
                      <w:szCs w:val="21"/>
                      <w:lang w:val="en-US" w:eastAsia="zh-CN"/>
                    </w:rPr>
                    <w:t>等</w:t>
                  </w:r>
                </w:p>
              </w:tc>
              <w:tc>
                <w:tcPr>
                  <w:tcW w:w="2920" w:type="dxa"/>
                  <w:tcBorders>
                    <w:tl2br w:val="nil"/>
                    <w:tr2bl w:val="nil"/>
                  </w:tcBorders>
                  <w:vAlign w:val="center"/>
                </w:tcPr>
                <w:p w14:paraId="4C8C4963">
                  <w:pPr>
                    <w:keepNext w:val="0"/>
                    <w:keepLines w:val="0"/>
                    <w:suppressLineNumbers w:val="0"/>
                    <w:spacing w:before="0" w:beforeAutospacing="0" w:after="0" w:afterAutospacing="0"/>
                    <w:ind w:left="0" w:right="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0.05</w:t>
                  </w:r>
                </w:p>
              </w:tc>
              <w:tc>
                <w:tcPr>
                  <w:tcW w:w="1417" w:type="dxa"/>
                  <w:tcBorders>
                    <w:tl2br w:val="nil"/>
                    <w:tr2bl w:val="nil"/>
                  </w:tcBorders>
                  <w:vAlign w:val="center"/>
                </w:tcPr>
                <w:p w14:paraId="4AC55BA6">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16BF54A2">
                  <w:pPr>
                    <w:keepNext w:val="0"/>
                    <w:keepLines w:val="0"/>
                    <w:suppressLineNumbers w:val="0"/>
                    <w:spacing w:before="0" w:beforeAutospacing="0" w:after="0" w:afterAutospacing="0"/>
                    <w:ind w:left="0" w:right="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0.00002</w:t>
                  </w:r>
                </w:p>
              </w:tc>
              <w:tc>
                <w:tcPr>
                  <w:tcW w:w="885" w:type="dxa"/>
                  <w:tcBorders>
                    <w:tl2br w:val="nil"/>
                    <w:tr2bl w:val="nil"/>
                  </w:tcBorders>
                  <w:vAlign w:val="center"/>
                </w:tcPr>
                <w:p w14:paraId="7FD25B20">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w:t>
                  </w:r>
                </w:p>
              </w:tc>
            </w:tr>
            <w:tr w14:paraId="52BDC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541D501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箱变变压器油</w:t>
                  </w:r>
                </w:p>
              </w:tc>
              <w:tc>
                <w:tcPr>
                  <w:tcW w:w="2920" w:type="dxa"/>
                  <w:tcBorders>
                    <w:tl2br w:val="nil"/>
                    <w:tr2bl w:val="nil"/>
                  </w:tcBorders>
                  <w:vAlign w:val="center"/>
                </w:tcPr>
                <w:p w14:paraId="25DA16F3">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8.8</w:t>
                  </w:r>
                </w:p>
              </w:tc>
              <w:tc>
                <w:tcPr>
                  <w:tcW w:w="1417" w:type="dxa"/>
                  <w:tcBorders>
                    <w:tl2br w:val="nil"/>
                    <w:tr2bl w:val="nil"/>
                  </w:tcBorders>
                  <w:vAlign w:val="center"/>
                </w:tcPr>
                <w:p w14:paraId="16CA5FEC">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w:t>
                  </w:r>
                </w:p>
              </w:tc>
              <w:tc>
                <w:tcPr>
                  <w:tcW w:w="993" w:type="dxa"/>
                  <w:tcBorders>
                    <w:tl2br w:val="nil"/>
                    <w:tr2bl w:val="nil"/>
                  </w:tcBorders>
                  <w:vAlign w:val="center"/>
                </w:tcPr>
                <w:p w14:paraId="438ADAAC">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0.00352</w:t>
                  </w:r>
                </w:p>
              </w:tc>
              <w:tc>
                <w:tcPr>
                  <w:tcW w:w="885" w:type="dxa"/>
                  <w:tcBorders>
                    <w:tl2br w:val="nil"/>
                    <w:tr2bl w:val="nil"/>
                  </w:tcBorders>
                  <w:vAlign w:val="center"/>
                </w:tcPr>
                <w:p w14:paraId="1CD8475C">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w:t>
                  </w:r>
                </w:p>
              </w:tc>
            </w:tr>
            <w:tr w14:paraId="3D552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6642" w:type="dxa"/>
                  <w:gridSpan w:val="3"/>
                  <w:tcBorders>
                    <w:tl2br w:val="nil"/>
                    <w:tr2bl w:val="nil"/>
                  </w:tcBorders>
                  <w:vAlign w:val="center"/>
                </w:tcPr>
                <w:p w14:paraId="2911734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993" w:type="dxa"/>
                  <w:tcBorders>
                    <w:tl2br w:val="nil"/>
                    <w:tr2bl w:val="nil"/>
                  </w:tcBorders>
                  <w:vAlign w:val="center"/>
                </w:tcPr>
                <w:p w14:paraId="67533BB0">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0354</w:t>
                  </w:r>
                </w:p>
              </w:tc>
              <w:tc>
                <w:tcPr>
                  <w:tcW w:w="885" w:type="dxa"/>
                  <w:tcBorders>
                    <w:tl2br w:val="nil"/>
                    <w:tr2bl w:val="nil"/>
                  </w:tcBorders>
                  <w:vAlign w:val="center"/>
                </w:tcPr>
                <w:p w14:paraId="1D5EBEA0">
                  <w:pPr>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Ⅰ</w:t>
                  </w:r>
                </w:p>
              </w:tc>
            </w:tr>
          </w:tbl>
          <w:p w14:paraId="7E2D156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项目Q</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0.00354</w:t>
            </w:r>
            <w:r>
              <w:rPr>
                <w:rFonts w:hint="default" w:ascii="Times New Roman" w:hAnsi="Times New Roman" w:eastAsia="宋体" w:cs="Times New Roman"/>
                <w:lang w:val="en-US" w:eastAsia="zh-CN"/>
              </w:rPr>
              <w:t>，Q＜1。确定本项目的环境风险潜势为Ⅰ。</w:t>
            </w:r>
          </w:p>
          <w:p w14:paraId="3DC64FD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3）评价等级</w:t>
            </w:r>
          </w:p>
          <w:p w14:paraId="157E14F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根据《建设项目环境风险评价技术导则》(HJ169-2018) ，环境风险评价工作等级划分为一级、二级、三级，评价工作等级划分见表4-</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w:t>
            </w:r>
          </w:p>
          <w:p w14:paraId="3FFE046E">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环境风险评价等级划分</w:t>
            </w:r>
          </w:p>
          <w:tbl>
            <w:tblPr>
              <w:tblStyle w:val="25"/>
              <w:tblW w:w="8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694"/>
              <w:gridCol w:w="1694"/>
              <w:gridCol w:w="1695"/>
              <w:gridCol w:w="1695"/>
            </w:tblGrid>
            <w:tr w14:paraId="6392F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6CE7FA6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环境风险潜势</w:t>
                  </w:r>
                </w:p>
              </w:tc>
              <w:tc>
                <w:tcPr>
                  <w:tcW w:w="1694" w:type="dxa"/>
                  <w:vAlign w:val="center"/>
                </w:tcPr>
                <w:p w14:paraId="59CC9F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IV/IV+</w:t>
                  </w:r>
                </w:p>
              </w:tc>
              <w:tc>
                <w:tcPr>
                  <w:tcW w:w="1694" w:type="dxa"/>
                  <w:vAlign w:val="center"/>
                </w:tcPr>
                <w:p w14:paraId="3D2DA51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c>
                <w:tcPr>
                  <w:tcW w:w="1695" w:type="dxa"/>
                  <w:vAlign w:val="center"/>
                </w:tcPr>
                <w:p w14:paraId="7D1689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w:t>
                  </w:r>
                </w:p>
              </w:tc>
              <w:tc>
                <w:tcPr>
                  <w:tcW w:w="1695" w:type="dxa"/>
                  <w:vAlign w:val="center"/>
                </w:tcPr>
                <w:p w14:paraId="0D3321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w:t>
                  </w:r>
                </w:p>
              </w:tc>
            </w:tr>
            <w:tr w14:paraId="29B63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0C03CDD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评价工作等级</w:t>
                  </w:r>
                </w:p>
              </w:tc>
              <w:tc>
                <w:tcPr>
                  <w:tcW w:w="1694" w:type="dxa"/>
                  <w:vAlign w:val="center"/>
                </w:tcPr>
                <w:p w14:paraId="05DAB7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694" w:type="dxa"/>
                  <w:vAlign w:val="center"/>
                </w:tcPr>
                <w:p w14:paraId="7349896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695" w:type="dxa"/>
                  <w:vAlign w:val="center"/>
                </w:tcPr>
                <w:p w14:paraId="23BB7C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1695" w:type="dxa"/>
                  <w:vAlign w:val="center"/>
                </w:tcPr>
                <w:p w14:paraId="588BA2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简单分析a</w:t>
                  </w:r>
                </w:p>
              </w:tc>
            </w:tr>
            <w:tr w14:paraId="30544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72" w:type="dxa"/>
                  <w:gridSpan w:val="5"/>
                  <w:vAlign w:val="center"/>
                </w:tcPr>
                <w:p w14:paraId="48E665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a是相对于详细评价工作内容而言，在描述危险物质、环境影响途径、环境危害后果、风险防范措施等方面给出定性的说明。</w:t>
                  </w:r>
                </w:p>
              </w:tc>
            </w:tr>
          </w:tbl>
          <w:p w14:paraId="2E812D1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根据上文对本项目环境风险潜势进行判断，本项目环境风险潜势为I，环境风险评价工作等级按导则划分为简单分析。</w:t>
            </w:r>
          </w:p>
          <w:p w14:paraId="6260118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4）环境风险评价结论</w:t>
            </w:r>
          </w:p>
          <w:p w14:paraId="16A8CD5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拟建项目环境风险等级为简单分析。风险评价内容见下表。</w:t>
            </w:r>
          </w:p>
          <w:p w14:paraId="4FF288E0">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建设项目环境风险简单分析内容表</w:t>
            </w:r>
          </w:p>
          <w:tbl>
            <w:tblPr>
              <w:tblStyle w:val="26"/>
              <w:tblW w:w="852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6837"/>
            </w:tblGrid>
            <w:tr w14:paraId="60881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08000E3">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建设项目名称</w:t>
                  </w:r>
                </w:p>
              </w:tc>
              <w:tc>
                <w:tcPr>
                  <w:tcW w:w="6837" w:type="dxa"/>
                  <w:tcBorders>
                    <w:tl2br w:val="nil"/>
                    <w:tr2bl w:val="nil"/>
                  </w:tcBorders>
                </w:tcPr>
                <w:p w14:paraId="664920DC">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w:t>
                  </w:r>
                  <w:r>
                    <w:rPr>
                      <w:rFonts w:hint="eastAsia" w:ascii="Times New Roman" w:hAnsi="Times New Roman" w:eastAsia="宋体" w:cs="Times New Roman"/>
                      <w:sz w:val="21"/>
                      <w:szCs w:val="21"/>
                      <w:vertAlign w:val="baseline"/>
                      <w:lang w:val="en-US" w:eastAsia="zh-CN"/>
                    </w:rPr>
                    <w:t>芒东</w:t>
                  </w:r>
                  <w:r>
                    <w:rPr>
                      <w:rFonts w:hint="default" w:ascii="Times New Roman" w:hAnsi="Times New Roman" w:eastAsia="宋体" w:cs="Times New Roman"/>
                      <w:sz w:val="21"/>
                      <w:szCs w:val="21"/>
                      <w:vertAlign w:val="baseline"/>
                      <w:lang w:val="en-US" w:eastAsia="zh-CN"/>
                    </w:rPr>
                    <w:t>光伏发电项目</w:t>
                  </w:r>
                </w:p>
              </w:tc>
            </w:tr>
            <w:tr w14:paraId="4E145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4B4DA7F3">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建设地点</w:t>
                  </w:r>
                </w:p>
              </w:tc>
              <w:tc>
                <w:tcPr>
                  <w:tcW w:w="6837" w:type="dxa"/>
                  <w:tcBorders>
                    <w:tl2br w:val="nil"/>
                    <w:tr2bl w:val="nil"/>
                  </w:tcBorders>
                </w:tcPr>
                <w:p w14:paraId="39E5E8AA">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云南省德宏州芒市江东乡河头村</w:t>
                  </w:r>
                </w:p>
              </w:tc>
            </w:tr>
            <w:tr w14:paraId="439BC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339EA355">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地理坐标</w:t>
                  </w:r>
                </w:p>
              </w:tc>
              <w:tc>
                <w:tcPr>
                  <w:tcW w:w="6837" w:type="dxa"/>
                  <w:tcBorders>
                    <w:tl2br w:val="nil"/>
                    <w:tr2bl w:val="nil"/>
                  </w:tcBorders>
                </w:tcPr>
                <w:p w14:paraId="5CD701F8">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东经98度 </w:t>
                  </w:r>
                  <w:r>
                    <w:rPr>
                      <w:rFonts w:hint="eastAsia" w:ascii="Times New Roman" w:hAnsi="Times New Roman" w:eastAsia="宋体" w:cs="Times New Roman"/>
                      <w:sz w:val="21"/>
                      <w:szCs w:val="21"/>
                      <w:vertAlign w:val="baseline"/>
                      <w:lang w:val="en-US" w:eastAsia="zh-CN"/>
                    </w:rPr>
                    <w:t>20</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41</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55</w:t>
                  </w:r>
                  <w:r>
                    <w:rPr>
                      <w:rFonts w:hint="default" w:ascii="Times New Roman" w:hAnsi="Times New Roman" w:eastAsia="宋体" w:cs="Times New Roman"/>
                      <w:sz w:val="21"/>
                      <w:szCs w:val="21"/>
                      <w:vertAlign w:val="baseline"/>
                      <w:lang w:val="en-US" w:eastAsia="zh-CN"/>
                    </w:rPr>
                    <w:t xml:space="preserve">秒～98度 </w:t>
                  </w:r>
                  <w:r>
                    <w:rPr>
                      <w:rFonts w:hint="eastAsia" w:ascii="Times New Roman" w:hAnsi="Times New Roman" w:eastAsia="宋体" w:cs="Times New Roman"/>
                      <w:sz w:val="21"/>
                      <w:szCs w:val="21"/>
                      <w:vertAlign w:val="baseline"/>
                      <w:lang w:val="en-US" w:eastAsia="zh-CN"/>
                    </w:rPr>
                    <w:t>23</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25</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88</w:t>
                  </w:r>
                  <w:r>
                    <w:rPr>
                      <w:rFonts w:hint="default" w:ascii="Times New Roman" w:hAnsi="Times New Roman" w:eastAsia="宋体" w:cs="Times New Roman"/>
                      <w:sz w:val="21"/>
                      <w:szCs w:val="21"/>
                      <w:vertAlign w:val="baseline"/>
                      <w:lang w:val="en-US" w:eastAsia="zh-CN"/>
                    </w:rPr>
                    <w:t xml:space="preserve"> 秒，</w:t>
                  </w:r>
                </w:p>
                <w:p w14:paraId="646BB188">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北纬24度2</w:t>
                  </w:r>
                  <w:r>
                    <w:rPr>
                      <w:rFonts w:hint="eastAsia" w:ascii="Times New Roman" w:hAnsi="Times New Roman" w:eastAsia="宋体" w:cs="Times New Roman"/>
                      <w:sz w:val="21"/>
                      <w:szCs w:val="21"/>
                      <w:vertAlign w:val="baseline"/>
                      <w:lang w:val="en-US" w:eastAsia="zh-CN"/>
                    </w:rPr>
                    <w:t>7</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18</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98</w:t>
                  </w:r>
                  <w:r>
                    <w:rPr>
                      <w:rFonts w:hint="default" w:ascii="Times New Roman" w:hAnsi="Times New Roman" w:eastAsia="宋体" w:cs="Times New Roman"/>
                      <w:sz w:val="21"/>
                      <w:szCs w:val="21"/>
                      <w:vertAlign w:val="baseline"/>
                      <w:lang w:val="en-US" w:eastAsia="zh-CN"/>
                    </w:rPr>
                    <w:t>秒～24度 2</w:t>
                  </w:r>
                  <w:r>
                    <w:rPr>
                      <w:rFonts w:hint="eastAsia" w:ascii="Times New Roman" w:hAnsi="Times New Roman" w:eastAsia="宋体" w:cs="Times New Roman"/>
                      <w:sz w:val="21"/>
                      <w:szCs w:val="21"/>
                      <w:vertAlign w:val="baseline"/>
                      <w:lang w:val="en-US" w:eastAsia="zh-CN"/>
                    </w:rPr>
                    <w:t>9</w:t>
                  </w:r>
                  <w:r>
                    <w:rPr>
                      <w:rFonts w:hint="default" w:ascii="Times New Roman" w:hAnsi="Times New Roman" w:eastAsia="宋体" w:cs="Times New Roman"/>
                      <w:sz w:val="21"/>
                      <w:szCs w:val="21"/>
                      <w:vertAlign w:val="baseline"/>
                      <w:lang w:val="en-US" w:eastAsia="zh-CN"/>
                    </w:rPr>
                    <w:t>分</w:t>
                  </w:r>
                  <w:r>
                    <w:rPr>
                      <w:rFonts w:hint="eastAsia" w:ascii="Times New Roman" w:hAnsi="Times New Roman" w:eastAsia="宋体" w:cs="Times New Roman"/>
                      <w:sz w:val="21"/>
                      <w:szCs w:val="21"/>
                      <w:vertAlign w:val="baseline"/>
                      <w:lang w:val="en-US" w:eastAsia="zh-CN"/>
                    </w:rPr>
                    <w:t>12.65</w:t>
                  </w:r>
                  <w:r>
                    <w:rPr>
                      <w:rFonts w:hint="default" w:ascii="Times New Roman" w:hAnsi="Times New Roman" w:eastAsia="宋体" w:cs="Times New Roman"/>
                      <w:sz w:val="21"/>
                      <w:szCs w:val="21"/>
                      <w:vertAlign w:val="baseline"/>
                      <w:lang w:val="en-US" w:eastAsia="zh-CN"/>
                    </w:rPr>
                    <w:t>秒。</w:t>
                  </w:r>
                </w:p>
              </w:tc>
            </w:tr>
            <w:tr w14:paraId="119CA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19CEDC81">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主要危废物质</w:t>
                  </w:r>
                </w:p>
              </w:tc>
              <w:tc>
                <w:tcPr>
                  <w:tcW w:w="6837" w:type="dxa"/>
                  <w:tcBorders>
                    <w:tl2br w:val="nil"/>
                    <w:tr2bl w:val="nil"/>
                  </w:tcBorders>
                </w:tcPr>
                <w:p w14:paraId="27E9E688">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危箱变变压器油</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废间暂存废矿物油</w:t>
                  </w:r>
                  <w:r>
                    <w:rPr>
                      <w:rFonts w:hint="eastAsia" w:ascii="Times New Roman" w:hAnsi="Times New Roman" w:eastAsia="宋体" w:cs="Times New Roman"/>
                      <w:sz w:val="21"/>
                      <w:szCs w:val="21"/>
                      <w:lang w:val="en-US" w:eastAsia="zh-CN"/>
                    </w:rPr>
                    <w:t>等</w:t>
                  </w:r>
                </w:p>
              </w:tc>
            </w:tr>
            <w:tr w14:paraId="1D602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683" w:type="dxa"/>
                  <w:tcBorders>
                    <w:tl2br w:val="nil"/>
                    <w:tr2bl w:val="nil"/>
                  </w:tcBorders>
                </w:tcPr>
                <w:p w14:paraId="74200FE9">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环境影响途径及危险后果</w:t>
                  </w:r>
                </w:p>
                <w:p w14:paraId="427A2861">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6AA182F3">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①当废矿物油的储油、箱变变压器油泄漏时，如不经收集处理而排放至环境中，将对土壤、地下水和植物生长等造成不利影响。</w:t>
                  </w:r>
                </w:p>
                <w:p w14:paraId="794948B0">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②废矿物油、和箱变变压器油在使用或储存过程中若操作不当或设备损坏造成物质泄漏，泄漏后遇火源或在高温(高于闪点)等特殊情况下，将引发火灾、爆炸风险。</w:t>
                  </w:r>
                </w:p>
              </w:tc>
            </w:tr>
            <w:tr w14:paraId="2AF1E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1EEA643E">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事故影响分析</w:t>
                  </w:r>
                </w:p>
              </w:tc>
              <w:tc>
                <w:tcPr>
                  <w:tcW w:w="6837" w:type="dxa"/>
                  <w:tcBorders>
                    <w:tl2br w:val="nil"/>
                    <w:tr2bl w:val="nil"/>
                  </w:tcBorders>
                </w:tcPr>
                <w:p w14:paraId="7C06CAA6">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①箱变变压器油位于箱变变压器中，光伏阵区内在每个箱变基靠油箱一侧均设置有事故池，容积为</w:t>
                  </w: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，共</w:t>
                  </w:r>
                  <w:r>
                    <w:rPr>
                      <w:rFonts w:hint="eastAsia" w:ascii="Times New Roman" w:hAnsi="Times New Roman" w:eastAsia="宋体" w:cs="Times New Roman"/>
                      <w:sz w:val="21"/>
                      <w:szCs w:val="21"/>
                      <w:vertAlign w:val="baseline"/>
                      <w:lang w:val="en-US" w:eastAsia="zh-CN"/>
                    </w:rPr>
                    <w:t>11</w:t>
                  </w:r>
                  <w:r>
                    <w:rPr>
                      <w:rFonts w:hint="default" w:ascii="Times New Roman" w:hAnsi="Times New Roman" w:eastAsia="宋体" w:cs="Times New Roman"/>
                      <w:sz w:val="21"/>
                      <w:szCs w:val="21"/>
                      <w:vertAlign w:val="baseline"/>
                      <w:lang w:val="en-US" w:eastAsia="zh-CN"/>
                    </w:rPr>
                    <w:t>个箱变事故池。事故池底部和四周按照《环境影响评价技术导则地下水环境》(HJ610-2016) 提出的重点防渗区防渗技术要求落实，即防渗层为</w:t>
                  </w:r>
                  <w:r>
                    <w:rPr>
                      <w:rFonts w:hint="default" w:ascii="Times New Roman" w:hAnsi="Times New Roman" w:cs="Times New Roman"/>
                      <w:b w:val="0"/>
                      <w:bCs w:val="0"/>
                      <w:color w:val="000000"/>
                      <w:sz w:val="21"/>
                      <w:szCs w:val="21"/>
                    </w:rPr>
                    <w:t>防渗性能不应低于6.0m厚渗透系数为1×10</w:t>
                  </w:r>
                  <w:r>
                    <w:rPr>
                      <w:rFonts w:hint="default" w:ascii="Times New Roman" w:hAnsi="Times New Roman" w:cs="Times New Roman"/>
                      <w:b w:val="0"/>
                      <w:bCs w:val="0"/>
                      <w:color w:val="000000"/>
                      <w:sz w:val="21"/>
                      <w:szCs w:val="21"/>
                      <w:vertAlign w:val="superscript"/>
                    </w:rPr>
                    <w:t>-7</w:t>
                  </w:r>
                  <w:r>
                    <w:rPr>
                      <w:rFonts w:hint="default" w:ascii="Times New Roman" w:hAnsi="Times New Roman" w:cs="Times New Roman"/>
                      <w:b w:val="0"/>
                      <w:bCs w:val="0"/>
                      <w:color w:val="000000"/>
                      <w:sz w:val="21"/>
                      <w:szCs w:val="21"/>
                    </w:rPr>
                    <w:t>cm/s的黏土层的防渗性能或2mm厚高密度聚乙烯，或至少2mm厚的其他人工材料，渗透系数≤1×10</w:t>
                  </w:r>
                  <w:r>
                    <w:rPr>
                      <w:rFonts w:hint="default" w:ascii="Times New Roman" w:hAnsi="Times New Roman" w:cs="Times New Roman"/>
                      <w:b w:val="0"/>
                      <w:bCs w:val="0"/>
                      <w:color w:val="000000"/>
                      <w:sz w:val="21"/>
                      <w:szCs w:val="21"/>
                      <w:vertAlign w:val="superscript"/>
                    </w:rPr>
                    <w:t>-10</w:t>
                  </w:r>
                  <w:r>
                    <w:rPr>
                      <w:rFonts w:hint="default" w:ascii="Times New Roman" w:hAnsi="Times New Roman" w:cs="Times New Roman"/>
                      <w:b w:val="0"/>
                      <w:bCs w:val="0"/>
                      <w:color w:val="000000"/>
                      <w:sz w:val="21"/>
                      <w:szCs w:val="21"/>
                    </w:rPr>
                    <w:t>cm/s</w:t>
                  </w:r>
                  <w:r>
                    <w:rPr>
                      <w:rFonts w:hint="default" w:ascii="Times New Roman" w:hAnsi="Times New Roman" w:eastAsia="宋体" w:cs="Times New Roman"/>
                      <w:sz w:val="21"/>
                      <w:szCs w:val="21"/>
                      <w:vertAlign w:val="baseline"/>
                      <w:lang w:val="en-US" w:eastAsia="zh-CN"/>
                    </w:rPr>
                    <w:t>，确保事故油在存储的过程中不会渗漏。事故时产生的废油经专用容器收集后放至在严格按照《危险废物贮存污染控制标准》(GB18597-2001)要求建设的危险废物暂存间内暂存，定期委托有资质单位清运处置。根据国内已建运行的变电站的运行情况，除非设备年久失修老化，箱变事故漏油发生概率极小。因此，箱变事故漏油风险产生的影响极小。</w:t>
                  </w:r>
                </w:p>
                <w:p w14:paraId="46823060">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危险废物暂存间将严格按照《危险废物贮存污染控制标准》(GB18597-2001)要求建设，地面及裙角等均采取防渗措施，并定期委托有资质单位清运处置。根据国内己规范化建设运行的废矿物油危废暂存间运行情况，其漏油发生概率极小。</w:t>
                  </w:r>
                </w:p>
                <w:p w14:paraId="0F50FD82">
                  <w:pPr>
                    <w:keepNext w:val="0"/>
                    <w:keepLines w:val="0"/>
                    <w:suppressLineNumbers w:val="0"/>
                    <w:spacing w:before="60" w:beforeLines="25" w:beforeAutospacing="0" w:after="0" w:afterAutospacing="0" w:line="240" w:lineRule="auto"/>
                    <w:ind w:left="0" w:right="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③废矿物油、箱变变压器油</w:t>
                  </w:r>
                  <w:r>
                    <w:rPr>
                      <w:rFonts w:hint="default" w:ascii="Times New Roman" w:hAnsi="Times New Roman" w:eastAsia="宋体" w:cs="Times New Roman"/>
                      <w:color w:val="auto"/>
                      <w:sz w:val="21"/>
                      <w:szCs w:val="21"/>
                      <w:vertAlign w:val="baseline"/>
                      <w:lang w:val="en-US" w:eastAsia="zh-CN"/>
                    </w:rPr>
                    <w:t>其挥发的蒸汽</w:t>
                  </w:r>
                  <w:r>
                    <w:rPr>
                      <w:rFonts w:hint="default" w:ascii="Times New Roman" w:hAnsi="Times New Roman" w:eastAsia="宋体" w:cs="Times New Roman"/>
                      <w:sz w:val="21"/>
                      <w:szCs w:val="21"/>
                      <w:vertAlign w:val="baseline"/>
                      <w:lang w:val="en-US" w:eastAsia="zh-CN"/>
                    </w:rPr>
                    <w:t>本身属于低毒类物质，对附近工作人员生命安全不会产生急性毒害作用，在事故处理结束后一定时间内就会消除。在上述区域发生火灾燃烧事故后，对区域下风向的环境空气会造成一定的影响，事故发生后到结束前这一时段内污染程度最大，但在火灾燃烧事故结束后短时间内这种环境风险影响可基本消除。</w:t>
                  </w:r>
                </w:p>
              </w:tc>
            </w:tr>
            <w:tr w14:paraId="02FFA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740569EF">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风险防范措施</w:t>
                  </w:r>
                </w:p>
                <w:p w14:paraId="054AFC08">
                  <w:pPr>
                    <w:keepNext w:val="0"/>
                    <w:keepLines w:val="0"/>
                    <w:suppressLineNumbers w:val="0"/>
                    <w:spacing w:before="60" w:beforeLines="25" w:beforeAutospacing="0" w:after="0" w:afterAutospacing="0" w:line="240" w:lineRule="auto"/>
                    <w:ind w:left="0" w:right="0"/>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422A95DE">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①</w:t>
                  </w:r>
                  <w:r>
                    <w:rPr>
                      <w:rFonts w:hint="default" w:ascii="Times New Roman" w:hAnsi="Times New Roman" w:cs="Times New Roman"/>
                      <w:sz w:val="21"/>
                      <w:szCs w:val="21"/>
                      <w:lang w:val="en-US" w:eastAsia="zh-CN"/>
                    </w:rPr>
                    <w:t>厂区总平面设计严格按照国家相关规范、标准和规定以及部门的要求进行设计。</w:t>
                  </w:r>
                </w:p>
                <w:p w14:paraId="4AC725E9">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②</w:t>
                  </w:r>
                  <w:r>
                    <w:rPr>
                      <w:rFonts w:hint="eastAsia" w:ascii="Times New Roman" w:hAnsi="Times New Roman" w:eastAsia="宋体" w:cs="Times New Roman"/>
                      <w:sz w:val="21"/>
                      <w:szCs w:val="21"/>
                      <w:vertAlign w:val="baseline"/>
                      <w:lang w:val="en-US" w:eastAsia="zh-CN"/>
                    </w:rPr>
                    <w:t>依托的江东</w:t>
                  </w:r>
                  <w:r>
                    <w:rPr>
                      <w:rFonts w:hint="default" w:ascii="Times New Roman" w:hAnsi="Times New Roman" w:cs="Times New Roman"/>
                      <w:color w:val="auto"/>
                      <w:sz w:val="21"/>
                      <w:szCs w:val="21"/>
                      <w:lang w:val="en-US" w:eastAsia="zh-CN"/>
                    </w:rPr>
                    <w:t>升压站主变压器</w:t>
                  </w:r>
                  <w:r>
                    <w:rPr>
                      <w:rFonts w:hint="default" w:ascii="Times New Roman" w:hAnsi="Times New Roman" w:cs="Times New Roman"/>
                      <w:sz w:val="21"/>
                      <w:szCs w:val="21"/>
                      <w:lang w:val="en-US" w:eastAsia="zh-CN"/>
                    </w:rPr>
                    <w:t>所在区域地面硬化处理，同时四周设置</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和事故油池，在每台箱变靠近油箱一侧设置事故池：按照《火力发电厂与变电站设计防火标准》( GB50229-2019)的要求，确保设置足够容积事故油池或事故池。</w:t>
                  </w:r>
                </w:p>
                <w:p w14:paraId="73B0C734">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③</w:t>
                  </w:r>
                  <w:r>
                    <w:rPr>
                      <w:rFonts w:hint="default" w:ascii="Times New Roman" w:hAnsi="Times New Roman" w:cs="Times New Roman"/>
                      <w:sz w:val="21"/>
                      <w:szCs w:val="21"/>
                      <w:lang w:val="en-US" w:eastAsia="zh-CN"/>
                    </w:rPr>
                    <w:t>建立报警系统，</w:t>
                  </w:r>
                  <w:r>
                    <w:rPr>
                      <w:rFonts w:hint="eastAsia" w:ascii="Times New Roman" w:hAnsi="Times New Roman" w:cs="Times New Roman"/>
                      <w:color w:val="auto"/>
                      <w:sz w:val="21"/>
                      <w:szCs w:val="21"/>
                      <w:lang w:val="en-US" w:eastAsia="zh-CN"/>
                    </w:rPr>
                    <w:t>江东升压站</w:t>
                  </w:r>
                  <w:r>
                    <w:rPr>
                      <w:rFonts w:hint="default" w:ascii="Times New Roman" w:hAnsi="Times New Roman" w:cs="Times New Roman"/>
                      <w:sz w:val="21"/>
                      <w:szCs w:val="21"/>
                      <w:lang w:val="en-US" w:eastAsia="zh-CN"/>
                    </w:rPr>
                    <w:t>设专门摄像头，与监控设施联网，一旦发生主变事故漏油，监控人员便启动报警系统，实施既定环境风险应急预案，平时需加强设备保养、巡查和维修。</w:t>
                  </w:r>
                </w:p>
                <w:p w14:paraId="2114841A">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④</w:t>
                  </w:r>
                  <w:r>
                    <w:rPr>
                      <w:rFonts w:hint="default" w:ascii="Times New Roman" w:hAnsi="Times New Roman" w:cs="Times New Roman"/>
                      <w:sz w:val="21"/>
                      <w:szCs w:val="21"/>
                      <w:lang w:val="en-US" w:eastAsia="zh-CN"/>
                    </w:rPr>
                    <w:t>对</w:t>
                  </w:r>
                  <w:r>
                    <w:rPr>
                      <w:rFonts w:hint="eastAsia" w:ascii="Times New Roman" w:hAnsi="Times New Roman" w:cs="Times New Roman"/>
                      <w:sz w:val="21"/>
                      <w:szCs w:val="21"/>
                      <w:lang w:val="en-US" w:eastAsia="zh-CN"/>
                    </w:rPr>
                    <w:t>场</w:t>
                  </w:r>
                  <w:r>
                    <w:rPr>
                      <w:rFonts w:hint="default" w:ascii="Times New Roman" w:hAnsi="Times New Roman" w:cs="Times New Roman"/>
                      <w:sz w:val="21"/>
                      <w:szCs w:val="21"/>
                      <w:lang w:val="en-US" w:eastAsia="zh-CN"/>
                    </w:rPr>
                    <w:t>区采取分区防渗措施，其中危险废物暂存间、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、事故池严格按照《危险废物贮存污染控制标准》( GB18597-2001)中要求进行防渗，防渗层需满足渗透系数≤10</w:t>
                  </w:r>
                  <w:r>
                    <w:rPr>
                      <w:rFonts w:hint="default" w:ascii="Times New Roman" w:hAnsi="Times New Roman" w:cs="Times New Roman"/>
                      <w:sz w:val="21"/>
                      <w:szCs w:val="21"/>
                      <w:vertAlign w:val="superscript"/>
                      <w:lang w:val="en-US" w:eastAsia="zh-CN"/>
                    </w:rPr>
                    <w:t>-10</w:t>
                  </w:r>
                  <w:r>
                    <w:rPr>
                      <w:rFonts w:hint="default" w:ascii="Times New Roman" w:hAnsi="Times New Roman" w:cs="Times New Roman"/>
                      <w:sz w:val="21"/>
                      <w:szCs w:val="21"/>
                      <w:lang w:val="en-US" w:eastAsia="zh-CN"/>
                    </w:rPr>
                    <w:t>cm/s要求；办公生活区、厂区道路等无明显潜在地下水污染源的区域进行简单防渗，进行一般地面硬化即可</w:t>
                  </w:r>
                  <w:r>
                    <w:rPr>
                      <w:rFonts w:hint="default" w:ascii="Times New Roman" w:hAnsi="Times New Roman" w:cs="Times New Roman"/>
                      <w:color w:val="auto"/>
                      <w:sz w:val="21"/>
                      <w:szCs w:val="21"/>
                      <w:lang w:val="en-US" w:eastAsia="zh-CN"/>
                    </w:rPr>
                    <w:t>；化粪池、隔油池、废水收集池，按照《</w:t>
                  </w:r>
                  <w:r>
                    <w:rPr>
                      <w:rFonts w:hint="default" w:ascii="Times New Roman" w:hAnsi="Times New Roman" w:cs="Times New Roman"/>
                      <w:sz w:val="21"/>
                      <w:szCs w:val="21"/>
                      <w:lang w:val="en-US" w:eastAsia="zh-CN"/>
                    </w:rPr>
                    <w:t>环境影响评价技术导则地下水环境》( HJ610-2016)提出的一般防渗区防渗技术要求落实，即防渗层为等效黏土防渗层Mb≥1.5m，渗透系数K≤1.0×10</w:t>
                  </w:r>
                  <w:r>
                    <w:rPr>
                      <w:rFonts w:hint="default" w:ascii="Times New Roman" w:hAnsi="Times New Roman" w:cs="Times New Roman"/>
                      <w:sz w:val="21"/>
                      <w:szCs w:val="21"/>
                      <w:vertAlign w:val="superscript"/>
                      <w:lang w:val="en-US" w:eastAsia="zh-CN"/>
                    </w:rPr>
                    <w:t>-7</w:t>
                  </w:r>
                  <w:r>
                    <w:rPr>
                      <w:rFonts w:hint="default" w:ascii="Times New Roman" w:hAnsi="Times New Roman" w:cs="Times New Roman"/>
                      <w:sz w:val="21"/>
                      <w:szCs w:val="21"/>
                      <w:lang w:val="en-US" w:eastAsia="zh-CN"/>
                    </w:rPr>
                    <w:t>cm/s；施工期加强工程监理和环境监理，提高防渗工程质量，做好照片、录像以及相关文字说明等存档资料。⑤编制突发环境事件应急预案并报生态环境管理部门备案。按照应急预案储备应急物资、定期演练，加强管理，将风险降到最低。</w:t>
                  </w:r>
                </w:p>
                <w:p w14:paraId="767C37C1">
                  <w:pPr>
                    <w:keepNext w:val="0"/>
                    <w:keepLines w:val="0"/>
                    <w:suppressLineNumbers w:val="0"/>
                    <w:spacing w:before="60" w:beforeLines="25" w:beforeAutospacing="0" w:after="0" w:afterAutospacing="0" w:line="240" w:lineRule="auto"/>
                    <w:ind w:left="0" w:right="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⑥加强对操作人员的岗位培训，建立健全的环保管理机制和各项环保规:章制度，落实岗位环保责任制，加强环境风险防范工作，防止事故排放导致环境问题。</w:t>
                  </w:r>
                </w:p>
              </w:tc>
            </w:tr>
          </w:tbl>
          <w:p w14:paraId="699E7290">
            <w:pPr>
              <w:keepNext w:val="0"/>
              <w:keepLines w:val="0"/>
              <w:suppressLineNumbers w:val="0"/>
              <w:spacing w:before="60" w:beforeLines="25" w:beforeAutospacing="0" w:after="0" w:afterAutospacing="0" w:line="480" w:lineRule="exact"/>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通过采取相应的工程措施，可以将拟建项目的风险降低到可接受水平。另外，通过制定风险事故应急预案，可以提高风险事故处置效率，最大限度的降低对环境和周边群众的危害，并将经济损失降至最低水平。拟建项目拟采取的环境风险防范措施有效可行，项目环境风险可防控，总体环境风险小。</w:t>
            </w:r>
          </w:p>
          <w:p w14:paraId="4458691F">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w:t>
            </w:r>
            <w:r>
              <w:rPr>
                <w:rFonts w:hint="default" w:ascii="Times New Roman" w:hAnsi="Times New Roman" w:eastAsia="宋体" w:cs="Times New Roman"/>
                <w:b/>
                <w:bCs/>
                <w:lang w:val="en-US" w:eastAsia="zh-CN"/>
              </w:rPr>
              <w:t>7）退役后拆除的环境影响分析</w:t>
            </w:r>
          </w:p>
          <w:p w14:paraId="58DAA04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退役拆除方案：电站服务期满后(25年)，若不准备再继续服务，需要全部拆除。光伏组件由建设单位负责收集，规范处置；组件支架等钢材由物资再生公司回收；建(构)物及其基础拆除、清理；拆除和清理后的地面由电站建设单位负责恢复地面植被。</w:t>
            </w:r>
          </w:p>
          <w:p w14:paraId="720DB93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拆除过程会对项目所在区生态环境产生一定影响。</w:t>
            </w:r>
          </w:p>
          <w:p w14:paraId="1948914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1）光伏组件的拆除</w:t>
            </w:r>
          </w:p>
          <w:p w14:paraId="4FC508B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服务期满后，光伏组件需进行拆除。拆除后的废旧光伏组件属一般工业固体废物，不属于危险废物，由建设或经营</w:t>
            </w:r>
            <w:r>
              <w:rPr>
                <w:rFonts w:hint="default" w:ascii="Times New Roman" w:hAnsi="Times New Roman" w:eastAsia="宋体" w:cs="Times New Roman"/>
                <w:sz w:val="24"/>
                <w:lang w:val="en-US" w:eastAsia="zh-CN"/>
              </w:rPr>
              <w:t>单位对报废电池板进行收集，最终由生产厂家回收</w:t>
            </w:r>
            <w:r>
              <w:rPr>
                <w:rFonts w:hint="default" w:ascii="Times New Roman" w:hAnsi="Times New Roman" w:eastAsia="宋体" w:cs="Times New Roman"/>
                <w:lang w:val="en-US" w:eastAsia="zh-CN"/>
              </w:rPr>
              <w:t>处理，不得随意丢弃，因此对环境的影响较小。</w:t>
            </w:r>
          </w:p>
          <w:p w14:paraId="39BF922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2）电气设备的拆除</w:t>
            </w:r>
          </w:p>
          <w:p w14:paraId="1A89E0C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电气设备主要为逆变器、箱式变压器等，电气设备经过运营期的使用和维护，其损耗较小，可全部由设备生产商回收。</w:t>
            </w:r>
          </w:p>
          <w:p w14:paraId="2CD7365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筑物的拆除</w:t>
            </w:r>
          </w:p>
          <w:p w14:paraId="7C4E434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服务期满后对已建成的各类建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筑物进行全部拆除，以利于恢复原地表和植被。该项目主要的建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筑物有光伏组件基础、综合楼和配电室等建筑和设施，大部分为混凝土等结构的建筑。拆除后的建筑垃圾应按照环卫部门的要求运至指定建筑垃圾处理场。</w:t>
            </w:r>
          </w:p>
          <w:p w14:paraId="0B18D69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4）恢复措施</w:t>
            </w:r>
          </w:p>
          <w:p w14:paraId="49D7A90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本项目光伏发电站服务期满后拆除的生产区应进行生态恢复：</w:t>
            </w:r>
          </w:p>
          <w:p w14:paraId="5E58964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①掘除硬化地面基础，对场地进行植被恢复原地貌；拆除过程中应尽量减小对土地的扰动，场区原绿化土地保留。</w:t>
            </w:r>
          </w:p>
          <w:p w14:paraId="572AFBE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掘除光伏方阵区混凝土的基础部分，场地进行恢复，覆土厚度30cm，并将光伏方阵区侵蚀沟和低洼区域填土、平整，恢复后的场地则进行酒水和压实，以固结地表，防止产生扬尘和对土壤的风蚀，同时依据农光互补方案恢复农业种植，对于部分不能进行植被恢复的区域，进行平整压实，以减轻水土流失。</w:t>
            </w:r>
          </w:p>
          <w:p w14:paraId="0B5EC39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光伏电站在服务期满后，要严格采取固废处置及生态恢复的环保措施，确保无遗留环保问题。光伏电站服务期满后对环境的影响较小。</w:t>
            </w:r>
          </w:p>
          <w:p w14:paraId="28F18287">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（8）土壤环境影响分析</w:t>
            </w:r>
          </w:p>
          <w:p w14:paraId="0FA1DBA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根据《环境影响评价技术导则土壤环境》（HJ964-2018）可知本项目光伏电项 目属于Ⅳ类项目，不需要开展土壤环境影响评价。</w:t>
            </w:r>
          </w:p>
          <w:p w14:paraId="3968D112">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lang w:val="en-US" w:eastAsia="zh-CN"/>
              </w:rPr>
              <w:t>地下水影响分析</w:t>
            </w:r>
          </w:p>
          <w:p w14:paraId="4BC4A0C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1）地下水污染源、污染物类型及污染途径</w:t>
            </w:r>
          </w:p>
          <w:p w14:paraId="2B1372F2">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p>
          <w:p w14:paraId="2AEFC1E7">
            <w:pPr>
              <w:keepNext w:val="0"/>
              <w:keepLines w:val="0"/>
              <w:numPr>
                <w:ilvl w:val="0"/>
                <w:numId w:val="0"/>
              </w:numPr>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4-</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lang w:val="en-US" w:eastAsia="zh-CN"/>
              </w:rPr>
              <w:t xml:space="preserve"> 项目地下水污染类型及途径一览表</w:t>
            </w:r>
          </w:p>
          <w:tbl>
            <w:tblPr>
              <w:tblStyle w:val="40"/>
              <w:tblW w:w="8506" w:type="dxa"/>
              <w:tblInd w:w="-1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515"/>
              <w:gridCol w:w="1130"/>
              <w:gridCol w:w="2063"/>
              <w:gridCol w:w="1201"/>
              <w:gridCol w:w="1419"/>
            </w:tblGrid>
            <w:tr w14:paraId="425DAF1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78" w:type="dxa"/>
                  <w:tcBorders>
                    <w:tl2br w:val="nil"/>
                    <w:tr2bl w:val="nil"/>
                  </w:tcBorders>
                  <w:vAlign w:val="center"/>
                </w:tcPr>
                <w:p w14:paraId="549424C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515" w:type="dxa"/>
                  <w:tcBorders>
                    <w:tl2br w:val="nil"/>
                    <w:tr2bl w:val="nil"/>
                  </w:tcBorders>
                  <w:vAlign w:val="center"/>
                </w:tcPr>
                <w:p w14:paraId="34096DCA">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工艺流程/ 节点</w:t>
                  </w:r>
                </w:p>
              </w:tc>
              <w:tc>
                <w:tcPr>
                  <w:tcW w:w="1130" w:type="dxa"/>
                  <w:tcBorders>
                    <w:tl2br w:val="nil"/>
                    <w:tr2bl w:val="nil"/>
                  </w:tcBorders>
                  <w:vAlign w:val="center"/>
                </w:tcPr>
                <w:p w14:paraId="25F43CF3">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c>
                <w:tcPr>
                  <w:tcW w:w="2063" w:type="dxa"/>
                  <w:tcBorders>
                    <w:tl2br w:val="nil"/>
                    <w:tr2bl w:val="nil"/>
                  </w:tcBorders>
                  <w:vAlign w:val="center"/>
                </w:tcPr>
                <w:p w14:paraId="22D31A93">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全部污染物 指标</w:t>
                  </w:r>
                </w:p>
              </w:tc>
              <w:tc>
                <w:tcPr>
                  <w:tcW w:w="1201" w:type="dxa"/>
                  <w:tcBorders>
                    <w:tl2br w:val="nil"/>
                    <w:tr2bl w:val="nil"/>
                  </w:tcBorders>
                  <w:vAlign w:val="center"/>
                </w:tcPr>
                <w:p w14:paraId="57458FBA">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特征因子</w:t>
                  </w:r>
                </w:p>
              </w:tc>
              <w:tc>
                <w:tcPr>
                  <w:tcW w:w="1419" w:type="dxa"/>
                  <w:tcBorders>
                    <w:tl2br w:val="nil"/>
                    <w:tr2bl w:val="nil"/>
                  </w:tcBorders>
                  <w:vAlign w:val="center"/>
                </w:tcPr>
                <w:p w14:paraId="15B62BE1">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污染源特征</w:t>
                  </w:r>
                </w:p>
              </w:tc>
            </w:tr>
            <w:tr w14:paraId="5C1D782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8" w:type="dxa"/>
                  <w:tcBorders>
                    <w:tl2br w:val="nil"/>
                    <w:tr2bl w:val="nil"/>
                  </w:tcBorders>
                  <w:vAlign w:val="center"/>
                </w:tcPr>
                <w:p w14:paraId="29C2658F">
                  <w:pPr>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江东</w:t>
                  </w:r>
                  <w:r>
                    <w:rPr>
                      <w:rFonts w:hint="default" w:ascii="Times New Roman" w:hAnsi="Times New Roman" w:eastAsia="宋体" w:cs="Times New Roman"/>
                      <w:color w:val="auto"/>
                      <w:sz w:val="21"/>
                      <w:szCs w:val="21"/>
                    </w:rPr>
                    <w:t>升压站</w:t>
                  </w:r>
                </w:p>
              </w:tc>
              <w:tc>
                <w:tcPr>
                  <w:tcW w:w="1515" w:type="dxa"/>
                  <w:vMerge w:val="restart"/>
                  <w:tcBorders>
                    <w:tl2br w:val="nil"/>
                    <w:tr2bl w:val="nil"/>
                  </w:tcBorders>
                  <w:vAlign w:val="center"/>
                </w:tcPr>
                <w:p w14:paraId="6E2A9D6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主变</w:t>
                  </w:r>
                </w:p>
              </w:tc>
              <w:tc>
                <w:tcPr>
                  <w:tcW w:w="1130" w:type="dxa"/>
                  <w:vMerge w:val="restart"/>
                  <w:tcBorders>
                    <w:tl2br w:val="nil"/>
                    <w:tr2bl w:val="nil"/>
                  </w:tcBorders>
                  <w:vAlign w:val="center"/>
                </w:tcPr>
                <w:p w14:paraId="3A6EC62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2063" w:type="dxa"/>
                  <w:tcBorders>
                    <w:tl2br w:val="nil"/>
                    <w:tr2bl w:val="nil"/>
                  </w:tcBorders>
                  <w:vAlign w:val="center"/>
                </w:tcPr>
                <w:p w14:paraId="502743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05F3321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restart"/>
                  <w:tcBorders>
                    <w:tl2br w:val="nil"/>
                    <w:tr2bl w:val="nil"/>
                  </w:tcBorders>
                  <w:vAlign w:val="center"/>
                </w:tcPr>
                <w:p w14:paraId="2FEBE51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连续入渗的可能</w:t>
                  </w:r>
                </w:p>
              </w:tc>
            </w:tr>
            <w:tr w14:paraId="79703F2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78" w:type="dxa"/>
                  <w:tcBorders>
                    <w:tl2br w:val="nil"/>
                    <w:tr2bl w:val="nil"/>
                  </w:tcBorders>
                  <w:vAlign w:val="center"/>
                </w:tcPr>
                <w:p w14:paraId="3EA18F3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危废暂存间</w:t>
                  </w:r>
                </w:p>
              </w:tc>
              <w:tc>
                <w:tcPr>
                  <w:tcW w:w="1515" w:type="dxa"/>
                  <w:vMerge w:val="continue"/>
                  <w:tcBorders>
                    <w:tl2br w:val="nil"/>
                    <w:tr2bl w:val="nil"/>
                  </w:tcBorders>
                  <w:vAlign w:val="center"/>
                </w:tcPr>
                <w:p w14:paraId="0B6F7B98">
                  <w:pPr>
                    <w:jc w:val="center"/>
                    <w:rPr>
                      <w:rFonts w:hint="default" w:ascii="Times New Roman" w:hAnsi="Times New Roman" w:eastAsia="宋体" w:cs="Times New Roman"/>
                      <w:sz w:val="21"/>
                      <w:szCs w:val="21"/>
                    </w:rPr>
                  </w:pPr>
                </w:p>
              </w:tc>
              <w:tc>
                <w:tcPr>
                  <w:tcW w:w="1130" w:type="dxa"/>
                  <w:vMerge w:val="continue"/>
                  <w:tcBorders>
                    <w:tl2br w:val="nil"/>
                    <w:tr2bl w:val="nil"/>
                  </w:tcBorders>
                  <w:vAlign w:val="center"/>
                </w:tcPr>
                <w:p w14:paraId="2958749A">
                  <w:pPr>
                    <w:jc w:val="center"/>
                    <w:rPr>
                      <w:rFonts w:hint="default" w:ascii="Times New Roman" w:hAnsi="Times New Roman" w:eastAsia="宋体" w:cs="Times New Roman"/>
                      <w:sz w:val="21"/>
                      <w:szCs w:val="21"/>
                    </w:rPr>
                  </w:pPr>
                </w:p>
              </w:tc>
              <w:tc>
                <w:tcPr>
                  <w:tcW w:w="2063" w:type="dxa"/>
                  <w:tcBorders>
                    <w:tl2br w:val="nil"/>
                    <w:tr2bl w:val="nil"/>
                  </w:tcBorders>
                  <w:vAlign w:val="center"/>
                </w:tcPr>
                <w:p w14:paraId="51023DB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68C7194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continue"/>
                  <w:tcBorders>
                    <w:tl2br w:val="nil"/>
                    <w:tr2bl w:val="nil"/>
                  </w:tcBorders>
                  <w:vAlign w:val="center"/>
                </w:tcPr>
                <w:p w14:paraId="16DCE900">
                  <w:pPr>
                    <w:jc w:val="center"/>
                    <w:rPr>
                      <w:rFonts w:hint="default" w:ascii="Times New Roman" w:hAnsi="Times New Roman" w:eastAsia="宋体" w:cs="Times New Roman"/>
                      <w:sz w:val="21"/>
                      <w:szCs w:val="21"/>
                    </w:rPr>
                  </w:pPr>
                </w:p>
              </w:tc>
            </w:tr>
          </w:tbl>
          <w:p w14:paraId="10062D0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2）防控措施</w:t>
            </w:r>
          </w:p>
          <w:p w14:paraId="50964D0A">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为防止地下水污染，</w:t>
            </w:r>
            <w:r>
              <w:rPr>
                <w:rFonts w:hint="default" w:ascii="Times New Roman" w:hAnsi="Times New Roman" w:eastAsia="宋体" w:cs="Times New Roman"/>
                <w:sz w:val="24"/>
                <w:szCs w:val="24"/>
                <w:lang w:val="en-US" w:eastAsia="zh-CN"/>
              </w:rPr>
              <w:t>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cm/s；项目路面</w:t>
            </w:r>
            <w:r>
              <w:rPr>
                <w:rFonts w:hint="eastAsia" w:ascii="Times New Roman" w:hAnsi="Times New Roman" w:eastAsia="宋体" w:cs="Times New Roman"/>
                <w:color w:val="auto"/>
                <w:lang w:val="en-US" w:eastAsia="zh-CN"/>
              </w:rPr>
              <w:t>、依托的</w:t>
            </w:r>
            <w:r>
              <w:rPr>
                <w:rFonts w:hint="default" w:ascii="Times New Roman" w:hAnsi="Times New Roman" w:eastAsia="宋体" w:cs="Times New Roman"/>
                <w:color w:val="auto"/>
                <w:lang w:val="en-US" w:eastAsia="zh-CN"/>
              </w:rPr>
              <w:t>办公楼综合楼进行水</w:t>
            </w:r>
            <w:r>
              <w:rPr>
                <w:rFonts w:hint="default" w:ascii="Times New Roman" w:hAnsi="Times New Roman" w:eastAsia="宋体" w:cs="Times New Roman"/>
                <w:lang w:val="en-US" w:eastAsia="zh-CN"/>
              </w:rPr>
              <w:t>泥硬化防渗即可，同时应加强维护，降低“跑、冒、滴、漏”发生的可能防止对地下水产生污染。</w:t>
            </w:r>
          </w:p>
          <w:p w14:paraId="0020719A">
            <w:pPr>
              <w:keepNext w:val="0"/>
              <w:keepLines w:val="0"/>
              <w:numPr>
                <w:ilvl w:val="0"/>
                <w:numId w:val="14"/>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32"/>
              </w:rPr>
              <w:t>光污染影响</w:t>
            </w:r>
          </w:p>
          <w:p w14:paraId="4DA28AE9">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color w:val="FF0000"/>
                <w:kern w:val="0"/>
                <w:sz w:val="24"/>
              </w:rPr>
            </w:pPr>
            <w:r>
              <w:rPr>
                <w:rFonts w:hint="default" w:ascii="Times New Roman" w:hAnsi="Times New Roman" w:cs="Times New Roman"/>
                <w:color w:val="FF0000"/>
                <w:kern w:val="0"/>
                <w:sz w:val="24"/>
              </w:rPr>
              <w:t xml:space="preserve"> </w:t>
            </w:r>
            <w:r>
              <w:rPr>
                <w:rFonts w:hint="eastAsia" w:ascii="Times New Roman" w:hAnsi="Times New Roman" w:cs="Times New Roman"/>
                <w:color w:val="FF0000"/>
                <w:kern w:val="0"/>
                <w:sz w:val="24"/>
                <w:lang w:val="en-US" w:eastAsia="zh-CN"/>
              </w:rPr>
              <w:t xml:space="preserve">   </w:t>
            </w:r>
            <w:r>
              <w:rPr>
                <w:rFonts w:hint="default" w:ascii="Times New Roman" w:hAnsi="Times New Roman" w:cs="Times New Roman"/>
                <w:color w:val="auto"/>
                <w:kern w:val="0"/>
                <w:sz w:val="24"/>
              </w:rPr>
              <w:t>本项目采用的晶体硅太阳能电池片是封装在两层建筑玻璃之间，电池本身不向外辐射任何形式的光。未被吸收的太阳光中一部分被前面板玻璃反射回去，前面板玻璃为普通建筑用钢化玻璃；另一部分将穿透前面板、硅材料吸收层和背面板，就如同穿透普通玻璃一般，没有任何变化。</w:t>
            </w:r>
          </w:p>
          <w:p w14:paraId="525AC942">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光伏电池的制作中具有减反射的设计，主要是使用带激光刻槽或者化学腐蚀方法，使硅片表面形成凹凸不平的绒面。目的是减少入射光的反射、增加光的吸收，提高光电转换效率。这些绒面在显微镜下呈现非周期性排列的金字塔型，对可见光和近红外光（波长400nm－1050nm）反射率仅为4%－11%，其它波长的光，包括紫外光和红外光（波长小于400nm和大于1050nm）都将穿透玻璃和硅材料。被反射的4%－11%可见光和近红外光属漫反射，不是指向某地固定方向的镜面反射，其反射率远远低于国家规定的30%，不会对周围环境产生光污染。</w:t>
            </w:r>
          </w:p>
          <w:p w14:paraId="71C5E0A4">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ascii="Times New Roman" w:hAnsi="Times New Roman" w:cs="Times New Roman"/>
                <w:color w:val="auto"/>
                <w:kern w:val="0"/>
                <w:sz w:val="24"/>
              </w:rPr>
            </w:pPr>
            <w:bookmarkStart w:id="28" w:name="_Toc5102"/>
            <w:r>
              <w:rPr>
                <w:rFonts w:hint="default" w:ascii="Times New Roman" w:hAnsi="Times New Roman" w:cs="Times New Roman"/>
                <w:color w:val="auto"/>
                <w:kern w:val="0"/>
                <w:sz w:val="24"/>
                <w:lang w:val="en-US" w:eastAsia="zh-CN"/>
              </w:rPr>
              <w:t>太阳电池组件产品的表面设计要求最大程度地减少对太阳光的反射，以利于提高其发电效率。项目在设计时充分考虑了反射光的影响，最大限度的起到了吸收太阳光的作用，防止反射的同时充分吸收太阳光。减少了反射光对周围敏感目标的影响。</w:t>
            </w:r>
            <w:r>
              <w:rPr>
                <w:rFonts w:hint="eastAsia" w:ascii="Times New Roman" w:hAnsi="Times New Roman" w:cs="Times New Roman"/>
                <w:color w:val="auto"/>
                <w:kern w:val="0"/>
                <w:sz w:val="24"/>
                <w:lang w:val="en-US" w:eastAsia="zh-CN"/>
              </w:rPr>
              <w:t>在项目光伏厂区严格控制光伏板的安装倾斜度，</w:t>
            </w:r>
            <w:r>
              <w:rPr>
                <w:rFonts w:hint="default" w:ascii="Times New Roman" w:hAnsi="Times New Roman" w:cs="Times New Roman"/>
                <w:color w:val="auto"/>
                <w:kern w:val="0"/>
                <w:sz w:val="24"/>
                <w:lang w:val="en-US" w:eastAsia="zh-CN"/>
              </w:rPr>
              <w:t>主要朝向天空</w:t>
            </w:r>
            <w:r>
              <w:rPr>
                <w:rFonts w:hint="eastAsia" w:ascii="Times New Roman" w:hAnsi="Times New Roman" w:cs="Times New Roman"/>
                <w:color w:val="auto"/>
                <w:kern w:val="0"/>
                <w:sz w:val="24"/>
                <w:lang w:val="en-US" w:eastAsia="zh-CN"/>
              </w:rPr>
              <w:t>。因光伏板表面为一层高透明玻璃，会放射太阳光，给周围造成周围环境造成一定危害，特别是清洗光伏板时人工清洗环节。会导致清洗人员视力下降，更严重会导致正常细胞死亡。故建议在光伏板清洗季节，采用人工清洁时，清洗人员应采取佩戴护目镜等保护视力措施。</w:t>
            </w:r>
            <w:bookmarkEnd w:id="28"/>
          </w:p>
          <w:p w14:paraId="185CFE2A">
            <w:pPr>
              <w:keepNext/>
              <w:keepLines/>
              <w:suppressLineNumbers w:val="0"/>
              <w:adjustRightInd w:val="0"/>
              <w:snapToGrid w:val="0"/>
              <w:spacing w:before="120" w:beforeLines="50" w:beforeAutospacing="0" w:after="0" w:afterAutospacing="0" w:line="360" w:lineRule="auto"/>
              <w:ind w:left="0" w:right="0" w:firstLine="480" w:firstLineChars="200"/>
              <w:outlineLvl w:val="1"/>
              <w:rPr>
                <w:rFonts w:hint="default" w:ascii="Times New Roman" w:hAnsi="Times New Roman" w:eastAsia="宋体" w:cs="Times New Roman"/>
                <w:sz w:val="24"/>
                <w:lang w:val="en-US" w:eastAsia="zh-CN"/>
              </w:rPr>
            </w:pPr>
          </w:p>
        </w:tc>
      </w:tr>
      <w:tr w14:paraId="6148EB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6" w:hRule="atLeast"/>
          <w:jc w:val="center"/>
        </w:trPr>
        <w:tc>
          <w:tcPr>
            <w:tcW w:w="456" w:type="dxa"/>
            <w:tcBorders>
              <w:tl2br w:val="nil"/>
              <w:tr2bl w:val="nil"/>
            </w:tcBorders>
            <w:vAlign w:val="center"/>
          </w:tcPr>
          <w:p w14:paraId="44374221">
            <w:pPr>
              <w:pStyle w:val="24"/>
              <w:keepNext w:val="0"/>
              <w:keepLines w:val="0"/>
              <w:suppressLineNumbers w:val="0"/>
              <w:adjustRightInd w:val="0"/>
              <w:snapToGrid w:val="0"/>
              <w:spacing w:before="0" w:beforeAutospacing="0" w:after="0" w:afterAutospacing="0"/>
              <w:ind w:left="0" w:right="0"/>
              <w:jc w:val="center"/>
              <w:rPr>
                <w:rFonts w:hint="default" w:cs="宋体"/>
                <w:bCs/>
                <w:kern w:val="2"/>
                <w:szCs w:val="24"/>
                <w:lang w:val="en-US" w:eastAsia="zh-CN"/>
              </w:rPr>
            </w:pPr>
            <w:r>
              <w:rPr>
                <w:rFonts w:hint="eastAsia" w:cs="宋体"/>
                <w:bCs/>
                <w:kern w:val="2"/>
                <w:szCs w:val="24"/>
                <w:highlight w:val="none"/>
                <w:lang w:val="en-US" w:eastAsia="zh-CN"/>
              </w:rPr>
              <w:t>选址选线环境合理性分析</w:t>
            </w:r>
          </w:p>
        </w:tc>
        <w:tc>
          <w:tcPr>
            <w:tcW w:w="8766" w:type="dxa"/>
            <w:tcBorders>
              <w:tl2br w:val="nil"/>
              <w:tr2bl w:val="nil"/>
            </w:tcBorders>
            <w:vAlign w:val="center"/>
          </w:tcPr>
          <w:p w14:paraId="6C5CA4ED">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（1）项目选址环境合理性分析</w:t>
            </w:r>
          </w:p>
          <w:p w14:paraId="28B93B1B">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根据《可研》本项目选址方案为唯一方案，芒市</w:t>
            </w:r>
            <w:r>
              <w:rPr>
                <w:rFonts w:hint="eastAsia" w:ascii="Times New Roman" w:hAnsi="Times New Roman" w:eastAsia="宋体" w:cs="Times New Roman"/>
                <w:b w:val="0"/>
                <w:bCs w:val="0"/>
                <w:color w:val="auto"/>
                <w:kern w:val="2"/>
                <w:sz w:val="24"/>
                <w:szCs w:val="24"/>
                <w:lang w:val="en-US" w:eastAsia="zh-CN" w:bidi="ar-SA"/>
              </w:rPr>
              <w:t>芒东</w:t>
            </w:r>
            <w:r>
              <w:rPr>
                <w:rFonts w:hint="default" w:ascii="Times New Roman" w:hAnsi="Times New Roman" w:eastAsia="宋体" w:cs="Times New Roman"/>
                <w:b w:val="0"/>
                <w:bCs w:val="0"/>
                <w:color w:val="auto"/>
                <w:kern w:val="2"/>
                <w:sz w:val="24"/>
                <w:szCs w:val="24"/>
                <w:lang w:val="en-US" w:eastAsia="zh-CN" w:bidi="ar-SA"/>
              </w:rPr>
              <w:t>东光伏发电项目位于云南省德宏州芒市</w:t>
            </w:r>
            <w:r>
              <w:rPr>
                <w:rFonts w:hint="eastAsia" w:ascii="宋体" w:hAnsi="宋体" w:eastAsia="宋体" w:cs="宋体"/>
                <w:color w:val="000000"/>
                <w:kern w:val="0"/>
                <w:sz w:val="24"/>
                <w:szCs w:val="24"/>
                <w:lang w:val="en-US" w:eastAsia="zh-CN" w:bidi="ar"/>
              </w:rPr>
              <w:t>江东乡河头村</w:t>
            </w:r>
            <w:r>
              <w:rPr>
                <w:rFonts w:hint="default" w:ascii="Times New Roman" w:hAnsi="Times New Roman" w:eastAsia="宋体" w:cs="Times New Roman"/>
                <w:b w:val="0"/>
                <w:bCs w:val="0"/>
                <w:color w:val="auto"/>
                <w:kern w:val="2"/>
                <w:sz w:val="24"/>
                <w:szCs w:val="24"/>
                <w:lang w:val="en-US" w:eastAsia="zh-CN" w:bidi="ar-SA"/>
              </w:rPr>
              <w:t>，场址中心距离芒市直线距离约</w:t>
            </w:r>
            <w:r>
              <w:rPr>
                <w:rFonts w:hint="eastAsia" w:ascii="Times New Roman" w:hAnsi="Times New Roman" w:eastAsia="宋体" w:cs="Times New Roman"/>
                <w:b w:val="0"/>
                <w:bCs w:val="0"/>
                <w:color w:val="auto"/>
                <w:kern w:val="2"/>
                <w:sz w:val="24"/>
                <w:szCs w:val="24"/>
                <w:lang w:val="en-US" w:eastAsia="zh-CN" w:bidi="ar-SA"/>
              </w:rPr>
              <w:t>23</w:t>
            </w:r>
            <w:r>
              <w:rPr>
                <w:rFonts w:hint="default" w:ascii="Times New Roman" w:hAnsi="Times New Roman" w:eastAsia="宋体" w:cs="Times New Roman"/>
                <w:b w:val="0"/>
                <w:bCs w:val="0"/>
                <w:color w:val="auto"/>
                <w:kern w:val="2"/>
                <w:sz w:val="24"/>
                <w:szCs w:val="24"/>
                <w:lang w:val="en-US" w:eastAsia="zh-CN" w:bidi="ar-SA"/>
              </w:rPr>
              <w:t>km。场址附近有数条道路通过，交通运输条件较为便利。场址地理坐标介于东经 98°</w:t>
            </w:r>
            <w:r>
              <w:rPr>
                <w:rFonts w:hint="eastAsia" w:ascii="Times New Roman" w:hAnsi="Times New Roman" w:eastAsia="宋体" w:cs="Times New Roman"/>
                <w:b w:val="0"/>
                <w:bCs w:val="0"/>
                <w:color w:val="auto"/>
                <w:kern w:val="2"/>
                <w:sz w:val="24"/>
                <w:szCs w:val="24"/>
                <w:lang w:val="en-US" w:eastAsia="zh-CN" w:bidi="ar-SA"/>
              </w:rPr>
              <w:t>20</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41</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55</w:t>
            </w:r>
            <w:r>
              <w:rPr>
                <w:rFonts w:hint="default" w:ascii="Times New Roman" w:hAnsi="Times New Roman" w:eastAsia="宋体" w:cs="Times New Roman"/>
                <w:b w:val="0"/>
                <w:bCs w:val="0"/>
                <w:color w:val="auto"/>
                <w:kern w:val="2"/>
                <w:sz w:val="24"/>
                <w:szCs w:val="24"/>
                <w:lang w:val="en-US" w:eastAsia="zh-CN" w:bidi="ar-SA"/>
              </w:rPr>
              <w:t>"～98°</w:t>
            </w:r>
            <w:r>
              <w:rPr>
                <w:rFonts w:hint="eastAsia" w:ascii="Times New Roman" w:hAnsi="Times New Roman" w:eastAsia="宋体" w:cs="Times New Roman"/>
                <w:b w:val="0"/>
                <w:bCs w:val="0"/>
                <w:color w:val="auto"/>
                <w:kern w:val="2"/>
                <w:sz w:val="24"/>
                <w:szCs w:val="24"/>
                <w:lang w:val="en-US" w:eastAsia="zh-CN" w:bidi="ar-SA"/>
              </w:rPr>
              <w:t>23</w:t>
            </w:r>
            <w:r>
              <w:rPr>
                <w:rFonts w:hint="default" w:ascii="Times New Roman" w:hAnsi="Times New Roman" w:eastAsia="宋体"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88</w:t>
            </w:r>
            <w:r>
              <w:rPr>
                <w:rFonts w:hint="default" w:ascii="Times New Roman" w:hAnsi="Times New Roman" w:eastAsia="宋体" w:cs="Times New Roman"/>
                <w:b w:val="0"/>
                <w:bCs w:val="0"/>
                <w:color w:val="auto"/>
                <w:kern w:val="2"/>
                <w:sz w:val="24"/>
                <w:szCs w:val="24"/>
                <w:lang w:val="en-US" w:eastAsia="zh-CN" w:bidi="ar-SA"/>
              </w:rPr>
              <w:t>"、北纬 24°2</w:t>
            </w:r>
            <w:r>
              <w:rPr>
                <w:rFonts w:hint="eastAsia" w:ascii="Times New Roman" w:hAnsi="Times New Roman" w:eastAsia="宋体" w:cs="Times New Roman"/>
                <w:b w:val="0"/>
                <w:bCs w:val="0"/>
                <w:color w:val="auto"/>
                <w:kern w:val="2"/>
                <w:sz w:val="24"/>
                <w:szCs w:val="24"/>
                <w:lang w:val="en-US" w:eastAsia="zh-CN" w:bidi="ar-SA"/>
              </w:rPr>
              <w:t>7</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18</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98</w:t>
            </w:r>
            <w:r>
              <w:rPr>
                <w:rFonts w:hint="default" w:ascii="Times New Roman" w:hAnsi="Times New Roman" w:eastAsia="宋体" w:cs="Times New Roman"/>
                <w:b w:val="0"/>
                <w:bCs w:val="0"/>
                <w:color w:val="auto"/>
                <w:kern w:val="2"/>
                <w:sz w:val="24"/>
                <w:szCs w:val="24"/>
                <w:lang w:val="en-US" w:eastAsia="zh-CN" w:bidi="ar-SA"/>
              </w:rPr>
              <w:t>"～24°</w:t>
            </w:r>
            <w:r>
              <w:rPr>
                <w:rFonts w:hint="eastAsia" w:ascii="Times New Roman" w:hAnsi="Times New Roman" w:eastAsia="宋体" w:cs="Times New Roman"/>
                <w:b w:val="0"/>
                <w:bCs w:val="0"/>
                <w:color w:val="auto"/>
                <w:kern w:val="2"/>
                <w:sz w:val="24"/>
                <w:szCs w:val="24"/>
                <w:lang w:val="en-US" w:eastAsia="zh-CN" w:bidi="ar-SA"/>
              </w:rPr>
              <w:t>29</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12</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65</w:t>
            </w:r>
            <w:r>
              <w:rPr>
                <w:rFonts w:hint="default" w:ascii="Times New Roman" w:hAnsi="Times New Roman" w:eastAsia="宋体" w:cs="Times New Roman"/>
                <w:b w:val="0"/>
                <w:bCs w:val="0"/>
                <w:color w:val="auto"/>
                <w:kern w:val="2"/>
                <w:sz w:val="24"/>
                <w:szCs w:val="24"/>
                <w:lang w:val="en-US" w:eastAsia="zh-CN" w:bidi="ar-SA"/>
              </w:rPr>
              <w:t>"之间，海拔在</w:t>
            </w:r>
            <w:r>
              <w:rPr>
                <w:rFonts w:hint="eastAsia" w:ascii="Times New Roman" w:hAnsi="Times New Roman" w:eastAsia="宋体" w:cs="Times New Roman"/>
                <w:b w:val="0"/>
                <w:bCs w:val="0"/>
                <w:color w:val="auto"/>
                <w:kern w:val="2"/>
                <w:sz w:val="24"/>
                <w:szCs w:val="24"/>
                <w:lang w:val="en-US" w:eastAsia="zh-CN" w:bidi="ar-SA"/>
              </w:rPr>
              <w:t>1100</w:t>
            </w:r>
            <w:r>
              <w:rPr>
                <w:rFonts w:hint="default" w:ascii="Times New Roman" w:hAnsi="Times New Roman" w:eastAsia="宋体" w:cs="Times New Roman"/>
                <w:b w:val="0"/>
                <w:bCs w:val="0"/>
                <w:color w:val="auto"/>
                <w:kern w:val="2"/>
                <w:sz w:val="24"/>
                <w:szCs w:val="24"/>
                <w:lang w:val="en-US" w:eastAsia="zh-CN" w:bidi="ar-SA"/>
              </w:rPr>
              <w:t>m～1</w:t>
            </w:r>
            <w:r>
              <w:rPr>
                <w:rFonts w:hint="eastAsia" w:ascii="Times New Roman" w:hAnsi="Times New Roman" w:eastAsia="宋体"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kern w:val="2"/>
                <w:sz w:val="24"/>
                <w:szCs w:val="24"/>
                <w:lang w:val="en-US" w:eastAsia="zh-CN" w:bidi="ar-SA"/>
              </w:rPr>
              <w:t>00m 之间</w:t>
            </w:r>
            <w:r>
              <w:rPr>
                <w:rFonts w:hint="eastAsia" w:ascii="Times New Roman" w:hAnsi="Times New Roman" w:eastAsia="宋体" w:cs="Times New Roman"/>
                <w:lang w:val="en-US" w:eastAsia="zh-CN"/>
              </w:rPr>
              <w:t>。项目选址不涉及自然保护区、风景名胜区、饮用水水源保护区、世界文化及自然遗产地等生态环境敏感区，避让了生态保护红线、生态公益林、基本农田，选址符合环境保护要求。</w:t>
            </w:r>
          </w:p>
          <w:p w14:paraId="6C495525">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项目主要污染为施工期生态影响、噪声影响、扬尘影响，在采取相应的措施后均能达标排放，对周围环境的影响是短暂的，随着施工的结束而消失。运营期主</w:t>
            </w:r>
            <w:r>
              <w:rPr>
                <w:rFonts w:hint="eastAsia" w:ascii="Times New Roman" w:hAnsi="Times New Roman" w:eastAsia="宋体" w:cs="Times New Roman"/>
                <w:color w:val="auto"/>
                <w:lang w:val="en-US" w:eastAsia="zh-CN"/>
              </w:rPr>
              <w:t>要影响为废水影响</w:t>
            </w:r>
            <w:r>
              <w:rPr>
                <w:rFonts w:hint="eastAsia" w:ascii="Times New Roman" w:hAnsi="Times New Roman" w:eastAsia="宋体" w:cs="Times New Roman"/>
                <w:lang w:val="en-US" w:eastAsia="zh-CN"/>
              </w:rPr>
              <w:t>、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27BB74F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综上所述，本项目选址环境合理。</w:t>
            </w:r>
          </w:p>
          <w:p w14:paraId="5EC3B3C6">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（2）弃渣场选址环境合理性分</w:t>
            </w:r>
          </w:p>
          <w:p w14:paraId="3109CAC1">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color w:val="auto"/>
                <w:lang w:val="en-US" w:eastAsia="zh-CN"/>
              </w:rPr>
            </w:pPr>
            <w:r>
              <w:rPr>
                <w:rFonts w:hint="default" w:ascii="Times New Roman" w:hAnsi="Times New Roman" w:eastAsia="宋体" w:cs="Times New Roman"/>
                <w:color w:val="auto"/>
                <w:sz w:val="24"/>
                <w:szCs w:val="20"/>
              </w:rPr>
              <w:t>根据本工程</w:t>
            </w:r>
            <w:r>
              <w:rPr>
                <w:rFonts w:hint="eastAsia" w:ascii="Times New Roman" w:hAnsi="Times New Roman" w:eastAsia="宋体" w:cs="Times New Roman"/>
                <w:color w:val="auto"/>
                <w:sz w:val="24"/>
                <w:szCs w:val="20"/>
                <w:lang w:eastAsia="zh-CN"/>
              </w:rPr>
              <w:t>土石方平衡分析</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项目建设过程中无多余废弃土石方产生</w:t>
            </w:r>
            <w:r>
              <w:rPr>
                <w:rFonts w:hint="default" w:ascii="Times New Roman" w:hAnsi="Times New Roman" w:eastAsia="宋体" w:cs="Times New Roman"/>
                <w:color w:val="auto"/>
                <w:sz w:val="24"/>
                <w:szCs w:val="20"/>
              </w:rPr>
              <w:t>，不设置弃渣场。</w:t>
            </w:r>
          </w:p>
          <w:p w14:paraId="6CC00077">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（3）表土堆场选址环境合理性分析</w:t>
            </w:r>
          </w:p>
          <w:p w14:paraId="182FD49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auto"/>
                <w:sz w:val="21"/>
                <w:szCs w:val="21"/>
                <w:lang w:val="en-US" w:eastAsia="zh-CN"/>
              </w:rPr>
            </w:pPr>
            <w:r>
              <w:rPr>
                <w:rFonts w:hint="default" w:ascii="Times New Roman" w:hAnsi="Times New Roman" w:eastAsia="宋体"/>
                <w:color w:val="auto"/>
                <w:kern w:val="24"/>
                <w:sz w:val="24"/>
              </w:rPr>
              <w:t>依据就近堆置的原则，</w:t>
            </w:r>
            <w:r>
              <w:rPr>
                <w:rFonts w:hint="eastAsia" w:ascii="Times New Roman" w:hAnsi="Times New Roman" w:eastAsia="宋体"/>
                <w:color w:val="auto"/>
                <w:kern w:val="24"/>
                <w:sz w:val="24"/>
                <w:lang w:val="en-US" w:eastAsia="zh-CN"/>
              </w:rPr>
              <w:t>项目</w:t>
            </w:r>
            <w:r>
              <w:rPr>
                <w:rFonts w:hint="default" w:ascii="Times New Roman" w:hAnsi="Times New Roman" w:eastAsia="宋体"/>
                <w:color w:val="auto"/>
                <w:kern w:val="24"/>
                <w:sz w:val="24"/>
              </w:rPr>
              <w:t>共规划1个临时表土堆场，</w:t>
            </w:r>
            <w:r>
              <w:rPr>
                <w:rFonts w:hint="default" w:ascii="Times New Roman" w:hAnsi="Times New Roman" w:eastAsia="宋体" w:cs="Times New Roman"/>
                <w:color w:val="auto"/>
                <w:lang w:val="en-US" w:eastAsia="zh-CN"/>
              </w:rPr>
              <w:t>规划表土堆场占地利用项目征地范围内光伏方阵下方，无需新增临时用地，堆场高度低于光伏板布设高度，堆存期间使用不会影响主体工程施工，且堆场均紧邻场内道路一侧，便于表土转运。在堆存期间，方案新增临时拦挡及临时覆盖措施进行防护，施工末期，表土</w:t>
            </w:r>
            <w:r>
              <w:rPr>
                <w:rFonts w:hint="eastAsia" w:ascii="Times New Roman" w:hAnsi="Times New Roman" w:eastAsia="宋体" w:cs="Times New Roman"/>
                <w:color w:val="auto"/>
                <w:lang w:val="en-US" w:eastAsia="zh-CN"/>
              </w:rPr>
              <w:t>用于光伏发电阵列区的绿化覆土</w:t>
            </w:r>
            <w:r>
              <w:rPr>
                <w:rFonts w:hint="default" w:ascii="Times New Roman" w:hAnsi="Times New Roman" w:eastAsia="宋体" w:cs="Times New Roman"/>
                <w:color w:val="auto"/>
                <w:lang w:val="en-US" w:eastAsia="zh-CN"/>
              </w:rPr>
              <w:t>。</w:t>
            </w:r>
          </w:p>
          <w:p w14:paraId="1F2869FB">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表土场选址位于项目区域，选址不新增临时占地，减小了因新增临时占地产生的地表扰动和植被破坏。表土堆场不涉及自然保护区、风景名胜区、饮用水水源保护区、 世界文化及自然遗产地等生态环境敏感区，避让了生态保护红线、生态公益林、基本农田。因此项目表土堆场选址合理。</w:t>
            </w:r>
          </w:p>
          <w:p w14:paraId="616C06E3">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（4）施工场（营）地选址环境合理性分析</w:t>
            </w:r>
          </w:p>
          <w:p w14:paraId="7A4211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根据工程施工特点，按集中与分散相结合原则进行施工，施工临建设施区共布置4个工区，利用光伏下较平坦空地布置生活设施、混凝土拌合站、设备和材料仓库、辅助加工厂、修配间等，总占地面积</w:t>
            </w:r>
            <w:r>
              <w:rPr>
                <w:rFonts w:hint="eastAsia" w:ascii="Times New Roman" w:hAnsi="Times New Roman" w:eastAsia="宋体" w:cs="Times New Roman"/>
                <w:color w:val="auto"/>
                <w:sz w:val="24"/>
                <w:szCs w:val="20"/>
                <w:lang w:val="en-US" w:eastAsia="zh-CN"/>
              </w:rPr>
              <w:t>7500</w:t>
            </w:r>
            <w:r>
              <w:rPr>
                <w:rFonts w:hint="default" w:ascii="Times New Roman" w:hAnsi="Times New Roman" w:eastAsia="宋体" w:cs="Times New Roman"/>
                <w:color w:val="auto"/>
                <w:sz w:val="24"/>
                <w:szCs w:val="20"/>
                <w:lang w:val="en-US" w:eastAsia="zh-CN"/>
              </w:rPr>
              <w:t>m</w:t>
            </w:r>
            <w:r>
              <w:rPr>
                <w:rFonts w:hint="default" w:ascii="Times New Roman" w:hAnsi="Times New Roman" w:eastAsia="宋体" w:cs="Times New Roman"/>
                <w:color w:val="auto"/>
                <w:sz w:val="24"/>
                <w:szCs w:val="20"/>
                <w:vertAlign w:val="superscript"/>
                <w:lang w:val="en-US" w:eastAsia="zh-CN"/>
              </w:rPr>
              <w:t>2</w:t>
            </w:r>
            <w:r>
              <w:rPr>
                <w:rFonts w:hint="default" w:ascii="Times New Roman" w:hAnsi="Times New Roman" w:eastAsia="宋体" w:cs="Times New Roman"/>
                <w:color w:val="auto"/>
                <w:sz w:val="24"/>
                <w:szCs w:val="20"/>
                <w:lang w:val="en-US" w:eastAsia="zh-CN"/>
              </w:rPr>
              <w:t>。施工结束后均拆除恢复原貌。</w:t>
            </w:r>
            <w:r>
              <w:rPr>
                <w:rFonts w:hint="default" w:ascii="Times New Roman" w:hAnsi="Times New Roman" w:eastAsia="宋体" w:cs="Times New Roman"/>
                <w:color w:val="auto"/>
                <w:sz w:val="24"/>
                <w:szCs w:val="20"/>
              </w:rPr>
              <w:t>本项目在施工临时生产生活设施布置时充分考虑了项目的实际特点，最大限度地减小了临时设施的新占用土地，减少了地表扰动面积，降低了施工造成的水土流失；施工场地不占用基本农田，施工场地周边500m范围内没有重要水体分布，因此，选址从环境的角度分析是可行的。</w:t>
            </w:r>
          </w:p>
          <w:p w14:paraId="22E1AC4D">
            <w:pPr>
              <w:keepNext w:val="0"/>
              <w:keepLines w:val="0"/>
              <w:numPr>
                <w:ilvl w:val="0"/>
                <w:numId w:val="8"/>
              </w:numPr>
              <w:suppressLineNumbers w:val="0"/>
              <w:spacing w:before="0" w:beforeAutospacing="0" w:after="0" w:afterAutospacing="0" w:line="360" w:lineRule="auto"/>
              <w:ind w:left="0" w:leftChars="0" w:right="0" w:firstLine="482" w:firstLineChars="200"/>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本项目依托芒市江东光伏发电项目升压站的可行性分析</w:t>
            </w:r>
          </w:p>
          <w:p w14:paraId="7B1C5AB3">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sz w:val="24"/>
                <w:szCs w:val="24"/>
                <w:lang w:val="en-US" w:eastAsia="zh-CN"/>
              </w:rPr>
              <w:t>本项目依托的芒市江东光伏发电项目升压站，建设规模为</w:t>
            </w:r>
            <w:r>
              <w:rPr>
                <w:rFonts w:hint="eastAsia" w:ascii="Times New Roman" w:hAnsi="Times New Roman" w:eastAsia="宋体" w:cs="Times New Roman"/>
                <w:color w:val="auto"/>
                <w:sz w:val="24"/>
                <w:szCs w:val="24"/>
                <w:lang w:val="en-US" w:eastAsia="zh-CN" w:bidi="ar"/>
              </w:rPr>
              <w:t>主变容量1×69MVA设计，以1回110kV线路接入110kV轩岗变，输出线路长度约为12km。其中本项目以1回35kV集电线路接入110kv江东发电升压站的35kV侧。</w:t>
            </w:r>
          </w:p>
          <w:p w14:paraId="0677CA54">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根据现场勘探，本项目距离江东110kV升压站直线距离约为（1006m），项目通过1回35kV集电线路接入110kv江东发电升压站的35kV侧。项目接入江东110kV升压站的35kV侧集电线路采用架空和直埋混合形式进行布设，对周边生态环境影响较小。</w:t>
            </w:r>
          </w:p>
          <w:p w14:paraId="18285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由于本项目与江东光伏发电项目为同一建设单位，秉承节省投资和经济最大化考虑，本项目的工程内容不单独设置员工生活区，依托江东光伏发电项目升压站生活区，生活区配套的隔油池、化粪池、抽油烟机、垃圾收集桶等环保措施已纳入江东光伏发电项目。经过计算，江东光伏发电项目的配套环保措施可以满足两个项目运营期工作人员产生的废水等。其中，升压站生产区配套的事故油池、危险废物暂存间，也相应考虑了本项目产生的废矿物油量，项目建设基本未增加江东光伏发电项目升压站环保措施的负担，因此本项目依托江东光伏发电升压站完全可行。</w:t>
            </w:r>
          </w:p>
          <w:p w14:paraId="7E11E610">
            <w:pPr>
              <w:pStyle w:val="16"/>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p>
          <w:p w14:paraId="69AC4BAE">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p>
          <w:p w14:paraId="6E095D9B">
            <w:pPr>
              <w:pStyle w:val="16"/>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p>
          <w:p w14:paraId="4D4E972F">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lang w:val="en-US" w:eastAsia="zh-CN" w:bidi="ar"/>
              </w:rPr>
            </w:pPr>
          </w:p>
          <w:p w14:paraId="749B915F">
            <w:pPr>
              <w:pStyle w:val="16"/>
              <w:keepNext w:val="0"/>
              <w:keepLines w:val="0"/>
              <w:suppressLineNumbers w:val="0"/>
              <w:spacing w:before="0" w:beforeAutospacing="0" w:after="0" w:afterAutospacing="0"/>
              <w:ind w:left="0" w:right="0"/>
              <w:rPr>
                <w:rFonts w:hint="eastAsia"/>
                <w:lang w:val="en-US" w:eastAsia="zh-CN"/>
              </w:rPr>
            </w:pPr>
          </w:p>
        </w:tc>
      </w:tr>
    </w:tbl>
    <w:p w14:paraId="20A1D453">
      <w:pPr>
        <w:pStyle w:val="34"/>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7C929B">
      <w:pPr>
        <w:jc w:val="center"/>
        <w:outlineLvl w:val="0"/>
        <w:rPr>
          <w:rFonts w:hint="eastAsia" w:ascii="宋体" w:hAnsi="宋体" w:eastAsia="宋体" w:cs="宋体"/>
          <w:b/>
          <w:bCs/>
          <w:snapToGrid w:val="0"/>
          <w:color w:val="000000"/>
          <w:sz w:val="30"/>
          <w:szCs w:val="30"/>
        </w:rPr>
      </w:pPr>
      <w:bookmarkStart w:id="29" w:name="_Toc11438"/>
      <w:bookmarkStart w:id="30" w:name="_Toc17031"/>
      <w:bookmarkStart w:id="31" w:name="_Toc31245"/>
      <w:bookmarkStart w:id="32" w:name="_Toc11293"/>
      <w:bookmarkStart w:id="33" w:name="_Toc8274"/>
      <w:r>
        <w:rPr>
          <w:rFonts w:hint="eastAsia" w:ascii="宋体" w:hAnsi="宋体" w:eastAsia="宋体" w:cs="宋体"/>
          <w:b/>
          <w:bCs/>
          <w:snapToGrid w:val="0"/>
          <w:color w:val="000000"/>
          <w:sz w:val="30"/>
          <w:szCs w:val="30"/>
          <w:lang w:val="en-US" w:eastAsia="zh-CN"/>
        </w:rPr>
        <w:t>五、</w:t>
      </w:r>
      <w:r>
        <w:rPr>
          <w:rFonts w:hint="eastAsia" w:ascii="宋体" w:hAnsi="宋体" w:eastAsia="宋体" w:cs="宋体"/>
          <w:b/>
          <w:bCs/>
          <w:snapToGrid w:val="0"/>
          <w:color w:val="000000"/>
          <w:sz w:val="30"/>
          <w:szCs w:val="30"/>
        </w:rPr>
        <w:t>主要生态环境保护措施</w:t>
      </w:r>
      <w:bookmarkEnd w:id="29"/>
      <w:bookmarkEnd w:id="30"/>
      <w:bookmarkEnd w:id="31"/>
      <w:bookmarkEnd w:id="32"/>
      <w:bookmarkEnd w:id="33"/>
    </w:p>
    <w:tbl>
      <w:tblPr>
        <w:tblStyle w:val="2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2404A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53" w:type="dxa"/>
            <w:tcMar>
              <w:left w:w="28" w:type="dxa"/>
              <w:right w:w="28" w:type="dxa"/>
            </w:tcMar>
            <w:vAlign w:val="center"/>
          </w:tcPr>
          <w:p w14:paraId="340C97A5">
            <w:pPr>
              <w:keepNext w:val="0"/>
              <w:keepLines w:val="0"/>
              <w:suppressLineNumbers w:val="0"/>
              <w:adjustRightInd w:val="0"/>
              <w:snapToGrid w:val="0"/>
              <w:spacing w:before="0" w:beforeAutospacing="0" w:after="0" w:afterAutospacing="0"/>
              <w:ind w:left="0" w:right="0"/>
              <w:jc w:val="center"/>
              <w:rPr>
                <w:rFonts w:hint="default" w:ascii="宋体" w:hAnsi="宋体"/>
                <w:b/>
                <w:bCs w:val="0"/>
                <w:sz w:val="24"/>
                <w:szCs w:val="24"/>
              </w:rPr>
            </w:pPr>
            <w:r>
              <w:rPr>
                <w:rFonts w:hint="eastAsia" w:ascii="宋体" w:hAnsi="宋体" w:cs="宋体"/>
                <w:b w:val="0"/>
                <w:bCs/>
                <w:spacing w:val="10"/>
                <w:sz w:val="24"/>
                <w:szCs w:val="24"/>
              </w:rPr>
              <w:t>施工期生态环境保护措施</w:t>
            </w:r>
          </w:p>
        </w:tc>
        <w:tc>
          <w:tcPr>
            <w:tcW w:w="8457" w:type="dxa"/>
            <w:vAlign w:val="top"/>
          </w:tcPr>
          <w:p w14:paraId="1466E961">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生态环境保护措施</w:t>
            </w:r>
          </w:p>
          <w:p w14:paraId="4E0FE59D">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1、植物保护措施</w:t>
            </w:r>
          </w:p>
          <w:p w14:paraId="498ED24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（1）合理规划使用永久占地范围内的土地，临时工程应尽可能利用永久占 地。减少临时占地对植物的影响。新增临时占地时，必须补报。严格控制施工活动区域，必须在规定的作业范围内活动。</w:t>
            </w:r>
          </w:p>
          <w:p w14:paraId="4E9E11D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（2）加强对施工人员的宣传教育，禁止破坏占地以外的植被，还应在施工 时采取宣传监管等保护措施。抓好临时用工人员的管理，不得随意使用当地活 木作为燃料，以防止发生</w:t>
            </w:r>
            <w:r>
              <w:rPr>
                <w:rFonts w:hint="eastAsia" w:ascii="Times New Roman" w:hAnsi="Times New Roman" w:cs="Times New Roman"/>
                <w:lang w:val="en-US" w:eastAsia="zh-CN"/>
              </w:rPr>
              <w:t>乱砍滥伐</w:t>
            </w:r>
            <w:r>
              <w:rPr>
                <w:rFonts w:hint="default" w:ascii="Times New Roman" w:hAnsi="Times New Roman" w:cs="Times New Roman"/>
                <w:lang w:val="en-US" w:eastAsia="zh-CN"/>
              </w:rPr>
              <w:t>。</w:t>
            </w:r>
          </w:p>
          <w:p w14:paraId="307634B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（3）对施工表土进行集中堆存，施工完毕后用于</w:t>
            </w:r>
            <w:r>
              <w:rPr>
                <w:rFonts w:hint="eastAsia" w:ascii="Times New Roman" w:hAnsi="Times New Roman" w:cs="Times New Roman"/>
                <w:lang w:val="en-US" w:eastAsia="zh-CN"/>
              </w:rPr>
              <w:t>场</w:t>
            </w:r>
            <w:r>
              <w:rPr>
                <w:rFonts w:hint="default" w:ascii="Times New Roman" w:hAnsi="Times New Roman" w:cs="Times New Roman"/>
                <w:lang w:val="en-US" w:eastAsia="zh-CN"/>
              </w:rPr>
              <w:t>区绿化，宜就地采集当地植物的种子、幼苗进行种植，不能采用外来物种。</w:t>
            </w:r>
          </w:p>
          <w:p w14:paraId="1351F92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（4）施工结束后应督促施工单位及时拆除临时建筑，清理、恢复土层，采 用当地植物对临时占用的集电线路区和场内道路边坡进行“恢复性”种植，促进自然恢复。</w:t>
            </w:r>
          </w:p>
          <w:p w14:paraId="22C3A3D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（5）对光伏方阵空地和未利用地等不扰动区域加强管理，严格控制施工扰 动范围，太阳能电池板等设备安装控制在扰动范围内，禁止对光伏方阵空地不 扰动区域的植被造成破坏。</w:t>
            </w:r>
          </w:p>
          <w:p w14:paraId="20BBB23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（6）严格执行项目水土保持方案提出的水保工程措施及植物措施。</w:t>
            </w:r>
          </w:p>
          <w:p w14:paraId="44852328">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2、陆生脊椎动物保护措施</w:t>
            </w:r>
          </w:p>
          <w:p w14:paraId="1AC1557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（1）加强施工单位和施工人员以及电站运行管理人员的宣传教育，通过标 志牌、法律宣传等措施进行宣传，严禁猎杀野生动物，并通过对违法活动进行举报奖励的措施以制止偷猎活动。</w:t>
            </w:r>
          </w:p>
          <w:p w14:paraId="0779BA1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（2）设立专职或兼职的林政监督管理人员，依法和依据本报告表的要求对 生物多样性和生态环境的保护进行监督检查。</w:t>
            </w:r>
          </w:p>
          <w:p w14:paraId="7717BF4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（3）保护野生动物的栖息地，施工结束后临建设施要及时进行拆除、清理 以及生态恢复。</w:t>
            </w:r>
          </w:p>
          <w:p w14:paraId="2E9803DF">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水土保持措施</w:t>
            </w:r>
          </w:p>
          <w:p w14:paraId="591DE257">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2.1水土保持措施总体布局</w:t>
            </w:r>
          </w:p>
          <w:p w14:paraId="173FCC4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（1）光伏发电方阵区</w:t>
            </w:r>
          </w:p>
          <w:p w14:paraId="0ED4700D">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主体未设计水土保持措施；方阵区电缆方案新增电缆沟槽的表土剥离及表土的临时土工布覆盖措施，沟槽回填后恢复植被；两侧的施工作业带仅用于堆放土方及材料，不会对表土层产生破坏，方案新增使用前的土工布保护措施。考虑雨天雨水从光伏板下缘滴落造成溅蚀，本方案新增每个光伏阵列下缘地面的混凝土抹面防溅蚀沟，以减少运行期间造成的溅蚀。光伏发电方阵内的表土堆场方案补充编织袋临时拦挡和土工布临时覆盖措施，临建设施区方案补充场地内的临时土质排水沟及临时堆料的土工布覆盖措施，临时场地使用结束后进行复耕。</w:t>
            </w:r>
          </w:p>
          <w:p w14:paraId="01FEAB52">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（2）集电线路区</w:t>
            </w:r>
          </w:p>
          <w:p w14:paraId="4B759912">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主体未设计水土保持措施；本项目集电线路地埋电缆方案新增电缆沟槽表土剥离，开挖土方及表土的土工布覆盖措施，施工结束后对扰动区域实施复耕或植被恢复措施。架空线路区方案新增塔基区域的表土剥离措施，剥离表土临时堆放在各塔基对应的表土临时堆场（表土堆场与塔基一一对应），并新增表土堆场的覆盖及临时编织袋拦挡措施，塔基施工完成后除了塔脚区域外的植被恢复或复耕措施，临时施工场地地表施工前的密目网保护措施，施工结束后施工场地的植被恢复或复耕措施。</w:t>
            </w:r>
          </w:p>
          <w:p w14:paraId="05B4DECF">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（4）道路工程区</w:t>
            </w:r>
          </w:p>
          <w:p w14:paraId="3FEAE0E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FF0000"/>
                <w:lang w:val="en-US" w:eastAsia="zh-CN"/>
              </w:rPr>
            </w:pPr>
            <w:r>
              <w:rPr>
                <w:rFonts w:hint="eastAsia" w:ascii="Times New Roman" w:hAnsi="Times New Roman" w:cs="Times New Roman"/>
                <w:b w:val="0"/>
                <w:bCs w:val="0"/>
                <w:color w:val="auto"/>
                <w:lang w:val="en-US" w:eastAsia="zh-CN"/>
              </w:rPr>
              <w:t>主体已设计了进站道路的混凝土边沟，场内道路的土质边沟，边沟跨沟道处的钢筋砼管涵。方案新增施工前期可剥离表土区域的表土剥离措施，并对场内道</w:t>
            </w:r>
            <w:r>
              <w:rPr>
                <w:rFonts w:hint="default" w:ascii="Times New Roman" w:hAnsi="Times New Roman" w:eastAsia="宋体" w:cs="Times New Roman"/>
                <w:b w:val="0"/>
                <w:bCs w:val="0"/>
                <w:color w:val="auto"/>
                <w:lang w:val="en-US" w:eastAsia="zh-CN"/>
              </w:rPr>
              <w:t>路汇水较大路段的土质边沟加强为浆砌石边沟，排水出口新增沉沙措施。</w:t>
            </w:r>
          </w:p>
          <w:p w14:paraId="3C353D7D">
            <w:pPr>
              <w:pStyle w:val="59"/>
              <w:keepNext w:val="0"/>
              <w:keepLines w:val="0"/>
              <w:widowControl/>
              <w:suppressLineNumbers w:val="0"/>
              <w:spacing w:before="0" w:beforeAutospacing="0" w:after="0" w:afterAutospacing="0" w:line="360" w:lineRule="auto"/>
              <w:ind w:left="0" w:right="0" w:firstLine="482" w:firstLineChars="200"/>
              <w:rPr>
                <w:rFonts w:hint="eastAsia" w:ascii="Times New Roman" w:hAnsi="Times New Roman" w:eastAsia="宋体" w:cs="Times New Roman"/>
                <w:b/>
                <w:color w:val="000000" w:themeColor="text1"/>
                <w:lang w:eastAsia="zh-CN"/>
                <w14:textFill>
                  <w14:solidFill>
                    <w14:schemeClr w14:val="tx1"/>
                  </w14:solidFill>
                </w14:textFill>
              </w:rPr>
            </w:pPr>
            <w:r>
              <w:rPr>
                <w:rFonts w:hint="eastAsia" w:ascii="Times New Roman" w:hAnsi="Times New Roman" w:eastAsia="宋体" w:cs="Times New Roman"/>
                <w:b/>
                <w:color w:val="000000" w:themeColor="text1"/>
                <w:lang w:val="en-US" w:eastAsia="zh-CN"/>
                <w14:textFill>
                  <w14:solidFill>
                    <w14:schemeClr w14:val="tx1"/>
                  </w14:solidFill>
                </w14:textFill>
              </w:rPr>
              <w:t>2.2</w:t>
            </w:r>
            <w:r>
              <w:rPr>
                <w:rFonts w:hint="default" w:ascii="Times New Roman" w:hAnsi="Times New Roman" w:eastAsia="宋体" w:cs="Times New Roman"/>
                <w:b/>
                <w:color w:val="000000" w:themeColor="text1"/>
                <w14:textFill>
                  <w14:solidFill>
                    <w14:schemeClr w14:val="tx1"/>
                  </w14:solidFill>
                </w14:textFill>
              </w:rPr>
              <w:t>、</w:t>
            </w:r>
            <w:r>
              <w:rPr>
                <w:rFonts w:hint="eastAsia" w:ascii="Times New Roman" w:hAnsi="Times New Roman" w:eastAsia="宋体" w:cs="Times New Roman"/>
                <w:b/>
                <w:color w:val="000000" w:themeColor="text1"/>
                <w:lang w:eastAsia="zh-CN"/>
                <w14:textFill>
                  <w14:solidFill>
                    <w14:schemeClr w14:val="tx1"/>
                  </w14:solidFill>
                </w14:textFill>
              </w:rPr>
              <w:t>主要工程量</w:t>
            </w:r>
          </w:p>
          <w:p w14:paraId="3CCB29C6">
            <w:pPr>
              <w:pStyle w:val="59"/>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CN"/>
                <w14:textFill>
                  <w14:solidFill>
                    <w14:schemeClr w14:val="tx1"/>
                  </w14:solidFill>
                </w14:textFill>
              </w:rPr>
              <w:t>（</w:t>
            </w:r>
            <w:r>
              <w:rPr>
                <w:rFonts w:hint="eastAsia" w:ascii="Times New Roman" w:hAnsi="Times New Roman" w:eastAsia="宋体" w:cs="Times New Roman"/>
                <w:b/>
                <w:color w:val="000000" w:themeColor="text1"/>
                <w:lang w:val="en-US" w:eastAsia="zh-CN"/>
                <w14:textFill>
                  <w14:solidFill>
                    <w14:schemeClr w14:val="tx1"/>
                  </w14:solidFill>
                </w14:textFill>
              </w:rPr>
              <w:t>1</w:t>
            </w:r>
            <w:r>
              <w:rPr>
                <w:rFonts w:hint="eastAsia"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主体设计</w:t>
            </w:r>
          </w:p>
          <w:p w14:paraId="6B020072">
            <w:pPr>
              <w:pStyle w:val="60"/>
              <w:keepNext w:val="0"/>
              <w:keepLines w:val="0"/>
              <w:widowControl/>
              <w:suppressLineNumbers w:val="0"/>
              <w:spacing w:before="0" w:beforeAutospacing="0" w:after="0" w:afterAutospacing="0"/>
              <w:ind w:left="0" w:right="0" w:firstLine="480"/>
              <w:rPr>
                <w:rFonts w:hint="default" w:eastAsia="宋体"/>
                <w:color w:val="auto"/>
                <w:sz w:val="24"/>
                <w:szCs w:val="24"/>
                <w:lang w:val="en-US" w:eastAsia="zh-CN"/>
              </w:rPr>
            </w:pPr>
            <w:r>
              <w:rPr>
                <w:rFonts w:hint="eastAsia" w:eastAsia="宋体"/>
                <w:color w:val="auto"/>
                <w:sz w:val="24"/>
                <w:szCs w:val="24"/>
                <w:lang w:eastAsia="zh-CN"/>
              </w:rPr>
              <w:t>工程措施：光伏发电方阵区表土剥离</w:t>
            </w:r>
            <w:r>
              <w:rPr>
                <w:rFonts w:hint="eastAsia" w:eastAsia="宋体"/>
                <w:color w:val="auto"/>
                <w:sz w:val="24"/>
                <w:szCs w:val="24"/>
                <w:lang w:val="en-US" w:eastAsia="zh-CN"/>
              </w:rPr>
              <w:t>0.35万m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；集电线路区表土剥离0.21万m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；道路工程区表土剥离0.52万m</w:t>
            </w:r>
            <w:r>
              <w:rPr>
                <w:rFonts w:hint="eastAsia" w:eastAsia="宋体"/>
                <w:color w:val="auto"/>
                <w:sz w:val="24"/>
                <w:szCs w:val="24"/>
                <w:vertAlign w:val="superscript"/>
                <w:lang w:val="en-US" w:eastAsia="zh-CN"/>
              </w:rPr>
              <w:t>3</w:t>
            </w:r>
            <w:r>
              <w:rPr>
                <w:rFonts w:hint="eastAsia" w:eastAsia="宋体"/>
                <w:color w:val="auto"/>
                <w:sz w:val="24"/>
                <w:szCs w:val="24"/>
                <w:lang w:val="en-US" w:eastAsia="zh-CN"/>
              </w:rPr>
              <w:t>、混凝土排水沟8150m、钢筋砼圆管涵175m。</w:t>
            </w:r>
          </w:p>
          <w:p w14:paraId="3E64203D">
            <w:pPr>
              <w:pStyle w:val="59"/>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CN"/>
                <w14:textFill>
                  <w14:solidFill>
                    <w14:schemeClr w14:val="tx1"/>
                  </w14:solidFill>
                </w14:textFill>
              </w:rPr>
              <w:t>（</w:t>
            </w:r>
            <w:r>
              <w:rPr>
                <w:rFonts w:hint="eastAsia" w:ascii="Times New Roman" w:hAnsi="Times New Roman" w:eastAsia="宋体" w:cs="Times New Roman"/>
                <w:b/>
                <w:color w:val="000000" w:themeColor="text1"/>
                <w:lang w:val="en-US" w:eastAsia="zh-CN"/>
                <w14:textFill>
                  <w14:solidFill>
                    <w14:schemeClr w14:val="tx1"/>
                  </w14:solidFill>
                </w14:textFill>
              </w:rPr>
              <w:t>2</w:t>
            </w:r>
            <w:r>
              <w:rPr>
                <w:rFonts w:hint="eastAsia"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方案新增</w:t>
            </w:r>
          </w:p>
          <w:p w14:paraId="51FDC789">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1、工程措施</w:t>
            </w:r>
          </w:p>
          <w:p w14:paraId="2F46C7CA">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光伏发电方阵区</w:t>
            </w:r>
            <w:r>
              <w:rPr>
                <w:rFonts w:hint="eastAsia" w:ascii="Times New Roman" w:hAnsi="Times New Roman" w:eastAsia="宋体" w:cs="Times New Roman"/>
                <w:color w:val="auto"/>
                <w:sz w:val="24"/>
                <w:szCs w:val="24"/>
              </w:rPr>
              <w:t>复耕</w:t>
            </w:r>
            <w:r>
              <w:rPr>
                <w:rFonts w:hint="eastAsia" w:ascii="Times New Roman" w:hAnsi="Times New Roman" w:eastAsia="宋体" w:cs="Times New Roman"/>
                <w:color w:val="auto"/>
                <w:sz w:val="24"/>
                <w:szCs w:val="24"/>
                <w:lang w:val="en-US" w:eastAsia="zh-CN"/>
              </w:rPr>
              <w:t>2.50</w:t>
            </w:r>
            <w:r>
              <w:rPr>
                <w:rFonts w:hint="eastAsia" w:ascii="Times New Roman" w:hAnsi="Times New Roman" w:eastAsia="宋体" w:cs="Times New Roman"/>
                <w:color w:val="auto"/>
                <w:sz w:val="24"/>
                <w:szCs w:val="24"/>
              </w:rPr>
              <w:t>hm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；集电线路区复耕</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78</w:t>
            </w:r>
            <w:r>
              <w:rPr>
                <w:rFonts w:hint="eastAsia" w:ascii="Times New Roman" w:hAnsi="Times New Roman" w:eastAsia="宋体" w:cs="Times New Roman"/>
                <w:color w:val="auto"/>
                <w:sz w:val="24"/>
                <w:szCs w:val="24"/>
              </w:rPr>
              <w:t>hm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；道路工程区沉沙井</w:t>
            </w:r>
            <w:r>
              <w:rPr>
                <w:rFonts w:hint="default" w:ascii="Times New Roman" w:hAnsi="Times New Roman" w:eastAsia="宋体" w:cs="Times New Roman"/>
                <w:color w:val="auto"/>
                <w:sz w:val="24"/>
                <w:szCs w:val="24"/>
              </w:rPr>
              <w:t>12</w:t>
            </w:r>
            <w:r>
              <w:rPr>
                <w:rFonts w:hint="eastAsia" w:ascii="Times New Roman" w:hAnsi="Times New Roman" w:eastAsia="宋体" w:cs="Times New Roman"/>
                <w:color w:val="auto"/>
                <w:sz w:val="24"/>
                <w:szCs w:val="24"/>
              </w:rPr>
              <w:t>座。</w:t>
            </w:r>
          </w:p>
          <w:p w14:paraId="0ABCC0C9">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具体工程量为：</w:t>
            </w:r>
            <w:r>
              <w:rPr>
                <w:rFonts w:hint="eastAsia" w:ascii="Times New Roman" w:hAnsi="Times New Roman" w:eastAsia="宋体" w:cs="Times New Roman"/>
                <w:color w:val="auto"/>
                <w:sz w:val="24"/>
                <w:szCs w:val="24"/>
              </w:rPr>
              <w:t>土方开挖</w:t>
            </w:r>
            <w:r>
              <w:rPr>
                <w:rFonts w:hint="eastAsia" w:ascii="Times New Roman" w:hAnsi="Times New Roman" w:eastAsia="宋体" w:cs="Times New Roman"/>
                <w:color w:val="auto"/>
                <w:sz w:val="24"/>
                <w:szCs w:val="24"/>
                <w:lang w:val="en-US" w:eastAsia="zh-CN"/>
              </w:rPr>
              <w:t>62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eastAsia="zh-CN"/>
              </w:rPr>
              <w:t>、整地</w:t>
            </w:r>
            <w:r>
              <w:rPr>
                <w:rFonts w:hint="eastAsia" w:ascii="Times New Roman" w:hAnsi="Times New Roman" w:eastAsia="宋体" w:cs="Times New Roman"/>
                <w:color w:val="auto"/>
                <w:sz w:val="24"/>
                <w:szCs w:val="24"/>
                <w:lang w:val="en-US" w:eastAsia="zh-CN"/>
              </w:rPr>
              <w:t>3.28hm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C20混凝土浇筑</w:t>
            </w:r>
            <w:r>
              <w:rPr>
                <w:rFonts w:hint="eastAsia" w:ascii="Times New Roman" w:hAnsi="Times New Roman" w:eastAsia="宋体" w:cs="Times New Roman"/>
                <w:color w:val="auto"/>
                <w:sz w:val="24"/>
                <w:szCs w:val="24"/>
                <w:lang w:val="en-US" w:eastAsia="zh-CN"/>
              </w:rPr>
              <w:t>42.75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p>
          <w:p w14:paraId="29BC3B60">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2、植物措施</w:t>
            </w:r>
          </w:p>
          <w:p w14:paraId="5D0A2EA5">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集电线路区植被恢复</w:t>
            </w:r>
            <w:r>
              <w:rPr>
                <w:rFonts w:hint="eastAsia" w:ascii="Times New Roman" w:hAnsi="Times New Roman" w:eastAsia="宋体" w:cs="Times New Roman"/>
                <w:color w:val="auto"/>
                <w:sz w:val="24"/>
                <w:szCs w:val="24"/>
                <w:lang w:val="en-US" w:eastAsia="zh-CN"/>
              </w:rPr>
              <w:t>0.07hm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；道路工程区植被恢复2.05hm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p>
          <w:p w14:paraId="169D6B52">
            <w:pPr>
              <w:pStyle w:val="59"/>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具体工程量为：定植</w:t>
            </w:r>
            <w:r>
              <w:rPr>
                <w:rFonts w:hint="eastAsia" w:ascii="Times New Roman" w:hAnsi="Times New Roman" w:eastAsia="宋体" w:cs="Times New Roman"/>
                <w:color w:val="auto"/>
                <w:sz w:val="24"/>
                <w:szCs w:val="24"/>
              </w:rPr>
              <w:t>葛藤</w:t>
            </w:r>
            <w:r>
              <w:rPr>
                <w:rFonts w:hint="eastAsia" w:ascii="Times New Roman" w:hAnsi="Times New Roman" w:eastAsia="宋体" w:cs="Times New Roman"/>
                <w:color w:val="auto"/>
                <w:sz w:val="24"/>
                <w:szCs w:val="24"/>
                <w:lang w:val="en-US" w:eastAsia="zh-CN"/>
              </w:rPr>
              <w:t>4600</w:t>
            </w:r>
            <w:r>
              <w:rPr>
                <w:rFonts w:hint="eastAsia" w:ascii="Times New Roman" w:hAnsi="Times New Roman" w:eastAsia="宋体" w:cs="Times New Roman"/>
                <w:color w:val="auto"/>
                <w:sz w:val="24"/>
                <w:szCs w:val="24"/>
              </w:rPr>
              <w:t>株，</w:t>
            </w:r>
            <w:r>
              <w:rPr>
                <w:rFonts w:hint="default" w:ascii="Times New Roman" w:hAnsi="Times New Roman" w:eastAsia="宋体" w:cs="Times New Roman"/>
                <w:color w:val="auto"/>
                <w:sz w:val="24"/>
                <w:szCs w:val="24"/>
              </w:rPr>
              <w:t>播撒草籽</w:t>
            </w:r>
            <w:r>
              <w:rPr>
                <w:rFonts w:hint="eastAsia" w:ascii="Times New Roman" w:hAnsi="Times New Roman" w:eastAsia="宋体" w:cs="Times New Roman"/>
                <w:color w:val="auto"/>
                <w:sz w:val="24"/>
                <w:szCs w:val="24"/>
                <w:lang w:val="en-US" w:eastAsia="zh-CN"/>
              </w:rPr>
              <w:t>114.40</w:t>
            </w:r>
            <w:r>
              <w:rPr>
                <w:rFonts w:hint="default" w:ascii="Times New Roman" w:hAnsi="Times New Roman" w:eastAsia="宋体" w:cs="Times New Roman"/>
                <w:color w:val="auto"/>
                <w:sz w:val="24"/>
                <w:szCs w:val="24"/>
              </w:rPr>
              <w:t>kg（狗牙根和白三叶</w:t>
            </w:r>
            <w:r>
              <w:rPr>
                <w:rFonts w:hint="eastAsia" w:ascii="Times New Roman" w:hAnsi="Times New Roman" w:eastAsia="宋体" w:cs="Times New Roman"/>
                <w:color w:val="auto"/>
                <w:sz w:val="24"/>
                <w:szCs w:val="24"/>
                <w:lang w:val="en-US" w:eastAsia="zh-CN"/>
              </w:rPr>
              <w:t>57.20</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rPr>
              <w:t>，考虑10%补植率，需苗木量葛藤</w:t>
            </w:r>
            <w:r>
              <w:rPr>
                <w:rFonts w:hint="eastAsia" w:ascii="Times New Roman" w:hAnsi="Times New Roman" w:eastAsia="宋体" w:cs="Times New Roman"/>
                <w:color w:val="auto"/>
                <w:sz w:val="24"/>
                <w:szCs w:val="24"/>
                <w:lang w:val="en-US" w:eastAsia="zh-CN"/>
              </w:rPr>
              <w:t>5060</w:t>
            </w:r>
            <w:r>
              <w:rPr>
                <w:rFonts w:hint="eastAsia" w:ascii="Times New Roman" w:hAnsi="Times New Roman" w:eastAsia="宋体" w:cs="Times New Roman"/>
                <w:color w:val="auto"/>
                <w:sz w:val="24"/>
                <w:szCs w:val="24"/>
              </w:rPr>
              <w:t>株，</w:t>
            </w:r>
            <w:r>
              <w:rPr>
                <w:rFonts w:hint="default" w:ascii="Times New Roman" w:hAnsi="Times New Roman" w:eastAsia="宋体" w:cs="Times New Roman"/>
                <w:color w:val="auto"/>
                <w:sz w:val="24"/>
                <w:szCs w:val="24"/>
              </w:rPr>
              <w:t>播撒草籽</w:t>
            </w:r>
            <w:r>
              <w:rPr>
                <w:rFonts w:hint="eastAsia" w:ascii="Times New Roman" w:hAnsi="Times New Roman" w:eastAsia="宋体" w:cs="Times New Roman"/>
                <w:color w:val="auto"/>
                <w:sz w:val="24"/>
                <w:szCs w:val="24"/>
                <w:lang w:val="en-US" w:eastAsia="zh-CN"/>
              </w:rPr>
              <w:t>125.84</w:t>
            </w:r>
            <w:r>
              <w:rPr>
                <w:rFonts w:hint="default" w:ascii="Times New Roman" w:hAnsi="Times New Roman" w:eastAsia="宋体" w:cs="Times New Roman"/>
                <w:color w:val="auto"/>
                <w:sz w:val="24"/>
                <w:szCs w:val="24"/>
              </w:rPr>
              <w:t>kg（狗牙根和白三叶</w:t>
            </w:r>
            <w:r>
              <w:rPr>
                <w:rFonts w:hint="eastAsia" w:ascii="Times New Roman" w:hAnsi="Times New Roman" w:eastAsia="宋体" w:cs="Times New Roman"/>
                <w:color w:val="auto"/>
                <w:sz w:val="24"/>
                <w:szCs w:val="24"/>
                <w:lang w:val="en-US" w:eastAsia="zh-CN"/>
              </w:rPr>
              <w:t>62.92</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rPr>
              <w:t>，全面整地</w:t>
            </w:r>
            <w:r>
              <w:rPr>
                <w:rFonts w:hint="eastAsia" w:ascii="Times New Roman" w:hAnsi="Times New Roman" w:eastAsia="宋体" w:cs="Times New Roman"/>
                <w:color w:val="auto"/>
                <w:sz w:val="24"/>
                <w:szCs w:val="24"/>
                <w:lang w:val="en-US" w:eastAsia="zh-CN"/>
              </w:rPr>
              <w:t>1.43h</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，穴状整地</w:t>
            </w:r>
            <w:r>
              <w:rPr>
                <w:rFonts w:hint="eastAsia" w:ascii="Times New Roman" w:hAnsi="Times New Roman" w:eastAsia="宋体" w:cs="Times New Roman"/>
                <w:color w:val="auto"/>
                <w:sz w:val="24"/>
                <w:szCs w:val="24"/>
                <w:lang w:val="en-US" w:eastAsia="zh-CN"/>
              </w:rPr>
              <w:t>5060</w:t>
            </w:r>
            <w:r>
              <w:rPr>
                <w:rFonts w:hint="eastAsia" w:ascii="Times New Roman" w:hAnsi="Times New Roman" w:eastAsia="宋体" w:cs="Times New Roman"/>
                <w:color w:val="auto"/>
                <w:sz w:val="24"/>
                <w:szCs w:val="24"/>
              </w:rPr>
              <w:t>个。</w:t>
            </w:r>
          </w:p>
          <w:p w14:paraId="3C7737D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3、临时措施</w:t>
            </w:r>
          </w:p>
          <w:p w14:paraId="76A80D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光伏发电方阵区无纺布覆盖</w:t>
            </w:r>
            <w:r>
              <w:rPr>
                <w:rFonts w:hint="eastAsia" w:ascii="Times New Roman" w:hAnsi="Times New Roman" w:eastAsia="宋体" w:cs="Times New Roman"/>
                <w:color w:val="auto"/>
                <w:sz w:val="24"/>
                <w:szCs w:val="24"/>
                <w:lang w:val="en-US" w:eastAsia="zh-CN"/>
              </w:rPr>
              <w:t>6043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，临时土质排水沟</w:t>
            </w:r>
            <w:r>
              <w:rPr>
                <w:rFonts w:hint="eastAsia" w:ascii="Times New Roman" w:hAnsi="Times New Roman" w:eastAsia="宋体" w:cs="Times New Roman"/>
                <w:color w:val="auto"/>
                <w:sz w:val="24"/>
                <w:szCs w:val="24"/>
                <w:lang w:val="en-US" w:eastAsia="zh-CN"/>
              </w:rPr>
              <w:t>328</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，临时土质沉沙池</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座，编织袋挡墙</w:t>
            </w:r>
            <w:r>
              <w:rPr>
                <w:rFonts w:hint="eastAsia"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道路工程区</w:t>
            </w:r>
            <w:r>
              <w:rPr>
                <w:rFonts w:hint="eastAsia" w:ascii="Times New Roman" w:hAnsi="Times New Roman" w:eastAsia="宋体" w:cs="Times New Roman"/>
                <w:color w:val="auto"/>
                <w:sz w:val="24"/>
                <w:szCs w:val="24"/>
              </w:rPr>
              <w:t>无纺布覆盖</w:t>
            </w:r>
            <w:r>
              <w:rPr>
                <w:rFonts w:hint="eastAsia" w:ascii="Times New Roman" w:hAnsi="Times New Roman" w:eastAsia="宋体" w:cs="Times New Roman"/>
                <w:color w:val="auto"/>
                <w:sz w:val="24"/>
                <w:szCs w:val="24"/>
                <w:lang w:val="en-US" w:eastAsia="zh-CN"/>
              </w:rPr>
              <w:t>13600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集电线路区无纺布覆盖</w:t>
            </w:r>
            <w:r>
              <w:rPr>
                <w:rFonts w:hint="eastAsia" w:ascii="Times New Roman" w:hAnsi="Times New Roman" w:eastAsia="宋体" w:cs="Times New Roman"/>
                <w:color w:val="auto"/>
                <w:sz w:val="24"/>
                <w:szCs w:val="24"/>
                <w:lang w:val="en-US" w:eastAsia="zh-CN"/>
              </w:rPr>
              <w:t>1440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14:paraId="06E04A46">
            <w:pPr>
              <w:pStyle w:val="60"/>
              <w:keepNext w:val="0"/>
              <w:keepLines w:val="0"/>
              <w:widowControl/>
              <w:suppressLineNumbers w:val="0"/>
              <w:spacing w:before="0" w:beforeAutospacing="0" w:after="0" w:afterAutospacing="0"/>
              <w:ind w:left="0" w:righ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具体工程量为：土方开挖</w:t>
            </w:r>
            <w:r>
              <w:rPr>
                <w:rFonts w:hint="eastAsia" w:ascii="Times New Roman" w:hAnsi="Times New Roman" w:eastAsia="宋体" w:cs="Times New Roman"/>
                <w:color w:val="auto"/>
                <w:sz w:val="24"/>
                <w:szCs w:val="24"/>
                <w:lang w:val="en-US" w:eastAsia="zh-CN"/>
              </w:rPr>
              <w:t>83.22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，铺无纺布2</w:t>
            </w:r>
            <w:r>
              <w:rPr>
                <w:rFonts w:hint="eastAsia" w:ascii="Times New Roman" w:hAnsi="Times New Roman" w:eastAsia="宋体" w:cs="Times New Roman"/>
                <w:color w:val="auto"/>
                <w:sz w:val="24"/>
                <w:szCs w:val="24"/>
                <w:lang w:val="en-US" w:eastAsia="zh-CN"/>
              </w:rPr>
              <w:t>1083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编织袋装土</w:t>
            </w:r>
            <w:r>
              <w:rPr>
                <w:rFonts w:hint="default" w:ascii="Times New Roman" w:hAnsi="Times New Roman" w:eastAsia="宋体" w:cs="Times New Roman"/>
                <w:color w:val="auto"/>
                <w:sz w:val="24"/>
                <w:szCs w:val="24"/>
              </w:rPr>
              <w:t>填筑</w:t>
            </w:r>
            <w:r>
              <w:rPr>
                <w:rFonts w:hint="eastAsia" w:ascii="Times New Roman" w:hAnsi="Times New Roman" w:eastAsia="宋体" w:cs="Times New Roman"/>
                <w:color w:val="auto"/>
                <w:sz w:val="24"/>
                <w:szCs w:val="24"/>
              </w:rPr>
              <w:t>及拆除</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p>
          <w:p w14:paraId="0E8A2396">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三、</w:t>
            </w:r>
            <w:r>
              <w:rPr>
                <w:rFonts w:hint="default" w:ascii="Times New Roman" w:hAnsi="Times New Roman" w:cs="Times New Roman"/>
                <w:b/>
                <w:bCs/>
                <w:lang w:val="en-US" w:eastAsia="zh-CN"/>
              </w:rPr>
              <w:t>大气污染防治措施</w:t>
            </w:r>
          </w:p>
          <w:p w14:paraId="531300B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（1）配置</w:t>
            </w:r>
            <w:r>
              <w:rPr>
                <w:rFonts w:hint="eastAsia" w:ascii="Times New Roman" w:hAnsi="Times New Roman" w:cs="Times New Roman"/>
                <w:lang w:val="en-US" w:eastAsia="zh-CN"/>
              </w:rPr>
              <w:t>2</w:t>
            </w:r>
            <w:r>
              <w:rPr>
                <w:rFonts w:hint="default" w:ascii="Times New Roman" w:hAnsi="Times New Roman" w:cs="Times New Roman"/>
                <w:lang w:val="en-US" w:eastAsia="zh-CN"/>
              </w:rPr>
              <w:t>辆洒水车，</w:t>
            </w:r>
            <w:r>
              <w:rPr>
                <w:rFonts w:hint="eastAsia" w:ascii="Times New Roman" w:hAnsi="Times New Roman" w:cs="Times New Roman"/>
                <w:lang w:val="en-US" w:eastAsia="zh-CN"/>
              </w:rPr>
              <w:t>实行移动作业洒水降尘，分别于南片区、北片区各设置一辆洒水车。</w:t>
            </w:r>
            <w:r>
              <w:rPr>
                <w:rFonts w:hint="default" w:ascii="Times New Roman" w:hAnsi="Times New Roman" w:cs="Times New Roman"/>
                <w:lang w:val="en-US" w:eastAsia="zh-CN"/>
              </w:rPr>
              <w:t>在施工场地安排施工人员定期对施工场地洒水以减 少扬尘量，洒水次数根据天气状况而定，施工土方开挖、搬运，应避免在大风天气时进行；</w:t>
            </w:r>
            <w:r>
              <w:rPr>
                <w:rFonts w:hint="eastAsia" w:ascii="Times New Roman" w:hAnsi="Times New Roman" w:cs="Times New Roman"/>
                <w:lang w:val="en-US" w:eastAsia="zh-CN"/>
              </w:rPr>
              <w:t>且项目于施工作业较为集中的区域设置移动式雾炮器，能够有效的降低施工作业面扬尘排放。</w:t>
            </w:r>
          </w:p>
          <w:p w14:paraId="7E5D864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（2）在施工中合理组织施工，缩短施工时间，尽量减少施工污染；</w:t>
            </w:r>
          </w:p>
          <w:p w14:paraId="03D51BD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（3）粉细散装材料，应尽量采取库内存放，如露天存放应采用防尘网遮盖；</w:t>
            </w:r>
          </w:p>
          <w:p w14:paraId="3C3A161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（4）加强监督管理，运输车辆采取篷布遮盖等封闭措施，以避免运输途中 砂石、水泥等散体材料洒落；运输车辆不得超量运载；运输车辆经过村庄路段应减速行驶，并安排专人定期对运输道路进行维护清扫、洒水降尘；</w:t>
            </w:r>
          </w:p>
          <w:p w14:paraId="278CEA0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（5）临时表土堆场设置临时拦挡，并采用土工布遮盖，表土装卸作业过程 中采取洒水降尘；</w:t>
            </w:r>
          </w:p>
          <w:p w14:paraId="68036B1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（6）本工程建设施工应由建设单位指定专人负责施工现场扬尘污染措施的 实施和监督。施工工地出入口必须设立环境保护监督牌。必须注明项目名称、 建设单位、施工单位、防治扬尘污染现场监督员姓名和联系电话、项目工程、生态环境措施、举报电话等内容；</w:t>
            </w:r>
          </w:p>
          <w:p w14:paraId="25FD975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（7）出现五级以上大风天气时，禁止进行土方等易产生扬尘污染的施工作 业；</w:t>
            </w:r>
          </w:p>
          <w:p w14:paraId="0CD1F3C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（8）加强对施工车辆的检修和维护，严禁使用超期服役和尾气超标的车辆。 对施工期间进出施工现场车流量进行合理安排，防止施工现场车流量过大。尽 可能使用耗油低，排气小的施工车辆，选用优质燃油，减少机械和车辆的有害废气排放。</w:t>
            </w:r>
          </w:p>
          <w:p w14:paraId="00AC6AFE">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水污染防治措施</w:t>
            </w:r>
          </w:p>
          <w:p w14:paraId="35A1F1F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（1）注意施工期节约用水，减少施工废水的产生，且尽量避免雨季土石方 施工暴雨期间停止施工；</w:t>
            </w:r>
          </w:p>
          <w:p w14:paraId="04CEF82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（2）为避免挖方弃土长期堆置，增加水土流失，应统一规划，合理安排挖 填方的工作量和工作进度，尽可能减少雨季期间的堆置量；</w:t>
            </w:r>
          </w:p>
          <w:p w14:paraId="5B3DDC7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（3）在施工场地区设置1座</w:t>
            </w:r>
            <w:r>
              <w:rPr>
                <w:rFonts w:hint="eastAsia" w:ascii="Times New Roman" w:hAnsi="Times New Roman" w:cs="Times New Roman"/>
                <w:lang w:val="en-US" w:eastAsia="zh-CN"/>
              </w:rPr>
              <w:t>6</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的沉淀池，用于施工废水，产生的废水经沉淀池处理后，全部回用于施工用水及场地洒水降尘，不外排；</w:t>
            </w:r>
          </w:p>
          <w:p w14:paraId="356FF45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（4）每个施工营地附近拟设旱厕一座，粪尿污水进入旱厕，旱厕定期清掏， 全部用于周边农用施肥，不外排；每个施工营地内设置隔油池和沉淀池，生活污水经</w:t>
            </w:r>
            <w:r>
              <w:rPr>
                <w:rFonts w:hint="eastAsia" w:ascii="Times New Roman" w:hAnsi="Times New Roman" w:cs="Times New Roman"/>
                <w:lang w:val="en-US" w:eastAsia="zh-CN"/>
              </w:rPr>
              <w:t>隔油池、</w:t>
            </w:r>
            <w:r>
              <w:rPr>
                <w:rFonts w:hint="default" w:ascii="Times New Roman" w:hAnsi="Times New Roman" w:cs="Times New Roman"/>
                <w:lang w:val="en-US" w:eastAsia="zh-CN"/>
              </w:rPr>
              <w:t>沉淀池处理后，全部用于周边农用施肥，不外排。</w:t>
            </w:r>
          </w:p>
          <w:p w14:paraId="0813A3B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（5）施工期间应按照水保要求优先完成区内排水沟和沉砂池，场区雨水经 沉砂池沉淀处理后，接入周围箐沟。</w:t>
            </w:r>
          </w:p>
          <w:p w14:paraId="746F5D2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w:t>
            </w:r>
            <w:r>
              <w:rPr>
                <w:rFonts w:hint="default" w:ascii="Times New Roman" w:hAnsi="Times New Roman" w:cs="Times New Roman"/>
                <w:lang w:val="en-US" w:eastAsia="zh-CN"/>
              </w:rPr>
              <w:t>）禁止在水体</w:t>
            </w:r>
            <w:r>
              <w:rPr>
                <w:rFonts w:hint="eastAsia" w:ascii="Times New Roman" w:hAnsi="Times New Roman" w:cs="Times New Roman"/>
                <w:lang w:val="en-US" w:eastAsia="zh-CN"/>
              </w:rPr>
              <w:t>附近</w:t>
            </w:r>
            <w:r>
              <w:rPr>
                <w:rFonts w:hint="default" w:ascii="Times New Roman" w:hAnsi="Times New Roman" w:cs="Times New Roman"/>
                <w:lang w:val="en-US" w:eastAsia="zh-CN"/>
              </w:rPr>
              <w:t>临时堆放表土。</w:t>
            </w:r>
          </w:p>
          <w:p w14:paraId="4738C39A">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噪声污染防治措施</w:t>
            </w:r>
          </w:p>
          <w:p w14:paraId="1C6361A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（1）建筑施工单位应当采取有效措施，施工区外围设置临时移动声屏障， 降低施工噪声污染，所排放的建筑施工噪声，应当符合国家规定的建筑施工场 界噪声限值；</w:t>
            </w:r>
          </w:p>
          <w:p w14:paraId="37203E1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（2）运输材料过程中应合理安排时间，避免夜间通过周围村庄，减少对沿 线村庄的影响；</w:t>
            </w:r>
          </w:p>
          <w:p w14:paraId="7E8DDA1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（3）选用性能良好的低噪声施工机械设备，加强施工机械的维修、管理， 保证施工机械处于低噪声、高效率的良好工作状态；</w:t>
            </w:r>
          </w:p>
          <w:p w14:paraId="6F0ED21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（4）施工期运输车辆应尽量保持良好车况，合理调度，尽可能匀速慢行。</w:t>
            </w:r>
          </w:p>
          <w:p w14:paraId="5E0C36F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（5）整个项目施工期应提前告知周围村庄居民，做好沟通工作，施工时为 避免施工噪声扰民，要合理安排施工时间，合理布局施工现场；避免在同一时间集中使用大量的动力机械设备，禁止夜间施工。</w:t>
            </w:r>
          </w:p>
          <w:p w14:paraId="6FFCA16E">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固体废物处置措施</w:t>
            </w:r>
          </w:p>
          <w:p w14:paraId="4DD2A21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（1）施工单位</w:t>
            </w:r>
            <w:r>
              <w:rPr>
                <w:rFonts w:hint="eastAsia" w:ascii="Times New Roman" w:hAnsi="Times New Roman" w:cs="Times New Roman"/>
                <w:lang w:val="en-US" w:eastAsia="zh-CN"/>
              </w:rPr>
              <w:t>将</w:t>
            </w:r>
            <w:r>
              <w:rPr>
                <w:rFonts w:hint="default" w:ascii="Times New Roman" w:hAnsi="Times New Roman" w:cs="Times New Roman"/>
                <w:lang w:val="en-US" w:eastAsia="zh-CN"/>
              </w:rPr>
              <w:t>建筑垃圾</w:t>
            </w:r>
            <w:r>
              <w:rPr>
                <w:rFonts w:hint="eastAsia" w:ascii="Times New Roman" w:hAnsi="Times New Roman" w:cs="Times New Roman"/>
                <w:lang w:val="en-US" w:eastAsia="zh-CN"/>
              </w:rPr>
              <w:t>清运至相关部门规定存放区</w:t>
            </w:r>
            <w:r>
              <w:rPr>
                <w:rFonts w:hint="default" w:ascii="Times New Roman" w:hAnsi="Times New Roman" w:cs="Times New Roman"/>
                <w:lang w:val="en-US" w:eastAsia="zh-CN"/>
              </w:rPr>
              <w:t>；</w:t>
            </w:r>
          </w:p>
          <w:p w14:paraId="1452464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（2）项目内产生的土石方不随意堆放和倾倒，项目开挖产生的土石方应及 时在场地区回填利用，剩余土石方运至云南中公建设有限公司芒市工业园标准化厂房项目回填利用；</w:t>
            </w:r>
          </w:p>
          <w:p w14:paraId="5D9C62E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（3）项目设置临时表土堆场，堆存的剥离表土，用于后期项目区内的绿化 覆土；</w:t>
            </w:r>
          </w:p>
          <w:p w14:paraId="52F4781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（4）每个施工营地区设置</w:t>
            </w:r>
            <w:r>
              <w:rPr>
                <w:rFonts w:hint="eastAsia" w:ascii="Times New Roman" w:hAnsi="Times New Roman" w:cs="Times New Roman"/>
                <w:lang w:val="en-US" w:eastAsia="zh-CN"/>
              </w:rPr>
              <w:t>1</w:t>
            </w:r>
            <w:r>
              <w:rPr>
                <w:rFonts w:hint="default" w:ascii="Times New Roman" w:hAnsi="Times New Roman" w:cs="Times New Roman"/>
                <w:lang w:val="en-US" w:eastAsia="zh-CN"/>
              </w:rPr>
              <w:t>个生活垃圾收集</w:t>
            </w:r>
            <w:r>
              <w:rPr>
                <w:rFonts w:hint="eastAsia" w:ascii="Times New Roman" w:hAnsi="Times New Roman" w:cs="Times New Roman"/>
                <w:lang w:val="en-US" w:eastAsia="zh-CN"/>
              </w:rPr>
              <w:t>桶</w:t>
            </w:r>
            <w:r>
              <w:rPr>
                <w:rFonts w:hint="default" w:ascii="Times New Roman" w:hAnsi="Times New Roman" w:cs="Times New Roman"/>
                <w:lang w:val="en-US" w:eastAsia="zh-CN"/>
              </w:rPr>
              <w:t>，施工人员的生活垃圾应定点存放、及时收集，经收集后与附近村庄垃圾一同处置。</w:t>
            </w:r>
          </w:p>
          <w:p w14:paraId="2F5FB69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（5）光伏组件、电气设备安装过程中产生的废弃设备零件集中收集后， 回 收利用</w:t>
            </w:r>
            <w:r>
              <w:rPr>
                <w:rFonts w:hint="eastAsia" w:ascii="Times New Roman" w:hAnsi="Times New Roman" w:cs="Times New Roman"/>
                <w:lang w:val="en-US" w:eastAsia="zh-CN"/>
              </w:rPr>
              <w:t>。</w:t>
            </w:r>
          </w:p>
          <w:p w14:paraId="7CBF605F">
            <w:pPr>
              <w:keepNext w:val="0"/>
              <w:keepLines w:val="0"/>
              <w:numPr>
                <w:ilvl w:val="0"/>
                <w:numId w:val="0"/>
              </w:numPr>
              <w:suppressLineNumbers w:val="0"/>
              <w:spacing w:before="0" w:beforeAutospacing="0" w:after="0" w:afterAutospacing="0" w:line="360" w:lineRule="auto"/>
              <w:ind w:left="0" w:right="0" w:firstLine="482" w:firstLineChars="200"/>
              <w:rPr>
                <w:rFonts w:hint="eastAsia" w:ascii="Times New Roman" w:hAnsi="Times New Roman" w:cs="Times New Roman"/>
                <w:b/>
                <w:bCs/>
                <w:lang w:val="en-US" w:eastAsia="zh-CN"/>
              </w:rPr>
            </w:pPr>
            <w:r>
              <w:rPr>
                <w:rFonts w:hint="eastAsia" w:ascii="Times New Roman" w:hAnsi="Times New Roman" w:cs="Times New Roman"/>
                <w:b/>
                <w:bCs/>
                <w:lang w:val="en-US" w:eastAsia="zh-CN"/>
              </w:rPr>
              <w:t>七、电磁环境保护措施</w:t>
            </w:r>
          </w:p>
          <w:p w14:paraId="758C34B8">
            <w:pPr>
              <w:keepNext w:val="0"/>
              <w:keepLines w:val="0"/>
              <w:suppressLineNumbers w:val="0"/>
              <w:spacing w:before="0" w:beforeAutospacing="0" w:after="0" w:afterAutospacing="0" w:line="360" w:lineRule="auto"/>
              <w:ind w:left="0" w:right="0" w:firstLine="448" w:firstLineChars="200"/>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①对平行跨导线的相序排列避免同相布置，减少同相母线交叉与相同转角布置；</w:t>
            </w:r>
          </w:p>
          <w:p w14:paraId="42C0DEBE">
            <w:pPr>
              <w:keepNext w:val="0"/>
              <w:keepLines w:val="0"/>
              <w:suppressLineNumbers w:val="0"/>
              <w:spacing w:before="0" w:beforeAutospacing="0" w:after="0" w:afterAutospacing="0" w:line="360" w:lineRule="auto"/>
              <w:ind w:left="0" w:right="0" w:firstLine="448" w:firstLineChars="200"/>
              <w:rPr>
                <w:rFonts w:hint="eastAsia" w:ascii="宋体" w:hAnsi="宋体" w:eastAsia="宋体" w:cs="宋体"/>
                <w:color w:val="auto"/>
                <w:spacing w:val="-8"/>
                <w:sz w:val="24"/>
                <w:szCs w:val="24"/>
                <w:lang w:val="en-US" w:eastAsia="zh-CN"/>
              </w:rPr>
            </w:pPr>
            <w:r>
              <w:rPr>
                <w:rFonts w:hint="eastAsia" w:ascii="宋体" w:hAnsi="宋体" w:eastAsia="宋体" w:cs="宋体"/>
                <w:color w:val="auto"/>
                <w:spacing w:val="-8"/>
                <w:sz w:val="24"/>
                <w:szCs w:val="24"/>
                <w:lang w:val="en-US" w:eastAsia="zh-CN"/>
              </w:rPr>
              <w:t xml:space="preserve">②牢固各连接处。在设备的高压导电部件上设置不同形状和数量的均压环(或罩)，以改善电场分布，并将导体和瓷件表面的电场控制在一定数值内，使它们在额定电压下，不发生电晕放电； </w:t>
            </w:r>
          </w:p>
          <w:p w14:paraId="53D61B5F">
            <w:pPr>
              <w:keepNext w:val="0"/>
              <w:keepLines w:val="0"/>
              <w:numPr>
                <w:ilvl w:val="0"/>
                <w:numId w:val="0"/>
              </w:numPr>
              <w:suppressLineNumbers w:val="0"/>
              <w:spacing w:before="0" w:beforeAutospacing="0" w:after="0" w:afterAutospacing="0" w:line="360" w:lineRule="auto"/>
              <w:ind w:left="0" w:right="0" w:firstLine="448" w:firstLineChars="200"/>
              <w:rPr>
                <w:rFonts w:hint="default" w:ascii="Times New Roman" w:hAnsi="Times New Roman" w:cs="Times New Roman"/>
                <w:lang w:val="en-US" w:eastAsia="zh-CN"/>
              </w:rPr>
            </w:pPr>
            <w:r>
              <w:rPr>
                <w:rFonts w:hint="eastAsia" w:ascii="宋体" w:hAnsi="宋体" w:eastAsia="宋体" w:cs="宋体"/>
                <w:color w:val="auto"/>
                <w:spacing w:val="-8"/>
                <w:sz w:val="24"/>
                <w:szCs w:val="24"/>
                <w:lang w:val="en-US" w:eastAsia="zh-CN"/>
              </w:rPr>
              <w:t>③采用管型母线，有效降低站内电磁影响。</w:t>
            </w:r>
          </w:p>
        </w:tc>
      </w:tr>
      <w:tr w14:paraId="69423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3" w:type="dxa"/>
            <w:tcMar>
              <w:left w:w="28" w:type="dxa"/>
              <w:right w:w="28" w:type="dxa"/>
            </w:tcMar>
            <w:vAlign w:val="center"/>
          </w:tcPr>
          <w:p w14:paraId="22FA685D">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cs="宋体"/>
                <w:b w:val="0"/>
                <w:bCs/>
                <w:spacing w:val="10"/>
                <w:sz w:val="24"/>
                <w:szCs w:val="24"/>
              </w:rPr>
              <w:t>运营期生态环境保护措施</w:t>
            </w:r>
          </w:p>
        </w:tc>
        <w:tc>
          <w:tcPr>
            <w:tcW w:w="8457" w:type="dxa"/>
            <w:vAlign w:val="top"/>
          </w:tcPr>
          <w:p w14:paraId="2E10FED1">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大气污染防治措施</w:t>
            </w:r>
          </w:p>
          <w:p w14:paraId="004795A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运营期主要是</w:t>
            </w:r>
            <w:r>
              <w:rPr>
                <w:rFonts w:hint="default" w:ascii="Times New Roman" w:hAnsi="Times New Roman" w:eastAsia="宋体" w:cs="Times New Roman"/>
                <w:color w:val="auto"/>
                <w:sz w:val="24"/>
              </w:rPr>
              <w:t>食堂油烟、汽车尾气和异味</w:t>
            </w:r>
            <w:r>
              <w:rPr>
                <w:rFonts w:hint="default" w:ascii="Times New Roman" w:hAnsi="Times New Roman" w:eastAsia="宋体" w:cs="Times New Roman"/>
                <w:bCs/>
                <w:color w:val="auto"/>
                <w:sz w:val="24"/>
              </w:rPr>
              <w:t>，提出的措施是：</w:t>
            </w:r>
          </w:p>
          <w:p w14:paraId="6AFAF10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项目内应使用电、太阳能等清洁能源；</w:t>
            </w:r>
          </w:p>
          <w:p w14:paraId="5638244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食堂油烟安装抽油烟机，</w:t>
            </w:r>
            <w:r>
              <w:rPr>
                <w:rFonts w:hint="default" w:ascii="Times New Roman" w:hAnsi="Times New Roman" w:eastAsia="宋体" w:cs="Times New Roman"/>
                <w:color w:val="auto"/>
                <w:sz w:val="24"/>
                <w:szCs w:val="20"/>
              </w:rPr>
              <w:t>食堂产生的油烟废气经抽油烟机处理后排放。</w:t>
            </w:r>
          </w:p>
          <w:p w14:paraId="6DF4BE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pacing w:val="10"/>
                <w:sz w:val="24"/>
              </w:rPr>
              <w:t>在化粪池周边进行绿化，并及时清掏，以减少化粪池异味；</w:t>
            </w:r>
            <w:r>
              <w:rPr>
                <w:rFonts w:hint="default" w:ascii="Times New Roman" w:hAnsi="Times New Roman" w:eastAsia="宋体" w:cs="Times New Roman"/>
                <w:color w:val="auto"/>
                <w:sz w:val="24"/>
                <w:szCs w:val="20"/>
              </w:rPr>
              <w:t>垃圾收集设施及生活污水处理设施运营过程中会产生异味，通过加强管理，合理布局、及时清运，</w:t>
            </w:r>
            <w:r>
              <w:rPr>
                <w:rFonts w:hint="default" w:ascii="Times New Roman" w:hAnsi="Times New Roman" w:eastAsia="宋体" w:cs="Times New Roman"/>
                <w:color w:val="auto"/>
                <w:kern w:val="0"/>
                <w:sz w:val="24"/>
              </w:rPr>
              <w:t>垃圾桶设置为封闭式，生活垃圾尽量做到日产日清</w:t>
            </w:r>
            <w:r>
              <w:rPr>
                <w:rFonts w:hint="default" w:ascii="Times New Roman" w:hAnsi="Times New Roman" w:eastAsia="宋体" w:cs="Times New Roman"/>
                <w:bCs/>
                <w:color w:val="auto"/>
                <w:spacing w:val="10"/>
                <w:sz w:val="24"/>
              </w:rPr>
              <w:t>。</w:t>
            </w:r>
          </w:p>
          <w:p w14:paraId="27FC1109">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水污染防治措施</w:t>
            </w:r>
          </w:p>
          <w:p w14:paraId="3AF3418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依托的江东</w:t>
            </w:r>
            <w:r>
              <w:rPr>
                <w:rFonts w:hint="default" w:ascii="Times New Roman" w:hAnsi="Times New Roman" w:cs="Times New Roman"/>
                <w:color w:val="auto"/>
                <w:lang w:val="en-US" w:eastAsia="zh-CN"/>
              </w:rPr>
              <w:t>升压站内</w:t>
            </w:r>
            <w:r>
              <w:rPr>
                <w:rFonts w:hint="eastAsia" w:ascii="Times New Roman" w:hAnsi="Times New Roman" w:cs="Times New Roman"/>
                <w:color w:val="auto"/>
                <w:lang w:val="en-US" w:eastAsia="zh-CN"/>
              </w:rPr>
              <w:t>已要求</w:t>
            </w:r>
            <w:r>
              <w:rPr>
                <w:rFonts w:hint="default" w:ascii="Times New Roman" w:hAnsi="Times New Roman" w:cs="Times New Roman"/>
                <w:color w:val="auto"/>
                <w:lang w:val="en-US" w:eastAsia="zh-CN"/>
              </w:rPr>
              <w:t>实行雨污分流，</w:t>
            </w:r>
            <w:r>
              <w:rPr>
                <w:rFonts w:hint="eastAsia" w:ascii="Times New Roman" w:hAnsi="Times New Roman" w:cs="Times New Roman"/>
                <w:color w:val="auto"/>
                <w:lang w:val="en-US" w:eastAsia="zh-CN"/>
              </w:rPr>
              <w:t>江东升压站</w:t>
            </w:r>
            <w:r>
              <w:rPr>
                <w:rFonts w:hint="default" w:ascii="Times New Roman" w:hAnsi="Times New Roman" w:cs="Times New Roman"/>
                <w:color w:val="auto"/>
                <w:lang w:val="en-US" w:eastAsia="zh-CN"/>
              </w:rPr>
              <w:t>内食堂废水经1个</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隔油池隔油后，连同其它生活污水经1个4m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化粪池预处理后</w:t>
            </w:r>
            <w:r>
              <w:rPr>
                <w:rFonts w:hint="eastAsia" w:ascii="Times New Roman" w:hAnsi="Times New Roman" w:cs="Times New Roman"/>
                <w:color w:val="auto"/>
                <w:lang w:val="en-US" w:eastAsia="zh-CN"/>
              </w:rPr>
              <w:t>，废水</w:t>
            </w:r>
            <w:r>
              <w:rPr>
                <w:rFonts w:hint="default" w:ascii="Times New Roman" w:hAnsi="Times New Roman" w:cs="Times New Roman"/>
                <w:color w:val="auto"/>
                <w:lang w:val="en-US" w:eastAsia="zh-CN"/>
              </w:rPr>
              <w:t>暂存在1个1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内，</w:t>
            </w:r>
            <w:r>
              <w:rPr>
                <w:rFonts w:hint="eastAsia" w:ascii="Times New Roman" w:hAnsi="Times New Roman" w:cs="Times New Roman"/>
                <w:color w:val="auto"/>
                <w:lang w:val="en-US" w:eastAsia="zh-CN"/>
              </w:rPr>
              <w:t>晴天用于江东升压站内绿化浇洒。</w:t>
            </w:r>
            <w:r>
              <w:rPr>
                <w:rFonts w:hint="default" w:ascii="Times New Roman" w:hAnsi="Times New Roman" w:cs="Times New Roman"/>
                <w:color w:val="auto"/>
                <w:lang w:val="en-US" w:eastAsia="zh-CN"/>
              </w:rPr>
              <w:t>不外排。</w:t>
            </w:r>
          </w:p>
          <w:p w14:paraId="4950A72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项目区</w:t>
            </w:r>
            <w:r>
              <w:rPr>
                <w:rFonts w:hint="default" w:ascii="Times New Roman" w:hAnsi="Times New Roman" w:cs="Times New Roman"/>
                <w:color w:val="auto"/>
                <w:lang w:val="en-US" w:eastAsia="zh-CN"/>
              </w:rPr>
              <w:t>光伏板在旱季进行清洗，在阵列区内配套设置集水沟渠，沉淀池等，光伏板清洗废水经集水沟收集后进入沉淀池沉淀处理，</w:t>
            </w:r>
            <w:r>
              <w:rPr>
                <w:rFonts w:hint="default" w:ascii="Times New Roman" w:hAnsi="Times New Roman" w:eastAsia="宋体" w:cs="Times New Roman"/>
                <w:bCs/>
                <w:color w:val="auto"/>
                <w:sz w:val="24"/>
              </w:rPr>
              <w:t>回用于电池板下植被浇灌</w:t>
            </w:r>
            <w:r>
              <w:rPr>
                <w:rFonts w:hint="eastAsia" w:ascii="Times New Roman" w:hAnsi="Times New Roman" w:eastAsia="宋体" w:cs="Times New Roman"/>
                <w:bCs/>
                <w:color w:val="auto"/>
                <w:sz w:val="24"/>
                <w:lang w:eastAsia="zh-CN"/>
              </w:rPr>
              <w:t>，不外排</w:t>
            </w:r>
            <w:r>
              <w:rPr>
                <w:rFonts w:hint="default" w:ascii="Times New Roman" w:hAnsi="Times New Roman" w:eastAsia="宋体" w:cs="Times New Roman"/>
                <w:bCs/>
                <w:color w:val="auto"/>
                <w:sz w:val="24"/>
              </w:rPr>
              <w:t>。</w:t>
            </w:r>
          </w:p>
          <w:p w14:paraId="419C55A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）定期对化粪池、隔油池</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进行清掏</w:t>
            </w:r>
            <w:r>
              <w:rPr>
                <w:rFonts w:hint="eastAsia" w:ascii="Times New Roman" w:hAnsi="Times New Roman" w:cs="Times New Roman"/>
                <w:color w:val="auto"/>
                <w:lang w:val="en-US" w:eastAsia="zh-CN"/>
              </w:rPr>
              <w:t>。</w:t>
            </w:r>
          </w:p>
          <w:p w14:paraId="4DDAA0A0">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三、</w:t>
            </w:r>
            <w:r>
              <w:rPr>
                <w:rFonts w:hint="default" w:ascii="Times New Roman" w:hAnsi="Times New Roman" w:cs="Times New Roman"/>
                <w:b/>
                <w:bCs/>
                <w:color w:val="auto"/>
                <w:lang w:val="en-US" w:eastAsia="zh-CN"/>
              </w:rPr>
              <w:t>噪声污染防治措施</w:t>
            </w:r>
          </w:p>
          <w:p w14:paraId="1231AD9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（1）在设备选型上选用低噪声设备；</w:t>
            </w:r>
          </w:p>
          <w:p w14:paraId="0A9FF39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光伏发电区箱式变压器分散合理布置。箱式变压器应尽量设置变压器房进行隔声降噪；逆变器应严格按照说明书安装要求安装，通过采取加装阻尼弹簧减振器等措施减小振动； </w:t>
            </w:r>
          </w:p>
          <w:p w14:paraId="03897DF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各电气设备应严格按标准安装，加强设备维护保养，确保设备平稳运行，避免因转动部分与外缘碰撞、摩擦而加大噪声，避免出现尖端放电等。 </w:t>
            </w:r>
          </w:p>
          <w:p w14:paraId="7D2A1B2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（4）加强项目内的绿化，在美化环境的同时还能起到一定的降噪作用。</w:t>
            </w:r>
          </w:p>
          <w:p w14:paraId="18D4A3F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（5）项目逆变器及箱式变压器尽量远离村庄一侧布局。</w:t>
            </w:r>
          </w:p>
          <w:p w14:paraId="5DC741A8">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固体废物处置措施</w:t>
            </w:r>
          </w:p>
          <w:p w14:paraId="5FE381C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（1）项目</w:t>
            </w:r>
            <w:r>
              <w:rPr>
                <w:rFonts w:hint="eastAsia" w:ascii="Times New Roman" w:hAnsi="Times New Roman" w:cs="Times New Roman"/>
                <w:lang w:val="en-US" w:eastAsia="zh-CN"/>
              </w:rPr>
              <w:t>依托江东升压站</w:t>
            </w:r>
            <w:r>
              <w:rPr>
                <w:rFonts w:hint="default" w:ascii="Times New Roman" w:hAnsi="Times New Roman" w:cs="Times New Roman"/>
                <w:lang w:val="en-US" w:eastAsia="zh-CN"/>
              </w:rPr>
              <w:t>设置</w:t>
            </w:r>
            <w:r>
              <w:rPr>
                <w:rFonts w:hint="eastAsia" w:ascii="Times New Roman" w:hAnsi="Times New Roman" w:cs="Times New Roman"/>
                <w:lang w:val="en-US" w:eastAsia="zh-CN"/>
              </w:rPr>
              <w:t>的</w:t>
            </w:r>
            <w:r>
              <w:rPr>
                <w:rFonts w:hint="default" w:ascii="Times New Roman" w:hAnsi="Times New Roman" w:cs="Times New Roman"/>
                <w:color w:val="auto"/>
                <w:lang w:val="en-US" w:eastAsia="zh-CN"/>
              </w:rPr>
              <w:t>25m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危险废物暂存间</w:t>
            </w:r>
            <w:r>
              <w:rPr>
                <w:rFonts w:hint="default" w:ascii="Times New Roman" w:hAnsi="Times New Roman" w:cs="Times New Roman"/>
                <w:lang w:val="en-US" w:eastAsia="zh-CN"/>
              </w:rPr>
              <w:t>，项目检修或事故状态下产生的废变压器油采用油桶收集</w:t>
            </w:r>
            <w:r>
              <w:rPr>
                <w:rFonts w:hint="eastAsia" w:ascii="Times New Roman" w:hAnsi="Times New Roman" w:cs="Times New Roman"/>
                <w:lang w:val="en-US" w:eastAsia="zh-CN"/>
              </w:rPr>
              <w:t>、含有抹布等</w:t>
            </w:r>
            <w:r>
              <w:rPr>
                <w:rFonts w:hint="default" w:ascii="Times New Roman" w:hAnsi="Times New Roman" w:cs="Times New Roman"/>
                <w:lang w:val="en-US" w:eastAsia="zh-CN"/>
              </w:rPr>
              <w:t>暂存于危废暂存间内，定期交由有资质单位处置。项目产生的废油</w:t>
            </w:r>
            <w:r>
              <w:rPr>
                <w:rFonts w:hint="eastAsia" w:ascii="Times New Roman" w:hAnsi="Times New Roman" w:cs="Times New Roman"/>
                <w:lang w:val="en-US" w:eastAsia="zh-CN"/>
              </w:rPr>
              <w:t>、含油抹布</w:t>
            </w:r>
            <w:r>
              <w:rPr>
                <w:rFonts w:hint="default" w:ascii="Times New Roman" w:hAnsi="Times New Roman" w:cs="Times New Roman"/>
                <w:lang w:val="en-US" w:eastAsia="zh-CN"/>
              </w:rPr>
              <w:t>和危废暂存间的建设应严格按照《危险废物管理办法》和《危险废物贮存污染控制标准》( GB18597-2001)及修改单(2013年第36号)要求执行。</w:t>
            </w:r>
          </w:p>
          <w:p w14:paraId="21E7DD8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依托江东升压站设置的一般固废暂存间</w:t>
            </w:r>
            <w:r>
              <w:rPr>
                <w:rFonts w:hint="default" w:ascii="Times New Roman" w:hAnsi="Times New Roman" w:cs="Times New Roman"/>
                <w:lang w:val="en-US" w:eastAsia="zh-CN"/>
              </w:rPr>
              <w:t>专门废旧电器组件设备收储间，对于损坏更换的电池组件进行存储，最终由厂家回收处置;</w:t>
            </w:r>
          </w:p>
          <w:p w14:paraId="7C42AA3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eastAsia" w:ascii="Times New Roman" w:hAnsi="Times New Roman" w:cs="Times New Roman"/>
                <w:lang w:val="en-US" w:eastAsia="zh-CN"/>
              </w:rPr>
              <w:t>依托江东升压站</w:t>
            </w:r>
            <w:r>
              <w:rPr>
                <w:rFonts w:hint="default" w:ascii="Times New Roman" w:hAnsi="Times New Roman" w:cs="Times New Roman"/>
                <w:lang w:val="en-US" w:eastAsia="zh-CN"/>
              </w:rPr>
              <w:t>办公生活区设置</w:t>
            </w:r>
            <w:r>
              <w:rPr>
                <w:rFonts w:hint="eastAsia" w:ascii="Times New Roman" w:hAnsi="Times New Roman" w:cs="Times New Roman"/>
                <w:lang w:val="en-US" w:eastAsia="zh-CN"/>
              </w:rPr>
              <w:t>的</w:t>
            </w:r>
            <w:r>
              <w:rPr>
                <w:rFonts w:hint="default" w:ascii="Times New Roman" w:hAnsi="Times New Roman" w:cs="Times New Roman"/>
                <w:lang w:val="en-US" w:eastAsia="zh-CN"/>
              </w:rPr>
              <w:t>若干生活垃圾收集桶收集员工生活垃圾，生活垃圾；生活垃圾经统一集中收集后与附近村庄垃圾一同处置。</w:t>
            </w:r>
          </w:p>
          <w:p w14:paraId="195EA160">
            <w:pPr>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依托的</w:t>
            </w:r>
            <w:r>
              <w:rPr>
                <w:rFonts w:hint="default" w:ascii="Times New Roman" w:hAnsi="Times New Roman" w:eastAsia="宋体" w:cs="Times New Roman"/>
                <w:color w:val="auto"/>
                <w:sz w:val="24"/>
                <w:szCs w:val="20"/>
              </w:rPr>
              <w:t>化粪池、污水处理设施</w:t>
            </w:r>
            <w:r>
              <w:rPr>
                <w:rFonts w:hint="default" w:ascii="Times New Roman" w:hAnsi="Times New Roman" w:eastAsia="宋体" w:cs="Times New Roman"/>
                <w:bCs/>
                <w:color w:val="auto"/>
                <w:sz w:val="24"/>
              </w:rPr>
              <w:t>污泥</w:t>
            </w:r>
            <w:r>
              <w:rPr>
                <w:rFonts w:hint="default" w:ascii="Times New Roman" w:hAnsi="Times New Roman" w:eastAsia="宋体" w:cs="Times New Roman"/>
                <w:color w:val="auto"/>
                <w:kern w:val="0"/>
                <w:sz w:val="24"/>
              </w:rPr>
              <w:t>委托当地村民清掏用作光伏板区植被肥料。</w:t>
            </w:r>
          </w:p>
          <w:p w14:paraId="25F37625">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生态环境保护措施</w:t>
            </w:r>
          </w:p>
          <w:p w14:paraId="7F64A85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（1）光伏板下严禁硬化地面、破坏耕作层，严禁抛荒、撂荒。</w:t>
            </w:r>
          </w:p>
          <w:p w14:paraId="245E3FA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已在江东</w:t>
            </w:r>
            <w:r>
              <w:rPr>
                <w:rFonts w:hint="default" w:ascii="Times New Roman" w:hAnsi="Times New Roman" w:cs="Times New Roman"/>
                <w:color w:val="auto"/>
                <w:lang w:val="en-US" w:eastAsia="zh-CN"/>
              </w:rPr>
              <w:t>升压站内综合楼周边设置</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lang w:val="en-US" w:eastAsia="zh-CN"/>
              </w:rPr>
              <w:t>绿化面积，选取乡土树种或草种为主，易于存活。</w:t>
            </w:r>
          </w:p>
          <w:p w14:paraId="5434F74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（3）做好员工宣传工作，保护当地的野生动物，禁止人为捕杀；禁止引入外来有害生物。</w:t>
            </w:r>
          </w:p>
          <w:p w14:paraId="5256A88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（4）光伏阵列区周边空闲地多种植本地树种，减少区域水土流失。</w:t>
            </w:r>
          </w:p>
          <w:p w14:paraId="07EF07B0">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环境风险控制措施</w:t>
            </w:r>
          </w:p>
          <w:p w14:paraId="76996AB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kern w:val="0"/>
                <w:sz w:val="24"/>
                <w:szCs w:val="24"/>
              </w:rPr>
              <w:t>在</w:t>
            </w:r>
            <w:r>
              <w:rPr>
                <w:rFonts w:hint="eastAsia" w:ascii="Times New Roman" w:hAnsi="Times New Roman" w:eastAsia="宋体" w:cs="Times New Roman"/>
                <w:color w:val="auto"/>
                <w:kern w:val="0"/>
                <w:sz w:val="24"/>
                <w:szCs w:val="24"/>
                <w:lang w:val="en-US" w:eastAsia="zh-CN"/>
              </w:rPr>
              <w:t>光伏场区</w:t>
            </w:r>
            <w:r>
              <w:rPr>
                <w:rStyle w:val="29"/>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auto"/>
                <w:kern w:val="0"/>
                <w:sz w:val="24"/>
                <w:szCs w:val="24"/>
                <w:lang w:val="en-US" w:eastAsia="zh-CN" w:bidi="ar"/>
              </w:rPr>
              <w:t>台</w:t>
            </w:r>
            <w:r>
              <w:rPr>
                <w:rFonts w:hint="default" w:ascii="Times New Roman" w:hAnsi="Times New Roman" w:eastAsia="宋体" w:cs="Times New Roman"/>
                <w:color w:val="auto"/>
                <w:kern w:val="0"/>
                <w:sz w:val="24"/>
                <w:szCs w:val="24"/>
              </w:rPr>
              <w:t>箱变基础靠油箱一侧</w:t>
            </w:r>
            <w:r>
              <w:rPr>
                <w:rFonts w:hint="default" w:ascii="Times New Roman" w:hAnsi="Times New Roman" w:eastAsia="宋体" w:cs="Times New Roman"/>
                <w:color w:val="auto"/>
                <w:kern w:val="0"/>
                <w:sz w:val="24"/>
                <w:szCs w:val="24"/>
                <w:lang w:eastAsia="zh-CN"/>
              </w:rPr>
              <w:t>分别</w:t>
            </w:r>
            <w:r>
              <w:rPr>
                <w:rFonts w:hint="default" w:ascii="Times New Roman" w:hAnsi="Times New Roman" w:eastAsia="宋体" w:cs="Times New Roman"/>
                <w:color w:val="auto"/>
                <w:kern w:val="0"/>
                <w:sz w:val="24"/>
                <w:szCs w:val="24"/>
              </w:rPr>
              <w:t>设</w:t>
            </w:r>
            <w:r>
              <w:rPr>
                <w:rFonts w:hint="default" w:ascii="Times New Roman" w:hAnsi="Times New Roman" w:eastAsia="宋体" w:cs="Times New Roman"/>
                <w:color w:val="auto"/>
                <w:kern w:val="0"/>
                <w:sz w:val="24"/>
                <w:szCs w:val="24"/>
                <w:lang w:val="en-US" w:eastAsia="zh-CN"/>
              </w:rPr>
              <w:t>1个1.0m³</w:t>
            </w:r>
            <w:r>
              <w:rPr>
                <w:rFonts w:hint="default" w:ascii="Times New Roman" w:hAnsi="Times New Roman" w:eastAsia="宋体" w:cs="Times New Roman"/>
                <w:color w:val="auto"/>
                <w:kern w:val="0"/>
                <w:sz w:val="24"/>
                <w:szCs w:val="24"/>
                <w:lang w:val="en-US" w:eastAsia="zh-CN" w:bidi="ar"/>
              </w:rPr>
              <w:t>的地埋式</w:t>
            </w:r>
            <w:r>
              <w:rPr>
                <w:rFonts w:hint="default" w:ascii="Times New Roman" w:hAnsi="Times New Roman" w:eastAsia="宋体" w:cs="Times New Roman"/>
                <w:color w:val="auto"/>
                <w:kern w:val="0"/>
                <w:sz w:val="24"/>
                <w:szCs w:val="24"/>
              </w:rPr>
              <w:t>事故油池</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kern w:val="0"/>
                <w:sz w:val="24"/>
                <w:szCs w:val="24"/>
              </w:rPr>
              <w:t>箱变</w:t>
            </w:r>
            <w:r>
              <w:rPr>
                <w:rFonts w:hint="default" w:ascii="Times New Roman" w:hAnsi="Times New Roman" w:eastAsia="宋体" w:cs="Times New Roman"/>
                <w:color w:val="auto"/>
                <w:sz w:val="24"/>
                <w:szCs w:val="24"/>
              </w:rPr>
              <w:t>维修和事故情况下，产生的废油经排油管道排至事故油池存放</w:t>
            </w:r>
            <w:r>
              <w:rPr>
                <w:rFonts w:hint="eastAsia" w:ascii="Times New Roman" w:hAnsi="Times New Roman" w:eastAsia="宋体" w:cs="Times New Roman"/>
                <w:color w:val="auto"/>
                <w:sz w:val="24"/>
                <w:szCs w:val="24"/>
                <w:lang w:eastAsia="zh-CN"/>
              </w:rPr>
              <w:t>。</w:t>
            </w:r>
          </w:p>
          <w:p w14:paraId="2DC35FB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②严格做好分区防渗工程，施工期加强工程监理和环境监理，提高防渗工程质量，做好照片、录像以及相关文字说明等存档资料</w:t>
            </w:r>
            <w:r>
              <w:rPr>
                <w:rFonts w:hint="eastAsia" w:ascii="Times New Roman" w:hAnsi="Times New Roman" w:eastAsia="宋体" w:cs="Times New Roman"/>
                <w:color w:val="auto"/>
                <w:sz w:val="24"/>
                <w:szCs w:val="24"/>
                <w:lang w:eastAsia="zh-CN"/>
              </w:rPr>
              <w:t>。</w:t>
            </w:r>
          </w:p>
          <w:p w14:paraId="7473325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eastAsia="宋体" w:cs="Times New Roman"/>
                <w:lang w:val="en-US" w:eastAsia="zh-CN"/>
              </w:rPr>
              <w:t>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w:t>
            </w:r>
            <w:r>
              <w:rPr>
                <w:rFonts w:hint="default" w:ascii="Times New Roman" w:hAnsi="Times New Roman" w:eastAsia="宋体" w:cs="Times New Roman"/>
                <w:color w:val="auto"/>
                <w:sz w:val="24"/>
                <w:szCs w:val="24"/>
              </w:rPr>
              <w:t xml:space="preserve">运营期定期检查各储存设施，避免出现泄漏等不良情况。 </w:t>
            </w:r>
          </w:p>
          <w:p w14:paraId="30C3D2C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④危险废物的收集、贮存、运输严格按照《危险废物贮存污染控制标准》（GB18597-2001）及其2013修改单和《危险废物收集、贮存、运输技术规范》（HJ2025-2012）的相关要求执行。 </w:t>
            </w:r>
          </w:p>
          <w:p w14:paraId="51773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⑤如实记载每批危废的名称、来源、数量、特性和包装容器的类别、入库日期、存放库位、废物出库日期及接收单位名称。贮存期间定期养护，控制好贮存场所的温度和湿度；装卸、搬运时应轻装轻卸，注意自我防护。定期对所暂存的危险废物容器及暂存设施进行检查，发现破损，及时采取措施清理更换</w:t>
            </w:r>
            <w:r>
              <w:rPr>
                <w:rFonts w:hint="eastAsia" w:ascii="Times New Roman" w:hAnsi="Times New Roman" w:eastAsia="宋体" w:cs="Times New Roman"/>
                <w:color w:val="auto"/>
                <w:sz w:val="24"/>
                <w:szCs w:val="24"/>
                <w:lang w:eastAsia="zh-CN"/>
              </w:rPr>
              <w:t>。</w:t>
            </w:r>
          </w:p>
          <w:p w14:paraId="50EAE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⑥</w:t>
            </w:r>
            <w:r>
              <w:rPr>
                <w:rFonts w:hint="default" w:ascii="Times New Roman" w:hAnsi="Times New Roman" w:eastAsia="宋体" w:cs="Times New Roman"/>
                <w:color w:val="auto"/>
                <w:sz w:val="24"/>
                <w:szCs w:val="24"/>
              </w:rPr>
              <w:t>严格落实防火规定，</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rPr>
              <w:t>升压站内严禁吸烟、明火。人员进入升压站生产区内检修结束后，应即时清理现场，防止遗留火种。完善升压站消防设施、消防器材的配套，确保应急疏散通道、消防通道的通畅，加强人员消防安全培训，定期开展消防演练。</w:t>
            </w:r>
          </w:p>
          <w:p w14:paraId="6B77F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⑦定期开展电站火灾风险隐患排查，检查站内是否存放废旧充油设备及易燃易爆物品；电缆沟防火墙是否完好、电缆孔洞防火封堵是否合格；检查消防设施帐、卡、物是否一致，配置是否满足要求，防火门闭门器、防火胶条是否完好；应急疏散标示是否齐全，消防通道是否畅通；检查火灾报警控制器功能是否正常，主、备电源能否正常切换，是否存在误报、漏报现象，数据传输是否及时准确，烟感、手动报警装置能否正常启动；空调、电脑等是否存在导线老化、过载等情况；并结合站内实际情况，对不合格或损坏的灭火器、消防铁锨、消防桶及时进行更换，修订完善各站消防应急预案，提升消防应急处置能力。 </w:t>
            </w:r>
          </w:p>
          <w:p w14:paraId="5A6B640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rPr>
              <w:t xml:space="preserve"> ⑧加强对操作人员的岗位培训，建立健全的环保管理机制和各项环保规章制度，落实岗位环保责任制，加强环境风险防范工作，防止事故排放导致环境问题。 </w:t>
            </w:r>
          </w:p>
          <w:p w14:paraId="090D0A5D">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七、电磁环境保护</w:t>
            </w:r>
            <w:r>
              <w:rPr>
                <w:rFonts w:hint="default" w:ascii="Times New Roman" w:hAnsi="Times New Roman" w:cs="Times New Roman"/>
                <w:b/>
                <w:bCs/>
                <w:color w:val="auto"/>
                <w:lang w:val="en-US" w:eastAsia="zh-CN"/>
              </w:rPr>
              <w:t>措施</w:t>
            </w:r>
          </w:p>
          <w:p w14:paraId="12D34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本项目是光伏发电建设项目，其运营期间会对周围环境产生电磁辐射影响，本项目光伏阵区电压等级为35kV，根据《建设项目环境影响评价分类管理名录（2021年版）》、《环境影响评价技术导则 输变电》（HJ24-2020）和《电磁环境控制限值》（GB8702-2014）要求，本项目光伏阵区、35kV可免于管理，且</w:t>
            </w:r>
            <w:r>
              <w:rPr>
                <w:rFonts w:hint="eastAsia" w:ascii="Times New Roman" w:hAnsi="Times New Roman" w:eastAsia="宋体" w:cs="Times New Roman"/>
                <w:color w:val="000000"/>
                <w:kern w:val="0"/>
                <w:sz w:val="24"/>
                <w:szCs w:val="24"/>
                <w:lang w:val="en-US" w:eastAsia="zh-CN" w:bidi="ar"/>
              </w:rPr>
              <w:t>太阳能发电运行产生的限次辐射强度较低，且场区设置在距离居民区较远，不会对居民身体健康产生危害，周围无线电，电视等电气设备较少，不会对其产生影响，由于光伏阵区临近道路，</w:t>
            </w:r>
            <w:r>
              <w:rPr>
                <w:rFonts w:hint="eastAsia" w:ascii="Times New Roman" w:hAnsi="Times New Roman" w:eastAsia="宋体" w:cs="Times New Roman"/>
                <w:sz w:val="24"/>
                <w:szCs w:val="24"/>
                <w:lang w:val="en-US" w:eastAsia="zh-CN"/>
              </w:rPr>
              <w:t>提出以下建议。</w:t>
            </w:r>
          </w:p>
          <w:p w14:paraId="5A50F831">
            <w:pPr>
              <w:keepNext w:val="0"/>
              <w:keepLines w:val="0"/>
              <w:suppressLineNumbers w:val="0"/>
              <w:spacing w:before="0" w:beforeAutospacing="0" w:after="0" w:afterAutospacing="0" w:line="360" w:lineRule="auto"/>
              <w:ind w:left="0" w:right="0" w:firstLine="448" w:firstLineChars="200"/>
              <w:rPr>
                <w:rFonts w:hint="default" w:ascii="宋体" w:hAnsi="宋体" w:eastAsia="宋体" w:cs="宋体"/>
                <w:color w:val="auto"/>
                <w:spacing w:val="-8"/>
                <w:sz w:val="24"/>
                <w:szCs w:val="24"/>
                <w:lang w:val="en-US" w:eastAsia="zh-CN"/>
              </w:rPr>
            </w:pPr>
            <w:r>
              <w:rPr>
                <w:rFonts w:hint="default" w:ascii="宋体" w:hAnsi="宋体" w:eastAsia="宋体" w:cs="宋体"/>
                <w:color w:val="auto"/>
                <w:spacing w:val="-8"/>
                <w:sz w:val="24"/>
                <w:szCs w:val="24"/>
                <w:lang w:val="en-US" w:eastAsia="zh-CN"/>
              </w:rPr>
              <w:t>①尽量不在电气设备上方设置软导线：对大功率的电磁振荡设备采取必要的屏蔽密封机箱的孔、口、门缝的连接处控制箱、断路器端子箱、设备的放油阀门及分接开关尽量布置在较低场强区，以便于运行和检修人员接近。</w:t>
            </w:r>
          </w:p>
          <w:p w14:paraId="034981DF">
            <w:pPr>
              <w:keepNext w:val="0"/>
              <w:keepLines w:val="0"/>
              <w:suppressLineNumbers w:val="0"/>
              <w:spacing w:before="0" w:beforeAutospacing="0" w:after="0" w:afterAutospacing="0" w:line="360" w:lineRule="auto"/>
              <w:ind w:left="0" w:right="0" w:firstLine="448" w:firstLineChars="200"/>
              <w:rPr>
                <w:rFonts w:hint="default" w:ascii="宋体" w:hAnsi="宋体" w:eastAsia="宋体" w:cs="宋体"/>
                <w:color w:val="auto"/>
                <w:spacing w:val="-8"/>
                <w:sz w:val="24"/>
                <w:szCs w:val="24"/>
                <w:lang w:val="en-US" w:eastAsia="zh-CN"/>
              </w:rPr>
            </w:pPr>
            <w:r>
              <w:rPr>
                <w:rFonts w:hint="default" w:ascii="宋体" w:hAnsi="宋体" w:eastAsia="宋体" w:cs="宋体"/>
                <w:color w:val="auto"/>
                <w:spacing w:val="-8"/>
                <w:sz w:val="24"/>
                <w:szCs w:val="24"/>
                <w:lang w:val="en-US" w:eastAsia="zh-CN"/>
              </w:rPr>
              <w:t>②合理选用各种电气设备及金属配件(如保护环、垫片、接头等)，以减少高电位梯度点引起的放电；使用合理、优良的绝缘子来减少绝缘子的表面放电，尽量使用能改善绝缘子表面或沿绝缘子串电压分布的保护装置。</w:t>
            </w:r>
          </w:p>
          <w:p w14:paraId="7326BF70">
            <w:pPr>
              <w:keepNext w:val="0"/>
              <w:keepLines w:val="0"/>
              <w:numPr>
                <w:ilvl w:val="0"/>
                <w:numId w:val="0"/>
              </w:numPr>
              <w:suppressLineNumbers w:val="0"/>
              <w:spacing w:before="0" w:beforeAutospacing="0" w:after="0" w:afterAutospacing="0" w:line="360" w:lineRule="auto"/>
              <w:ind w:left="0" w:right="0" w:firstLine="448" w:firstLineChars="200"/>
              <w:rPr>
                <w:rFonts w:hint="default" w:ascii="Times New Roman" w:hAnsi="Times New Roman" w:cs="Times New Roman" w:eastAsiaTheme="minorEastAsia"/>
                <w:bCs/>
                <w:color w:val="auto"/>
                <w:spacing w:val="10"/>
                <w:sz w:val="24"/>
                <w:szCs w:val="24"/>
                <w:lang w:val="en-US" w:eastAsia="zh-CN"/>
              </w:rPr>
            </w:pPr>
            <w:r>
              <w:rPr>
                <w:rFonts w:hint="default" w:ascii="宋体" w:hAnsi="宋体" w:eastAsia="宋体" w:cs="宋体"/>
                <w:color w:val="auto"/>
                <w:spacing w:val="-8"/>
                <w:sz w:val="24"/>
                <w:szCs w:val="24"/>
                <w:lang w:val="en-US" w:eastAsia="zh-CN"/>
              </w:rPr>
              <w:t>③建设单位应在危险位置建立各种警告、防护标识，避免意外事故。对当地群众进行有关高压输电线路和设备方面的环境宣传工作，帮助群众建立环境保护意识和自我防护意识，减少在高压走廊内的停留时间。</w:t>
            </w:r>
          </w:p>
          <w:p w14:paraId="5B26B2A0">
            <w:pPr>
              <w:keepNext w:val="0"/>
              <w:keepLines w:val="0"/>
              <w:numPr>
                <w:ilvl w:val="0"/>
                <w:numId w:val="0"/>
              </w:numPr>
              <w:suppressLineNumbers w:val="0"/>
              <w:spacing w:before="0" w:beforeAutospacing="0" w:after="0" w:afterAutospacing="0" w:line="360" w:lineRule="auto"/>
              <w:ind w:left="0" w:right="0" w:firstLine="520" w:firstLineChars="200"/>
              <w:rPr>
                <w:rFonts w:hint="default" w:ascii="Times New Roman" w:hAnsi="Times New Roman" w:cs="Times New Roman" w:eastAsiaTheme="minorEastAsia"/>
                <w:bCs/>
                <w:spacing w:val="10"/>
                <w:sz w:val="24"/>
                <w:szCs w:val="24"/>
                <w:lang w:val="en-US" w:eastAsia="zh-CN"/>
              </w:rPr>
            </w:pPr>
          </w:p>
        </w:tc>
      </w:tr>
      <w:tr w14:paraId="3B44D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753" w:type="dxa"/>
            <w:vAlign w:val="center"/>
          </w:tcPr>
          <w:p w14:paraId="180D6D3D">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b/>
                <w:bCs w:val="0"/>
                <w:sz w:val="24"/>
                <w:szCs w:val="24"/>
              </w:rPr>
              <w:t>其他</w:t>
            </w:r>
          </w:p>
        </w:tc>
        <w:tc>
          <w:tcPr>
            <w:tcW w:w="8457" w:type="dxa"/>
            <w:vAlign w:val="top"/>
          </w:tcPr>
          <w:p w14:paraId="6CDA285D">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1、环境管理</w:t>
            </w:r>
          </w:p>
          <w:p w14:paraId="662446B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为加强项目施工期及运营期对项目的环境监管，</w:t>
            </w:r>
            <w:r>
              <w:rPr>
                <w:rFonts w:hint="default" w:ascii="Times New Roman" w:hAnsi="Times New Roman" w:eastAsia="宋体" w:cs="Times New Roman"/>
                <w:color w:val="auto"/>
                <w:lang w:val="en-US" w:eastAsia="zh-CN"/>
              </w:rPr>
              <w:t>建设单位应设1名专职的</w:t>
            </w:r>
          </w:p>
          <w:p w14:paraId="368B21B1">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环保工作人员，</w:t>
            </w:r>
            <w:r>
              <w:rPr>
                <w:rFonts w:hint="default" w:ascii="Times New Roman" w:hAnsi="Times New Roman" w:eastAsia="宋体" w:cs="Times New Roman"/>
                <w:lang w:val="en-US" w:eastAsia="zh-CN"/>
              </w:rPr>
              <w:t>负责做好环境管理工作，加强环保法规和技术培训，提高各参建单位和参建人员</w:t>
            </w:r>
            <w:r>
              <w:rPr>
                <w:rFonts w:hint="eastAsia" w:ascii="Times New Roman" w:hAnsi="Times New Roman" w:eastAsia="宋体" w:cs="Times New Roman"/>
                <w:lang w:val="en-US" w:eastAsia="zh-CN"/>
              </w:rPr>
              <w:t>的</w:t>
            </w:r>
            <w:r>
              <w:rPr>
                <w:rFonts w:hint="default" w:ascii="Times New Roman" w:hAnsi="Times New Roman" w:eastAsia="宋体" w:cs="Times New Roman"/>
                <w:lang w:val="en-US" w:eastAsia="zh-CN"/>
              </w:rPr>
              <w:t>环保意识，组织落实各项环境保护措施，规范各项环境管理制度。项目环境管理计划见下表。</w:t>
            </w:r>
          </w:p>
          <w:p w14:paraId="7B93F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表5-1 环境管理计划</w:t>
            </w:r>
          </w:p>
          <w:tbl>
            <w:tblPr>
              <w:tblStyle w:val="26"/>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5028"/>
              <w:gridCol w:w="888"/>
              <w:gridCol w:w="1109"/>
            </w:tblGrid>
            <w:tr w14:paraId="7DF68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1A940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环境要素</w:t>
                  </w:r>
                </w:p>
              </w:tc>
              <w:tc>
                <w:tcPr>
                  <w:tcW w:w="5028" w:type="dxa"/>
                  <w:tcBorders>
                    <w:tl2br w:val="nil"/>
                    <w:tr2bl w:val="nil"/>
                  </w:tcBorders>
                  <w:vAlign w:val="center"/>
                </w:tcPr>
                <w:p w14:paraId="64EEDB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环境保护措施与对策</w:t>
                  </w:r>
                </w:p>
              </w:tc>
              <w:tc>
                <w:tcPr>
                  <w:tcW w:w="888" w:type="dxa"/>
                  <w:tcBorders>
                    <w:tl2br w:val="nil"/>
                    <w:tr2bl w:val="nil"/>
                  </w:tcBorders>
                  <w:vAlign w:val="center"/>
                </w:tcPr>
                <w:p w14:paraId="12788A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执行单位</w:t>
                  </w:r>
                </w:p>
              </w:tc>
              <w:tc>
                <w:tcPr>
                  <w:tcW w:w="1109" w:type="dxa"/>
                  <w:tcBorders>
                    <w:tl2br w:val="nil"/>
                    <w:tr2bl w:val="nil"/>
                  </w:tcBorders>
                  <w:vAlign w:val="center"/>
                </w:tcPr>
                <w:p w14:paraId="3ED8A8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监管部门</w:t>
                  </w:r>
                </w:p>
              </w:tc>
            </w:tr>
            <w:tr w14:paraId="2C619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186A7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大气环境</w:t>
                  </w:r>
                </w:p>
              </w:tc>
              <w:tc>
                <w:tcPr>
                  <w:tcW w:w="5028" w:type="dxa"/>
                  <w:tcBorders>
                    <w:tl2br w:val="nil"/>
                    <w:tr2bl w:val="nil"/>
                  </w:tcBorders>
                  <w:vAlign w:val="center"/>
                </w:tcPr>
                <w:p w14:paraId="5508F06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施工区实施洒水抑尘、散体材料库内存放、露天存放应采用防尘网遮盖，表土堆场土工布遮盖。</w:t>
                  </w:r>
                </w:p>
              </w:tc>
              <w:tc>
                <w:tcPr>
                  <w:tcW w:w="888" w:type="dxa"/>
                  <w:vMerge w:val="restart"/>
                  <w:tcBorders>
                    <w:tl2br w:val="nil"/>
                    <w:tr2bl w:val="nil"/>
                  </w:tcBorders>
                  <w:vAlign w:val="center"/>
                </w:tcPr>
                <w:p w14:paraId="4514BD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建设单位、 施工单位</w:t>
                  </w:r>
                </w:p>
              </w:tc>
              <w:tc>
                <w:tcPr>
                  <w:tcW w:w="1109" w:type="dxa"/>
                  <w:vMerge w:val="restart"/>
                  <w:tcBorders>
                    <w:tl2br w:val="nil"/>
                    <w:tr2bl w:val="nil"/>
                  </w:tcBorders>
                  <w:vAlign w:val="center"/>
                </w:tcPr>
                <w:p w14:paraId="5C518E1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德宏</w:t>
                  </w:r>
                  <w:r>
                    <w:rPr>
                      <w:rFonts w:hint="default" w:ascii="Times New Roman" w:hAnsi="Times New Roman" w:eastAsia="宋体" w:cs="Times New Roman"/>
                      <w:sz w:val="21"/>
                      <w:szCs w:val="21"/>
                    </w:rPr>
                    <w:t>州生态环境局</w:t>
                  </w:r>
                  <w:r>
                    <w:rPr>
                      <w:rFonts w:hint="eastAsia" w:ascii="Times New Roman" w:hAnsi="Times New Roman" w:eastAsia="宋体" w:cs="Times New Roman"/>
                      <w:sz w:val="21"/>
                      <w:szCs w:val="21"/>
                      <w:lang w:eastAsia="zh-CN"/>
                    </w:rPr>
                    <w:t>芒市</w:t>
                  </w:r>
                </w:p>
                <w:p w14:paraId="6E07C2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分局</w:t>
                  </w:r>
                </w:p>
              </w:tc>
            </w:tr>
            <w:tr w14:paraId="2628D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4373E6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水环境</w:t>
                  </w:r>
                </w:p>
              </w:tc>
              <w:tc>
                <w:tcPr>
                  <w:tcW w:w="5028" w:type="dxa"/>
                  <w:tcBorders>
                    <w:tl2br w:val="nil"/>
                    <w:tr2bl w:val="nil"/>
                  </w:tcBorders>
                  <w:vAlign w:val="center"/>
                </w:tcPr>
                <w:p w14:paraId="44FB197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施工期：施工废水沉淀池处理后，全部回用于施工用水及场地洒水降尘，不外排。施工营地设置旱厕，粪尿污水进入旱厕，旱厕定期清掏，全部用于周边农用施肥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不外排，施工人员生活污水经隔油、沉淀处理后全部回用，不外排。</w:t>
                  </w:r>
                </w:p>
                <w:p w14:paraId="0B83C9E1">
                  <w:pPr>
                    <w:keepNext w:val="0"/>
                    <w:keepLines w:val="0"/>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运营期：光伏电池板清洗废水用于光伏组件下植物的绿化用水，不外排；办公生活区生活污水经</w:t>
                  </w:r>
                  <w:r>
                    <w:rPr>
                      <w:rFonts w:hint="eastAsia" w:ascii="Times New Roman" w:hAnsi="Times New Roman" w:eastAsia="宋体" w:cs="Times New Roman"/>
                      <w:color w:val="auto"/>
                      <w:sz w:val="21"/>
                      <w:szCs w:val="21"/>
                      <w:lang w:eastAsia="zh-CN"/>
                    </w:rPr>
                    <w:t>隔油池、化粪池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eastAsia="zh-CN"/>
                    </w:rPr>
                    <w:t>于废水收集池内暂存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晴天</w:t>
                  </w:r>
                  <w:r>
                    <w:rPr>
                      <w:rFonts w:hint="default" w:ascii="Times New Roman" w:hAnsi="Times New Roman" w:eastAsia="宋体" w:cs="Times New Roman"/>
                      <w:color w:val="auto"/>
                      <w:sz w:val="21"/>
                      <w:szCs w:val="21"/>
                    </w:rPr>
                    <w:t>全部回用于项目区</w:t>
                  </w:r>
                  <w:r>
                    <w:rPr>
                      <w:rFonts w:hint="eastAsia" w:ascii="Times New Roman" w:hAnsi="Times New Roman" w:eastAsia="宋体" w:cs="Times New Roman"/>
                      <w:color w:val="auto"/>
                      <w:sz w:val="21"/>
                      <w:szCs w:val="21"/>
                      <w:lang w:val="en-US" w:eastAsia="zh-CN"/>
                    </w:rPr>
                    <w:t>依托的</w:t>
                  </w:r>
                  <w:r>
                    <w:rPr>
                      <w:rFonts w:hint="eastAsia" w:ascii="Times New Roman" w:hAnsi="Times New Roman" w:eastAsia="宋体" w:cs="Times New Roman"/>
                      <w:color w:val="auto"/>
                      <w:sz w:val="21"/>
                      <w:szCs w:val="21"/>
                      <w:lang w:eastAsia="zh-CN"/>
                    </w:rPr>
                    <w:t>升压站内</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w:t>
                  </w:r>
                </w:p>
              </w:tc>
              <w:tc>
                <w:tcPr>
                  <w:tcW w:w="888" w:type="dxa"/>
                  <w:vMerge w:val="continue"/>
                  <w:tcBorders>
                    <w:tl2br w:val="nil"/>
                    <w:tr2bl w:val="nil"/>
                  </w:tcBorders>
                  <w:vAlign w:val="center"/>
                </w:tcPr>
                <w:p w14:paraId="13F864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7E23E8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250E1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28A04B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w:t>
                  </w:r>
                </w:p>
              </w:tc>
              <w:tc>
                <w:tcPr>
                  <w:tcW w:w="5028" w:type="dxa"/>
                  <w:tcBorders>
                    <w:tl2br w:val="nil"/>
                    <w:tr2bl w:val="nil"/>
                  </w:tcBorders>
                  <w:vAlign w:val="center"/>
                </w:tcPr>
                <w:p w14:paraId="1979522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严格控制施工活动区域，不破坏征地范围外及对光伏方阵空地和未利用地等不扰动区域的植被，严禁猎杀野生动物，严格执行水土保持措施，施工结束后临建设施要及时进行拆除、清理以及生态恢复。</w:t>
                  </w:r>
                </w:p>
              </w:tc>
              <w:tc>
                <w:tcPr>
                  <w:tcW w:w="888" w:type="dxa"/>
                  <w:vMerge w:val="continue"/>
                  <w:tcBorders>
                    <w:tl2br w:val="nil"/>
                    <w:tr2bl w:val="nil"/>
                  </w:tcBorders>
                  <w:vAlign w:val="center"/>
                </w:tcPr>
                <w:p w14:paraId="68CB26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7AAFFD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73F17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18415D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5028" w:type="dxa"/>
                  <w:tcBorders>
                    <w:tl2br w:val="nil"/>
                    <w:tr2bl w:val="nil"/>
                  </w:tcBorders>
                  <w:vAlign w:val="center"/>
                </w:tcPr>
                <w:p w14:paraId="5618EB75">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施工期：合理安排施工时间，严禁夜间施工，加强施工机械设备的管理和维护。</w:t>
                  </w:r>
                </w:p>
                <w:p w14:paraId="5163B6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选用低噪声设备，箱式变压器、逆变器采取隔声、减震降噪。</w:t>
                  </w:r>
                </w:p>
              </w:tc>
              <w:tc>
                <w:tcPr>
                  <w:tcW w:w="888" w:type="dxa"/>
                  <w:vMerge w:val="continue"/>
                  <w:tcBorders>
                    <w:tl2br w:val="nil"/>
                    <w:tr2bl w:val="nil"/>
                  </w:tcBorders>
                  <w:vAlign w:val="center"/>
                </w:tcPr>
                <w:p w14:paraId="475F6D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112D18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7C418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38A4FC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5028" w:type="dxa"/>
                  <w:tcBorders>
                    <w:tl2br w:val="nil"/>
                    <w:tr2bl w:val="nil"/>
                  </w:tcBorders>
                  <w:vAlign w:val="center"/>
                </w:tcPr>
                <w:p w14:paraId="4F65288E">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r>
                    <w:rPr>
                      <w:rFonts w:hint="default" w:ascii="Times New Roman" w:hAnsi="Times New Roman" w:eastAsia="宋体" w:cs="Times New Roman"/>
                      <w:sz w:val="21"/>
                      <w:szCs w:val="21"/>
                      <w:lang w:val="en-US" w:eastAsia="zh-CN"/>
                    </w:rPr>
                    <w:t>项目内产生的土石方不随意堆放和倾倒，项目开挖产生的土石方应及时在场地区回填利用，剩余土石方运至</w:t>
                  </w:r>
                  <w:r>
                    <w:rPr>
                      <w:rFonts w:hint="default" w:ascii="Times New Roman" w:hAnsi="Times New Roman" w:eastAsia="宋体" w:cs="Times New Roman"/>
                      <w:color w:val="auto"/>
                      <w:sz w:val="21"/>
                      <w:szCs w:val="21"/>
                      <w:lang w:val="en-US" w:eastAsia="zh-CN"/>
                    </w:rPr>
                    <w:t>云南中公建设有限公司芒市工业园</w:t>
                  </w:r>
                  <w:r>
                    <w:rPr>
                      <w:rFonts w:hint="default" w:ascii="Times New Roman" w:hAnsi="Times New Roman" w:eastAsia="宋体" w:cs="Times New Roman"/>
                      <w:sz w:val="21"/>
                      <w:szCs w:val="21"/>
                      <w:lang w:val="en-US" w:eastAsia="zh-CN"/>
                    </w:rPr>
                    <w:t>标准化厂房项目回填利用</w:t>
                  </w:r>
                  <w:r>
                    <w:rPr>
                      <w:rFonts w:hint="default" w:ascii="Times New Roman" w:hAnsi="Times New Roman" w:eastAsia="宋体" w:cs="Times New Roman"/>
                      <w:sz w:val="21"/>
                      <w:szCs w:val="21"/>
                    </w:rPr>
                    <w:t>；剥离表土全部堆存于</w:t>
                  </w:r>
                  <w:r>
                    <w:rPr>
                      <w:rFonts w:hint="eastAsia" w:ascii="Times New Roman" w:hAnsi="Times New Roman" w:eastAsia="宋体" w:cs="Times New Roman"/>
                      <w:sz w:val="21"/>
                      <w:szCs w:val="21"/>
                      <w:lang w:eastAsia="zh-CN"/>
                    </w:rPr>
                    <w:t>临时</w:t>
                  </w:r>
                  <w:r>
                    <w:rPr>
                      <w:rFonts w:hint="default" w:ascii="Times New Roman" w:hAnsi="Times New Roman" w:eastAsia="宋体" w:cs="Times New Roman"/>
                      <w:sz w:val="21"/>
                      <w:szCs w:val="21"/>
                    </w:rPr>
                    <w:t>表土堆场内，用于后期绿化覆土；生活垃圾集中收集后与附近村庄垃圾一同处置。</w:t>
                  </w:r>
                </w:p>
                <w:p w14:paraId="1FFED69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运营期：生活垃圾经统一集中收集后，与附近村庄垃圾一同处置；损坏更换的电池组件由厂家回收处置；</w:t>
                  </w:r>
                  <w:r>
                    <w:rPr>
                      <w:rFonts w:hint="eastAsia" w:ascii="Times New Roman" w:hAnsi="Times New Roman" w:eastAsia="宋体" w:cs="Times New Roman"/>
                      <w:sz w:val="21"/>
                      <w:szCs w:val="21"/>
                      <w:lang w:val="en-US" w:eastAsia="zh-CN"/>
                    </w:rPr>
                    <w:t>依托的</w:t>
                  </w:r>
                  <w:r>
                    <w:rPr>
                      <w:rFonts w:hint="default" w:ascii="Times New Roman" w:hAnsi="Times New Roman" w:eastAsia="宋体" w:cs="Times New Roman"/>
                      <w:sz w:val="21"/>
                      <w:szCs w:val="21"/>
                    </w:rPr>
                    <w:t>危险废物暂存间用于收集暂存废变压器油。</w:t>
                  </w:r>
                </w:p>
              </w:tc>
              <w:tc>
                <w:tcPr>
                  <w:tcW w:w="888" w:type="dxa"/>
                  <w:vMerge w:val="continue"/>
                  <w:tcBorders>
                    <w:tl2br w:val="nil"/>
                    <w:tr2bl w:val="nil"/>
                  </w:tcBorders>
                  <w:vAlign w:val="center"/>
                </w:tcPr>
                <w:p w14:paraId="6C23BF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0AC5CE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14:paraId="534D7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486063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电磁环境</w:t>
                  </w:r>
                </w:p>
              </w:tc>
              <w:tc>
                <w:tcPr>
                  <w:tcW w:w="5028" w:type="dxa"/>
                  <w:tcBorders>
                    <w:tl2br w:val="nil"/>
                    <w:tr2bl w:val="nil"/>
                  </w:tcBorders>
                  <w:vAlign w:val="center"/>
                </w:tcPr>
                <w:p w14:paraId="255D1B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在依托的升压站</w:t>
                  </w:r>
                  <w:r>
                    <w:rPr>
                      <w:rFonts w:hint="default" w:ascii="Times New Roman" w:hAnsi="Times New Roman" w:eastAsia="宋体" w:cs="Times New Roman"/>
                      <w:sz w:val="21"/>
                      <w:szCs w:val="21"/>
                      <w:lang w:val="en-US" w:eastAsia="zh-CN"/>
                    </w:rPr>
                    <w:t>内电气设备采取集中布置方式，对大功率的电磁振荡设备尽量布置在较低场强区，以便于运行和检修人员接近。合理选用各种电气设备及金属配件，使用合理、优良的绝缘子或沿绝缘子串电压分布的保护装置。危险位置建立各种警告、防护标识，减少在高压走廊内的停留时间。</w:t>
                  </w:r>
                </w:p>
              </w:tc>
              <w:tc>
                <w:tcPr>
                  <w:tcW w:w="888" w:type="dxa"/>
                  <w:vMerge w:val="continue"/>
                  <w:tcBorders>
                    <w:tl2br w:val="nil"/>
                    <w:tr2bl w:val="nil"/>
                  </w:tcBorders>
                  <w:vAlign w:val="center"/>
                </w:tcPr>
                <w:p w14:paraId="13E849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40F20E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bl>
          <w:p w14:paraId="3EFC00B5">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lang w:val="en-US" w:eastAsia="zh-CN"/>
              </w:rPr>
            </w:pPr>
          </w:p>
          <w:p w14:paraId="10CA7B99">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2、环境监测计划</w:t>
            </w:r>
          </w:p>
          <w:p w14:paraId="07732876">
            <w:pPr>
              <w:keepNext w:val="0"/>
              <w:keepLines w:val="0"/>
              <w:suppressLineNumbers w:val="0"/>
              <w:spacing w:before="0" w:beforeAutospacing="0" w:after="0" w:afterAutospacing="0" w:line="360" w:lineRule="auto"/>
              <w:ind w:left="0" w:right="0" w:firstLine="472" w:firstLineChars="200"/>
              <w:rPr>
                <w:rFonts w:hint="eastAsia" w:ascii="宋体" w:hAnsi="宋体" w:eastAsia="宋体" w:cs="宋体"/>
                <w:spacing w:val="-5"/>
                <w:sz w:val="24"/>
                <w:szCs w:val="24"/>
                <w:lang w:eastAsia="zh-CN"/>
              </w:rPr>
            </w:pPr>
            <w:r>
              <w:rPr>
                <w:rFonts w:hint="default" w:ascii="宋体" w:hAnsi="宋体" w:eastAsia="宋体" w:cs="宋体"/>
                <w:spacing w:val="-2"/>
                <w:sz w:val="24"/>
                <w:szCs w:val="24"/>
              </w:rPr>
              <w:t>根据《排污单位自行监测技术指南总则》（</w:t>
            </w:r>
            <w:r>
              <w:rPr>
                <w:rFonts w:hint="default" w:ascii="Times New Roman" w:hAnsi="Times New Roman" w:eastAsia="Times New Roman" w:cs="Times New Roman"/>
                <w:spacing w:val="-2"/>
                <w:sz w:val="24"/>
                <w:szCs w:val="24"/>
              </w:rPr>
              <w:t>HJ</w:t>
            </w:r>
            <w:r>
              <w:rPr>
                <w:rFonts w:hint="default" w:ascii="Times New Roman" w:hAnsi="Times New Roman" w:eastAsia="Times New Roman" w:cs="Times New Roman"/>
                <w:spacing w:val="16"/>
                <w:sz w:val="24"/>
                <w:szCs w:val="24"/>
              </w:rPr>
              <w:t xml:space="preserve"> </w:t>
            </w:r>
            <w:r>
              <w:rPr>
                <w:rFonts w:hint="default" w:ascii="Times New Roman" w:hAnsi="Times New Roman" w:eastAsia="Times New Roman" w:cs="Times New Roman"/>
                <w:spacing w:val="-2"/>
                <w:sz w:val="24"/>
                <w:szCs w:val="24"/>
              </w:rPr>
              <w:t>819-2017</w:t>
            </w:r>
            <w:r>
              <w:rPr>
                <w:rFonts w:hint="default" w:ascii="宋体" w:hAnsi="宋体" w:eastAsia="宋体" w:cs="宋体"/>
                <w:spacing w:val="13"/>
                <w:sz w:val="24"/>
                <w:szCs w:val="24"/>
              </w:rPr>
              <w:t>），</w:t>
            </w:r>
            <w:r>
              <w:rPr>
                <w:rFonts w:hint="default" w:ascii="宋体" w:hAnsi="宋体" w:eastAsia="宋体" w:cs="宋体"/>
                <w:spacing w:val="-2"/>
                <w:sz w:val="24"/>
                <w:szCs w:val="24"/>
              </w:rPr>
              <w:t>结合本项目的</w:t>
            </w:r>
            <w:r>
              <w:rPr>
                <w:rFonts w:hint="default" w:ascii="宋体" w:hAnsi="宋体" w:eastAsia="宋体" w:cs="宋体"/>
                <w:spacing w:val="-5"/>
                <w:sz w:val="24"/>
                <w:szCs w:val="24"/>
              </w:rPr>
              <w:t>自身特点，确定环境监测的主要工作内容如下</w:t>
            </w:r>
            <w:r>
              <w:rPr>
                <w:rFonts w:hint="eastAsia" w:ascii="宋体" w:hAnsi="宋体" w:eastAsia="宋体" w:cs="宋体"/>
                <w:spacing w:val="-5"/>
                <w:sz w:val="24"/>
                <w:szCs w:val="24"/>
                <w:lang w:eastAsia="zh-CN"/>
              </w:rPr>
              <w:t>：</w:t>
            </w:r>
          </w:p>
          <w:p w14:paraId="206342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表5-2</w:t>
            </w:r>
            <w:r>
              <w:rPr>
                <w:rFonts w:hint="default" w:ascii="Times New Roman" w:hAnsi="Times New Roman" w:cs="Times New Roman"/>
                <w:b/>
                <w:bCs/>
                <w:sz w:val="21"/>
                <w:szCs w:val="21"/>
                <w:lang w:val="en-US" w:eastAsia="zh-CN"/>
              </w:rPr>
              <w:t xml:space="preserve"> 项目运营期环境监测计</w:t>
            </w:r>
          </w:p>
          <w:tbl>
            <w:tblPr>
              <w:tblStyle w:val="26"/>
              <w:tblW w:w="821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920"/>
              <w:gridCol w:w="1329"/>
              <w:gridCol w:w="1702"/>
              <w:gridCol w:w="2130"/>
            </w:tblGrid>
            <w:tr w14:paraId="4F21A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30" w:type="dxa"/>
                  <w:tcBorders>
                    <w:tl2br w:val="nil"/>
                    <w:tr2bl w:val="nil"/>
                  </w:tcBorders>
                  <w:vAlign w:val="center"/>
                </w:tcPr>
                <w:p w14:paraId="2E9810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监测内容</w:t>
                  </w:r>
                </w:p>
              </w:tc>
              <w:tc>
                <w:tcPr>
                  <w:tcW w:w="1920" w:type="dxa"/>
                  <w:tcBorders>
                    <w:tl2br w:val="nil"/>
                    <w:tr2bl w:val="nil"/>
                  </w:tcBorders>
                  <w:vAlign w:val="center"/>
                </w:tcPr>
                <w:p w14:paraId="4C91EA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1329" w:type="dxa"/>
                  <w:tcBorders>
                    <w:tl2br w:val="nil"/>
                    <w:tr2bl w:val="nil"/>
                  </w:tcBorders>
                  <w:vAlign w:val="center"/>
                </w:tcPr>
                <w:p w14:paraId="603E89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监测布点</w:t>
                  </w:r>
                </w:p>
              </w:tc>
              <w:tc>
                <w:tcPr>
                  <w:tcW w:w="1702" w:type="dxa"/>
                  <w:tcBorders>
                    <w:tl2br w:val="nil"/>
                    <w:tr2bl w:val="nil"/>
                  </w:tcBorders>
                  <w:vAlign w:val="center"/>
                </w:tcPr>
                <w:p w14:paraId="5E3652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监测频率</w:t>
                  </w:r>
                </w:p>
              </w:tc>
              <w:tc>
                <w:tcPr>
                  <w:tcW w:w="2130" w:type="dxa"/>
                  <w:tcBorders>
                    <w:tl2br w:val="nil"/>
                    <w:tr2bl w:val="nil"/>
                  </w:tcBorders>
                  <w:vAlign w:val="center"/>
                </w:tcPr>
                <w:p w14:paraId="0452D8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7065C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30" w:type="dxa"/>
                  <w:tcBorders>
                    <w:tl2br w:val="nil"/>
                    <w:tr2bl w:val="nil"/>
                  </w:tcBorders>
                  <w:vAlign w:val="center"/>
                </w:tcPr>
                <w:p w14:paraId="5A0404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920" w:type="dxa"/>
                  <w:tcBorders>
                    <w:tl2br w:val="nil"/>
                    <w:tr2bl w:val="nil"/>
                  </w:tcBorders>
                  <w:vAlign w:val="center"/>
                </w:tcPr>
                <w:p w14:paraId="3C185E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p>
                <w:p w14:paraId="1C16A0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 声级</w:t>
                  </w:r>
                </w:p>
              </w:tc>
              <w:tc>
                <w:tcPr>
                  <w:tcW w:w="1329" w:type="dxa"/>
                  <w:tcBorders>
                    <w:tl2br w:val="nil"/>
                    <w:tr2bl w:val="nil"/>
                  </w:tcBorders>
                  <w:vAlign w:val="center"/>
                </w:tcPr>
                <w:p w14:paraId="4728FA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江东</w:t>
                  </w:r>
                  <w:r>
                    <w:rPr>
                      <w:rFonts w:hint="default" w:ascii="Times New Roman" w:hAnsi="Times New Roman" w:eastAsia="宋体" w:cs="Times New Roman"/>
                      <w:color w:val="000000" w:themeColor="text1"/>
                      <w:sz w:val="21"/>
                      <w:szCs w:val="21"/>
                      <w14:textFill>
                        <w14:solidFill>
                          <w14:schemeClr w14:val="tx1"/>
                        </w14:solidFill>
                      </w14:textFill>
                    </w:rPr>
                    <w:t>升压站厂界四周</w:t>
                  </w:r>
                </w:p>
              </w:tc>
              <w:tc>
                <w:tcPr>
                  <w:tcW w:w="1702" w:type="dxa"/>
                  <w:tcBorders>
                    <w:tl2br w:val="nil"/>
                    <w:tr2bl w:val="nil"/>
                  </w:tcBorders>
                  <w:vAlign w:val="center"/>
                </w:tcPr>
                <w:p w14:paraId="7AB911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验收时监测 1</w:t>
                  </w:r>
                </w:p>
                <w:p w14:paraId="286FD9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次。 正常运行后每年监测 1 次</w:t>
                  </w:r>
                </w:p>
              </w:tc>
              <w:tc>
                <w:tcPr>
                  <w:tcW w:w="2130" w:type="dxa"/>
                  <w:tcBorders>
                    <w:tl2br w:val="nil"/>
                    <w:tr2bl w:val="nil"/>
                  </w:tcBorders>
                  <w:vAlign w:val="center"/>
                </w:tcPr>
                <w:p w14:paraId="2EF1F8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 排放标准》</w:t>
                  </w:r>
                </w:p>
                <w:p w14:paraId="0CC70D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（GB12348-2008）2 类标准</w:t>
                  </w:r>
                </w:p>
              </w:tc>
            </w:tr>
            <w:tr w14:paraId="5DBB8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30" w:type="dxa"/>
                  <w:tcBorders>
                    <w:tl2br w:val="nil"/>
                    <w:tr2bl w:val="nil"/>
                  </w:tcBorders>
                  <w:vAlign w:val="center"/>
                </w:tcPr>
                <w:p w14:paraId="71915C4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Cs/>
                      <w:color w:val="auto"/>
                      <w:sz w:val="21"/>
                      <w:szCs w:val="21"/>
                      <w:lang w:val="en-US" w:eastAsia="zh-CN"/>
                    </w:rPr>
                    <w:t>生态监测</w:t>
                  </w:r>
                </w:p>
              </w:tc>
              <w:tc>
                <w:tcPr>
                  <w:tcW w:w="1920" w:type="dxa"/>
                  <w:tcBorders>
                    <w:tl2br w:val="nil"/>
                    <w:tr2bl w:val="nil"/>
                  </w:tcBorders>
                  <w:vAlign w:val="center"/>
                </w:tcPr>
                <w:p w14:paraId="1FAB2D2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宋体" w:hAnsi="宋体" w:eastAsia="宋体" w:cs="宋体"/>
                      <w:color w:val="auto"/>
                      <w:kern w:val="0"/>
                      <w:sz w:val="21"/>
                      <w:szCs w:val="21"/>
                      <w:lang w:val="en-US" w:eastAsia="zh-CN" w:bidi="ar"/>
                    </w:rPr>
                    <w:t>陆生植物的分布及生态植被植物恢复情况</w:t>
                  </w:r>
                </w:p>
              </w:tc>
              <w:tc>
                <w:tcPr>
                  <w:tcW w:w="1329" w:type="dxa"/>
                  <w:tcBorders>
                    <w:tl2br w:val="nil"/>
                    <w:tr2bl w:val="nil"/>
                  </w:tcBorders>
                  <w:vAlign w:val="center"/>
                </w:tcPr>
                <w:p w14:paraId="5F3416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z w:val="21"/>
                      <w:szCs w:val="21"/>
                    </w:rPr>
                  </w:pPr>
                  <w:r>
                    <w:rPr>
                      <w:rFonts w:hint="eastAsia" w:ascii="宋体" w:hAnsi="宋体" w:eastAsia="宋体" w:cs="宋体"/>
                      <w:color w:val="auto"/>
                      <w:kern w:val="0"/>
                      <w:sz w:val="21"/>
                      <w:szCs w:val="21"/>
                      <w:lang w:val="en-US" w:eastAsia="zh-CN" w:bidi="ar"/>
                    </w:rPr>
                    <w:t>光伏场区光伏板板下、板件空地、临时场地区</w:t>
                  </w:r>
                </w:p>
              </w:tc>
              <w:tc>
                <w:tcPr>
                  <w:tcW w:w="1702" w:type="dxa"/>
                  <w:tcBorders>
                    <w:tl2br w:val="nil"/>
                    <w:tr2bl w:val="nil"/>
                  </w:tcBorders>
                  <w:vAlign w:val="center"/>
                </w:tcPr>
                <w:p w14:paraId="3FF54F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Cs/>
                      <w:color w:val="auto"/>
                      <w:sz w:val="21"/>
                      <w:szCs w:val="21"/>
                      <w:lang w:val="en-US" w:eastAsia="zh-CN"/>
                    </w:rPr>
                    <w:t>验收时监测1次</w:t>
                  </w:r>
                </w:p>
              </w:tc>
              <w:tc>
                <w:tcPr>
                  <w:tcW w:w="2130" w:type="dxa"/>
                  <w:tcBorders>
                    <w:tl2br w:val="nil"/>
                    <w:tr2bl w:val="nil"/>
                  </w:tcBorders>
                  <w:vAlign w:val="center"/>
                </w:tcPr>
                <w:p w14:paraId="709CE90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5BE0B6A3">
            <w:pPr>
              <w:keepNext w:val="0"/>
              <w:keepLines w:val="0"/>
              <w:suppressLineNumbers w:val="0"/>
              <w:spacing w:before="0" w:beforeAutospacing="0" w:after="0" w:afterAutospacing="0"/>
              <w:ind w:left="0" w:right="0"/>
              <w:rPr>
                <w:rFonts w:hint="default" w:eastAsiaTheme="minorEastAsia"/>
                <w:lang w:val="en-US" w:eastAsia="zh-CN"/>
              </w:rPr>
            </w:pPr>
          </w:p>
        </w:tc>
      </w:tr>
      <w:tr w14:paraId="32821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194912F0">
            <w:pPr>
              <w:keepNext w:val="0"/>
              <w:keepLines w:val="0"/>
              <w:suppressLineNumbers w:val="0"/>
              <w:adjustRightInd w:val="0"/>
              <w:snapToGrid w:val="0"/>
              <w:spacing w:before="0" w:beforeAutospacing="0" w:after="0" w:afterAutospacing="0"/>
              <w:ind w:left="0" w:right="0"/>
              <w:jc w:val="center"/>
              <w:rPr>
                <w:rFonts w:hint="default" w:ascii="宋体" w:hAnsi="宋体" w:cs="宋体"/>
                <w:b/>
                <w:bCs w:val="0"/>
                <w:spacing w:val="10"/>
                <w:sz w:val="24"/>
                <w:szCs w:val="24"/>
              </w:rPr>
            </w:pPr>
            <w:r>
              <w:rPr>
                <w:rFonts w:hint="eastAsia" w:ascii="宋体" w:hAnsi="宋体"/>
                <w:b/>
                <w:bCs w:val="0"/>
                <w:sz w:val="24"/>
                <w:szCs w:val="24"/>
              </w:rPr>
              <w:t>环保投资</w:t>
            </w:r>
          </w:p>
        </w:tc>
        <w:tc>
          <w:tcPr>
            <w:tcW w:w="8457" w:type="dxa"/>
            <w:vAlign w:val="top"/>
          </w:tcPr>
          <w:p w14:paraId="7C2804B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eastAsia="宋体"/>
                <w:sz w:val="24"/>
                <w:shd w:val="clear" w:color="auto" w:fill="FFFFFF" w:themeFill="background1"/>
              </w:rPr>
            </w:pPr>
            <w:r>
              <w:rPr>
                <w:rFonts w:hint="eastAsia" w:eastAsia="宋体"/>
                <w:sz w:val="24"/>
                <w:shd w:val="clear" w:color="auto" w:fill="FFFFFF" w:themeFill="background1"/>
              </w:rPr>
              <w:t>本工程</w:t>
            </w:r>
            <w:r>
              <w:rPr>
                <w:rFonts w:hint="default" w:eastAsia="宋体"/>
                <w:sz w:val="24"/>
                <w:shd w:val="clear" w:color="auto" w:fill="FFFFFF" w:themeFill="background1"/>
              </w:rPr>
              <w:t>总投资</w:t>
            </w:r>
            <w:r>
              <w:rPr>
                <w:rFonts w:hint="default" w:ascii="Times New Roman" w:hAnsi="Times New Roman" w:eastAsia="宋体" w:cs="Times New Roman"/>
                <w:sz w:val="24"/>
                <w:shd w:val="clear" w:color="auto" w:fill="FFFFFF" w:themeFill="background1"/>
              </w:rPr>
              <w:t>为</w:t>
            </w:r>
            <w:r>
              <w:rPr>
                <w:rFonts w:hint="eastAsia" w:ascii="Times New Roman" w:hAnsi="Times New Roman" w:eastAsia="宋体" w:cs="Times New Roman"/>
                <w:sz w:val="24"/>
                <w:shd w:val="clear" w:color="auto" w:fill="FFFFFF" w:themeFill="background1"/>
                <w:lang w:val="en-US" w:eastAsia="zh-CN"/>
              </w:rPr>
              <w:t>10800</w:t>
            </w:r>
            <w:r>
              <w:rPr>
                <w:rFonts w:hint="default" w:ascii="Times New Roman" w:hAnsi="Times New Roman" w:eastAsia="宋体" w:cs="Times New Roman"/>
                <w:sz w:val="24"/>
                <w:shd w:val="clear" w:color="auto" w:fill="FFFFFF" w:themeFill="background1"/>
              </w:rPr>
              <w:t>万元，</w:t>
            </w:r>
            <w:r>
              <w:rPr>
                <w:rFonts w:hint="default" w:ascii="Times New Roman" w:hAnsi="Times New Roman" w:eastAsia="宋体" w:cs="Times New Roman"/>
                <w:spacing w:val="-2"/>
                <w:sz w:val="24"/>
                <w:szCs w:val="24"/>
              </w:rPr>
              <w:t>本项目环保投资约</w:t>
            </w:r>
            <w:r>
              <w:rPr>
                <w:rFonts w:hint="eastAsia" w:ascii="Times New Roman" w:hAnsi="Times New Roman" w:eastAsia="宋体" w:cs="Times New Roman"/>
                <w:color w:val="auto"/>
                <w:spacing w:val="-2"/>
                <w:sz w:val="24"/>
                <w:szCs w:val="24"/>
                <w:lang w:val="en-US" w:eastAsia="zh-CN"/>
              </w:rPr>
              <w:t>199</w:t>
            </w:r>
            <w:r>
              <w:rPr>
                <w:rFonts w:hint="default" w:ascii="Times New Roman" w:hAnsi="Times New Roman" w:eastAsia="宋体" w:cs="Times New Roman"/>
                <w:spacing w:val="-2"/>
                <w:sz w:val="24"/>
                <w:szCs w:val="24"/>
              </w:rPr>
              <w:t>万元，占总投资的</w:t>
            </w:r>
            <w:r>
              <w:rPr>
                <w:rFonts w:hint="eastAsia" w:ascii="Times New Roman" w:hAnsi="Times New Roman" w:eastAsia="宋体" w:cs="Times New Roman"/>
                <w:color w:val="auto"/>
                <w:spacing w:val="-2"/>
                <w:sz w:val="24"/>
                <w:szCs w:val="24"/>
                <w:lang w:val="en-US" w:eastAsia="zh-CN"/>
              </w:rPr>
              <w:t>1.8</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1"/>
                <w:sz w:val="24"/>
                <w:szCs w:val="24"/>
              </w:rPr>
              <w:t>环保投资明细见下表</w:t>
            </w:r>
            <w:r>
              <w:rPr>
                <w:rFonts w:hint="default" w:ascii="Times New Roman" w:hAnsi="Times New Roman" w:eastAsia="Times New Roman" w:cs="Times New Roman"/>
                <w:spacing w:val="-1"/>
                <w:sz w:val="24"/>
                <w:szCs w:val="24"/>
              </w:rPr>
              <w:t>5-3</w:t>
            </w:r>
            <w:r>
              <w:rPr>
                <w:rFonts w:hint="default" w:eastAsia="宋体"/>
                <w:sz w:val="24"/>
                <w:shd w:val="clear" w:color="auto" w:fill="FFFFFF" w:themeFill="background1"/>
              </w:rPr>
              <w:t>。</w:t>
            </w:r>
          </w:p>
          <w:p w14:paraId="6CC2F849">
            <w:pPr>
              <w:pStyle w:val="7"/>
              <w:keepNext/>
              <w:keepLines w:val="0"/>
              <w:suppressLineNumbers w:val="0"/>
              <w:spacing w:before="0" w:beforeAutospacing="0" w:after="0" w:afterAutospacing="0"/>
              <w:ind w:left="0" w:right="0"/>
              <w:jc w:val="center"/>
              <w:rPr>
                <w:rFonts w:hint="default" w:ascii="Times New Roman" w:hAnsi="Times New Roman" w:eastAsia="宋体" w:cs="Times New Roman"/>
                <w:b/>
                <w:bCs/>
              </w:rPr>
            </w:pPr>
            <w:bookmarkStart w:id="34" w:name="_Ref89794457"/>
            <w:r>
              <w:rPr>
                <w:rFonts w:hint="default" w:ascii="Times New Roman" w:hAnsi="Times New Roman" w:eastAsia="宋体" w:cs="Times New Roman"/>
                <w:b/>
                <w:bCs/>
              </w:rPr>
              <w:t>表</w:t>
            </w:r>
            <w:bookmarkEnd w:id="34"/>
            <w:r>
              <w:rPr>
                <w:rFonts w:hint="default" w:ascii="Times New Roman" w:hAnsi="Times New Roman" w:eastAsia="宋体" w:cs="Times New Roman"/>
                <w:b/>
                <w:bCs/>
                <w:lang w:val="en-US" w:eastAsia="zh-CN"/>
              </w:rPr>
              <w:t>5-3</w:t>
            </w:r>
            <w:r>
              <w:rPr>
                <w:rFonts w:hint="default" w:ascii="Times New Roman" w:hAnsi="Times New Roman" w:eastAsia="宋体" w:cs="Times New Roman"/>
                <w:b/>
                <w:bCs/>
              </w:rPr>
              <w:t>工程环保投资一览表</w:t>
            </w:r>
          </w:p>
          <w:tbl>
            <w:tblPr>
              <w:tblStyle w:val="26"/>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69"/>
              <w:gridCol w:w="4713"/>
              <w:gridCol w:w="1896"/>
            </w:tblGrid>
            <w:tr w14:paraId="14ED5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14:paraId="5BF9011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阶段</w:t>
                  </w:r>
                </w:p>
              </w:tc>
              <w:tc>
                <w:tcPr>
                  <w:tcW w:w="869" w:type="dxa"/>
                  <w:tcBorders>
                    <w:tl2br w:val="nil"/>
                    <w:tr2bl w:val="nil"/>
                  </w:tcBorders>
                  <w:vAlign w:val="center"/>
                </w:tcPr>
                <w:p w14:paraId="7779ACA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项目</w:t>
                  </w:r>
                </w:p>
              </w:tc>
              <w:tc>
                <w:tcPr>
                  <w:tcW w:w="4713" w:type="dxa"/>
                  <w:tcBorders>
                    <w:tl2br w:val="nil"/>
                    <w:tr2bl w:val="nil"/>
                  </w:tcBorders>
                  <w:vAlign w:val="center"/>
                </w:tcPr>
                <w:p w14:paraId="38481C35">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措施</w:t>
                  </w:r>
                </w:p>
              </w:tc>
              <w:tc>
                <w:tcPr>
                  <w:tcW w:w="1896" w:type="dxa"/>
                  <w:tcBorders>
                    <w:tl2br w:val="nil"/>
                    <w:tr2bl w:val="nil"/>
                  </w:tcBorders>
                  <w:vAlign w:val="center"/>
                </w:tcPr>
                <w:p w14:paraId="69CF0AE6">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投资金额(万元)</w:t>
                  </w:r>
                </w:p>
              </w:tc>
            </w:tr>
            <w:tr w14:paraId="13855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3508477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施工期</w:t>
                  </w:r>
                </w:p>
              </w:tc>
              <w:tc>
                <w:tcPr>
                  <w:tcW w:w="869" w:type="dxa"/>
                  <w:tcBorders>
                    <w:tl2br w:val="nil"/>
                    <w:tr2bl w:val="nil"/>
                  </w:tcBorders>
                  <w:vAlign w:val="center"/>
                </w:tcPr>
                <w:p w14:paraId="0212C44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2924FCE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1辆洒水车、洒水降尘、防尘网、</w:t>
                  </w:r>
                </w:p>
              </w:tc>
              <w:tc>
                <w:tcPr>
                  <w:tcW w:w="1896" w:type="dxa"/>
                  <w:tcBorders>
                    <w:tl2br w:val="nil"/>
                    <w:tr2bl w:val="nil"/>
                  </w:tcBorders>
                  <w:vAlign w:val="center"/>
                </w:tcPr>
                <w:p w14:paraId="59352F4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w:t>
                  </w:r>
                </w:p>
              </w:tc>
            </w:tr>
            <w:tr w14:paraId="0F292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16D72C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6DB8994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46E0F8B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1座</w:t>
                  </w:r>
                  <w:r>
                    <w:rPr>
                      <w:rFonts w:hint="eastAsia" w:ascii="Times New Roman" w:hAnsi="Times New Roman" w:cs="Times New Roman"/>
                      <w:sz w:val="21"/>
                      <w:szCs w:val="21"/>
                      <w:lang w:val="en-US" w:eastAsia="zh-CN"/>
                    </w:rPr>
                    <w:t>4.5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施工废水的</w:t>
                  </w:r>
                  <w:r>
                    <w:rPr>
                      <w:rFonts w:hint="eastAsia" w:ascii="Times New Roman" w:hAnsi="Times New Roman" w:cs="Times New Roman"/>
                      <w:sz w:val="21"/>
                      <w:szCs w:val="21"/>
                      <w:lang w:val="en-US" w:eastAsia="zh-CN"/>
                    </w:rPr>
                    <w:t>沉砂</w:t>
                  </w:r>
                  <w:r>
                    <w:rPr>
                      <w:rFonts w:hint="default" w:ascii="Times New Roman" w:hAnsi="Times New Roman" w:cs="Times New Roman"/>
                      <w:sz w:val="21"/>
                      <w:szCs w:val="21"/>
                    </w:rPr>
                    <w:t>池</w:t>
                  </w:r>
                </w:p>
              </w:tc>
              <w:tc>
                <w:tcPr>
                  <w:tcW w:w="1896" w:type="dxa"/>
                  <w:tcBorders>
                    <w:tl2br w:val="nil"/>
                    <w:tr2bl w:val="nil"/>
                  </w:tcBorders>
                  <w:vAlign w:val="center"/>
                </w:tcPr>
                <w:p w14:paraId="00BA472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r>
            <w:tr w14:paraId="61590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F9903A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523A7AB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58296AB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1个旱厕、1座隔油池、1座</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 xml:space="preserve">3 </w:t>
                  </w:r>
                  <w:r>
                    <w:rPr>
                      <w:rFonts w:hint="default" w:ascii="Times New Roman" w:hAnsi="Times New Roman" w:cs="Times New Roman"/>
                      <w:sz w:val="21"/>
                      <w:szCs w:val="21"/>
                    </w:rPr>
                    <w:t>的沉淀池</w:t>
                  </w:r>
                </w:p>
              </w:tc>
              <w:tc>
                <w:tcPr>
                  <w:tcW w:w="1896" w:type="dxa"/>
                  <w:tcBorders>
                    <w:tl2br w:val="nil"/>
                    <w:tr2bl w:val="nil"/>
                  </w:tcBorders>
                  <w:vAlign w:val="center"/>
                </w:tcPr>
                <w:p w14:paraId="1803C4B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p>
              </w:tc>
            </w:tr>
            <w:tr w14:paraId="5A0BA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CA2603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B079F4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61036CE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施工靠水体一侧围挡</w:t>
                  </w:r>
                </w:p>
              </w:tc>
              <w:tc>
                <w:tcPr>
                  <w:tcW w:w="1896" w:type="dxa"/>
                  <w:tcBorders>
                    <w:tl2br w:val="nil"/>
                    <w:tr2bl w:val="nil"/>
                  </w:tcBorders>
                  <w:vAlign w:val="center"/>
                </w:tcPr>
                <w:p w14:paraId="08F7FF8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r>
            <w:tr w14:paraId="4800B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5A458F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tcBorders>
                    <w:tl2br w:val="nil"/>
                    <w:tr2bl w:val="nil"/>
                  </w:tcBorders>
                  <w:vAlign w:val="center"/>
                </w:tcPr>
                <w:p w14:paraId="6110A16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11752B0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1座垃圾池</w:t>
                  </w:r>
                </w:p>
              </w:tc>
              <w:tc>
                <w:tcPr>
                  <w:tcW w:w="1896" w:type="dxa"/>
                  <w:tcBorders>
                    <w:tl2br w:val="nil"/>
                    <w:tr2bl w:val="nil"/>
                  </w:tcBorders>
                  <w:vAlign w:val="center"/>
                </w:tcPr>
                <w:p w14:paraId="3253D16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6B74A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3" w:type="dxa"/>
                  <w:vMerge w:val="restart"/>
                  <w:tcBorders>
                    <w:tl2br w:val="nil"/>
                    <w:tr2bl w:val="nil"/>
                  </w:tcBorders>
                  <w:vAlign w:val="center"/>
                </w:tcPr>
                <w:p w14:paraId="47B2EFF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运营期</w:t>
                  </w:r>
                </w:p>
              </w:tc>
              <w:tc>
                <w:tcPr>
                  <w:tcW w:w="869" w:type="dxa"/>
                  <w:vMerge w:val="restart"/>
                  <w:tcBorders>
                    <w:tl2br w:val="nil"/>
                    <w:tr2bl w:val="nil"/>
                  </w:tcBorders>
                  <w:vAlign w:val="center"/>
                </w:tcPr>
                <w:p w14:paraId="29B969A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0510CD18">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依托</w:t>
                  </w:r>
                  <w:r>
                    <w:rPr>
                      <w:rFonts w:hint="eastAsia" w:ascii="Times New Roman" w:hAnsi="Times New Roman" w:cs="Times New Roman"/>
                      <w:color w:val="auto"/>
                      <w:sz w:val="21"/>
                      <w:szCs w:val="21"/>
                      <w:lang w:eastAsia="zh-CN"/>
                    </w:rPr>
                    <w:t>升压站内</w:t>
                  </w:r>
                  <w:r>
                    <w:rPr>
                      <w:rFonts w:hint="eastAsia" w:ascii="Times New Roman" w:hAnsi="Times New Roman" w:cs="Times New Roman"/>
                      <w:color w:val="auto"/>
                      <w:sz w:val="21"/>
                      <w:szCs w:val="21"/>
                      <w:lang w:val="en-US" w:eastAsia="zh-CN"/>
                    </w:rPr>
                    <w:t>增</w:t>
                  </w:r>
                  <w:r>
                    <w:rPr>
                      <w:rFonts w:hint="eastAsia" w:ascii="Times New Roman" w:hAnsi="Times New Roman" w:cs="Times New Roman"/>
                      <w:color w:val="auto"/>
                      <w:sz w:val="21"/>
                      <w:szCs w:val="21"/>
                      <w:lang w:eastAsia="zh-CN"/>
                    </w:rPr>
                    <w:t>设</w:t>
                  </w: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 xml:space="preserve">3 </w:t>
                  </w:r>
                  <w:r>
                    <w:rPr>
                      <w:rFonts w:hint="default" w:ascii="Times New Roman" w:hAnsi="Times New Roman" w:cs="Times New Roman"/>
                      <w:color w:val="auto"/>
                      <w:sz w:val="21"/>
                      <w:szCs w:val="21"/>
                    </w:rPr>
                    <w:t>隔油池</w:t>
                  </w:r>
                </w:p>
              </w:tc>
              <w:tc>
                <w:tcPr>
                  <w:tcW w:w="1896" w:type="dxa"/>
                  <w:tcBorders>
                    <w:tl2br w:val="nil"/>
                    <w:tr2bl w:val="nil"/>
                  </w:tcBorders>
                  <w:vAlign w:val="center"/>
                </w:tcPr>
                <w:p w14:paraId="619CFAC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3</w:t>
                  </w:r>
                </w:p>
              </w:tc>
            </w:tr>
            <w:tr w14:paraId="6183D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1B3910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2A608CA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287BE77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color w:val="auto"/>
                      <w:sz w:val="21"/>
                      <w:szCs w:val="21"/>
                      <w:lang w:eastAsia="zh-CN"/>
                    </w:rPr>
                    <w:t>光伏阵列区建设集水沟渠及沉淀池</w:t>
                  </w:r>
                </w:p>
              </w:tc>
              <w:tc>
                <w:tcPr>
                  <w:tcW w:w="1896" w:type="dxa"/>
                  <w:tcBorders>
                    <w:tl2br w:val="nil"/>
                    <w:tr2bl w:val="nil"/>
                  </w:tcBorders>
                  <w:vAlign w:val="center"/>
                </w:tcPr>
                <w:p w14:paraId="33544A8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7</w:t>
                  </w:r>
                </w:p>
              </w:tc>
            </w:tr>
            <w:tr w14:paraId="539A0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33" w:type="dxa"/>
                  <w:vMerge w:val="continue"/>
                  <w:tcBorders>
                    <w:tl2br w:val="nil"/>
                    <w:tr2bl w:val="nil"/>
                  </w:tcBorders>
                  <w:vAlign w:val="center"/>
                </w:tcPr>
                <w:p w14:paraId="5F9D80D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30EA72D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噪声</w:t>
                  </w:r>
                </w:p>
              </w:tc>
              <w:tc>
                <w:tcPr>
                  <w:tcW w:w="4713" w:type="dxa"/>
                  <w:tcBorders>
                    <w:tl2br w:val="nil"/>
                    <w:tr2bl w:val="nil"/>
                  </w:tcBorders>
                  <w:vAlign w:val="center"/>
                </w:tcPr>
                <w:p w14:paraId="0A5E2F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阻尼减振、隔声</w:t>
                  </w:r>
                </w:p>
              </w:tc>
              <w:tc>
                <w:tcPr>
                  <w:tcW w:w="1896" w:type="dxa"/>
                  <w:tcBorders>
                    <w:tl2br w:val="nil"/>
                    <w:tr2bl w:val="nil"/>
                  </w:tcBorders>
                  <w:vAlign w:val="center"/>
                </w:tcPr>
                <w:p w14:paraId="4D94B1B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6B783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33" w:type="dxa"/>
                  <w:vMerge w:val="continue"/>
                  <w:tcBorders>
                    <w:tl2br w:val="nil"/>
                    <w:tr2bl w:val="nil"/>
                  </w:tcBorders>
                  <w:vAlign w:val="center"/>
                </w:tcPr>
                <w:p w14:paraId="2D95C78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7E94D81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环境风险</w:t>
                  </w:r>
                </w:p>
              </w:tc>
              <w:tc>
                <w:tcPr>
                  <w:tcW w:w="4713" w:type="dxa"/>
                  <w:tcBorders>
                    <w:tl2br w:val="nil"/>
                    <w:tr2bl w:val="nil"/>
                  </w:tcBorders>
                  <w:vAlign w:val="center"/>
                </w:tcPr>
                <w:p w14:paraId="380E4D1D">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rPr>
                    <w:t>台箱式变压器旁分别设置</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个</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 xml:space="preserve">3 </w:t>
                  </w:r>
                  <w:r>
                    <w:rPr>
                      <w:rFonts w:hint="eastAsia" w:ascii="Times New Roman" w:hAnsi="Times New Roman" w:cs="Times New Roman"/>
                      <w:sz w:val="21"/>
                      <w:szCs w:val="21"/>
                      <w:lang w:eastAsia="zh-CN"/>
                    </w:rPr>
                    <w:t>事故池</w:t>
                  </w:r>
                </w:p>
              </w:tc>
              <w:tc>
                <w:tcPr>
                  <w:tcW w:w="1896" w:type="dxa"/>
                  <w:tcBorders>
                    <w:tl2br w:val="nil"/>
                    <w:tr2bl w:val="nil"/>
                  </w:tcBorders>
                  <w:vAlign w:val="center"/>
                </w:tcPr>
                <w:p w14:paraId="56ED871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8</w:t>
                  </w:r>
                </w:p>
              </w:tc>
            </w:tr>
            <w:tr w14:paraId="7FEEE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9320BA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1F3FB4C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7D0ADCF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配备空油桶、消防沙、吸油棉、铲子、消防栓、消防服、灭火器、火警报警装置等应急物资</w:t>
                  </w:r>
                </w:p>
              </w:tc>
              <w:tc>
                <w:tcPr>
                  <w:tcW w:w="1896" w:type="dxa"/>
                  <w:tcBorders>
                    <w:tl2br w:val="nil"/>
                    <w:tr2bl w:val="nil"/>
                  </w:tcBorders>
                  <w:vAlign w:val="center"/>
                </w:tcPr>
                <w:p w14:paraId="30675C6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p w14:paraId="1E79754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r>
            <w:tr w14:paraId="5CB5F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C20B7A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23BA97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28D821E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突发环境事件应急预案编制费</w:t>
                  </w:r>
                </w:p>
              </w:tc>
              <w:tc>
                <w:tcPr>
                  <w:tcW w:w="1896" w:type="dxa"/>
                  <w:tcBorders>
                    <w:tl2br w:val="nil"/>
                    <w:tr2bl w:val="nil"/>
                  </w:tcBorders>
                  <w:vAlign w:val="center"/>
                </w:tcPr>
                <w:p w14:paraId="45A4745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162EA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3" w:type="dxa"/>
                  <w:vMerge w:val="continue"/>
                  <w:tcBorders>
                    <w:tl2br w:val="nil"/>
                    <w:tr2bl w:val="nil"/>
                  </w:tcBorders>
                  <w:vAlign w:val="center"/>
                </w:tcPr>
                <w:p w14:paraId="5ED32F4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02C6C50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生态环境</w:t>
                  </w:r>
                </w:p>
              </w:tc>
              <w:tc>
                <w:tcPr>
                  <w:tcW w:w="4713" w:type="dxa"/>
                  <w:tcBorders>
                    <w:tl2br w:val="nil"/>
                    <w:tr2bl w:val="nil"/>
                  </w:tcBorders>
                  <w:vAlign w:val="center"/>
                </w:tcPr>
                <w:p w14:paraId="5ADD912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生态保护宣传教育</w:t>
                  </w:r>
                </w:p>
              </w:tc>
              <w:tc>
                <w:tcPr>
                  <w:tcW w:w="1896" w:type="dxa"/>
                  <w:tcBorders>
                    <w:tl2br w:val="nil"/>
                    <w:tr2bl w:val="nil"/>
                  </w:tcBorders>
                  <w:vAlign w:val="center"/>
                </w:tcPr>
                <w:p w14:paraId="4DAF7FA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w:t>
                  </w:r>
                </w:p>
              </w:tc>
            </w:tr>
            <w:tr w14:paraId="096BF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3" w:type="dxa"/>
                  <w:vMerge w:val="continue"/>
                  <w:tcBorders>
                    <w:tl2br w:val="nil"/>
                    <w:tr2bl w:val="nil"/>
                  </w:tcBorders>
                  <w:vAlign w:val="center"/>
                </w:tcPr>
                <w:p w14:paraId="4C6953E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1D9C60C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658A54A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集电线路及道路边坡施工迹地恢复</w:t>
                  </w:r>
                </w:p>
              </w:tc>
              <w:tc>
                <w:tcPr>
                  <w:tcW w:w="1896" w:type="dxa"/>
                  <w:tcBorders>
                    <w:tl2br w:val="nil"/>
                    <w:tr2bl w:val="nil"/>
                  </w:tcBorders>
                  <w:vAlign w:val="center"/>
                </w:tcPr>
                <w:p w14:paraId="41C62B0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5067E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C87AA7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276D5F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其他</w:t>
                  </w:r>
                </w:p>
              </w:tc>
              <w:tc>
                <w:tcPr>
                  <w:tcW w:w="4713" w:type="dxa"/>
                  <w:tcBorders>
                    <w:tl2br w:val="nil"/>
                    <w:tr2bl w:val="nil"/>
                  </w:tcBorders>
                  <w:vAlign w:val="center"/>
                </w:tcPr>
                <w:p w14:paraId="6C1CE65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竣工环境保护验收</w:t>
                  </w:r>
                </w:p>
              </w:tc>
              <w:tc>
                <w:tcPr>
                  <w:tcW w:w="1896" w:type="dxa"/>
                  <w:tcBorders>
                    <w:tl2br w:val="nil"/>
                    <w:tr2bl w:val="nil"/>
                  </w:tcBorders>
                  <w:vAlign w:val="center"/>
                </w:tcPr>
                <w:p w14:paraId="623D4BA1">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744AF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CEEDB4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1C1A3C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6A396EC8">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环境监理</w:t>
                  </w:r>
                </w:p>
              </w:tc>
              <w:tc>
                <w:tcPr>
                  <w:tcW w:w="1896" w:type="dxa"/>
                  <w:tcBorders>
                    <w:tl2br w:val="nil"/>
                    <w:tr2bl w:val="nil"/>
                  </w:tcBorders>
                  <w:vAlign w:val="center"/>
                </w:tcPr>
                <w:p w14:paraId="75EAC49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14:paraId="457F1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9E97E6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A251DB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4713" w:type="dxa"/>
                  <w:tcBorders>
                    <w:tl2br w:val="nil"/>
                    <w:tr2bl w:val="nil"/>
                  </w:tcBorders>
                  <w:vAlign w:val="center"/>
                </w:tcPr>
                <w:p w14:paraId="0B998C54">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896" w:type="dxa"/>
                  <w:tcBorders>
                    <w:tl2br w:val="nil"/>
                    <w:tr2bl w:val="nil"/>
                  </w:tcBorders>
                  <w:vAlign w:val="center"/>
                </w:tcPr>
                <w:p w14:paraId="0E010D56">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14:paraId="18207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3" w:type="dxa"/>
                  <w:vMerge w:val="continue"/>
                  <w:tcBorders>
                    <w:tl2br w:val="nil"/>
                    <w:tr2bl w:val="nil"/>
                  </w:tcBorders>
                  <w:vAlign w:val="center"/>
                </w:tcPr>
                <w:p w14:paraId="08966C2D">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5582" w:type="dxa"/>
                  <w:gridSpan w:val="2"/>
                  <w:tcBorders>
                    <w:tl2br w:val="nil"/>
                    <w:tr2bl w:val="nil"/>
                  </w:tcBorders>
                  <w:vAlign w:val="center"/>
                </w:tcPr>
                <w:p w14:paraId="779D304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合计</w:t>
                  </w:r>
                </w:p>
              </w:tc>
              <w:tc>
                <w:tcPr>
                  <w:tcW w:w="1896" w:type="dxa"/>
                  <w:tcBorders>
                    <w:tl2br w:val="nil"/>
                    <w:tr2bl w:val="nil"/>
                  </w:tcBorders>
                  <w:vAlign w:val="center"/>
                </w:tcPr>
                <w:p w14:paraId="04FE595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199</w:t>
                  </w:r>
                </w:p>
              </w:tc>
            </w:tr>
          </w:tbl>
          <w:p w14:paraId="247CF762">
            <w:pPr>
              <w:pStyle w:val="13"/>
              <w:keepNext w:val="0"/>
              <w:keepLines w:val="0"/>
              <w:suppressLineNumbers w:val="0"/>
              <w:spacing w:before="0" w:beforeAutospacing="0" w:after="0" w:afterAutospacing="0"/>
              <w:ind w:left="0" w:leftChars="0" w:right="0" w:firstLine="0" w:firstLineChars="0"/>
              <w:rPr>
                <w:rFonts w:hint="default"/>
              </w:rPr>
            </w:pPr>
          </w:p>
          <w:p w14:paraId="60850BD9">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373A13CD">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36C734B4">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4E1011A1">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4E2CF59C">
            <w:pPr>
              <w:keepNext w:val="0"/>
              <w:keepLines w:val="0"/>
              <w:suppressLineNumbers w:val="0"/>
              <w:adjustRightInd w:val="0"/>
              <w:snapToGrid w:val="0"/>
              <w:spacing w:before="0" w:beforeAutospacing="0" w:after="0" w:afterAutospacing="0"/>
              <w:ind w:left="0" w:right="0"/>
              <w:rPr>
                <w:rFonts w:hint="eastAsia" w:ascii="宋体" w:hAnsi="宋体" w:cs="宋体"/>
                <w:bCs/>
                <w:spacing w:val="10"/>
                <w:sz w:val="24"/>
                <w:szCs w:val="24"/>
                <w:lang w:val="en-US" w:eastAsia="zh-CN"/>
              </w:rPr>
            </w:pPr>
          </w:p>
          <w:p w14:paraId="164490B5">
            <w:pPr>
              <w:keepNext w:val="0"/>
              <w:keepLines w:val="0"/>
              <w:suppressLineNumbers w:val="0"/>
              <w:adjustRightInd w:val="0"/>
              <w:snapToGrid w:val="0"/>
              <w:spacing w:before="0" w:beforeAutospacing="0" w:after="0" w:afterAutospacing="0"/>
              <w:ind w:left="0" w:right="0"/>
              <w:rPr>
                <w:rFonts w:hint="eastAsia" w:ascii="宋体" w:hAnsi="宋体" w:eastAsia="宋体" w:cs="宋体"/>
                <w:bCs/>
                <w:spacing w:val="10"/>
                <w:sz w:val="24"/>
                <w:szCs w:val="24"/>
                <w:lang w:val="en-US" w:eastAsia="zh-CN"/>
              </w:rPr>
            </w:pPr>
          </w:p>
        </w:tc>
      </w:tr>
    </w:tbl>
    <w:p w14:paraId="7FFB0E09">
      <w:pPr>
        <w:pStyle w:val="24"/>
        <w:jc w:val="both"/>
        <w:outlineLvl w:val="9"/>
        <w:rPr>
          <w:rFonts w:hint="eastAsia" w:ascii="黑体" w:hAnsi="黑体" w:eastAsia="黑体"/>
          <w:snapToGrid w:val="0"/>
          <w:color w:val="000000"/>
          <w:sz w:val="30"/>
          <w:szCs w:val="30"/>
        </w:rPr>
      </w:pPr>
    </w:p>
    <w:p w14:paraId="153D007B">
      <w:pPr>
        <w:pStyle w:val="24"/>
        <w:numPr>
          <w:ilvl w:val="0"/>
          <w:numId w:val="0"/>
        </w:numPr>
        <w:jc w:val="both"/>
        <w:outlineLvl w:val="9"/>
        <w:rPr>
          <w:rFonts w:hint="default" w:ascii="Times New Roman" w:hAnsi="Times New Roman" w:eastAsia="宋体" w:cs="Times New Roman"/>
          <w:color w:val="00000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454DF5">
      <w:pPr>
        <w:jc w:val="center"/>
        <w:outlineLvl w:val="0"/>
        <w:rPr>
          <w:rFonts w:hint="eastAsia" w:ascii="宋体" w:hAnsi="宋体" w:eastAsia="宋体" w:cs="宋体"/>
          <w:b/>
          <w:bCs/>
          <w:snapToGrid w:val="0"/>
          <w:color w:val="000000"/>
          <w:sz w:val="30"/>
          <w:szCs w:val="30"/>
        </w:rPr>
      </w:pPr>
      <w:bookmarkStart w:id="35" w:name="_Toc94022803"/>
      <w:bookmarkStart w:id="36" w:name="_Toc15993"/>
      <w:r>
        <w:rPr>
          <w:rFonts w:hint="eastAsia" w:ascii="宋体" w:hAnsi="宋体" w:eastAsia="宋体" w:cs="宋体"/>
          <w:b/>
          <w:bCs/>
          <w:snapToGrid w:val="0"/>
          <w:color w:val="000000"/>
          <w:sz w:val="30"/>
          <w:szCs w:val="30"/>
        </w:rPr>
        <w:t>六、生态环境保护措施监督检查清单</w:t>
      </w:r>
      <w:bookmarkEnd w:id="35"/>
      <w:bookmarkEnd w:id="36"/>
    </w:p>
    <w:tbl>
      <w:tblPr>
        <w:tblStyle w:val="2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4465"/>
        <w:gridCol w:w="2882"/>
        <w:gridCol w:w="2810"/>
        <w:gridCol w:w="2183"/>
      </w:tblGrid>
      <w:tr w14:paraId="29B1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restart"/>
            <w:tcBorders>
              <w:tl2br w:val="single" w:color="auto" w:sz="4" w:space="0"/>
            </w:tcBorders>
            <w:vAlign w:val="center"/>
          </w:tcPr>
          <w:p w14:paraId="489C302D">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4445</wp:posOffset>
                      </wp:positionV>
                      <wp:extent cx="1233805" cy="398780"/>
                      <wp:effectExtent l="1270" t="4445" r="3175" b="15875"/>
                      <wp:wrapNone/>
                      <wp:docPr id="92" name="直接连接符 92"/>
                      <wp:cNvGraphicFramePr/>
                      <a:graphic xmlns:a="http://schemas.openxmlformats.org/drawingml/2006/main">
                        <a:graphicData uri="http://schemas.microsoft.com/office/word/2010/wordprocessingShape">
                          <wps:wsp>
                            <wps:cNvCnPr/>
                            <wps:spPr>
                              <a:xfrm flipH="1" flipV="1">
                                <a:off x="0" y="0"/>
                                <a:ext cx="1233805" cy="3987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35pt;height:31.4pt;width:97.15pt;z-index:251660288;mso-width-relative:page;mso-height-relative:page;" filled="f" stroked="t" coordsize="21600,21600" o:gfxdata="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65lOtYAAAAHAQAADwAAAAAAAAABACAAAAAiAAAA&#10;ZHJzL2Rvd25yZXYueG1sUEsBAhQAFAAAAAgAh07iQKMjnI8JAgAA/wMAAA4AAAAAAAAAAQAgAAAA&#10;JQEAAGRycy9lMm9Eb2MueG1sUEsFBgAAAAAGAAYAWQEAAKAFAAAAAA==&#10;">
                      <v:fill on="f" focussize="0,0"/>
                      <v:stroke weight="0.5pt" color="#000000" joinstyle="round"/>
                      <v:imagedata o:title=""/>
                      <o:lock v:ext="edit" aspectratio="f"/>
                    </v:line>
                  </w:pict>
                </mc:Fallback>
              </mc:AlternateContent>
            </w:r>
            <w:r>
              <w:rPr>
                <w:rFonts w:hint="default" w:ascii="黑体" w:hAnsi="黑体" w:eastAsia="黑体"/>
                <w:bCs/>
                <w:sz w:val="21"/>
                <w:szCs w:val="21"/>
                <w:shd w:val="clear" w:color="auto" w:fill="FFFFFF" w:themeFill="background1"/>
              </w:rPr>
              <w:t>内容</w:t>
            </w:r>
          </w:p>
          <w:p w14:paraId="056C1027">
            <w:pPr>
              <w:keepNext w:val="0"/>
              <w:keepLines w:val="0"/>
              <w:widowControl/>
              <w:suppressLineNumbers w:val="0"/>
              <w:spacing w:before="0" w:beforeAutospacing="0" w:after="0" w:afterAutospacing="0" w:line="276" w:lineRule="auto"/>
              <w:ind w:left="0" w:right="0"/>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要素</w:t>
            </w:r>
          </w:p>
        </w:tc>
        <w:tc>
          <w:tcPr>
            <w:tcW w:w="7347" w:type="dxa"/>
            <w:gridSpan w:val="2"/>
            <w:vAlign w:val="center"/>
          </w:tcPr>
          <w:p w14:paraId="14515DC3">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施工期</w:t>
            </w:r>
          </w:p>
        </w:tc>
        <w:tc>
          <w:tcPr>
            <w:tcW w:w="4993" w:type="dxa"/>
            <w:gridSpan w:val="2"/>
            <w:vAlign w:val="center"/>
          </w:tcPr>
          <w:p w14:paraId="4BA83252">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运营期</w:t>
            </w:r>
          </w:p>
        </w:tc>
      </w:tr>
      <w:tr w14:paraId="7D0E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continue"/>
            <w:tcBorders>
              <w:tl2br w:val="single" w:color="auto" w:sz="4" w:space="0"/>
            </w:tcBorders>
            <w:vAlign w:val="center"/>
          </w:tcPr>
          <w:p w14:paraId="65FE996B">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p>
        </w:tc>
        <w:tc>
          <w:tcPr>
            <w:tcW w:w="4465" w:type="dxa"/>
            <w:vAlign w:val="center"/>
          </w:tcPr>
          <w:p w14:paraId="33CC008B">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环境保护措施</w:t>
            </w:r>
          </w:p>
        </w:tc>
        <w:tc>
          <w:tcPr>
            <w:tcW w:w="2882" w:type="dxa"/>
            <w:vAlign w:val="center"/>
          </w:tcPr>
          <w:p w14:paraId="67A284C7">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验收要求</w:t>
            </w:r>
          </w:p>
        </w:tc>
        <w:tc>
          <w:tcPr>
            <w:tcW w:w="2810" w:type="dxa"/>
            <w:vAlign w:val="center"/>
          </w:tcPr>
          <w:p w14:paraId="21EE27E5">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环境保护措施</w:t>
            </w:r>
          </w:p>
        </w:tc>
        <w:tc>
          <w:tcPr>
            <w:tcW w:w="2183" w:type="dxa"/>
            <w:vAlign w:val="center"/>
          </w:tcPr>
          <w:p w14:paraId="03A43E0B">
            <w:pPr>
              <w:keepNext w:val="0"/>
              <w:keepLines w:val="0"/>
              <w:widowControl/>
              <w:suppressLineNumbers w:val="0"/>
              <w:spacing w:before="0" w:beforeAutospacing="0" w:after="0" w:afterAutospacing="0" w:line="276" w:lineRule="auto"/>
              <w:ind w:left="0" w:right="0"/>
              <w:jc w:val="center"/>
              <w:rPr>
                <w:rFonts w:hint="default" w:ascii="黑体" w:hAnsi="黑体" w:eastAsia="黑体"/>
                <w:bCs/>
                <w:sz w:val="21"/>
                <w:szCs w:val="21"/>
                <w:shd w:val="clear" w:color="auto" w:fill="FFFFFF" w:themeFill="background1"/>
              </w:rPr>
            </w:pPr>
            <w:r>
              <w:rPr>
                <w:rFonts w:hint="default" w:ascii="黑体" w:hAnsi="黑体" w:eastAsia="黑体"/>
                <w:bCs/>
                <w:sz w:val="21"/>
                <w:szCs w:val="21"/>
                <w:shd w:val="clear" w:color="auto" w:fill="FFFFFF" w:themeFill="background1"/>
              </w:rPr>
              <w:t>验收要求</w:t>
            </w:r>
          </w:p>
        </w:tc>
      </w:tr>
      <w:tr w14:paraId="4B0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EC0B06A">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陆生生态</w:t>
            </w:r>
          </w:p>
        </w:tc>
        <w:tc>
          <w:tcPr>
            <w:tcW w:w="4465" w:type="dxa"/>
            <w:vAlign w:val="center"/>
          </w:tcPr>
          <w:p w14:paraId="1142AD9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6729D3D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①严格控制开挖范围及开挖量，</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施工活动限制在站区范围内，</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电线路施工限制在事先划定的施工区内。</w:t>
            </w:r>
          </w:p>
          <w:p w14:paraId="168B860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14:paraId="5EE274C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w:t>
            </w:r>
            <w:r>
              <w:rPr>
                <w:rFonts w:hint="eastAsia" w:ascii="Times New Roman" w:hAnsi="Times New Roman" w:cs="Times New Roman"/>
                <w:sz w:val="21"/>
                <w:szCs w:val="21"/>
                <w:shd w:val="clear" w:color="auto" w:fill="FFFFFF" w:themeFill="background1"/>
                <w:lang w:eastAsia="zh-CN"/>
              </w:rPr>
              <w:t>布设</w:t>
            </w:r>
            <w:r>
              <w:rPr>
                <w:rFonts w:hint="default" w:ascii="Times New Roman" w:hAnsi="Times New Roman" w:cs="Times New Roman" w:eastAsiaTheme="minorEastAsia"/>
                <w:sz w:val="21"/>
                <w:szCs w:val="21"/>
                <w:shd w:val="clear" w:color="auto" w:fill="FFFFFF" w:themeFill="background1"/>
              </w:rPr>
              <w:t>尽量避开农田、耕地，减少对农业耕作的影响。</w:t>
            </w:r>
          </w:p>
          <w:p w14:paraId="69AED57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14:paraId="6985DB3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14:paraId="39EB7D5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54C4A16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施工应在站区范围内进行，文明施工，集中堆放材料，严禁踩踏施工区域外地表植被。</w:t>
            </w:r>
          </w:p>
          <w:p w14:paraId="0DBBB28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电线路施工时，建设单位应划定施工活动范围，避免对周边区域植被造成破坏。</w:t>
            </w:r>
          </w:p>
          <w:p w14:paraId="5D94BA2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施工开挖时应分层开挖，分层堆放，注意表土保护，施工结束后按原土层顺序分层回填，以利于后期植被恢复。</w:t>
            </w:r>
          </w:p>
          <w:p w14:paraId="397D002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④对线路沿线经过的林带，采取</w:t>
            </w:r>
            <w:r>
              <w:rPr>
                <w:rFonts w:hint="default" w:ascii="Times New Roman" w:hAnsi="Times New Roman" w:cs="Times New Roman" w:eastAsiaTheme="minorEastAsia"/>
                <w:color w:val="auto"/>
                <w:sz w:val="21"/>
                <w:szCs w:val="21"/>
                <w:shd w:val="clear" w:color="auto" w:fill="FFFFFF" w:themeFill="background1"/>
              </w:rPr>
              <w:t>高跨方式</w:t>
            </w:r>
            <w:r>
              <w:rPr>
                <w:rFonts w:hint="default" w:ascii="Times New Roman" w:hAnsi="Times New Roman" w:cs="Times New Roman" w:eastAsiaTheme="minorEastAsia"/>
                <w:sz w:val="21"/>
                <w:szCs w:val="21"/>
                <w:shd w:val="clear" w:color="auto" w:fill="FFFFFF" w:themeFill="background1"/>
              </w:rPr>
              <w:t>通过，严禁砍伐通道；输电线路采用先进的架线工艺，如飞艇、动力伞或无人机等展放线，减少对线路走廊下方植被的破坏。</w:t>
            </w:r>
          </w:p>
          <w:p w14:paraId="6CF6CE7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⑤施工结束后，尽快清理施工场地，及时清理残留在原场地的混凝土、土石方，并对施工扰动区域进行复耕或进行植被恢复。</w:t>
            </w:r>
          </w:p>
          <w:p w14:paraId="157C6F2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3FB3F99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①加强施工人员的环境保护教育，提高施工人员和相关管理人员的环保意识，严禁出现随意捕杀野生动物的行为。</w:t>
            </w:r>
          </w:p>
          <w:p w14:paraId="60575D4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②采用低噪声的机械等施工设备，禁止随意大声喧哗等高噪声的活动，减少施工活动噪声对野生动物的驱赶效应。</w:t>
            </w:r>
          </w:p>
          <w:p w14:paraId="15AA5CF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③尽量利用原有田间道路、机耕路等现有道路作为施工道路，减小施工道路开辟对野生动物生活环境的破坏范围和强度。</w:t>
            </w:r>
          </w:p>
          <w:p w14:paraId="58A0EF6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④施工结束后，对施工扰动区域及临时占地区域进行原生态恢复，恢复野生动物生境。</w:t>
            </w:r>
          </w:p>
          <w:p w14:paraId="39068FF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49D8BCD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22813BD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①施工单位按照设计要求施工，划定施工活动范围，并严格限制施工机械和人员活动范围。</w:t>
            </w:r>
          </w:p>
          <w:p w14:paraId="1C53395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②开挖后的裸露开挖面采取覆盖措施，开挖的土石方采取回填等方式妥善处置，禁止随意弃置，临时堆土采取围护拦挡和覆盖措施，防止雨水冲刷造成水土流失。</w:t>
            </w:r>
          </w:p>
          <w:p w14:paraId="6F85BB0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电线路尽量避开农田、耕地，如确实无法完全避让，则尽量布置在农田、耕地边角处，减少对农业耕作的影响。</w:t>
            </w:r>
          </w:p>
          <w:p w14:paraId="396F861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④减少临时占地，特别是占用农田、耕地面积，并采取铺垫、隔离措施，减少对耕作层土壤的扰动和破坏。</w:t>
            </w:r>
          </w:p>
          <w:p w14:paraId="02E5BC7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⑤工程施工完成后，及时清理施工现场，对施工扰动区域进行土地整治和植被恢复。</w:t>
            </w:r>
          </w:p>
          <w:p w14:paraId="4F029B3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3484DD6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施工活动集中在变电站围墙内进行，禁止破坏站外植被。</w:t>
            </w:r>
          </w:p>
          <w:p w14:paraId="6DCBD19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电线路施工时划定施工活动范围，避免对周边区域植被造成破坏。</w:t>
            </w:r>
          </w:p>
          <w:p w14:paraId="6529A0F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施工开挖时做好表土剥离、分类存放和回填利用。</w:t>
            </w:r>
          </w:p>
          <w:p w14:paraId="32511AF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④施工结束后，进行施工迹地清理，对施工扰动区域进行土地整治和植被恢复。</w:t>
            </w:r>
          </w:p>
          <w:p w14:paraId="5B40366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69D1C81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①加强施工期环保管理工作，确保无捕杀野生动物的行为。</w:t>
            </w:r>
          </w:p>
          <w:p w14:paraId="326D3C2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②采用噪声水平满足国家相应标准的施工机械设备，禁止高噪声等不文明施工活动。</w:t>
            </w:r>
          </w:p>
          <w:p w14:paraId="40E05D5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③充分利用已有道路作为施工道路，减小新开辟临时施工道路。</w:t>
            </w:r>
          </w:p>
          <w:p w14:paraId="477FA5C2">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④施工结束后，对施工扰动区域及临时占地区域进行土地功能和生态功能恢复。</w:t>
            </w:r>
          </w:p>
          <w:p w14:paraId="6966E9F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10" w:type="dxa"/>
            <w:vAlign w:val="center"/>
          </w:tcPr>
          <w:p w14:paraId="3A88F40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加强对运行维护人员的环境保护教育，提高环保意识，运行维护人员不得随意砍伐线路沿线树木，破坏线路沿线原有生态环境。</w:t>
            </w:r>
          </w:p>
        </w:tc>
        <w:tc>
          <w:tcPr>
            <w:tcW w:w="2183" w:type="dxa"/>
            <w:vAlign w:val="center"/>
          </w:tcPr>
          <w:p w14:paraId="40EAB4A9">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禁止运行维护人员随意砍伐线路沿线树木，破坏原有生态环境。</w:t>
            </w:r>
          </w:p>
        </w:tc>
      </w:tr>
      <w:tr w14:paraId="4F9D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405E40E">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水生生态</w:t>
            </w:r>
          </w:p>
        </w:tc>
        <w:tc>
          <w:tcPr>
            <w:tcW w:w="4465" w:type="dxa"/>
            <w:vAlign w:val="center"/>
          </w:tcPr>
          <w:p w14:paraId="6AAB0A2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263C409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169F96B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2D26A74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343B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51F4C6C">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地表水环境</w:t>
            </w:r>
          </w:p>
        </w:tc>
        <w:tc>
          <w:tcPr>
            <w:tcW w:w="4465" w:type="dxa"/>
            <w:vAlign w:val="center"/>
          </w:tcPr>
          <w:p w14:paraId="4EA907A5">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施工场地设置</w:t>
            </w:r>
            <w:r>
              <w:rPr>
                <w:rFonts w:hint="default"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座</w:t>
            </w:r>
            <w:r>
              <w:rPr>
                <w:rFonts w:hint="eastAsia" w:ascii="Times New Roman" w:hAnsi="Times New Roman" w:cs="Times New Roman"/>
                <w:sz w:val="21"/>
                <w:szCs w:val="21"/>
                <w:shd w:val="clear" w:color="auto" w:fill="FFFFFF" w:themeFill="background1"/>
                <w:lang w:val="en-US" w:eastAsia="zh-CN"/>
              </w:rPr>
              <w:t>6</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 xml:space="preserve"> 的沉淀池，产生的废水经沉淀池处理后，全部回用于施工用水及场地洒水降尘；施工营地设置旱厕，旱厕定期清掏， 全部用于周边农用施肥，不外排； 在施工营地内设置1座</w:t>
            </w:r>
            <w:r>
              <w:rPr>
                <w:rFonts w:hint="default" w:ascii="Times New Roman" w:hAnsi="Times New Roman" w:cs="Times New Roman" w:eastAsiaTheme="minorEastAsia"/>
                <w:color w:val="auto"/>
                <w:sz w:val="21"/>
                <w:szCs w:val="21"/>
                <w:shd w:val="clear" w:color="auto" w:fill="FFFFFF" w:themeFill="background1"/>
              </w:rPr>
              <w:t>1m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的隔油池和1座</w:t>
            </w:r>
            <w:r>
              <w:rPr>
                <w:rFonts w:hint="eastAsia" w:ascii="Times New Roman" w:hAnsi="Times New Roman" w:cs="Times New Roman"/>
                <w:color w:val="auto"/>
                <w:sz w:val="21"/>
                <w:szCs w:val="21"/>
                <w:shd w:val="clear" w:color="auto" w:fill="FFFFFF" w:themeFill="background1"/>
                <w:lang w:val="en-US" w:eastAsia="zh-CN"/>
              </w:rPr>
              <w:t>6</w:t>
            </w:r>
            <w:r>
              <w:rPr>
                <w:rFonts w:hint="default" w:ascii="Times New Roman" w:hAnsi="Times New Roman" w:cs="Times New Roman" w:eastAsiaTheme="minorEastAsia"/>
                <w:color w:val="auto"/>
                <w:sz w:val="21"/>
                <w:szCs w:val="21"/>
                <w:shd w:val="clear" w:color="auto" w:fill="FFFFFF" w:themeFill="background1"/>
              </w:rPr>
              <w:t>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的沉淀池</w:t>
            </w:r>
            <w:r>
              <w:rPr>
                <w:rFonts w:hint="default" w:ascii="Times New Roman" w:hAnsi="Times New Roman" w:cs="Times New Roman" w:eastAsiaTheme="minorEastAsia"/>
                <w:sz w:val="21"/>
                <w:szCs w:val="21"/>
                <w:shd w:val="clear" w:color="auto" w:fill="FFFFFF" w:themeFill="background1"/>
              </w:rPr>
              <w:t>， 餐饮废水经隔油池、</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处理，其余生活污水经</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处理后，全部回用于施工场地洒水降尘或周围灌木丛或草地的浇水</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不外排</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有效的拦蓄措施，防止施工废水进入附近水体。</w:t>
            </w:r>
          </w:p>
        </w:tc>
        <w:tc>
          <w:tcPr>
            <w:tcW w:w="2882" w:type="dxa"/>
            <w:vAlign w:val="center"/>
          </w:tcPr>
          <w:p w14:paraId="3C6BD5A6">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施工期废产生的废水经沉淀池处理后，全部回用于施工用水及场地洒水降尘处理后</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全部回用，不外排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施工营地设置旱厕，旱厕定期清掏，全部用于周边农用施肥，不外排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生活污水经</w:t>
            </w:r>
            <w:r>
              <w:rPr>
                <w:rFonts w:hint="eastAsia" w:ascii="Times New Roman" w:hAnsi="Times New Roman" w:cs="Times New Roman"/>
                <w:color w:val="auto"/>
                <w:sz w:val="21"/>
                <w:szCs w:val="21"/>
                <w:shd w:val="clear" w:color="auto" w:fill="FFFFFF" w:themeFill="background1"/>
                <w:lang w:eastAsia="zh-CN"/>
              </w:rPr>
              <w:t>隔油池、化粪池</w:t>
            </w:r>
            <w:r>
              <w:rPr>
                <w:rFonts w:hint="default" w:ascii="Times New Roman" w:hAnsi="Times New Roman" w:cs="Times New Roman" w:eastAsiaTheme="minorEastAsia"/>
                <w:color w:val="auto"/>
                <w:sz w:val="21"/>
                <w:szCs w:val="21"/>
                <w:shd w:val="clear" w:color="auto" w:fill="FFFFFF" w:themeFill="background1"/>
              </w:rPr>
              <w:t>处理后，全部回用于施工场地洒水降尘或周围灌木丛或草地的浇水</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不外排</w:t>
            </w:r>
            <w:r>
              <w:rPr>
                <w:rFonts w:hint="default" w:ascii="Times New Roman" w:hAnsi="Times New Roman" w:cs="Times New Roman" w:eastAsiaTheme="minorEastAsia"/>
                <w:color w:val="auto"/>
                <w:sz w:val="21"/>
                <w:szCs w:val="21"/>
                <w:shd w:val="clear" w:color="auto" w:fill="FFFFFF" w:themeFill="background1"/>
                <w:lang w:eastAsia="zh-CN"/>
              </w:rPr>
              <w:t>。</w:t>
            </w:r>
          </w:p>
        </w:tc>
        <w:tc>
          <w:tcPr>
            <w:tcW w:w="2810" w:type="dxa"/>
            <w:vAlign w:val="center"/>
          </w:tcPr>
          <w:p w14:paraId="3F48C440">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①光伏板在旱季进行清洗，在阵列区内配套设置集水沟渠</w:t>
            </w:r>
            <w:r>
              <w:rPr>
                <w:rFonts w:hint="eastAsia" w:ascii="Times New Roman" w:hAnsi="Times New Roman" w:cs="Times New Roman"/>
                <w:color w:val="auto"/>
                <w:sz w:val="21"/>
                <w:szCs w:val="21"/>
                <w:shd w:val="clear" w:color="auto" w:fill="FFFFFF" w:themeFill="background1"/>
                <w:lang w:eastAsia="zh-CN"/>
              </w:rPr>
              <w:t>及</w:t>
            </w:r>
            <w:r>
              <w:rPr>
                <w:rFonts w:hint="default" w:ascii="Times New Roman" w:hAnsi="Times New Roman" w:cs="Times New Roman" w:eastAsiaTheme="minorEastAsia"/>
                <w:color w:val="auto"/>
                <w:sz w:val="21"/>
                <w:szCs w:val="21"/>
                <w:shd w:val="clear" w:color="auto" w:fill="FFFFFF" w:themeFill="background1"/>
              </w:rPr>
              <w:t>沉淀池，光伏板清洗废水经集水沟收集后进入沉淀池沉淀处理，用于板下</w:t>
            </w:r>
            <w:r>
              <w:rPr>
                <w:rFonts w:hint="default" w:ascii="Times New Roman" w:hAnsi="Times New Roman" w:cs="Times New Roman"/>
                <w:color w:val="auto"/>
                <w:sz w:val="21"/>
                <w:szCs w:val="21"/>
                <w:shd w:val="clear" w:color="auto" w:fill="FFFFFF" w:themeFill="background1"/>
                <w:lang w:eastAsia="zh-CN"/>
              </w:rPr>
              <w:t>植被灌溉</w:t>
            </w:r>
            <w:r>
              <w:rPr>
                <w:rFonts w:hint="default" w:ascii="Times New Roman" w:hAnsi="Times New Roman" w:cs="Times New Roman" w:eastAsiaTheme="minorEastAsia"/>
                <w:color w:val="auto"/>
                <w:sz w:val="21"/>
                <w:szCs w:val="21"/>
                <w:shd w:val="clear" w:color="auto" w:fill="FFFFFF" w:themeFill="background1"/>
              </w:rPr>
              <w:t>不外排。</w:t>
            </w:r>
          </w:p>
          <w:p w14:paraId="4CFDEA02">
            <w:pPr>
              <w:keepNext w:val="0"/>
              <w:keepLines w:val="0"/>
              <w:widowControl/>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②定期对化粪池、隔油池</w:t>
            </w:r>
            <w:r>
              <w:rPr>
                <w:rFonts w:hint="eastAsia" w:ascii="Times New Roman" w:hAnsi="Times New Roman" w:cs="Times New Roman"/>
                <w:color w:val="auto"/>
                <w:sz w:val="21"/>
                <w:szCs w:val="21"/>
                <w:shd w:val="clear" w:color="auto" w:fill="FFFFFF" w:themeFill="background1"/>
                <w:lang w:eastAsia="zh-CN"/>
              </w:rPr>
              <w:t>、废水收集池、集水沟</w:t>
            </w:r>
            <w:r>
              <w:rPr>
                <w:rFonts w:hint="default" w:ascii="Times New Roman" w:hAnsi="Times New Roman" w:cs="Times New Roman" w:eastAsiaTheme="minorEastAsia"/>
                <w:color w:val="auto"/>
                <w:sz w:val="21"/>
                <w:szCs w:val="21"/>
                <w:shd w:val="clear" w:color="auto" w:fill="FFFFFF" w:themeFill="background1"/>
              </w:rPr>
              <w:t>进行清掏</w:t>
            </w:r>
            <w:r>
              <w:rPr>
                <w:rFonts w:hint="eastAsia" w:ascii="Times New Roman" w:hAnsi="Times New Roman" w:cs="Times New Roman"/>
                <w:color w:val="auto"/>
                <w:sz w:val="21"/>
                <w:szCs w:val="21"/>
                <w:shd w:val="clear" w:color="auto" w:fill="FFFFFF" w:themeFill="background1"/>
                <w:lang w:eastAsia="zh-CN"/>
              </w:rPr>
              <w:t>。</w:t>
            </w:r>
          </w:p>
        </w:tc>
        <w:tc>
          <w:tcPr>
            <w:tcW w:w="2183" w:type="dxa"/>
            <w:vAlign w:val="center"/>
          </w:tcPr>
          <w:p w14:paraId="34DFA376">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color w:val="auto"/>
                <w:sz w:val="21"/>
                <w:szCs w:val="21"/>
                <w:shd w:val="clear" w:color="auto" w:fill="FFFFFF" w:themeFill="background1"/>
              </w:rPr>
            </w:pPr>
            <w:r>
              <w:rPr>
                <w:rFonts w:hint="eastAsia" w:ascii="Times New Roman" w:hAnsi="Times New Roman" w:cs="Times New Roman"/>
                <w:color w:val="auto"/>
                <w:sz w:val="21"/>
                <w:szCs w:val="21"/>
                <w:shd w:val="clear" w:color="auto" w:fill="FFFFFF" w:themeFill="background1"/>
                <w:lang w:eastAsia="zh-CN"/>
              </w:rPr>
              <w:t>生活污水</w:t>
            </w:r>
            <w:r>
              <w:rPr>
                <w:rFonts w:hint="default" w:ascii="Times New Roman" w:hAnsi="Times New Roman" w:cs="Times New Roman" w:eastAsiaTheme="minorEastAsia"/>
                <w:color w:val="auto"/>
                <w:sz w:val="21"/>
                <w:szCs w:val="21"/>
                <w:shd w:val="clear" w:color="auto" w:fill="FFFFFF" w:themeFill="background1"/>
              </w:rPr>
              <w:t>回用不外排</w:t>
            </w:r>
            <w:r>
              <w:rPr>
                <w:rFonts w:hint="eastAsia"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光伏板清洁废水回用不外排。</w:t>
            </w:r>
          </w:p>
          <w:p w14:paraId="1340247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color w:val="auto"/>
                <w:sz w:val="21"/>
                <w:szCs w:val="21"/>
                <w:shd w:val="clear" w:color="auto" w:fill="FFFFFF" w:themeFill="background1"/>
              </w:rPr>
            </w:pPr>
          </w:p>
        </w:tc>
      </w:tr>
      <w:tr w14:paraId="46DD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383400AB">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地下水及土壤环境</w:t>
            </w:r>
          </w:p>
        </w:tc>
        <w:tc>
          <w:tcPr>
            <w:tcW w:w="4465" w:type="dxa"/>
            <w:vAlign w:val="center"/>
          </w:tcPr>
          <w:p w14:paraId="65B3442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00EF8A8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rPr>
              <w:t>/</w:t>
            </w:r>
          </w:p>
        </w:tc>
        <w:tc>
          <w:tcPr>
            <w:tcW w:w="2810" w:type="dxa"/>
            <w:vAlign w:val="center"/>
          </w:tcPr>
          <w:p w14:paraId="2DFC73C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eastAsiaTheme="minorEastAsia"/>
                <w:color w:val="auto"/>
                <w:sz w:val="21"/>
                <w:szCs w:val="21"/>
                <w:shd w:val="clear" w:color="auto" w:fill="FFFFFF" w:themeFill="background1"/>
                <w:lang w:val="en-US" w:eastAsia="zh-CN"/>
              </w:rPr>
              <w:t>，参照《环境影响评价技术导则地下水环境》（HJ 610-2016）进行重点防渗，</w:t>
            </w:r>
            <w:r>
              <w:rPr>
                <w:rFonts w:hint="default" w:ascii="Times New Roman" w:hAnsi="Times New Roman" w:cs="Times New Roman" w:eastAsiaTheme="minorEastAsia"/>
                <w:color w:val="auto"/>
                <w:sz w:val="21"/>
                <w:szCs w:val="21"/>
                <w:shd w:val="clear" w:color="auto" w:fill="FFFFFF" w:themeFill="background1"/>
              </w:rPr>
              <w:t>防渗</w:t>
            </w:r>
            <w:r>
              <w:rPr>
                <w:rFonts w:hint="default" w:ascii="Times New Roman" w:hAnsi="Times New Roman" w:cs="Times New Roman"/>
                <w:b w:val="0"/>
                <w:bCs w:val="0"/>
                <w:color w:val="auto"/>
                <w:sz w:val="21"/>
                <w:szCs w:val="21"/>
              </w:rPr>
              <w:t>性能不应低于6.0m厚渗透系数为1×10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cm/s的黏土层的防渗性能或2mm厚高密度聚乙烯，或至少2mm厚的其他人工材料，渗透系数≤1×10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default" w:ascii="Times New Roman" w:hAnsi="Times New Roman" w:eastAsia="宋体" w:cs="Times New Roman"/>
                <w:color w:val="auto"/>
                <w:sz w:val="21"/>
                <w:szCs w:val="21"/>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cm/s；项目办公楼综合楼、路面为简易防渗区，进行水泥硬化防渗即可，同时应加强维护，降低“跑、冒、滴、漏”发生的可能防止对地下水产生污染。</w:t>
            </w:r>
          </w:p>
        </w:tc>
        <w:tc>
          <w:tcPr>
            <w:tcW w:w="2183" w:type="dxa"/>
            <w:vAlign w:val="center"/>
          </w:tcPr>
          <w:p w14:paraId="1A467A9D">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b w:val="0"/>
                <w:bCs w:val="0"/>
                <w:color w:val="auto"/>
                <w:sz w:val="21"/>
                <w:szCs w:val="21"/>
              </w:rPr>
              <w:t>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eastAsia" w:ascii="Times New Roman" w:hAnsi="Times New Roman" w:cs="Times New Roman"/>
                <w:b w:val="0"/>
                <w:bCs w:val="0"/>
                <w:color w:val="auto"/>
                <w:sz w:val="21"/>
                <w:szCs w:val="21"/>
                <w:lang w:eastAsia="zh-CN"/>
              </w:rPr>
              <w:t>；一般防渗区</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项目办公楼综合楼、路面为简易防渗区，进行水泥硬化防渗即可</w:t>
            </w:r>
            <w:r>
              <w:rPr>
                <w:rFonts w:hint="eastAsia" w:ascii="Times New Roman" w:hAnsi="Times New Roman" w:eastAsia="宋体" w:cs="Times New Roman"/>
                <w:color w:val="auto"/>
                <w:sz w:val="21"/>
                <w:szCs w:val="21"/>
                <w:lang w:val="en-US" w:eastAsia="zh-CN"/>
              </w:rPr>
              <w:t>。</w:t>
            </w:r>
          </w:p>
        </w:tc>
      </w:tr>
      <w:tr w14:paraId="1B24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B2E64C7">
            <w:pPr>
              <w:keepNext w:val="0"/>
              <w:keepLines w:val="0"/>
              <w:widowControl/>
              <w:suppressLineNumbers w:val="0"/>
              <w:spacing w:before="0" w:beforeAutospacing="0" w:after="0" w:afterAutospacing="0" w:line="276" w:lineRule="auto"/>
              <w:ind w:left="0" w:right="0"/>
              <w:jc w:val="center"/>
              <w:rPr>
                <w:rFonts w:hint="default" w:asciiTheme="minorEastAsia" w:hAnsiTheme="minorEastAsia" w:eastAsiaTheme="minorEastAsia"/>
                <w:sz w:val="21"/>
                <w:szCs w:val="21"/>
                <w:shd w:val="clear" w:color="auto" w:fill="FFFFFF" w:themeFill="background1"/>
              </w:rPr>
            </w:pPr>
            <w:r>
              <w:rPr>
                <w:rFonts w:hint="default" w:asciiTheme="minorEastAsia" w:hAnsiTheme="minorEastAsia" w:eastAsiaTheme="minorEastAsia"/>
                <w:sz w:val="21"/>
                <w:szCs w:val="21"/>
                <w:shd w:val="clear" w:color="auto" w:fill="FFFFFF" w:themeFill="background1"/>
              </w:rPr>
              <w:t>声环境</w:t>
            </w:r>
          </w:p>
        </w:tc>
        <w:tc>
          <w:tcPr>
            <w:tcW w:w="4465" w:type="dxa"/>
            <w:vAlign w:val="center"/>
          </w:tcPr>
          <w:p w14:paraId="0936D83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①要求施工单位文明施工，加强施工期的环境管理和环境监控工作，并接受生态环境部门的监督管理。</w:t>
            </w:r>
          </w:p>
          <w:p w14:paraId="1F28827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②施工单位应采用噪声水平满足国家相应标准的施工机械设备，并在施工场周围设置围挡设施以减小施工噪声影响。</w:t>
            </w:r>
          </w:p>
          <w:p w14:paraId="04A8049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③优化施工方案，产生高噪声影响的施工作业安排在白天进行，合理安排工期，施工应尽量安排在白天进行。</w:t>
            </w:r>
          </w:p>
          <w:p w14:paraId="18E42B2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④加强施工车辆在施工区附近的交通管理，当车辆途经附近居民点时，限速行驶、不高音鸣号，以减少施工车辆行驶对沿途居民点的噪声影响。</w:t>
            </w:r>
          </w:p>
        </w:tc>
        <w:tc>
          <w:tcPr>
            <w:tcW w:w="2882" w:type="dxa"/>
            <w:vAlign w:val="center"/>
          </w:tcPr>
          <w:p w14:paraId="409C183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①严格落实文明施工原则，并在施工期间加强环境管理和环境监控工作。</w:t>
            </w:r>
          </w:p>
          <w:p w14:paraId="5CEBEB7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②施工单位采用噪声水平满足国家相应标准的施工机械设备，并在施工场周围设置围挡设施，施工场界噪声满足《建筑施工场界环境噪声排放标准》（GB 12523-2011）要求。</w:t>
            </w:r>
          </w:p>
          <w:p w14:paraId="4B1F48B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③施工过程中，尽量避免夜间施工，若确需夜间施工，应禁止高噪声施工作业。</w:t>
            </w:r>
          </w:p>
          <w:p w14:paraId="60A2D68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④加强施工噪声管理工作，避免施工扰民。</w:t>
            </w:r>
          </w:p>
        </w:tc>
        <w:tc>
          <w:tcPr>
            <w:tcW w:w="2810" w:type="dxa"/>
            <w:vAlign w:val="center"/>
          </w:tcPr>
          <w:p w14:paraId="5EC9ABD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选用低噪声设备，采取隔声、减振等措施，种植绿化，并加强设备维护。</w:t>
            </w:r>
          </w:p>
          <w:p w14:paraId="7C1FB97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183" w:type="dxa"/>
            <w:vAlign w:val="center"/>
          </w:tcPr>
          <w:p w14:paraId="7636B1EF">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lang w:eastAsia="zh-CN"/>
              </w:rPr>
            </w:pPr>
            <w:r>
              <w:rPr>
                <w:rFonts w:hint="default" w:ascii="Times New Roman" w:hAnsi="Times New Roman" w:cs="Times New Roman" w:eastAsiaTheme="minorEastAsia"/>
                <w:sz w:val="21"/>
                <w:szCs w:val="21"/>
                <w:shd w:val="clear" w:color="auto" w:fill="FFFFFF" w:themeFill="background1"/>
              </w:rPr>
              <w:t>变电站运营期间厂界噪声满足《工业企业厂界环境噪声排放标准》（GB12348-2008）2类标准要求</w:t>
            </w:r>
            <w:r>
              <w:rPr>
                <w:rFonts w:hint="default" w:ascii="Times New Roman" w:hAnsi="Times New Roman" w:cs="Times New Roman"/>
                <w:sz w:val="21"/>
                <w:szCs w:val="21"/>
                <w:shd w:val="clear" w:color="auto" w:fill="FFFFFF" w:themeFill="background1"/>
                <w:lang w:eastAsia="zh-CN"/>
              </w:rPr>
              <w:t>。</w:t>
            </w:r>
          </w:p>
        </w:tc>
      </w:tr>
      <w:tr w14:paraId="658B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CCF6C48">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振动</w:t>
            </w:r>
          </w:p>
        </w:tc>
        <w:tc>
          <w:tcPr>
            <w:tcW w:w="4465" w:type="dxa"/>
            <w:vAlign w:val="center"/>
          </w:tcPr>
          <w:p w14:paraId="05130CE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0405E1B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0FD814F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28C1913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7972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497B7EE">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大气环境</w:t>
            </w:r>
          </w:p>
        </w:tc>
        <w:tc>
          <w:tcPr>
            <w:tcW w:w="4465" w:type="dxa"/>
            <w:vAlign w:val="center"/>
          </w:tcPr>
          <w:p w14:paraId="20DCB68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①施工单位应文明施工，加强施工期的环境管理和环境监控工作。</w:t>
            </w:r>
          </w:p>
          <w:p w14:paraId="62A0967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②施工产生的建筑垃圾等要合理堆放，应定期清运。</w:t>
            </w:r>
          </w:p>
          <w:p w14:paraId="1EAF0DA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③车辆运输变电站及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电线路施工产生的多余土方或散体材料时，必须密闭、包扎、覆盖，避免沿途漏撒，并且在规定的时间内按指定路段行驶，控制扬尘污染。</w:t>
            </w:r>
          </w:p>
          <w:p w14:paraId="17DD710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④加强材料转运与使用的管理，合理装卸，规范操作。</w:t>
            </w:r>
          </w:p>
          <w:p w14:paraId="458A3DA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电线路附近的道路在车辆进出时洒水，保持湿润，减少或避免产生扬尘。</w:t>
            </w:r>
          </w:p>
          <w:p w14:paraId="2853CEF0">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⑥临时堆土应及时苫盖、干燥天气下易起尘的裸露土地及时洒水抑尘。</w:t>
            </w:r>
          </w:p>
        </w:tc>
        <w:tc>
          <w:tcPr>
            <w:tcW w:w="2882" w:type="dxa"/>
            <w:vAlign w:val="center"/>
          </w:tcPr>
          <w:p w14:paraId="7B174D29">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①施工单位严格落实文明施工，并加强施工期的环境管理。</w:t>
            </w:r>
          </w:p>
          <w:p w14:paraId="608E0E3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②施工垃圾及时清运。</w:t>
            </w:r>
          </w:p>
          <w:p w14:paraId="115667F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③运输土石方或散体材料时采取密闭、包扎、覆盖措施，避免沿途漏撒。</w:t>
            </w:r>
          </w:p>
          <w:p w14:paraId="03FC595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④严格规范材料转运、装卸过程中的操作。</w:t>
            </w:r>
          </w:p>
          <w:p w14:paraId="43949E0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⑤车辆进出施工区域时，需进行洒水降尘，避免扬尘对周围环境造成影响。</w:t>
            </w:r>
          </w:p>
          <w:p w14:paraId="21AAC2F5">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⑥临时堆土采取苫盖措施，对起尘的裸露土地进行洒水抑尘。</w:t>
            </w:r>
          </w:p>
        </w:tc>
        <w:tc>
          <w:tcPr>
            <w:tcW w:w="2810" w:type="dxa"/>
            <w:vAlign w:val="center"/>
          </w:tcPr>
          <w:p w14:paraId="3B2ECE1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①</w:t>
            </w:r>
            <w:r>
              <w:rPr>
                <w:rFonts w:hint="eastAsia" w:ascii="Times New Roman" w:hAnsi="Times New Roman" w:eastAsia="宋体" w:cs="Times New Roman"/>
                <w:color w:val="auto"/>
                <w:sz w:val="21"/>
                <w:szCs w:val="21"/>
                <w:shd w:val="clear" w:color="auto" w:fill="FFFFFF" w:themeFill="background1"/>
                <w:lang w:val="en-US" w:eastAsia="zh-CN"/>
              </w:rPr>
              <w:t>依托的升压站</w:t>
            </w:r>
            <w:r>
              <w:rPr>
                <w:rFonts w:hint="default" w:ascii="Times New Roman" w:hAnsi="Times New Roman" w:eastAsia="宋体" w:cs="Times New Roman"/>
                <w:sz w:val="21"/>
                <w:szCs w:val="21"/>
                <w:shd w:val="clear" w:color="auto" w:fill="FFFFFF" w:themeFill="background1"/>
              </w:rPr>
              <w:t>内使用清洁能源，厨房油烟采用1套</w:t>
            </w:r>
            <w:r>
              <w:rPr>
                <w:rFonts w:hint="eastAsia" w:ascii="Times New Roman" w:hAnsi="Times New Roman" w:eastAsia="宋体" w:cs="Times New Roman"/>
                <w:sz w:val="21"/>
                <w:szCs w:val="21"/>
                <w:shd w:val="clear" w:color="auto" w:fill="FFFFFF" w:themeFill="background1"/>
                <w:lang w:eastAsia="zh-CN"/>
              </w:rPr>
              <w:t>抽烟烟机</w:t>
            </w:r>
            <w:r>
              <w:rPr>
                <w:rFonts w:hint="default" w:ascii="Times New Roman" w:hAnsi="Times New Roman" w:eastAsia="宋体" w:cs="Times New Roman"/>
                <w:sz w:val="21"/>
                <w:szCs w:val="21"/>
                <w:shd w:val="clear" w:color="auto" w:fill="FFFFFF" w:themeFill="background1"/>
              </w:rPr>
              <w:t>处理后排放。</w:t>
            </w:r>
          </w:p>
          <w:p w14:paraId="17103F5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②保持项目区内环境卫生，减少运营期地面扬尘和飘散物对环境空气质量的影响</w:t>
            </w:r>
            <w:r>
              <w:rPr>
                <w:rFonts w:hint="default" w:ascii="Times New Roman" w:hAnsi="Times New Roman" w:eastAsia="宋体" w:cs="Times New Roman"/>
                <w:sz w:val="21"/>
                <w:szCs w:val="21"/>
                <w:shd w:val="clear" w:color="auto" w:fill="FFFFFF" w:themeFill="background1"/>
                <w:lang w:eastAsia="zh-CN"/>
              </w:rPr>
              <w:t>；</w:t>
            </w:r>
            <w:r>
              <w:rPr>
                <w:rFonts w:hint="default" w:ascii="Times New Roman" w:hAnsi="Times New Roman" w:eastAsia="宋体" w:cs="Times New Roman"/>
                <w:sz w:val="21"/>
                <w:szCs w:val="21"/>
                <w:shd w:val="clear" w:color="auto" w:fill="FFFFFF" w:themeFill="background1"/>
              </w:rPr>
              <w:t>垃圾及时清运并对垃圾收集点经常进行清扫。</w:t>
            </w:r>
          </w:p>
          <w:p w14:paraId="228FCBF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p>
        </w:tc>
        <w:tc>
          <w:tcPr>
            <w:tcW w:w="2183" w:type="dxa"/>
            <w:vAlign w:val="center"/>
          </w:tcPr>
          <w:p w14:paraId="224365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6CF6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69F18FB">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固体废物</w:t>
            </w:r>
          </w:p>
        </w:tc>
        <w:tc>
          <w:tcPr>
            <w:tcW w:w="4465" w:type="dxa"/>
            <w:vAlign w:val="center"/>
          </w:tcPr>
          <w:p w14:paraId="5015F76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①废弃土石方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全部在场地内回填</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不设置弃渣场，禁止乱弃渣。</w:t>
            </w:r>
          </w:p>
          <w:p w14:paraId="2D8DDD0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②建筑垃圾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分类收集，能利用部分外售收购商进行回收利用，不可回收部分委托有资质单位清运至政府部门指定的场所进行处</w:t>
            </w:r>
          </w:p>
          <w:p w14:paraId="15210D7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在施工场地设置临时生活垃圾收集容器，对施工人员的生活垃圾进行分类收集，垃圾实行“日产日清”，交</w:t>
            </w:r>
            <w:r>
              <w:rPr>
                <w:rFonts w:hint="default" w:ascii="Times New Roman" w:hAnsi="Times New Roman" w:cs="Times New Roman"/>
                <w:sz w:val="21"/>
                <w:szCs w:val="21"/>
                <w:shd w:val="clear" w:color="auto" w:fill="FFFFFF" w:themeFill="background1"/>
                <w:lang w:eastAsia="zh-CN"/>
              </w:rPr>
              <w:t>附近村</w:t>
            </w:r>
            <w:r>
              <w:rPr>
                <w:rFonts w:hint="default" w:ascii="Times New Roman" w:hAnsi="Times New Roman" w:cs="Times New Roman" w:eastAsiaTheme="minorEastAsia"/>
                <w:sz w:val="21"/>
                <w:szCs w:val="21"/>
                <w:shd w:val="clear" w:color="auto" w:fill="FFFFFF" w:themeFill="background1"/>
              </w:rPr>
              <w:t>垃圾收集点处理。</w:t>
            </w:r>
          </w:p>
          <w:p w14:paraId="4CB8510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④粪便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定时由当地</w:t>
            </w:r>
            <w:r>
              <w:rPr>
                <w:rFonts w:hint="eastAsia" w:ascii="Times New Roman" w:hAnsi="Times New Roman" w:cs="Times New Roman"/>
                <w:sz w:val="21"/>
                <w:szCs w:val="21"/>
                <w:shd w:val="clear" w:color="auto" w:fill="FFFFFF" w:themeFill="background1"/>
                <w:lang w:eastAsia="zh-CN"/>
              </w:rPr>
              <w:t>农户</w:t>
            </w:r>
            <w:r>
              <w:rPr>
                <w:rFonts w:hint="default" w:ascii="Times New Roman" w:hAnsi="Times New Roman" w:cs="Times New Roman" w:eastAsiaTheme="minorEastAsia"/>
                <w:sz w:val="21"/>
                <w:szCs w:val="21"/>
                <w:shd w:val="clear" w:color="auto" w:fill="FFFFFF" w:themeFill="background1"/>
              </w:rPr>
              <w:t>清运用作农肥。</w:t>
            </w:r>
          </w:p>
          <w:p w14:paraId="7B78499C">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⑤临时堆土</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项目临时堆场应选择在项目用地范围内，严禁新增占地，并进行覆盖和拦档。</w:t>
            </w:r>
          </w:p>
          <w:p w14:paraId="4DC2E28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0A63D654">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default" w:ascii="Times New Roman" w:hAnsi="Times New Roman" w:cs="Times New Roman" w:eastAsiaTheme="minorEastAsia"/>
                <w:color w:val="auto"/>
                <w:sz w:val="21"/>
                <w:szCs w:val="21"/>
                <w:shd w:val="clear" w:color="auto" w:fill="FFFFFF" w:themeFill="background1"/>
              </w:rPr>
              <w:t>变电站</w:t>
            </w:r>
            <w:r>
              <w:rPr>
                <w:rFonts w:hint="default" w:ascii="Times New Roman" w:hAnsi="Times New Roman" w:cs="Times New Roman" w:eastAsiaTheme="minorEastAsia"/>
                <w:sz w:val="21"/>
                <w:szCs w:val="21"/>
                <w:shd w:val="clear" w:color="auto" w:fill="FFFFFF" w:themeFill="background1"/>
              </w:rPr>
              <w:t>施工过程中控制挖填平衡，严禁边挖边弃。</w:t>
            </w:r>
          </w:p>
          <w:p w14:paraId="03802CB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②禁止将</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电线路开挖多余土方随意弃置，施工结束后需进行植被恢复。</w:t>
            </w:r>
          </w:p>
          <w:p w14:paraId="24064F8B">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③施工期的建筑垃圾、生活垃圾分类收集，妥善处理。</w:t>
            </w:r>
          </w:p>
          <w:p w14:paraId="0E656D59">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④施工结束后对施工区域进行清理，避免残留施工建筑垃圾和生活垃圾。</w:t>
            </w:r>
          </w:p>
        </w:tc>
        <w:tc>
          <w:tcPr>
            <w:tcW w:w="2810" w:type="dxa"/>
            <w:vAlign w:val="center"/>
          </w:tcPr>
          <w:p w14:paraId="5DB822A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能回用的尽量回收利用</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不能回用的定期运至</w:t>
            </w:r>
            <w:r>
              <w:rPr>
                <w:rFonts w:hint="default" w:ascii="Times New Roman" w:hAnsi="Times New Roman" w:cs="Times New Roman"/>
                <w:sz w:val="21"/>
                <w:szCs w:val="21"/>
                <w:shd w:val="clear" w:color="auto" w:fill="FFFFFF" w:themeFill="background1"/>
                <w:lang w:eastAsia="zh-CN"/>
              </w:rPr>
              <w:t>附近</w:t>
            </w:r>
            <w:r>
              <w:rPr>
                <w:rFonts w:hint="default" w:ascii="Times New Roman" w:hAnsi="Times New Roman" w:cs="Times New Roman" w:eastAsiaTheme="minorEastAsia"/>
                <w:sz w:val="21"/>
                <w:szCs w:val="21"/>
                <w:shd w:val="clear" w:color="auto" w:fill="FFFFFF" w:themeFill="background1"/>
              </w:rPr>
              <w:t>村垃圾收集点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由当地环卫部门处置。</w:t>
            </w:r>
          </w:p>
          <w:p w14:paraId="3E8BB618">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②废电池板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报废后由建设单位对其进行收集，最终由专业的回收厂家收购回收处</w:t>
            </w:r>
          </w:p>
          <w:p w14:paraId="74BCF83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理。</w:t>
            </w:r>
          </w:p>
          <w:p w14:paraId="7CD29FC5">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③废矿物油、</w:t>
            </w:r>
            <w:r>
              <w:rPr>
                <w:rFonts w:hint="default" w:ascii="Times New Roman" w:hAnsi="Times New Roman" w:cs="Times New Roman" w:eastAsiaTheme="minorEastAsia"/>
                <w:color w:val="auto"/>
                <w:sz w:val="21"/>
                <w:szCs w:val="21"/>
                <w:shd w:val="clear" w:color="auto" w:fill="FFFFFF" w:themeFill="background1"/>
              </w:rPr>
              <w:t>废</w:t>
            </w:r>
            <w:r>
              <w:rPr>
                <w:rFonts w:hint="eastAsia" w:ascii="Times New Roman" w:hAnsi="Times New Roman" w:cs="Times New Roman"/>
                <w:color w:val="auto"/>
                <w:sz w:val="21"/>
                <w:szCs w:val="21"/>
                <w:shd w:val="clear" w:color="auto" w:fill="FFFFFF" w:themeFill="background1"/>
                <w:lang w:val="en-US" w:eastAsia="zh-CN"/>
              </w:rPr>
              <w:t>变压油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属于危险废物，收集于专用容器内，在危废暂存间暂存，定期交有资质单位处置。</w:t>
            </w:r>
          </w:p>
          <w:p w14:paraId="624EEF3E">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④化粪池和</w:t>
            </w:r>
            <w:r>
              <w:rPr>
                <w:rFonts w:hint="eastAsia" w:ascii="Times New Roman" w:hAnsi="Times New Roman" w:cs="Times New Roman"/>
                <w:sz w:val="21"/>
                <w:szCs w:val="21"/>
                <w:shd w:val="clear" w:color="auto" w:fill="FFFFFF" w:themeFill="background1"/>
                <w:lang w:eastAsia="zh-CN"/>
              </w:rPr>
              <w:t>废水收集池：</w:t>
            </w:r>
            <w:r>
              <w:rPr>
                <w:rFonts w:hint="default" w:ascii="Times New Roman" w:hAnsi="Times New Roman" w:cs="Times New Roman" w:eastAsiaTheme="minorEastAsia"/>
                <w:sz w:val="21"/>
                <w:szCs w:val="21"/>
                <w:shd w:val="clear" w:color="auto" w:fill="FFFFFF" w:themeFill="background1"/>
              </w:rPr>
              <w:t>清掏后用于电站周围植物施肥。</w:t>
            </w:r>
          </w:p>
          <w:p w14:paraId="3323BE59">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⑤危险废物环境管理要求:</w:t>
            </w:r>
            <w:r>
              <w:rPr>
                <w:rFonts w:hint="eastAsia" w:ascii="Times New Roman" w:hAnsi="Times New Roman" w:cs="Times New Roman"/>
                <w:sz w:val="21"/>
                <w:szCs w:val="21"/>
                <w:shd w:val="clear" w:color="auto" w:fill="FFFFFF" w:themeFill="background1"/>
                <w:lang w:val="en-US" w:eastAsia="zh-CN"/>
              </w:rPr>
              <w:t>依托江东</w:t>
            </w:r>
            <w:r>
              <w:rPr>
                <w:rFonts w:hint="default" w:ascii="Times New Roman" w:hAnsi="Times New Roman" w:cs="Times New Roman" w:eastAsiaTheme="minorEastAsia"/>
                <w:sz w:val="21"/>
                <w:szCs w:val="21"/>
                <w:shd w:val="clear" w:color="auto" w:fill="FFFFFF" w:themeFill="background1"/>
              </w:rPr>
              <w:t>设置面积为</w:t>
            </w:r>
            <w:r>
              <w:rPr>
                <w:rFonts w:hint="default" w:ascii="Times New Roman" w:hAnsi="Times New Roman" w:cs="Times New Roman" w:eastAsiaTheme="minorEastAsia"/>
                <w:color w:val="auto"/>
                <w:sz w:val="21"/>
                <w:szCs w:val="21"/>
                <w:shd w:val="clear" w:color="auto" w:fill="FFFFFF" w:themeFill="background1"/>
              </w:rPr>
              <w:t>25m</w:t>
            </w:r>
            <w:r>
              <w:rPr>
                <w:rFonts w:hint="default" w:ascii="Times New Roman" w:hAnsi="Times New Roman" w:cs="Times New Roman" w:eastAsiaTheme="minorEastAsia"/>
                <w:color w:val="auto"/>
                <w:sz w:val="21"/>
                <w:szCs w:val="21"/>
                <w:shd w:val="clear" w:color="auto" w:fill="FFFFFF" w:themeFill="background1"/>
                <w:vertAlign w:val="superscript"/>
              </w:rPr>
              <w:t>2</w:t>
            </w:r>
            <w:r>
              <w:rPr>
                <w:rFonts w:hint="default" w:ascii="Times New Roman" w:hAnsi="Times New Roman" w:cs="Times New Roman" w:eastAsiaTheme="minorEastAsia"/>
                <w:sz w:val="21"/>
                <w:szCs w:val="21"/>
                <w:shd w:val="clear" w:color="auto" w:fill="FFFFFF" w:themeFill="background1"/>
              </w:rPr>
              <w:t>的危险废物暂存间暂存危废。</w:t>
            </w:r>
          </w:p>
        </w:tc>
        <w:tc>
          <w:tcPr>
            <w:tcW w:w="2183" w:type="dxa"/>
            <w:vAlign w:val="center"/>
          </w:tcPr>
          <w:p w14:paraId="21D98D6D">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固废处置100%</w:t>
            </w:r>
          </w:p>
          <w:p w14:paraId="61149A90">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r>
      <w:tr w14:paraId="511B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942F382">
            <w:pPr>
              <w:keepNext w:val="0"/>
              <w:keepLines w:val="0"/>
              <w:widowControl/>
              <w:suppressLineNumbers w:val="0"/>
              <w:spacing w:before="0" w:beforeAutospacing="0" w:after="0" w:afterAutospacing="0" w:line="276" w:lineRule="auto"/>
              <w:ind w:left="0" w:right="0"/>
              <w:jc w:val="center"/>
              <w:rPr>
                <w:rFonts w:hint="eastAsia" w:eastAsia="宋体"/>
                <w:sz w:val="21"/>
                <w:szCs w:val="21"/>
                <w:shd w:val="clear" w:color="auto" w:fill="FFFFFF" w:themeFill="background1"/>
                <w:lang w:eastAsia="zh-CN"/>
              </w:rPr>
            </w:pPr>
            <w:r>
              <w:rPr>
                <w:rFonts w:hint="eastAsia" w:eastAsia="宋体"/>
                <w:color w:val="auto"/>
                <w:sz w:val="21"/>
                <w:szCs w:val="21"/>
                <w:shd w:val="clear" w:color="auto" w:fill="FFFFFF" w:themeFill="background1"/>
                <w:lang w:eastAsia="zh-CN"/>
              </w:rPr>
              <w:t>电磁环境</w:t>
            </w:r>
          </w:p>
        </w:tc>
        <w:tc>
          <w:tcPr>
            <w:tcW w:w="4465" w:type="dxa"/>
            <w:vAlign w:val="center"/>
          </w:tcPr>
          <w:p w14:paraId="6B9503AF">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shd w:val="clear" w:color="auto" w:fill="FFFFFF" w:themeFill="background1"/>
                <w:lang w:val="en-US" w:eastAsia="zh-CN"/>
              </w:rPr>
            </w:pPr>
            <w:r>
              <w:rPr>
                <w:rFonts w:hint="eastAsia" w:ascii="Times New Roman" w:hAnsi="Times New Roman" w:cs="Times New Roman"/>
                <w:sz w:val="21"/>
                <w:szCs w:val="21"/>
                <w:shd w:val="clear" w:color="auto" w:fill="FFFFFF" w:themeFill="background1"/>
                <w:lang w:val="en-US" w:eastAsia="zh-CN"/>
              </w:rPr>
              <w:t>/</w:t>
            </w:r>
          </w:p>
        </w:tc>
        <w:tc>
          <w:tcPr>
            <w:tcW w:w="2882" w:type="dxa"/>
            <w:vAlign w:val="center"/>
          </w:tcPr>
          <w:p w14:paraId="7BC7A5C1">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eastAsiaTheme="minorEastAsia"/>
                <w:sz w:val="21"/>
                <w:szCs w:val="21"/>
                <w:shd w:val="clear" w:color="auto" w:fill="FFFFFF" w:themeFill="background1"/>
                <w:lang w:val="en-US" w:eastAsia="zh-CN"/>
              </w:rPr>
            </w:pPr>
            <w:r>
              <w:rPr>
                <w:rFonts w:hint="eastAsia" w:ascii="Times New Roman" w:hAnsi="Times New Roman" w:cs="Times New Roman"/>
                <w:sz w:val="21"/>
                <w:szCs w:val="21"/>
                <w:shd w:val="clear" w:color="auto" w:fill="FFFFFF" w:themeFill="background1"/>
                <w:lang w:val="en-US" w:eastAsia="zh-CN"/>
              </w:rPr>
              <w:t>/</w:t>
            </w:r>
          </w:p>
        </w:tc>
        <w:tc>
          <w:tcPr>
            <w:tcW w:w="2810" w:type="dxa"/>
            <w:vAlign w:val="center"/>
          </w:tcPr>
          <w:p w14:paraId="7B5AE7D6">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w:t>
            </w:r>
            <w:r>
              <w:rPr>
                <w:rFonts w:hint="eastAsia" w:ascii="Times New Roman" w:hAnsi="Times New Roman" w:cs="Times New Roman"/>
                <w:sz w:val="21"/>
                <w:szCs w:val="21"/>
                <w:shd w:val="clear" w:color="auto" w:fill="FFFFFF" w:themeFill="background1"/>
                <w:lang w:val="en-US" w:eastAsia="zh-CN"/>
              </w:rPr>
              <w:t>场</w:t>
            </w:r>
            <w:r>
              <w:rPr>
                <w:rFonts w:hint="default" w:ascii="Times New Roman" w:hAnsi="Times New Roman" w:cs="Times New Roman" w:eastAsiaTheme="minorEastAsia"/>
                <w:sz w:val="21"/>
                <w:szCs w:val="21"/>
                <w:shd w:val="clear" w:color="auto" w:fill="FFFFFF" w:themeFill="background1"/>
              </w:rPr>
              <w:t>内电气设备应采取集中布置方式，在设计中应按有关规程采取系列的控制过电压、电磁感应场强水平。</w:t>
            </w:r>
          </w:p>
          <w:p w14:paraId="27B04823">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②尽量不在电气设备上方设置软导线</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对大功率的电磁振荡设备采取必要的屏蔽密封机箱的孔、口、门缝的连接处控制箱、断路器端子箱、</w:t>
            </w:r>
          </w:p>
          <w:p w14:paraId="64B88CF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设备的放油阀门及分接开关尽量布置在较低场强区，以便于运行和检修人员接近。</w:t>
            </w:r>
          </w:p>
          <w:p w14:paraId="1E3F4D87">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③合理选用各种电气设备及金属配件</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使用合理、优良的绝缘子或沿绝缘子串电压</w:t>
            </w:r>
          </w:p>
          <w:p w14:paraId="0FDF79D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分布的保护装置。</w:t>
            </w:r>
          </w:p>
          <w:p w14:paraId="67AE8981">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④危险位置建立各种警告、防护标识，减少在高压走廊内的停留时间。</w:t>
            </w:r>
          </w:p>
        </w:tc>
        <w:tc>
          <w:tcPr>
            <w:tcW w:w="2183" w:type="dxa"/>
            <w:vAlign w:val="center"/>
          </w:tcPr>
          <w:p w14:paraId="618FE82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lang w:eastAsia="zh-CN"/>
              </w:rPr>
            </w:pPr>
            <w:r>
              <w:rPr>
                <w:rFonts w:hint="eastAsia" w:ascii="Times New Roman" w:hAnsi="Times New Roman" w:cs="Times New Roman"/>
                <w:sz w:val="21"/>
                <w:szCs w:val="21"/>
                <w:shd w:val="clear" w:color="auto" w:fill="FFFFFF" w:themeFill="background1"/>
                <w:lang w:val="en-US" w:eastAsia="zh-CN"/>
              </w:rPr>
              <w:t>依据</w:t>
            </w:r>
            <w:r>
              <w:rPr>
                <w:rFonts w:hint="default" w:ascii="Times New Roman" w:hAnsi="Times New Roman" w:cs="Times New Roman" w:eastAsiaTheme="minorEastAsia"/>
                <w:sz w:val="21"/>
                <w:szCs w:val="21"/>
                <w:shd w:val="clear" w:color="auto" w:fill="FFFFFF" w:themeFill="background1"/>
              </w:rPr>
              <w:t>《电磁环境控制限值》</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GB8702-2014</w:t>
            </w:r>
            <w:r>
              <w:rPr>
                <w:rFonts w:hint="default" w:ascii="Times New Roman" w:hAnsi="Times New Roman" w:cs="Times New Roman"/>
                <w:sz w:val="21"/>
                <w:szCs w:val="21"/>
                <w:shd w:val="clear" w:color="auto" w:fill="FFFFFF" w:themeFill="background1"/>
                <w:lang w:eastAsia="zh-CN"/>
              </w:rPr>
              <w:t>）</w:t>
            </w:r>
            <w:r>
              <w:rPr>
                <w:rFonts w:hint="eastAsia" w:ascii="Times New Roman" w:hAnsi="Times New Roman" w:cs="Times New Roman"/>
                <w:sz w:val="21"/>
                <w:szCs w:val="21"/>
                <w:shd w:val="clear" w:color="auto" w:fill="FFFFFF" w:themeFill="background1"/>
                <w:lang w:val="en-US" w:eastAsia="zh-CN"/>
              </w:rPr>
              <w:t>豁免本项目35kV输变电</w:t>
            </w:r>
            <w:r>
              <w:rPr>
                <w:rFonts w:hint="default" w:ascii="Times New Roman" w:hAnsi="Times New Roman" w:cs="Times New Roman" w:eastAsiaTheme="minorEastAsia"/>
                <w:sz w:val="21"/>
                <w:szCs w:val="21"/>
                <w:shd w:val="clear" w:color="auto" w:fill="FFFFFF" w:themeFill="background1"/>
              </w:rPr>
              <w:t>的评价标准限值要求</w:t>
            </w:r>
            <w:r>
              <w:rPr>
                <w:rFonts w:hint="default" w:ascii="Times New Roman" w:hAnsi="Times New Roman" w:cs="Times New Roman"/>
                <w:sz w:val="21"/>
                <w:szCs w:val="21"/>
                <w:shd w:val="clear" w:color="auto" w:fill="FFFFFF" w:themeFill="background1"/>
                <w:lang w:eastAsia="zh-CN"/>
              </w:rPr>
              <w:t>。</w:t>
            </w:r>
          </w:p>
          <w:p w14:paraId="72A2CCE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p>
        </w:tc>
      </w:tr>
      <w:tr w14:paraId="568C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C1090E4">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环境风险</w:t>
            </w:r>
          </w:p>
        </w:tc>
        <w:tc>
          <w:tcPr>
            <w:tcW w:w="4465" w:type="dxa"/>
            <w:vAlign w:val="center"/>
          </w:tcPr>
          <w:p w14:paraId="30FA8C7D">
            <w:pPr>
              <w:pStyle w:val="44"/>
              <w:keepNext w:val="0"/>
              <w:keepLines w:val="0"/>
              <w:suppressLineNumbers w:val="0"/>
              <w:spacing w:beforeAutospacing="0" w:afterAutospacing="0" w:line="240" w:lineRule="auto"/>
              <w:ind w:left="0"/>
              <w:rPr>
                <w:rFonts w:hint="default" w:ascii="Times New Roman" w:hAnsi="Times New Roman" w:cs="Times New Roman"/>
                <w:sz w:val="21"/>
                <w:szCs w:val="21"/>
                <w:shd w:val="clear" w:color="auto" w:fill="FFFFFF" w:themeFill="background1"/>
              </w:rPr>
            </w:pPr>
            <w:r>
              <w:rPr>
                <w:rFonts w:hint="default" w:ascii="Times New Roman" w:hAnsi="Times New Roman" w:cs="Times New Roman"/>
                <w:sz w:val="21"/>
                <w:szCs w:val="21"/>
                <w:shd w:val="clear" w:color="auto" w:fill="FFFFFF" w:themeFill="background1"/>
              </w:rPr>
              <w:t>/</w:t>
            </w:r>
          </w:p>
        </w:tc>
        <w:tc>
          <w:tcPr>
            <w:tcW w:w="2882" w:type="dxa"/>
            <w:vAlign w:val="center"/>
          </w:tcPr>
          <w:p w14:paraId="280D4D8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3680996D">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eastAsiaTheme="minorEastAsia"/>
                <w:sz w:val="21"/>
                <w:szCs w:val="21"/>
                <w:shd w:val="clear" w:color="auto" w:fill="FFFFFF" w:themeFill="background1"/>
              </w:rPr>
            </w:pPr>
            <w:r>
              <w:rPr>
                <w:rFonts w:hint="eastAsia" w:ascii="Times New Roman" w:hAnsi="Times New Roman" w:cs="Times New Roman"/>
                <w:sz w:val="21"/>
                <w:szCs w:val="21"/>
                <w:shd w:val="clear" w:color="auto" w:fill="FFFFFF" w:themeFill="background1"/>
                <w:lang w:val="en-US" w:eastAsia="zh-CN"/>
              </w:rPr>
              <w:t>11</w:t>
            </w:r>
            <w:r>
              <w:rPr>
                <w:rFonts w:hint="default" w:ascii="Times New Roman" w:hAnsi="Times New Roman" w:cs="Times New Roman" w:eastAsiaTheme="minorEastAsia"/>
                <w:sz w:val="21"/>
                <w:szCs w:val="21"/>
                <w:shd w:val="clear" w:color="auto" w:fill="FFFFFF" w:themeFill="background1"/>
              </w:rPr>
              <w:t>座箱式变压器旁分别设置1座</w:t>
            </w:r>
            <w:r>
              <w:rPr>
                <w:rFonts w:hint="eastAsia"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sz w:val="21"/>
                <w:szCs w:val="21"/>
                <w:shd w:val="clear" w:color="auto" w:fill="FFFFFF" w:themeFill="background1"/>
                <w:vertAlign w:val="superscript"/>
                <w:lang w:val="en-US" w:eastAsia="zh-CN"/>
              </w:rPr>
              <w:t>3</w:t>
            </w:r>
            <w:r>
              <w:rPr>
                <w:rFonts w:hint="default" w:ascii="Times New Roman" w:hAnsi="Times New Roman" w:cs="Times New Roman" w:eastAsiaTheme="minorEastAsia"/>
                <w:sz w:val="21"/>
                <w:szCs w:val="21"/>
                <w:shd w:val="clear" w:color="auto" w:fill="FFFFFF" w:themeFill="background1"/>
              </w:rPr>
              <w:t>的</w:t>
            </w:r>
            <w:r>
              <w:rPr>
                <w:rFonts w:hint="eastAsia" w:ascii="Times New Roman" w:hAnsi="Times New Roman" w:cs="Times New Roman"/>
                <w:sz w:val="21"/>
                <w:szCs w:val="21"/>
                <w:shd w:val="clear" w:color="auto" w:fill="FFFFFF" w:themeFill="background1"/>
                <w:lang w:eastAsia="zh-CN"/>
              </w:rPr>
              <w:t>事故池</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危废暂存间根据《危险废物贮存污染控制标准》(GB 18597-2001)中的相关要求进行管理和建设，配备空油桶、消防沙</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吸油棉、铲子等应急物</w:t>
            </w:r>
            <w:r>
              <w:rPr>
                <w:rFonts w:hint="default" w:ascii="Times New Roman" w:hAnsi="Times New Roman" w:cs="Times New Roman"/>
                <w:sz w:val="21"/>
                <w:szCs w:val="21"/>
                <w:shd w:val="clear" w:color="auto" w:fill="FFFFFF" w:themeFill="background1"/>
                <w:lang w:eastAsia="zh-CN"/>
              </w:rPr>
              <w:t>。</w:t>
            </w:r>
          </w:p>
        </w:tc>
        <w:tc>
          <w:tcPr>
            <w:tcW w:w="2183" w:type="dxa"/>
            <w:vAlign w:val="center"/>
          </w:tcPr>
          <w:p w14:paraId="455AF6B5">
            <w:pPr>
              <w:keepNext w:val="0"/>
              <w:keepLines w:val="0"/>
              <w:suppressLineNumbers w:val="0"/>
              <w:spacing w:before="35" w:beforeAutospacing="0" w:after="0" w:afterAutospacing="0" w:line="240" w:lineRule="auto"/>
              <w:ind w:left="0" w:right="0" w:firstLine="118"/>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制定应急预案</w:t>
            </w:r>
            <w:r>
              <w:rPr>
                <w:rFonts w:hint="default" w:ascii="Times New Roman" w:hAnsi="Times New Roman" w:cs="Times New Roman" w:eastAsiaTheme="minorEastAsia"/>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并按照应急预案及本环评要求设置相应的风险防范措施</w:t>
            </w:r>
          </w:p>
        </w:tc>
      </w:tr>
      <w:tr w14:paraId="6E4C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7FDEF346">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环境监测</w:t>
            </w:r>
          </w:p>
        </w:tc>
        <w:tc>
          <w:tcPr>
            <w:tcW w:w="4465" w:type="dxa"/>
            <w:vAlign w:val="center"/>
          </w:tcPr>
          <w:p w14:paraId="19FFD3C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82" w:type="dxa"/>
            <w:vAlign w:val="center"/>
          </w:tcPr>
          <w:p w14:paraId="7A6F45C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10" w:type="dxa"/>
            <w:vAlign w:val="center"/>
          </w:tcPr>
          <w:p w14:paraId="7B3A6A9A">
            <w:pPr>
              <w:keepNext w:val="0"/>
              <w:keepLines w:val="0"/>
              <w:widowControl/>
              <w:suppressLineNumbers w:val="0"/>
              <w:spacing w:before="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1"/>
                <w:sz w:val="21"/>
                <w:szCs w:val="21"/>
              </w:rPr>
              <w:t>运营期的环境监测由</w:t>
            </w:r>
            <w:r>
              <w:rPr>
                <w:rFonts w:hint="default" w:ascii="Times New Roman" w:hAnsi="Times New Roman" w:eastAsia="宋体" w:cs="Times New Roman"/>
                <w:spacing w:val="-2"/>
                <w:sz w:val="21"/>
                <w:szCs w:val="21"/>
              </w:rPr>
              <w:t>建设单位委托有资质的环境监测单位按已制定的计划监测</w:t>
            </w:r>
          </w:p>
        </w:tc>
        <w:tc>
          <w:tcPr>
            <w:tcW w:w="2183" w:type="dxa"/>
            <w:vAlign w:val="center"/>
          </w:tcPr>
          <w:p w14:paraId="786A3731">
            <w:pPr>
              <w:keepNext w:val="0"/>
              <w:keepLines w:val="0"/>
              <w:suppressLineNumbers w:val="0"/>
              <w:spacing w:before="38" w:beforeAutospacing="0" w:after="0" w:afterAutospacing="0" w:line="240" w:lineRule="auto"/>
              <w:ind w:left="0" w:right="0" w:firstLine="11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委托有资质的环境</w:t>
            </w:r>
          </w:p>
          <w:p w14:paraId="25FFE0F8">
            <w:pPr>
              <w:keepNext w:val="0"/>
              <w:keepLines w:val="0"/>
              <w:suppressLineNumbers w:val="0"/>
              <w:spacing w:before="40" w:beforeAutospacing="0" w:after="0" w:afterAutospacing="0" w:line="240" w:lineRule="auto"/>
              <w:ind w:left="0" w:right="0"/>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2"/>
                <w:sz w:val="21"/>
                <w:szCs w:val="21"/>
              </w:rPr>
              <w:t>监测单位按已制定</w:t>
            </w:r>
            <w:r>
              <w:rPr>
                <w:rFonts w:hint="default" w:ascii="Times New Roman" w:hAnsi="Times New Roman" w:eastAsia="宋体" w:cs="Times New Roman"/>
                <w:spacing w:val="-5"/>
                <w:sz w:val="21"/>
                <w:szCs w:val="21"/>
              </w:rPr>
              <w:t>的计划监</w:t>
            </w:r>
            <w:r>
              <w:rPr>
                <w:rFonts w:hint="default" w:ascii="Times New Roman" w:hAnsi="Times New Roman" w:eastAsia="宋体" w:cs="Times New Roman"/>
                <w:sz w:val="21"/>
                <w:szCs w:val="21"/>
              </w:rPr>
              <w:t>测</w:t>
            </w:r>
          </w:p>
        </w:tc>
      </w:tr>
      <w:tr w14:paraId="4E22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BDC1F0E">
            <w:pPr>
              <w:keepNext w:val="0"/>
              <w:keepLines w:val="0"/>
              <w:widowControl/>
              <w:suppressLineNumbers w:val="0"/>
              <w:spacing w:before="0" w:beforeAutospacing="0" w:after="0" w:afterAutospacing="0" w:line="276" w:lineRule="auto"/>
              <w:ind w:left="0" w:right="0"/>
              <w:jc w:val="center"/>
              <w:rPr>
                <w:rFonts w:hint="default" w:eastAsia="宋体"/>
                <w:sz w:val="21"/>
                <w:szCs w:val="21"/>
                <w:shd w:val="clear" w:color="auto" w:fill="FFFFFF" w:themeFill="background1"/>
              </w:rPr>
            </w:pPr>
            <w:r>
              <w:rPr>
                <w:rFonts w:hint="default" w:eastAsia="宋体"/>
                <w:sz w:val="21"/>
                <w:szCs w:val="21"/>
                <w:shd w:val="clear" w:color="auto" w:fill="FFFFFF" w:themeFill="background1"/>
              </w:rPr>
              <w:t>其他</w:t>
            </w:r>
          </w:p>
        </w:tc>
        <w:tc>
          <w:tcPr>
            <w:tcW w:w="4465" w:type="dxa"/>
            <w:vAlign w:val="center"/>
          </w:tcPr>
          <w:p w14:paraId="261D86E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274A165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54F4552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6CB30D7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bl>
    <w:p w14:paraId="5877B14F">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08C47D">
      <w:pPr>
        <w:jc w:val="center"/>
        <w:outlineLvl w:val="0"/>
        <w:rPr>
          <w:rFonts w:hint="eastAsia" w:ascii="宋体" w:hAnsi="宋体" w:eastAsia="宋体" w:cs="宋体"/>
          <w:b/>
          <w:bCs/>
          <w:snapToGrid w:val="0"/>
          <w:color w:val="000000"/>
          <w:sz w:val="30"/>
          <w:szCs w:val="30"/>
        </w:rPr>
      </w:pPr>
      <w:bookmarkStart w:id="37" w:name="_Toc25696"/>
      <w:r>
        <w:rPr>
          <w:rFonts w:hint="eastAsia" w:ascii="宋体" w:hAnsi="宋体" w:eastAsia="宋体" w:cs="宋体"/>
          <w:b/>
          <w:bCs/>
          <w:snapToGrid w:val="0"/>
          <w:color w:val="000000"/>
          <w:sz w:val="30"/>
          <w:szCs w:val="30"/>
        </w:rPr>
        <w:t>七、结论</w:t>
      </w:r>
      <w:bookmarkEnd w:id="37"/>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671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0B1DA6">
            <w:pPr>
              <w:keepNext w:val="0"/>
              <w:keepLines w:val="0"/>
              <w:suppressLineNumbers w:val="0"/>
              <w:snapToGrid w:val="0"/>
              <w:spacing w:before="0" w:beforeAutospacing="0" w:after="0" w:afterAutospacing="0" w:line="360" w:lineRule="auto"/>
              <w:ind w:left="0" w:right="0" w:firstLine="480" w:firstLineChars="200"/>
              <w:jc w:val="left"/>
              <w:rPr>
                <w:rFonts w:hint="default"/>
              </w:rPr>
            </w:pPr>
            <w:r>
              <w:rPr>
                <w:rFonts w:hint="default" w:ascii="Times New Roman" w:hAnsi="Times New Roman"/>
                <w:color w:val="000000"/>
                <w:sz w:val="24"/>
              </w:rPr>
              <w:t>项目符合《云南省主体功能区规划》、</w:t>
            </w:r>
            <w:r>
              <w:rPr>
                <w:rFonts w:hint="eastAsia" w:ascii="Times New Roman" w:hAnsi="Times New Roman"/>
                <w:color w:val="000000"/>
                <w:sz w:val="24"/>
                <w:lang w:eastAsia="zh-CN"/>
              </w:rPr>
              <w:t>“</w:t>
            </w:r>
            <w:r>
              <w:rPr>
                <w:rFonts w:hint="default" w:ascii="Times New Roman" w:hAnsi="Times New Roman"/>
                <w:color w:val="000000"/>
                <w:sz w:val="24"/>
              </w:rPr>
              <w:t>三线一单</w:t>
            </w:r>
            <w:r>
              <w:rPr>
                <w:rFonts w:hint="eastAsia" w:ascii="Times New Roman" w:hAnsi="Times New Roman"/>
                <w:color w:val="000000"/>
                <w:sz w:val="24"/>
                <w:lang w:eastAsia="zh-CN"/>
              </w:rPr>
              <w:t>”</w:t>
            </w:r>
            <w:r>
              <w:rPr>
                <w:rFonts w:hint="default" w:ascii="Times New Roman" w:hAnsi="Times New Roman"/>
                <w:color w:val="000000"/>
                <w:sz w:val="24"/>
              </w:rPr>
              <w:t>、项目与《云南省生态功能区》的相关要求不冲突</w:t>
            </w:r>
            <w:r>
              <w:rPr>
                <w:rFonts w:hint="eastAsia" w:ascii="Times New Roman" w:hAnsi="Times New Roman"/>
                <w:color w:val="000000"/>
                <w:sz w:val="24"/>
                <w:lang w:eastAsia="zh-CN"/>
              </w:rPr>
              <w:t>；</w:t>
            </w:r>
            <w:r>
              <w:rPr>
                <w:rFonts w:hint="default" w:ascii="Times New Roman" w:hAnsi="Times New Roman"/>
                <w:color w:val="000000"/>
                <w:sz w:val="24"/>
              </w:rPr>
              <w:t>项目选址和平面布局合理可行；项目在实施各项污染防治和生态恢复措施后，对当地生态环境的影响较小</w:t>
            </w:r>
            <w:r>
              <w:rPr>
                <w:rFonts w:hint="eastAsia" w:ascii="Times New Roman" w:hAnsi="Times New Roman"/>
                <w:color w:val="000000"/>
                <w:sz w:val="24"/>
                <w:lang w:eastAsia="zh-CN"/>
              </w:rPr>
              <w:t>。</w:t>
            </w:r>
            <w:r>
              <w:rPr>
                <w:rFonts w:hint="default" w:ascii="Times New Roman" w:hAnsi="Times New Roman" w:eastAsia="宋体" w:cs="Times New Roman"/>
                <w:color w:val="000000"/>
                <w:sz w:val="24"/>
                <w:szCs w:val="24"/>
              </w:rPr>
              <w:t>项目的建设符合国家产业政策，有利于推动地方经济的可持续发展</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区域环境空气、声环境、地表水、环境质量现状总体较好，在严格落实</w:t>
            </w:r>
            <w:r>
              <w:rPr>
                <w:rFonts w:hint="eastAsia" w:ascii="Times New Roman" w:hAnsi="Times New Roman" w:eastAsia="宋体" w:cs="Times New Roman"/>
                <w:color w:val="000000"/>
                <w:sz w:val="24"/>
                <w:szCs w:val="24"/>
                <w:lang w:val="en-US" w:eastAsia="zh-CN"/>
              </w:rPr>
              <w:t>本环评</w:t>
            </w:r>
            <w:r>
              <w:rPr>
                <w:rFonts w:hint="default" w:ascii="Times New Roman" w:hAnsi="Times New Roman" w:eastAsia="宋体" w:cs="Times New Roman"/>
                <w:color w:val="000000"/>
                <w:sz w:val="24"/>
                <w:szCs w:val="24"/>
              </w:rPr>
              <w:t>各项污染防治措施</w:t>
            </w:r>
            <w:r>
              <w:rPr>
                <w:rFonts w:hint="eastAsia" w:ascii="Times New Roman" w:hAnsi="Times New Roman" w:eastAsia="宋体" w:cs="Times New Roman"/>
                <w:color w:val="000000"/>
                <w:sz w:val="24"/>
                <w:szCs w:val="24"/>
                <w:lang w:val="en-US" w:eastAsia="zh-CN"/>
              </w:rPr>
              <w:t>和</w:t>
            </w:r>
            <w:r>
              <w:rPr>
                <w:rFonts w:hint="default" w:ascii="Times New Roman" w:hAnsi="Times New Roman" w:eastAsia="宋体" w:cs="Times New Roman"/>
                <w:color w:val="000000"/>
                <w:sz w:val="24"/>
                <w:szCs w:val="24"/>
              </w:rPr>
              <w:t>生态保护措施</w:t>
            </w:r>
            <w:r>
              <w:rPr>
                <w:rFonts w:hint="eastAsia" w:ascii="Times New Roman" w:hAnsi="Times New Roman" w:eastAsia="宋体" w:cs="Times New Roman"/>
                <w:color w:val="000000"/>
                <w:sz w:val="24"/>
                <w:szCs w:val="24"/>
                <w:lang w:val="en-US" w:eastAsia="zh-CN"/>
              </w:rPr>
              <w:t>后</w:t>
            </w:r>
            <w:r>
              <w:rPr>
                <w:rFonts w:hint="default" w:ascii="Times New Roman" w:hAnsi="Times New Roman" w:eastAsia="宋体" w:cs="Times New Roman"/>
                <w:color w:val="000000"/>
                <w:sz w:val="24"/>
                <w:szCs w:val="24"/>
              </w:rPr>
              <w:t>，可将项目对环境的影响降至最低，实现污染物达标排放，满足环境功能区要求，环境可以接受，从环境保护角度分析，项目建设可行</w:t>
            </w:r>
            <w:r>
              <w:rPr>
                <w:rFonts w:hint="default" w:ascii="Times New Roman" w:hAnsi="Times New Roman"/>
                <w:color w:val="000000"/>
                <w:sz w:val="24"/>
              </w:rPr>
              <w:t>。</w:t>
            </w:r>
          </w:p>
          <w:p w14:paraId="155395EC">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672C6E9A">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2708ED2">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1ACBD56F">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0BE27961">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4883F81">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1833DD59">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E21B14A">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E0F645E">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15202FEF">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AD60ACF">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7CBAE252">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0298139C">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5F72E6D3">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4F205BD0">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2F156749">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58F89043">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p w14:paraId="24AC4289">
            <w:pPr>
              <w:pStyle w:val="24"/>
              <w:keepNext w:val="0"/>
              <w:keepLines w:val="0"/>
              <w:suppressLineNumbers w:val="0"/>
              <w:adjustRightInd w:val="0"/>
              <w:snapToGrid w:val="0"/>
              <w:spacing w:before="0" w:beforeAutospacing="0" w:after="0" w:afterAutospacing="0" w:line="360" w:lineRule="auto"/>
              <w:ind w:left="0" w:right="0"/>
              <w:rPr>
                <w:rFonts w:hint="default"/>
                <w:vertAlign w:val="baseline"/>
                <w:lang w:val="en-US" w:eastAsia="zh-CN"/>
              </w:rPr>
            </w:pPr>
          </w:p>
        </w:tc>
      </w:tr>
    </w:tbl>
    <w:p w14:paraId="24FD6DF5">
      <w:pPr>
        <w:rPr>
          <w:rFonts w:hint="eastAsia" w:ascii="宋体" w:hAnsi="宋体" w:eastAsia="宋体" w:cs="宋体"/>
          <w:b w:val="0"/>
          <w:bCs w:val="0"/>
          <w:sz w:val="28"/>
          <w:szCs w:val="28"/>
          <w:vertAlign w:val="baseline"/>
          <w:lang w:eastAsia="zh-CN"/>
        </w:rPr>
      </w:pPr>
    </w:p>
    <w:p w14:paraId="22A17323">
      <w:pPr>
        <w:rPr>
          <w:rFonts w:hint="eastAsia" w:ascii="宋体" w:hAnsi="宋体" w:eastAsia="宋体" w:cs="宋体"/>
          <w:b w:val="0"/>
          <w:bCs w:val="0"/>
          <w:sz w:val="28"/>
          <w:szCs w:val="28"/>
          <w:vertAlign w:val="baseline"/>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AD5E5">
    <w:pPr>
      <w:pStyle w:val="17"/>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53AF">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53C0C">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053C0C">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5DEF">
    <w:pPr>
      <w:pStyle w:val="18"/>
      <w:pBdr>
        <w:bottom w:val="none" w:color="auto" w:sz="0" w:space="1"/>
      </w:pBdr>
      <w:rPr>
        <w:rFonts w:hint="default" w:ascii="Times New Roman" w:hAnsi="Times New Roman" w:eastAsia="宋体"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C8AE7"/>
    <w:multiLevelType w:val="singleLevel"/>
    <w:tmpl w:val="839C8AE7"/>
    <w:lvl w:ilvl="0" w:tentative="0">
      <w:start w:val="1"/>
      <w:numFmt w:val="decimal"/>
      <w:suff w:val="nothing"/>
      <w:lvlText w:val="%1、"/>
      <w:lvlJc w:val="left"/>
    </w:lvl>
  </w:abstractNum>
  <w:abstractNum w:abstractNumId="1">
    <w:nsid w:val="AFACF216"/>
    <w:multiLevelType w:val="singleLevel"/>
    <w:tmpl w:val="AFACF216"/>
    <w:lvl w:ilvl="0" w:tentative="0">
      <w:start w:val="2"/>
      <w:numFmt w:val="decimal"/>
      <w:suff w:val="nothing"/>
      <w:lvlText w:val="（%1）"/>
      <w:lvlJc w:val="left"/>
    </w:lvl>
  </w:abstractNum>
  <w:abstractNum w:abstractNumId="2">
    <w:nsid w:val="DAA4A2FF"/>
    <w:multiLevelType w:val="singleLevel"/>
    <w:tmpl w:val="DAA4A2FF"/>
    <w:lvl w:ilvl="0" w:tentative="0">
      <w:start w:val="5"/>
      <w:numFmt w:val="decimal"/>
      <w:suff w:val="nothing"/>
      <w:lvlText w:val="%1）"/>
      <w:lvlJc w:val="left"/>
    </w:lvl>
  </w:abstractNum>
  <w:abstractNum w:abstractNumId="3">
    <w:nsid w:val="DD1875B0"/>
    <w:multiLevelType w:val="singleLevel"/>
    <w:tmpl w:val="DD1875B0"/>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4">
    <w:nsid w:val="DE3E1C5B"/>
    <w:multiLevelType w:val="singleLevel"/>
    <w:tmpl w:val="DE3E1C5B"/>
    <w:lvl w:ilvl="0" w:tentative="0">
      <w:start w:val="5"/>
      <w:numFmt w:val="decimal"/>
      <w:suff w:val="nothing"/>
      <w:lvlText w:val="%1、"/>
      <w:lvlJc w:val="left"/>
      <w:pPr>
        <w:ind w:left="480" w:leftChars="0" w:firstLine="0" w:firstLineChars="0"/>
      </w:pPr>
    </w:lvl>
  </w:abstractNum>
  <w:abstractNum w:abstractNumId="5">
    <w:nsid w:val="E506E7EA"/>
    <w:multiLevelType w:val="singleLevel"/>
    <w:tmpl w:val="E506E7EA"/>
    <w:lvl w:ilvl="0" w:tentative="0">
      <w:start w:val="4"/>
      <w:numFmt w:val="decimal"/>
      <w:suff w:val="nothing"/>
      <w:lvlText w:val="（%1）"/>
      <w:lvlJc w:val="left"/>
    </w:lvl>
  </w:abstractNum>
  <w:abstractNum w:abstractNumId="6">
    <w:nsid w:val="FC2FB3F1"/>
    <w:multiLevelType w:val="singleLevel"/>
    <w:tmpl w:val="FC2FB3F1"/>
    <w:lvl w:ilvl="0" w:tentative="0">
      <w:start w:val="2"/>
      <w:numFmt w:val="decimal"/>
      <w:suff w:val="nothing"/>
      <w:lvlText w:val="%1、"/>
      <w:lvlJc w:val="left"/>
    </w:lvl>
  </w:abstractNum>
  <w:abstractNum w:abstractNumId="7">
    <w:nsid w:val="0D5FE7B8"/>
    <w:multiLevelType w:val="singleLevel"/>
    <w:tmpl w:val="0D5FE7B8"/>
    <w:lvl w:ilvl="0" w:tentative="0">
      <w:start w:val="1"/>
      <w:numFmt w:val="chineseCounting"/>
      <w:suff w:val="nothing"/>
      <w:lvlText w:val="%1、"/>
      <w:lvlJc w:val="left"/>
      <w:rPr>
        <w:rFonts w:hint="eastAsia"/>
      </w:rPr>
    </w:lvl>
  </w:abstractNum>
  <w:abstractNum w:abstractNumId="8">
    <w:nsid w:val="211620BC"/>
    <w:multiLevelType w:val="singleLevel"/>
    <w:tmpl w:val="211620BC"/>
    <w:lvl w:ilvl="0" w:tentative="0">
      <w:start w:val="2"/>
      <w:numFmt w:val="upperLetter"/>
      <w:suff w:val="nothing"/>
      <w:lvlText w:val="%1、"/>
      <w:lvlJc w:val="left"/>
    </w:lvl>
  </w:abstractNum>
  <w:abstractNum w:abstractNumId="9">
    <w:nsid w:val="29D0B82B"/>
    <w:multiLevelType w:val="singleLevel"/>
    <w:tmpl w:val="29D0B82B"/>
    <w:lvl w:ilvl="0" w:tentative="0">
      <w:start w:val="1"/>
      <w:numFmt w:val="chineseCounting"/>
      <w:suff w:val="nothing"/>
      <w:lvlText w:val="%1、"/>
      <w:lvlJc w:val="left"/>
      <w:pPr>
        <w:ind w:left="-240"/>
      </w:pPr>
      <w:rPr>
        <w:rFonts w:hint="eastAsia"/>
      </w:rPr>
    </w:lvl>
  </w:abstractNum>
  <w:abstractNum w:abstractNumId="10">
    <w:nsid w:val="58352B62"/>
    <w:multiLevelType w:val="multilevel"/>
    <w:tmpl w:val="58352B62"/>
    <w:lvl w:ilvl="0" w:tentative="0">
      <w:start w:val="1"/>
      <w:numFmt w:val="decimal"/>
      <w:suff w:val="space"/>
      <w:lvlText w:val="%1"/>
      <w:lvlJc w:val="left"/>
      <w:pPr>
        <w:ind w:left="5670" w:firstLine="0"/>
      </w:pPr>
      <w:rPr>
        <w:rFonts w:hint="eastAsia"/>
      </w:rPr>
    </w:lvl>
    <w:lvl w:ilvl="1" w:tentative="0">
      <w:start w:val="1"/>
      <w:numFmt w:val="decimal"/>
      <w:suff w:val="space"/>
      <w:lvlText w:val="%1.%2"/>
      <w:lvlJc w:val="left"/>
      <w:pPr>
        <w:ind w:left="6521"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5387" w:firstLine="0"/>
      </w:pPr>
      <w:rPr>
        <w:rFonts w:hint="eastAsia"/>
      </w:rPr>
    </w:lvl>
    <w:lvl w:ilvl="3" w:tentative="0">
      <w:start w:val="1"/>
      <w:numFmt w:val="decimal"/>
      <w:pStyle w:val="5"/>
      <w:suff w:val="space"/>
      <w:lvlText w:val="%1.%2.%3.%4"/>
      <w:lvlJc w:val="left"/>
      <w:pPr>
        <w:ind w:left="71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
    <w:nsid w:val="5A3E5BFF"/>
    <w:multiLevelType w:val="singleLevel"/>
    <w:tmpl w:val="5A3E5BFF"/>
    <w:lvl w:ilvl="0" w:tentative="0">
      <w:start w:val="1"/>
      <w:numFmt w:val="chineseCounting"/>
      <w:suff w:val="nothing"/>
      <w:lvlText w:val="%1、"/>
      <w:lvlJc w:val="left"/>
      <w:pPr>
        <w:ind w:left="480"/>
      </w:pPr>
      <w:rPr>
        <w:rFonts w:hint="eastAsia"/>
      </w:rPr>
    </w:lvl>
  </w:abstractNum>
  <w:abstractNum w:abstractNumId="12">
    <w:nsid w:val="5FA92DE7"/>
    <w:multiLevelType w:val="multilevel"/>
    <w:tmpl w:val="5FA92DE7"/>
    <w:lvl w:ilvl="0" w:tentative="0">
      <w:start w:val="1"/>
      <w:numFmt w:val="decimal"/>
      <w:pStyle w:val="2"/>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
    <w:nsid w:val="7DD13BB3"/>
    <w:multiLevelType w:val="singleLevel"/>
    <w:tmpl w:val="7DD13BB3"/>
    <w:lvl w:ilvl="0" w:tentative="0">
      <w:start w:val="10"/>
      <w:numFmt w:val="decimal"/>
      <w:suff w:val="nothing"/>
      <w:lvlText w:val="（%1）"/>
      <w:lvlJc w:val="left"/>
    </w:lvl>
  </w:abstractNum>
  <w:num w:numId="1">
    <w:abstractNumId w:val="12"/>
  </w:num>
  <w:num w:numId="2">
    <w:abstractNumId w:val="10"/>
  </w:num>
  <w:num w:numId="3">
    <w:abstractNumId w:val="3"/>
  </w:num>
  <w:num w:numId="4">
    <w:abstractNumId w:val="7"/>
  </w:num>
  <w:num w:numId="5">
    <w:abstractNumId w:val="1"/>
  </w:num>
  <w:num w:numId="6">
    <w:abstractNumId w:val="4"/>
  </w:num>
  <w:num w:numId="7">
    <w:abstractNumId w:val="11"/>
  </w:num>
  <w:num w:numId="8">
    <w:abstractNumId w:val="5"/>
  </w:num>
  <w:num w:numId="9">
    <w:abstractNumId w:val="9"/>
  </w:num>
  <w:num w:numId="10">
    <w:abstractNumId w:val="6"/>
  </w:num>
  <w:num w:numId="11">
    <w:abstractNumId w:val="0"/>
  </w:num>
  <w:num w:numId="12">
    <w:abstractNumId w:val="8"/>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203085"/>
    <w:rsid w:val="004202CE"/>
    <w:rsid w:val="01210DA1"/>
    <w:rsid w:val="017F0AD9"/>
    <w:rsid w:val="018C3579"/>
    <w:rsid w:val="01AB223A"/>
    <w:rsid w:val="01D152A8"/>
    <w:rsid w:val="0295339B"/>
    <w:rsid w:val="034477B2"/>
    <w:rsid w:val="034F46D6"/>
    <w:rsid w:val="03D157FA"/>
    <w:rsid w:val="05450730"/>
    <w:rsid w:val="05B60993"/>
    <w:rsid w:val="05E5571E"/>
    <w:rsid w:val="064E2DE0"/>
    <w:rsid w:val="069864CC"/>
    <w:rsid w:val="07111BE2"/>
    <w:rsid w:val="07CF3590"/>
    <w:rsid w:val="08EB30F3"/>
    <w:rsid w:val="09121193"/>
    <w:rsid w:val="09542202"/>
    <w:rsid w:val="096502F1"/>
    <w:rsid w:val="09B73016"/>
    <w:rsid w:val="0A6031B0"/>
    <w:rsid w:val="0AB92673"/>
    <w:rsid w:val="0B460196"/>
    <w:rsid w:val="0B4950FD"/>
    <w:rsid w:val="0BF04550"/>
    <w:rsid w:val="0C6218BD"/>
    <w:rsid w:val="0C792657"/>
    <w:rsid w:val="0CCA340D"/>
    <w:rsid w:val="0D596365"/>
    <w:rsid w:val="0D6E2633"/>
    <w:rsid w:val="0D813BB2"/>
    <w:rsid w:val="0DFC4632"/>
    <w:rsid w:val="0ED10FA1"/>
    <w:rsid w:val="0F5B48AA"/>
    <w:rsid w:val="0F614D59"/>
    <w:rsid w:val="10274A79"/>
    <w:rsid w:val="10830846"/>
    <w:rsid w:val="108F2FFF"/>
    <w:rsid w:val="10A37A63"/>
    <w:rsid w:val="10FE0692"/>
    <w:rsid w:val="119E5E21"/>
    <w:rsid w:val="11A8592B"/>
    <w:rsid w:val="12151919"/>
    <w:rsid w:val="12655CC4"/>
    <w:rsid w:val="1287061F"/>
    <w:rsid w:val="137A6709"/>
    <w:rsid w:val="142A5FDC"/>
    <w:rsid w:val="144271AC"/>
    <w:rsid w:val="149D0784"/>
    <w:rsid w:val="15402808"/>
    <w:rsid w:val="157464DF"/>
    <w:rsid w:val="15B36F52"/>
    <w:rsid w:val="15D201B1"/>
    <w:rsid w:val="16515A7C"/>
    <w:rsid w:val="16C136E5"/>
    <w:rsid w:val="16E77C3A"/>
    <w:rsid w:val="17212101"/>
    <w:rsid w:val="17804F89"/>
    <w:rsid w:val="18C71174"/>
    <w:rsid w:val="18CD7595"/>
    <w:rsid w:val="1A5A1350"/>
    <w:rsid w:val="1A694DFD"/>
    <w:rsid w:val="1A850BA7"/>
    <w:rsid w:val="1ACE28AE"/>
    <w:rsid w:val="1B1260CC"/>
    <w:rsid w:val="1B326960"/>
    <w:rsid w:val="1BB05AD7"/>
    <w:rsid w:val="1BCE3EBF"/>
    <w:rsid w:val="1BE12964"/>
    <w:rsid w:val="1BEB3EED"/>
    <w:rsid w:val="1C63762A"/>
    <w:rsid w:val="1D2022F2"/>
    <w:rsid w:val="1D3E3ED7"/>
    <w:rsid w:val="1DD55B94"/>
    <w:rsid w:val="1E4E62A6"/>
    <w:rsid w:val="1E634F37"/>
    <w:rsid w:val="1F5A1851"/>
    <w:rsid w:val="1FB46D6A"/>
    <w:rsid w:val="20492A47"/>
    <w:rsid w:val="208E5374"/>
    <w:rsid w:val="20A22513"/>
    <w:rsid w:val="22104BF0"/>
    <w:rsid w:val="228A5681"/>
    <w:rsid w:val="229F106D"/>
    <w:rsid w:val="22BE1F3C"/>
    <w:rsid w:val="22D757E3"/>
    <w:rsid w:val="232415EC"/>
    <w:rsid w:val="232554D1"/>
    <w:rsid w:val="23A02A15"/>
    <w:rsid w:val="23C72308"/>
    <w:rsid w:val="23E27229"/>
    <w:rsid w:val="24940B6C"/>
    <w:rsid w:val="24981AA9"/>
    <w:rsid w:val="24C34D59"/>
    <w:rsid w:val="24CB5491"/>
    <w:rsid w:val="268362C1"/>
    <w:rsid w:val="27D52B4D"/>
    <w:rsid w:val="285F1228"/>
    <w:rsid w:val="2899783C"/>
    <w:rsid w:val="2A8B411D"/>
    <w:rsid w:val="2AC46C53"/>
    <w:rsid w:val="2B043E08"/>
    <w:rsid w:val="2BB17EE7"/>
    <w:rsid w:val="2BBD3665"/>
    <w:rsid w:val="2BE73999"/>
    <w:rsid w:val="2CBE2A9D"/>
    <w:rsid w:val="2D145EC5"/>
    <w:rsid w:val="2D1D10AB"/>
    <w:rsid w:val="2D5756CD"/>
    <w:rsid w:val="2D7632AA"/>
    <w:rsid w:val="2D880C44"/>
    <w:rsid w:val="2DA71D5E"/>
    <w:rsid w:val="2DCB2ED1"/>
    <w:rsid w:val="2DE932A3"/>
    <w:rsid w:val="2E094504"/>
    <w:rsid w:val="2E73077B"/>
    <w:rsid w:val="305111DE"/>
    <w:rsid w:val="3069477A"/>
    <w:rsid w:val="3080335B"/>
    <w:rsid w:val="3135514D"/>
    <w:rsid w:val="313A151D"/>
    <w:rsid w:val="32191805"/>
    <w:rsid w:val="328C3D98"/>
    <w:rsid w:val="32A0278A"/>
    <w:rsid w:val="33020954"/>
    <w:rsid w:val="3316565B"/>
    <w:rsid w:val="333764C7"/>
    <w:rsid w:val="33B22313"/>
    <w:rsid w:val="33D455DE"/>
    <w:rsid w:val="348B3049"/>
    <w:rsid w:val="35201483"/>
    <w:rsid w:val="35540E8B"/>
    <w:rsid w:val="356E7966"/>
    <w:rsid w:val="35C11748"/>
    <w:rsid w:val="3684230E"/>
    <w:rsid w:val="36883247"/>
    <w:rsid w:val="36A66AAC"/>
    <w:rsid w:val="37623CD1"/>
    <w:rsid w:val="37936364"/>
    <w:rsid w:val="38387547"/>
    <w:rsid w:val="387D7B81"/>
    <w:rsid w:val="397859CA"/>
    <w:rsid w:val="399A34E7"/>
    <w:rsid w:val="39DE00BA"/>
    <w:rsid w:val="3A775CE5"/>
    <w:rsid w:val="3A8B3807"/>
    <w:rsid w:val="3AB11048"/>
    <w:rsid w:val="3AF14526"/>
    <w:rsid w:val="3B886FA3"/>
    <w:rsid w:val="3B8A003C"/>
    <w:rsid w:val="3BAF1980"/>
    <w:rsid w:val="3C076F76"/>
    <w:rsid w:val="3C740003"/>
    <w:rsid w:val="3CC14437"/>
    <w:rsid w:val="3D2C6DE6"/>
    <w:rsid w:val="3D481867"/>
    <w:rsid w:val="3DBA6615"/>
    <w:rsid w:val="3E2000F4"/>
    <w:rsid w:val="3F1C2B5A"/>
    <w:rsid w:val="3F246520"/>
    <w:rsid w:val="3F5A3EC6"/>
    <w:rsid w:val="3F605DD1"/>
    <w:rsid w:val="40752F6B"/>
    <w:rsid w:val="41341983"/>
    <w:rsid w:val="41407B60"/>
    <w:rsid w:val="417C4635"/>
    <w:rsid w:val="41D370E4"/>
    <w:rsid w:val="42071D52"/>
    <w:rsid w:val="424636A5"/>
    <w:rsid w:val="42644693"/>
    <w:rsid w:val="42A9659F"/>
    <w:rsid w:val="43C64174"/>
    <w:rsid w:val="448F34CC"/>
    <w:rsid w:val="44915BF6"/>
    <w:rsid w:val="449924D3"/>
    <w:rsid w:val="44B85271"/>
    <w:rsid w:val="44CC0FCE"/>
    <w:rsid w:val="470A4A09"/>
    <w:rsid w:val="47282841"/>
    <w:rsid w:val="475F1FDB"/>
    <w:rsid w:val="4780607C"/>
    <w:rsid w:val="48BD62AF"/>
    <w:rsid w:val="48E556FE"/>
    <w:rsid w:val="4A063405"/>
    <w:rsid w:val="4BE50B8A"/>
    <w:rsid w:val="4C8654CC"/>
    <w:rsid w:val="4CB80889"/>
    <w:rsid w:val="4D146114"/>
    <w:rsid w:val="4D723BCA"/>
    <w:rsid w:val="4E4A36A7"/>
    <w:rsid w:val="4E6255D1"/>
    <w:rsid w:val="4E7C7027"/>
    <w:rsid w:val="4E822A05"/>
    <w:rsid w:val="4E9117DD"/>
    <w:rsid w:val="4E972E75"/>
    <w:rsid w:val="50161B61"/>
    <w:rsid w:val="50227512"/>
    <w:rsid w:val="50826A36"/>
    <w:rsid w:val="51534975"/>
    <w:rsid w:val="51E22F29"/>
    <w:rsid w:val="520B348B"/>
    <w:rsid w:val="52B511BF"/>
    <w:rsid w:val="52BA749B"/>
    <w:rsid w:val="52CE7DB0"/>
    <w:rsid w:val="53AD160D"/>
    <w:rsid w:val="544473E3"/>
    <w:rsid w:val="5452218E"/>
    <w:rsid w:val="545F0481"/>
    <w:rsid w:val="54F715F1"/>
    <w:rsid w:val="55014097"/>
    <w:rsid w:val="557E59A7"/>
    <w:rsid w:val="55EC3FD4"/>
    <w:rsid w:val="56023D22"/>
    <w:rsid w:val="56453F2D"/>
    <w:rsid w:val="566D6EF6"/>
    <w:rsid w:val="56F20776"/>
    <w:rsid w:val="574E78B0"/>
    <w:rsid w:val="575A5550"/>
    <w:rsid w:val="57AF48B9"/>
    <w:rsid w:val="58045023"/>
    <w:rsid w:val="587D0513"/>
    <w:rsid w:val="58DF11CE"/>
    <w:rsid w:val="58E910F2"/>
    <w:rsid w:val="59093482"/>
    <w:rsid w:val="590A14DD"/>
    <w:rsid w:val="597D7843"/>
    <w:rsid w:val="5A5F4B0F"/>
    <w:rsid w:val="5A95311B"/>
    <w:rsid w:val="5AA915D5"/>
    <w:rsid w:val="5AEB1C09"/>
    <w:rsid w:val="5B3A056D"/>
    <w:rsid w:val="5BBE774A"/>
    <w:rsid w:val="5BCB7ABA"/>
    <w:rsid w:val="5BE12E76"/>
    <w:rsid w:val="5BF15336"/>
    <w:rsid w:val="5BFF0196"/>
    <w:rsid w:val="5CEA4D6F"/>
    <w:rsid w:val="5D504602"/>
    <w:rsid w:val="5D905A15"/>
    <w:rsid w:val="5F6B37BB"/>
    <w:rsid w:val="5FFD1E54"/>
    <w:rsid w:val="603767F6"/>
    <w:rsid w:val="60AD7CB0"/>
    <w:rsid w:val="60CE7608"/>
    <w:rsid w:val="60D612BD"/>
    <w:rsid w:val="610059FC"/>
    <w:rsid w:val="617F354E"/>
    <w:rsid w:val="640A35A3"/>
    <w:rsid w:val="640D3093"/>
    <w:rsid w:val="653C3378"/>
    <w:rsid w:val="65C151B4"/>
    <w:rsid w:val="65D75707"/>
    <w:rsid w:val="65FD57EC"/>
    <w:rsid w:val="660627B9"/>
    <w:rsid w:val="661B4FAF"/>
    <w:rsid w:val="66821699"/>
    <w:rsid w:val="66B40A2A"/>
    <w:rsid w:val="6713646E"/>
    <w:rsid w:val="67896ED4"/>
    <w:rsid w:val="68CE0535"/>
    <w:rsid w:val="69747710"/>
    <w:rsid w:val="6998786A"/>
    <w:rsid w:val="6A4D41E9"/>
    <w:rsid w:val="6A716AFD"/>
    <w:rsid w:val="6ABC5943"/>
    <w:rsid w:val="6AF223A2"/>
    <w:rsid w:val="6C443233"/>
    <w:rsid w:val="6CBC7404"/>
    <w:rsid w:val="6CBD35A8"/>
    <w:rsid w:val="6D811100"/>
    <w:rsid w:val="6DB66A82"/>
    <w:rsid w:val="6EC21972"/>
    <w:rsid w:val="6F083446"/>
    <w:rsid w:val="6F3B2E98"/>
    <w:rsid w:val="6FD26489"/>
    <w:rsid w:val="70185EB6"/>
    <w:rsid w:val="70412C63"/>
    <w:rsid w:val="709E152D"/>
    <w:rsid w:val="70AC219C"/>
    <w:rsid w:val="71165B25"/>
    <w:rsid w:val="71523B14"/>
    <w:rsid w:val="719F0F02"/>
    <w:rsid w:val="725949AA"/>
    <w:rsid w:val="727F33AE"/>
    <w:rsid w:val="735D5E8B"/>
    <w:rsid w:val="73685BB1"/>
    <w:rsid w:val="742557F6"/>
    <w:rsid w:val="74394314"/>
    <w:rsid w:val="74B126B6"/>
    <w:rsid w:val="75692159"/>
    <w:rsid w:val="75C11FCE"/>
    <w:rsid w:val="75F61FCB"/>
    <w:rsid w:val="75FE45C2"/>
    <w:rsid w:val="770E19A9"/>
    <w:rsid w:val="779752F3"/>
    <w:rsid w:val="78F34052"/>
    <w:rsid w:val="798E6585"/>
    <w:rsid w:val="7A3F06C0"/>
    <w:rsid w:val="7A647D3B"/>
    <w:rsid w:val="7AF366E7"/>
    <w:rsid w:val="7B2A6614"/>
    <w:rsid w:val="7B2B1604"/>
    <w:rsid w:val="7B360113"/>
    <w:rsid w:val="7B430F82"/>
    <w:rsid w:val="7B4F2179"/>
    <w:rsid w:val="7B7D3C11"/>
    <w:rsid w:val="7B8C1AF2"/>
    <w:rsid w:val="7B8D0F9F"/>
    <w:rsid w:val="7BAC51AB"/>
    <w:rsid w:val="7BBD4FEB"/>
    <w:rsid w:val="7C91281C"/>
    <w:rsid w:val="7CDA4164"/>
    <w:rsid w:val="7CF5302E"/>
    <w:rsid w:val="7CF93D5D"/>
    <w:rsid w:val="7D070AD6"/>
    <w:rsid w:val="7D322BB3"/>
    <w:rsid w:val="7D3B5D32"/>
    <w:rsid w:val="7DFA01F3"/>
    <w:rsid w:val="7E140D44"/>
    <w:rsid w:val="7E150E48"/>
    <w:rsid w:val="7E15505C"/>
    <w:rsid w:val="7E4800C2"/>
    <w:rsid w:val="7E533DCC"/>
    <w:rsid w:val="7E5D7E09"/>
    <w:rsid w:val="7E6C1D1A"/>
    <w:rsid w:val="7EDA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3"/>
    <w:next w:val="1"/>
    <w:qFormat/>
    <w:uiPriority w:val="0"/>
    <w:pPr>
      <w:numPr>
        <w:ilvl w:val="0"/>
        <w:numId w:val="1"/>
      </w:numPr>
      <w:adjustRightInd w:val="0"/>
      <w:snapToGrid w:val="0"/>
      <w:spacing w:beforeLines="50" w:afterLines="50" w:line="240" w:lineRule="auto"/>
      <w:outlineLvl w:val="0"/>
    </w:pPr>
    <w:rPr>
      <w:rFonts w:ascii="Times New Roman" w:hAnsi="Times New Roman"/>
      <w:kern w:val="44"/>
      <w:sz w:val="30"/>
      <w:szCs w:val="30"/>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5"/>
    <w:qFormat/>
    <w:uiPriority w:val="0"/>
    <w:pPr>
      <w:keepNext/>
      <w:keepLines/>
      <w:spacing w:before="30" w:beforeLines="30" w:after="30" w:afterLines="30" w:line="360" w:lineRule="auto"/>
      <w:ind w:firstLine="0" w:firstLineChars="0"/>
      <w:outlineLvl w:val="2"/>
    </w:pPr>
    <w:rPr>
      <w:rFonts w:ascii="Times New Roman" w:hAnsi="Times New Roman" w:eastAsia="宋体"/>
      <w:b/>
      <w:bCs/>
      <w:snapToGrid w:val="0"/>
      <w:color w:val="000000"/>
      <w:kern w:val="0"/>
      <w:sz w:val="24"/>
      <w:szCs w:val="20"/>
    </w:rPr>
  </w:style>
  <w:style w:type="paragraph" w:styleId="5">
    <w:name w:val="heading 4"/>
    <w:basedOn w:val="1"/>
    <w:next w:val="1"/>
    <w:qFormat/>
    <w:uiPriority w:val="0"/>
    <w:pPr>
      <w:keepNext/>
      <w:keepLines/>
      <w:numPr>
        <w:ilvl w:val="3"/>
        <w:numId w:val="2"/>
      </w:numPr>
      <w:spacing w:before="120" w:after="120"/>
      <w:ind w:left="0"/>
      <w:jc w:val="left"/>
      <w:outlineLvl w:val="3"/>
    </w:pPr>
    <w:rPr>
      <w:rFonts w:eastAsia="仿宋_GB2312" w:cstheme="minorBidi"/>
      <w:b/>
      <w:kern w:val="0"/>
      <w:szCs w:val="28"/>
    </w:rPr>
  </w:style>
  <w:style w:type="character" w:default="1" w:styleId="27">
    <w:name w:val="Default Paragraph Font"/>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1"/>
    <w:qFormat/>
    <w:uiPriority w:val="0"/>
    <w:pPr>
      <w:spacing w:line="560" w:lineRule="exact"/>
      <w:ind w:firstLine="200" w:firstLineChars="200"/>
    </w:pPr>
    <w:rPr>
      <w:kern w:val="0"/>
    </w:rPr>
  </w:style>
  <w:style w:type="paragraph" w:styleId="7">
    <w:name w:val="caption"/>
    <w:basedOn w:val="1"/>
    <w:next w:val="1"/>
    <w:qFormat/>
    <w:uiPriority w:val="35"/>
    <w:rPr>
      <w:rFonts w:eastAsia="黑体"/>
      <w:kern w:val="0"/>
      <w:sz w:val="21"/>
      <w:szCs w:val="20"/>
    </w:rPr>
  </w:style>
  <w:style w:type="paragraph" w:styleId="8">
    <w:name w:val="annotation text"/>
    <w:basedOn w:val="1"/>
    <w:qFormat/>
    <w:uiPriority w:val="0"/>
    <w:pPr>
      <w:jc w:val="left"/>
    </w:pPr>
  </w:style>
  <w:style w:type="paragraph" w:styleId="9">
    <w:name w:val="Salutation"/>
    <w:basedOn w:val="1"/>
    <w:next w:val="1"/>
    <w:qFormat/>
    <w:uiPriority w:val="0"/>
  </w:style>
  <w:style w:type="paragraph" w:styleId="10">
    <w:name w:val="Body Text"/>
    <w:basedOn w:val="1"/>
    <w:next w:val="11"/>
    <w:qFormat/>
    <w:uiPriority w:val="0"/>
    <w:pPr>
      <w:widowControl/>
      <w:snapToGrid w:val="0"/>
      <w:spacing w:before="60" w:after="160" w:line="259" w:lineRule="auto"/>
      <w:ind w:right="113"/>
    </w:pPr>
    <w:rPr>
      <w:kern w:val="0"/>
      <w:sz w:val="18"/>
      <w:szCs w:val="20"/>
    </w:rPr>
  </w:style>
  <w:style w:type="paragraph" w:styleId="11">
    <w:name w:val="List Bullet 5"/>
    <w:basedOn w:val="1"/>
    <w:qFormat/>
    <w:uiPriority w:val="0"/>
    <w:pPr>
      <w:numPr>
        <w:ilvl w:val="0"/>
        <w:numId w:val="3"/>
      </w:numPr>
    </w:pPr>
  </w:style>
  <w:style w:type="paragraph" w:styleId="12">
    <w:name w:val="Body Text Indent"/>
    <w:basedOn w:val="1"/>
    <w:next w:val="13"/>
    <w:qFormat/>
    <w:uiPriority w:val="0"/>
    <w:pPr>
      <w:spacing w:after="120"/>
      <w:ind w:left="420" w:leftChars="200"/>
    </w:pPr>
  </w:style>
  <w:style w:type="paragraph" w:styleId="13">
    <w:name w:val="Body Text First Indent 2"/>
    <w:basedOn w:val="1"/>
    <w:next w:val="14"/>
    <w:qFormat/>
    <w:uiPriority w:val="0"/>
    <w:pPr>
      <w:ind w:firstLine="420" w:firstLineChars="200"/>
    </w:pPr>
  </w:style>
  <w:style w:type="paragraph" w:styleId="14">
    <w:name w:val="Body Text First Indent"/>
    <w:basedOn w:val="10"/>
    <w:next w:val="1"/>
    <w:qFormat/>
    <w:uiPriority w:val="0"/>
    <w:pPr>
      <w:adjustRightInd/>
      <w:spacing w:line="240" w:lineRule="auto"/>
      <w:ind w:left="0" w:firstLine="420" w:firstLineChars="100"/>
      <w:textAlignment w:val="auto"/>
    </w:pPr>
    <w:rPr>
      <w:spacing w:val="0"/>
      <w:kern w:val="2"/>
      <w:sz w:val="21"/>
      <w:szCs w:val="24"/>
    </w:r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kern w:val="0"/>
      <w:szCs w:val="21"/>
    </w:rPr>
  </w:style>
  <w:style w:type="paragraph" w:styleId="17">
    <w:name w:val="footer"/>
    <w:basedOn w:val="1"/>
    <w:qFormat/>
    <w:uiPriority w:val="99"/>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index heading"/>
    <w:basedOn w:val="1"/>
    <w:next w:val="21"/>
    <w:qFormat/>
    <w:uiPriority w:val="0"/>
    <w:rPr>
      <w:rFonts w:ascii="Arial" w:hAnsi="Arial"/>
      <w:b/>
    </w:rPr>
  </w:style>
  <w:style w:type="paragraph" w:styleId="21">
    <w:name w:val="index 1"/>
    <w:basedOn w:val="1"/>
    <w:next w:val="1"/>
    <w:qFormat/>
    <w:uiPriority w:val="0"/>
    <w:pPr>
      <w:jc w:val="left"/>
    </w:pPr>
    <w:rPr>
      <w:sz w:val="20"/>
      <w:szCs w:val="20"/>
    </w:rPr>
  </w:style>
  <w:style w:type="paragraph" w:styleId="22">
    <w:name w:val="toc 2"/>
    <w:basedOn w:val="1"/>
    <w:next w:val="1"/>
    <w:qFormat/>
    <w:uiPriority w:val="0"/>
    <w:pPr>
      <w:ind w:left="420" w:leftChars="200"/>
    </w:pPr>
  </w:style>
  <w:style w:type="paragraph" w:styleId="23">
    <w:name w:val="Body Text 2"/>
    <w:basedOn w:val="1"/>
    <w:qFormat/>
    <w:uiPriority w:val="99"/>
    <w:pPr>
      <w:spacing w:after="120" w:line="480" w:lineRule="auto"/>
    </w:pPr>
    <w:rPr>
      <w:rFonts w:eastAsia="宋体"/>
      <w:kern w:val="0"/>
      <w:sz w:val="20"/>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6">
    <w:name w:val="Table Grid"/>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8">
    <w:name w:val="Hyperlink"/>
    <w:basedOn w:val="27"/>
    <w:qFormat/>
    <w:uiPriority w:val="0"/>
    <w:rPr>
      <w:color w:val="0000FF"/>
      <w:u w:val="single"/>
    </w:rPr>
  </w:style>
  <w:style w:type="character" w:styleId="29">
    <w:name w:val="annotation reference"/>
    <w:semiHidden/>
    <w:qFormat/>
    <w:uiPriority w:val="0"/>
    <w:rPr>
      <w:sz w:val="21"/>
    </w:rPr>
  </w:style>
  <w:style w:type="paragraph" w:customStyle="1" w:styleId="30">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明显引用1"/>
    <w:basedOn w:val="1"/>
    <w:next w:val="1"/>
    <w:qFormat/>
    <w:uiPriority w:val="0"/>
    <w:pPr>
      <w:pBdr>
        <w:bottom w:val="single" w:color="4F81BD" w:sz="4" w:space="4"/>
      </w:pBdr>
      <w:spacing w:before="200" w:after="280"/>
      <w:ind w:left="936" w:right="936"/>
    </w:pPr>
    <w:rPr>
      <w:b/>
      <w:i/>
      <w:color w:val="4F81BD"/>
      <w:sz w:val="24"/>
      <w:szCs w:val="20"/>
    </w:rPr>
  </w:style>
  <w:style w:type="paragraph" w:customStyle="1" w:styleId="32">
    <w:name w:val="xl27"/>
    <w:basedOn w:val="1"/>
    <w:qFormat/>
    <w:uiPriority w:val="0"/>
    <w:pPr>
      <w:widowControl/>
      <w:spacing w:before="100" w:after="100"/>
      <w:jc w:val="center"/>
      <w:textAlignment w:val="center"/>
    </w:pPr>
    <w:rPr>
      <w:rFonts w:ascii="宋体" w:hAnsi="宋体"/>
      <w:kern w:val="0"/>
      <w:sz w:val="24"/>
      <w:szCs w:val="20"/>
    </w:rPr>
  </w:style>
  <w:style w:type="paragraph" w:customStyle="1" w:styleId="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正文+2"/>
    <w:basedOn w:val="1"/>
    <w:qFormat/>
    <w:uiPriority w:val="0"/>
    <w:rPr>
      <w:szCs w:val="24"/>
    </w:rPr>
  </w:style>
  <w:style w:type="paragraph" w:customStyle="1" w:styleId="3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6">
    <w:name w:val="样式 样式 宋体 小四 黑色 行距: 1.5 倍行距 + Times New Roman"/>
    <w:basedOn w:val="1"/>
    <w:qFormat/>
    <w:uiPriority w:val="0"/>
    <w:pPr>
      <w:keepNext/>
      <w:spacing w:line="360" w:lineRule="auto"/>
      <w:ind w:firstLine="200" w:firstLineChars="200"/>
    </w:pPr>
    <w:rPr>
      <w:rFonts w:ascii="宋体" w:hAnsi="宋体" w:cs="宋体"/>
      <w:color w:val="000000"/>
      <w:sz w:val="24"/>
      <w:szCs w:val="20"/>
    </w:rPr>
  </w:style>
  <w:style w:type="paragraph" w:customStyle="1" w:styleId="37">
    <w:name w:val="Table Paragraph"/>
    <w:basedOn w:val="1"/>
    <w:qFormat/>
    <w:uiPriority w:val="1"/>
    <w:rPr>
      <w:rFonts w:ascii="宋体" w:hAnsi="宋体" w:cs="宋体"/>
      <w:lang w:val="zh-CN" w:bidi="zh-CN"/>
    </w:rPr>
  </w:style>
  <w:style w:type="paragraph" w:customStyle="1" w:styleId="38">
    <w:name w:val="_Style 4"/>
    <w:basedOn w:val="1"/>
    <w:next w:val="1"/>
    <w:qFormat/>
    <w:uiPriority w:val="0"/>
    <w:pPr>
      <w:tabs>
        <w:tab w:val="left" w:pos="4665"/>
        <w:tab w:val="left" w:pos="8970"/>
      </w:tabs>
      <w:ind w:firstLine="400"/>
    </w:pPr>
    <w:rPr>
      <w:rFonts w:ascii="宋体" w:hAnsi="宋体"/>
      <w:sz w:val="30"/>
      <w:szCs w:val="30"/>
    </w:rPr>
  </w:style>
  <w:style w:type="paragraph" w:customStyle="1" w:styleId="39">
    <w:name w:val="!正文(alt+c)"/>
    <w:qFormat/>
    <w:uiPriority w:val="99"/>
    <w:pPr>
      <w:spacing w:line="360" w:lineRule="auto"/>
      <w:ind w:firstLine="480" w:firstLineChars="200"/>
      <w:jc w:val="both"/>
    </w:pPr>
    <w:rPr>
      <w:rFonts w:ascii="Times New Roman" w:hAnsi="Times New Roman" w:eastAsia="仿宋_GB2312" w:cs="Times New Roman"/>
      <w:color w:val="000000"/>
      <w:kern w:val="2"/>
      <w:sz w:val="24"/>
      <w:szCs w:val="24"/>
      <w:lang w:val="en-US" w:eastAsia="zh-CN" w:bidi="ar-SA"/>
    </w:rPr>
  </w:style>
  <w:style w:type="table" w:customStyle="1" w:styleId="40">
    <w:name w:val="Table Normal"/>
    <w:unhideWhenUsed/>
    <w:qFormat/>
    <w:uiPriority w:val="0"/>
    <w:tblPr>
      <w:tblCellMar>
        <w:top w:w="0" w:type="dxa"/>
        <w:left w:w="0" w:type="dxa"/>
        <w:bottom w:w="0" w:type="dxa"/>
        <w:right w:w="0" w:type="dxa"/>
      </w:tblCellMar>
    </w:tblPr>
  </w:style>
  <w:style w:type="paragraph" w:customStyle="1" w:styleId="41">
    <w:name w:val="zw"/>
    <w:basedOn w:val="16"/>
    <w:link w:val="45"/>
    <w:qFormat/>
    <w:uiPriority w:val="0"/>
    <w:pPr>
      <w:shd w:val="clear" w:color="auto" w:fill="FFFFFF"/>
      <w:adjustRightInd w:val="0"/>
      <w:snapToGrid w:val="0"/>
      <w:spacing w:line="360" w:lineRule="auto"/>
      <w:ind w:firstLine="480" w:firstLineChars="200"/>
    </w:pPr>
    <w:rPr>
      <w:rFonts w:eastAsia="宋体"/>
      <w:snapToGrid w:val="0"/>
      <w:sz w:val="24"/>
      <w:shd w:val="clear" w:color="auto" w:fill="FFFFFF"/>
    </w:rPr>
  </w:style>
  <w:style w:type="paragraph" w:customStyle="1" w:styleId="42">
    <w:name w:val="List Paragraph"/>
    <w:basedOn w:val="1"/>
    <w:qFormat/>
    <w:uiPriority w:val="34"/>
    <w:pPr>
      <w:ind w:firstLine="420" w:firstLineChars="200"/>
    </w:pPr>
  </w:style>
  <w:style w:type="paragraph" w:customStyle="1" w:styleId="43">
    <w:name w:val="zw居中"/>
    <w:basedOn w:val="1"/>
    <w:qFormat/>
    <w:uiPriority w:val="0"/>
    <w:pPr>
      <w:adjustRightInd w:val="0"/>
      <w:snapToGrid w:val="0"/>
      <w:spacing w:line="360" w:lineRule="auto"/>
      <w:jc w:val="center"/>
    </w:pPr>
    <w:rPr>
      <w:rFonts w:ascii="Calibri" w:hAnsi="Calibri" w:eastAsia="宋体"/>
      <w:sz w:val="21"/>
      <w:szCs w:val="21"/>
    </w:rPr>
  </w:style>
  <w:style w:type="paragraph" w:customStyle="1" w:styleId="44">
    <w:name w:val="表格文字"/>
    <w:basedOn w:val="10"/>
    <w:next w:val="1"/>
    <w:qFormat/>
    <w:uiPriority w:val="0"/>
    <w:pPr>
      <w:tabs>
        <w:tab w:val="left" w:pos="3720"/>
      </w:tabs>
      <w:autoSpaceDE w:val="0"/>
      <w:autoSpaceDN w:val="0"/>
      <w:adjustRightInd w:val="0"/>
      <w:spacing w:line="315" w:lineRule="exact"/>
      <w:jc w:val="center"/>
      <w:textAlignment w:val="bottom"/>
    </w:pPr>
    <w:rPr>
      <w:rFonts w:ascii="宋体" w:hAnsi="宋体" w:eastAsia="宋体"/>
      <w:sz w:val="20"/>
      <w:szCs w:val="20"/>
    </w:rPr>
  </w:style>
  <w:style w:type="character" w:customStyle="1" w:styleId="45">
    <w:name w:val="zw Char Char"/>
    <w:link w:val="41"/>
    <w:qFormat/>
    <w:uiPriority w:val="0"/>
    <w:rPr>
      <w:rFonts w:eastAsia="宋体"/>
      <w:snapToGrid w:val="0"/>
      <w:sz w:val="24"/>
      <w:shd w:val="clear" w:color="auto" w:fill="FFFFFF"/>
    </w:rPr>
  </w:style>
  <w:style w:type="paragraph" w:customStyle="1" w:styleId="46">
    <w:name w:val="表格文字（小五）"/>
    <w:basedOn w:val="44"/>
    <w:next w:val="6"/>
    <w:qFormat/>
    <w:uiPriority w:val="0"/>
    <w:pPr>
      <w:tabs>
        <w:tab w:val="left" w:pos="746"/>
      </w:tabs>
      <w:autoSpaceDE/>
      <w:autoSpaceDN/>
      <w:adjustRightInd/>
      <w:spacing w:line="360" w:lineRule="exact"/>
      <w:textAlignment w:val="center"/>
    </w:pPr>
    <w:rPr>
      <w:rFonts w:ascii="Arial" w:hAnsi="Arial" w:cs="Arial"/>
      <w:kern w:val="2"/>
    </w:rPr>
  </w:style>
  <w:style w:type="paragraph" w:customStyle="1" w:styleId="47">
    <w:name w:val="表格"/>
    <w:basedOn w:val="6"/>
    <w:next w:val="1"/>
    <w:qFormat/>
    <w:uiPriority w:val="0"/>
    <w:pPr>
      <w:adjustRightInd w:val="0"/>
      <w:snapToGrid w:val="0"/>
      <w:spacing w:before="100" w:beforeAutospacing="1" w:after="100" w:afterAutospacing="1" w:line="360" w:lineRule="auto"/>
      <w:jc w:val="center"/>
    </w:pPr>
    <w:rPr>
      <w:rFonts w:eastAsia="宋体"/>
      <w:snapToGrid w:val="0"/>
      <w:szCs w:val="21"/>
    </w:rPr>
  </w:style>
  <w:style w:type="paragraph" w:customStyle="1" w:styleId="48">
    <w:name w:val="列表段落1"/>
    <w:basedOn w:val="1"/>
    <w:qFormat/>
    <w:uiPriority w:val="34"/>
    <w:pPr>
      <w:ind w:firstLine="420" w:firstLineChars="200"/>
    </w:pPr>
  </w:style>
  <w:style w:type="paragraph" w:customStyle="1" w:styleId="49">
    <w:name w:val="表中文字"/>
    <w:next w:val="1"/>
    <w:qFormat/>
    <w:uiPriority w:val="99"/>
    <w:pPr>
      <w:widowControl w:val="0"/>
      <w:ind w:left="-23" w:leftChars="-11" w:firstLine="23" w:firstLineChars="11"/>
      <w:jc w:val="center"/>
    </w:pPr>
    <w:rPr>
      <w:rFonts w:ascii="Times New Roman" w:hAnsi="Times New Roman" w:eastAsia="仿宋" w:cs="Times New Roman"/>
      <w:sz w:val="24"/>
      <w:szCs w:val="22"/>
      <w:lang w:val="en-US" w:eastAsia="zh-CN" w:bidi="ar-SA"/>
    </w:rPr>
  </w:style>
  <w:style w:type="paragraph" w:customStyle="1" w:styleId="50">
    <w:name w:val="标题411"/>
    <w:basedOn w:val="4"/>
    <w:qFormat/>
    <w:uiPriority w:val="99"/>
    <w:pPr>
      <w:tabs>
        <w:tab w:val="left" w:pos="425"/>
        <w:tab w:val="left" w:pos="780"/>
        <w:tab w:val="left" w:pos="1135"/>
      </w:tabs>
      <w:outlineLvl w:val="3"/>
    </w:pPr>
  </w:style>
  <w:style w:type="paragraph" w:customStyle="1" w:styleId="51">
    <w:name w:val="表格内容"/>
    <w:basedOn w:val="1"/>
    <w:qFormat/>
    <w:uiPriority w:val="0"/>
    <w:pPr>
      <w:adjustRightInd w:val="0"/>
      <w:snapToGrid w:val="0"/>
      <w:spacing w:line="240" w:lineRule="auto"/>
      <w:ind w:firstLine="0" w:firstLineChars="0"/>
      <w:jc w:val="center"/>
    </w:pPr>
    <w:rPr>
      <w:sz w:val="21"/>
    </w:rPr>
  </w:style>
  <w:style w:type="paragraph" w:customStyle="1" w:styleId="52">
    <w:name w:val="样式8"/>
    <w:basedOn w:val="1"/>
    <w:qFormat/>
    <w:uiPriority w:val="0"/>
    <w:pPr>
      <w:ind w:firstLine="480" w:firstLineChars="200"/>
      <w:jc w:val="center"/>
    </w:pPr>
    <w:rPr>
      <w:szCs w:val="21"/>
    </w:rPr>
  </w:style>
  <w:style w:type="paragraph" w:customStyle="1" w:styleId="53">
    <w:name w:val="表内容1"/>
    <w:basedOn w:val="1"/>
    <w:qFormat/>
    <w:uiPriority w:val="0"/>
    <w:pPr>
      <w:spacing w:line="360" w:lineRule="auto"/>
      <w:ind w:firstLine="200" w:firstLineChars="200"/>
      <w:jc w:val="center"/>
      <w:textAlignment w:val="center"/>
    </w:pPr>
    <w:rPr>
      <w:szCs w:val="21"/>
    </w:rPr>
  </w:style>
  <w:style w:type="paragraph" w:customStyle="1" w:styleId="54">
    <w:name w:val="正文文字缩进"/>
    <w:basedOn w:val="1"/>
    <w:qFormat/>
    <w:uiPriority w:val="99"/>
    <w:pPr>
      <w:ind w:firstLine="482"/>
    </w:pPr>
    <w:rPr>
      <w:rFonts w:ascii="Wingdings" w:hAnsi="Wingdings" w:cs="Wingdings"/>
      <w:szCs w:val="24"/>
    </w:rPr>
  </w:style>
  <w:style w:type="paragraph" w:customStyle="1" w:styleId="55">
    <w:name w:val="大风丫口正文"/>
    <w:basedOn w:val="1"/>
    <w:qFormat/>
    <w:uiPriority w:val="0"/>
    <w:pPr>
      <w:spacing w:line="360" w:lineRule="auto"/>
      <w:ind w:firstLine="200" w:firstLineChars="200"/>
    </w:pPr>
    <w:rPr>
      <w:spacing w:val="10"/>
      <w:sz w:val="24"/>
      <w:szCs w:val="24"/>
    </w:rPr>
  </w:style>
  <w:style w:type="paragraph" w:customStyle="1" w:styleId="56">
    <w:name w:val="1-表中文字"/>
    <w:basedOn w:val="1"/>
    <w:next w:val="1"/>
    <w:qFormat/>
    <w:uiPriority w:val="0"/>
    <w:pPr>
      <w:spacing w:line="240" w:lineRule="auto"/>
      <w:ind w:firstLine="0" w:firstLineChars="0"/>
      <w:jc w:val="center"/>
    </w:pPr>
    <w:rPr>
      <w:rFonts w:ascii="Times New Roman" w:hAnsi="Times New Roman" w:cs="Arial"/>
      <w:color w:val="auto"/>
      <w:szCs w:val="24"/>
    </w:rPr>
  </w:style>
  <w:style w:type="paragraph" w:customStyle="1" w:styleId="57">
    <w:name w:val="环评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58">
    <w:name w:val="【正文】"/>
    <w:basedOn w:val="1"/>
    <w:next w:val="1"/>
    <w:qFormat/>
    <w:uiPriority w:val="0"/>
    <w:pPr>
      <w:adjustRightInd w:val="0"/>
      <w:snapToGrid w:val="0"/>
      <w:spacing w:before="20" w:beforeLines="20" w:after="20" w:afterLines="20" w:line="360" w:lineRule="auto"/>
      <w:ind w:firstLine="200" w:firstLineChars="200"/>
    </w:pPr>
    <w:rPr>
      <w:rFonts w:eastAsia="仿宋_GB2312"/>
    </w:rPr>
  </w:style>
  <w:style w:type="paragraph" w:customStyle="1" w:styleId="59">
    <w:name w:val="！正文 Alt+0"/>
    <w:basedOn w:val="1"/>
    <w:qFormat/>
    <w:uiPriority w:val="0"/>
    <w:rPr>
      <w:rFonts w:eastAsia="仿宋_GB2312"/>
    </w:rPr>
  </w:style>
  <w:style w:type="paragraph" w:customStyle="1" w:styleId="60">
    <w:name w:val="报告gc"/>
    <w:qFormat/>
    <w:uiPriority w:val="0"/>
    <w:pPr>
      <w:adjustRightInd w:val="0"/>
      <w:snapToGrid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paragraph" w:customStyle="1" w:styleId="61">
    <w:name w:val="题注（标题）gc"/>
    <w:basedOn w:val="1"/>
    <w:qFormat/>
    <w:uiPriority w:val="0"/>
    <w:pPr>
      <w:spacing w:before="12" w:after="12"/>
      <w:jc w:val="center"/>
    </w:pPr>
    <w:rPr>
      <w:rFonts w:eastAsia="黑体" w:cstheme="minorBidi"/>
      <w:sz w:val="21"/>
      <w:szCs w:val="21"/>
    </w:rPr>
  </w:style>
  <w:style w:type="paragraph" w:customStyle="1" w:styleId="62">
    <w:name w:val="表格1"/>
    <w:basedOn w:val="1"/>
    <w:qFormat/>
    <w:uiPriority w:val="0"/>
    <w:pPr>
      <w:spacing w:line="360" w:lineRule="exact"/>
      <w:ind w:firstLine="0" w:firstLineChars="0"/>
      <w:jc w:val="center"/>
    </w:pPr>
    <w:rPr>
      <w:sz w:val="21"/>
      <w:szCs w:val="21"/>
    </w:rPr>
  </w:style>
  <w:style w:type="paragraph" w:customStyle="1" w:styleId="63">
    <w:name w:val="文本格式"/>
    <w:basedOn w:val="1"/>
    <w:qFormat/>
    <w:uiPriority w:val="0"/>
    <w:pPr>
      <w:spacing w:line="360" w:lineRule="auto"/>
      <w:ind w:firstLine="480" w:firstLineChars="200"/>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5.emf"/><Relationship Id="rId37" Type="http://schemas.openxmlformats.org/officeDocument/2006/relationships/oleObject" Target="embeddings/oleObject7.bin"/><Relationship Id="rId36" Type="http://schemas.openxmlformats.org/officeDocument/2006/relationships/image" Target="media/image24.emf"/><Relationship Id="rId35" Type="http://schemas.openxmlformats.org/officeDocument/2006/relationships/oleObject" Target="embeddings/oleObject6.bin"/><Relationship Id="rId34" Type="http://schemas.openxmlformats.org/officeDocument/2006/relationships/image" Target="media/image23.png"/><Relationship Id="rId33" Type="http://schemas.openxmlformats.org/officeDocument/2006/relationships/image" Target="media/image22.emf"/><Relationship Id="rId32" Type="http://schemas.openxmlformats.org/officeDocument/2006/relationships/oleObject" Target="embeddings/oleObject5.bin"/><Relationship Id="rId31" Type="http://schemas.openxmlformats.org/officeDocument/2006/relationships/image" Target="media/image21.e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oleObject" Target="embeddings/oleObject3.bin"/><Relationship Id="rId27" Type="http://schemas.openxmlformats.org/officeDocument/2006/relationships/image" Target="media/image19.emf"/><Relationship Id="rId26" Type="http://schemas.openxmlformats.org/officeDocument/2006/relationships/oleObject" Target="embeddings/oleObject2.bin"/><Relationship Id="rId25" Type="http://schemas.openxmlformats.org/officeDocument/2006/relationships/image" Target="media/image18.emf"/><Relationship Id="rId24" Type="http://schemas.openxmlformats.org/officeDocument/2006/relationships/oleObject" Target="embeddings/oleObject1.bin"/><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1504</Words>
  <Characters>1732</Characters>
  <Lines>1</Lines>
  <Paragraphs>1</Paragraphs>
  <TotalTime>4</TotalTime>
  <ScaleCrop>false</ScaleCrop>
  <LinksUpToDate>false</LinksUpToDate>
  <CharactersWithSpaces>1808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2021-09-24T02:10:00Z</dcterms:created>
  <dc:creator>Administrator</dc:creator>
  <cp:lastModifiedBy>刘变香</cp:lastModifiedBy>
  <dcterms:modified xsi:type="dcterms:W3CDTF">2025-09-17T06:55:42Z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5C80B4FE1F4C4668B02D8E4B7F482FAC_13</vt:lpwstr>
  </property>
</Properties>
</file>